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7B33C" w14:textId="7DE653E3" w:rsidR="00A91F14" w:rsidRPr="00A91F14" w:rsidRDefault="00A91F14" w:rsidP="00A91F14">
      <w:pPr>
        <w:pBdr>
          <w:bottom w:val="single" w:sz="12" w:space="1" w:color="auto"/>
        </w:pBdr>
        <w:spacing w:after="0" w:line="276" w:lineRule="auto"/>
        <w:rPr>
          <w:rFonts w:ascii="Garamond" w:hAnsi="Garamond" w:cs="Times New Roman"/>
          <w:b/>
          <w:sz w:val="24"/>
          <w:szCs w:val="24"/>
        </w:rPr>
      </w:pPr>
      <w:bookmarkStart w:id="0" w:name="_GoBack"/>
      <w:bookmarkEnd w:id="0"/>
      <w:r w:rsidRPr="00A91F14">
        <w:rPr>
          <w:rFonts w:ascii="Garamond" w:hAnsi="Garamond" w:cs="Times New Roman"/>
          <w:b/>
          <w:sz w:val="24"/>
          <w:szCs w:val="24"/>
        </w:rPr>
        <w:t>ORIGINAL ARTICLE SUBMISSION</w:t>
      </w:r>
    </w:p>
    <w:p w14:paraId="3C1A06E5" w14:textId="77777777" w:rsidR="00A91F14" w:rsidRDefault="00A91F14" w:rsidP="00A91F14">
      <w:pPr>
        <w:spacing w:after="0" w:line="276" w:lineRule="auto"/>
        <w:rPr>
          <w:rFonts w:ascii="Times New Roman" w:hAnsi="Times New Roman" w:cs="Times New Roman"/>
          <w:b/>
          <w:sz w:val="36"/>
          <w:szCs w:val="36"/>
        </w:rPr>
      </w:pPr>
    </w:p>
    <w:p w14:paraId="30F1C443" w14:textId="2AE58581" w:rsidR="00861CCE" w:rsidRDefault="00B953D4" w:rsidP="00FD0EFE">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“From the lease’s point of view”:</w:t>
      </w:r>
    </w:p>
    <w:p w14:paraId="53FD34C9" w14:textId="29C903F6" w:rsidR="00A91F14" w:rsidRDefault="00572134" w:rsidP="00FD0EFE">
      <w:pPr>
        <w:spacing w:line="276" w:lineRule="auto"/>
        <w:jc w:val="center"/>
        <w:rPr>
          <w:rFonts w:ascii="Times New Roman" w:hAnsi="Times New Roman" w:cs="Times New Roman"/>
          <w:b/>
          <w:sz w:val="36"/>
          <w:szCs w:val="36"/>
        </w:rPr>
      </w:pPr>
      <w:r w:rsidRPr="00572134">
        <w:rPr>
          <w:rFonts w:ascii="Times New Roman" w:hAnsi="Times New Roman" w:cs="Times New Roman"/>
          <w:b/>
          <w:sz w:val="36"/>
          <w:szCs w:val="36"/>
        </w:rPr>
        <w:t xml:space="preserve">The role of tied leases in shaping </w:t>
      </w:r>
      <w:r>
        <w:rPr>
          <w:rFonts w:ascii="Times New Roman" w:hAnsi="Times New Roman" w:cs="Times New Roman"/>
          <w:b/>
          <w:sz w:val="36"/>
          <w:szCs w:val="36"/>
        </w:rPr>
        <w:t xml:space="preserve">the </w:t>
      </w:r>
      <w:r w:rsidRPr="00572134">
        <w:rPr>
          <w:rFonts w:ascii="Times New Roman" w:hAnsi="Times New Roman" w:cs="Times New Roman"/>
          <w:b/>
          <w:sz w:val="36"/>
          <w:szCs w:val="36"/>
        </w:rPr>
        <w:t xml:space="preserve">UK pub </w:t>
      </w:r>
      <w:r>
        <w:rPr>
          <w:rFonts w:ascii="Times New Roman" w:hAnsi="Times New Roman" w:cs="Times New Roman"/>
          <w:b/>
          <w:sz w:val="36"/>
          <w:szCs w:val="36"/>
        </w:rPr>
        <w:t>sector</w:t>
      </w:r>
    </w:p>
    <w:tbl>
      <w:tblPr>
        <w:tblStyle w:val="TableGrid"/>
        <w:tblW w:w="0" w:type="auto"/>
        <w:tblLook w:val="04A0" w:firstRow="1" w:lastRow="0" w:firstColumn="1" w:lastColumn="0" w:noHBand="0" w:noVBand="1"/>
      </w:tblPr>
      <w:tblGrid>
        <w:gridCol w:w="9016"/>
      </w:tblGrid>
      <w:tr w:rsidR="00A91F14" w14:paraId="290254CF" w14:textId="77777777" w:rsidTr="00A91F14">
        <w:tc>
          <w:tcPr>
            <w:tcW w:w="9016" w:type="dxa"/>
            <w:tcBorders>
              <w:top w:val="nil"/>
              <w:left w:val="nil"/>
              <w:bottom w:val="nil"/>
              <w:right w:val="nil"/>
            </w:tcBorders>
            <w:shd w:val="clear" w:color="auto" w:fill="F2F2F2" w:themeFill="background1" w:themeFillShade="F2"/>
          </w:tcPr>
          <w:p w14:paraId="4E2556C6" w14:textId="77777777" w:rsidR="001F4B54" w:rsidRDefault="001F4B54" w:rsidP="001F4B54">
            <w:pPr>
              <w:spacing w:after="0" w:line="276" w:lineRule="auto"/>
              <w:rPr>
                <w:rFonts w:ascii="Times New Roman" w:hAnsi="Times New Roman" w:cs="Times New Roman"/>
                <w:b/>
                <w:bCs/>
                <w:sz w:val="24"/>
                <w:szCs w:val="24"/>
              </w:rPr>
            </w:pPr>
          </w:p>
          <w:p w14:paraId="1246DB73" w14:textId="15B4A4DC" w:rsidR="00A91F14" w:rsidRDefault="00A91F14" w:rsidP="00A91F14">
            <w:pPr>
              <w:spacing w:line="276" w:lineRule="auto"/>
              <w:rPr>
                <w:rFonts w:ascii="Times New Roman" w:hAnsi="Times New Roman" w:cs="Times New Roman"/>
                <w:b/>
                <w:bCs/>
                <w:sz w:val="24"/>
                <w:szCs w:val="24"/>
              </w:rPr>
            </w:pPr>
            <w:r w:rsidRPr="00A91F14">
              <w:rPr>
                <w:rFonts w:ascii="Times New Roman" w:hAnsi="Times New Roman" w:cs="Times New Roman"/>
                <w:b/>
                <w:bCs/>
                <w:sz w:val="24"/>
                <w:szCs w:val="24"/>
              </w:rPr>
              <w:t>Abstract</w:t>
            </w:r>
          </w:p>
          <w:p w14:paraId="4A414966" w14:textId="2E2D9C69" w:rsidR="00A91F14" w:rsidRDefault="00CF0D5A" w:rsidP="001F4B54">
            <w:pPr>
              <w:spacing w:after="0" w:line="276" w:lineRule="auto"/>
              <w:jc w:val="both"/>
              <w:rPr>
                <w:rFonts w:ascii="Times New Roman" w:hAnsi="Times New Roman" w:cs="Times New Roman"/>
              </w:rPr>
            </w:pPr>
            <w:r>
              <w:rPr>
                <w:rFonts w:ascii="Times New Roman" w:hAnsi="Times New Roman" w:cs="Times New Roman"/>
              </w:rPr>
              <w:t>Much like their residential counterparts, commercial leases have a reputation problem. Although often derided as painfully dull</w:t>
            </w:r>
            <w:r w:rsidR="0002112E">
              <w:rPr>
                <w:rFonts w:ascii="Times New Roman" w:hAnsi="Times New Roman" w:cs="Times New Roman"/>
              </w:rPr>
              <w:t xml:space="preserve"> and</w:t>
            </w:r>
            <w:r>
              <w:rPr>
                <w:rFonts w:ascii="Times New Roman" w:hAnsi="Times New Roman" w:cs="Times New Roman"/>
              </w:rPr>
              <w:t xml:space="preserve"> mundane documents,</w:t>
            </w:r>
            <w:r w:rsidR="00B67F0E">
              <w:rPr>
                <w:rFonts w:ascii="Times New Roman" w:hAnsi="Times New Roman" w:cs="Times New Roman"/>
              </w:rPr>
              <w:t xml:space="preserve"> residential leases have begun to be interrogated by </w:t>
            </w:r>
            <w:r>
              <w:rPr>
                <w:rFonts w:ascii="Times New Roman" w:hAnsi="Times New Roman" w:cs="Times New Roman"/>
              </w:rPr>
              <w:t>socio-legal scholarship with renewed interest. This paper continues this line of w</w:t>
            </w:r>
            <w:r w:rsidR="00B67F0E">
              <w:rPr>
                <w:rFonts w:ascii="Times New Roman" w:hAnsi="Times New Roman" w:cs="Times New Roman"/>
              </w:rPr>
              <w:t>ork in the commercial context</w:t>
            </w:r>
            <w:r>
              <w:rPr>
                <w:rFonts w:ascii="Times New Roman" w:hAnsi="Times New Roman" w:cs="Times New Roman"/>
              </w:rPr>
              <w:t xml:space="preserve"> through a detailed examination of a widespread form of leasehold in the pub sector: the </w:t>
            </w:r>
            <w:r w:rsidR="00741F43">
              <w:rPr>
                <w:rFonts w:ascii="Times New Roman" w:hAnsi="Times New Roman" w:cs="Times New Roman"/>
              </w:rPr>
              <w:t>“</w:t>
            </w:r>
            <w:r>
              <w:rPr>
                <w:rFonts w:ascii="Times New Roman" w:hAnsi="Times New Roman" w:cs="Times New Roman"/>
              </w:rPr>
              <w:t xml:space="preserve">tied lease”.  Drawing on interviews with publicans and archival research, I argue that the lease is a decisive </w:t>
            </w:r>
            <w:r w:rsidR="00F160E9">
              <w:rPr>
                <w:rFonts w:ascii="Times New Roman" w:hAnsi="Times New Roman" w:cs="Times New Roman"/>
              </w:rPr>
              <w:t>f</w:t>
            </w:r>
            <w:r>
              <w:rPr>
                <w:rFonts w:ascii="Times New Roman" w:hAnsi="Times New Roman" w:cs="Times New Roman"/>
              </w:rPr>
              <w:t>actor in determining the balance of power between publicans and pub-owning companies and shapes the physical environment of pubs in the UK. My broader agenda is to argue that socio-legal scholars’ renewed interest in leases should not be confined to the residential context: commercial leases warrant far greater</w:t>
            </w:r>
            <w:r w:rsidR="00AD4162">
              <w:rPr>
                <w:rFonts w:ascii="Times New Roman" w:hAnsi="Times New Roman" w:cs="Times New Roman"/>
              </w:rPr>
              <w:t xml:space="preserve"> socio-legal</w:t>
            </w:r>
            <w:r>
              <w:rPr>
                <w:rFonts w:ascii="Times New Roman" w:hAnsi="Times New Roman" w:cs="Times New Roman"/>
              </w:rPr>
              <w:t xml:space="preserve"> s</w:t>
            </w:r>
            <w:r w:rsidR="003C0669">
              <w:rPr>
                <w:rFonts w:ascii="Times New Roman" w:hAnsi="Times New Roman" w:cs="Times New Roman"/>
              </w:rPr>
              <w:t>cholarly attention.</w:t>
            </w:r>
          </w:p>
          <w:p w14:paraId="67AB12EF" w14:textId="4A5C193E" w:rsidR="001F4B54" w:rsidRPr="00BD0EB8" w:rsidRDefault="001F4B54" w:rsidP="001F4B54">
            <w:pPr>
              <w:spacing w:after="0" w:line="276" w:lineRule="auto"/>
              <w:jc w:val="both"/>
              <w:rPr>
                <w:rFonts w:ascii="Times New Roman" w:hAnsi="Times New Roman" w:cs="Times New Roman"/>
              </w:rPr>
            </w:pPr>
          </w:p>
        </w:tc>
      </w:tr>
    </w:tbl>
    <w:p w14:paraId="27713A68" w14:textId="0804EF3A" w:rsidR="00861CCE" w:rsidRDefault="00861CCE" w:rsidP="00A91F14">
      <w:pPr>
        <w:spacing w:line="276" w:lineRule="auto"/>
        <w:rPr>
          <w:rFonts w:ascii="Times New Roman" w:hAnsi="Times New Roman" w:cs="Times New Roman"/>
          <w:sz w:val="28"/>
          <w:szCs w:val="28"/>
        </w:rPr>
      </w:pPr>
    </w:p>
    <w:p w14:paraId="2FFCFA51" w14:textId="238EFDE3" w:rsidR="003A6BA4" w:rsidRDefault="00B953D4" w:rsidP="003A6BA4">
      <w:pPr>
        <w:pStyle w:val="Heading1"/>
        <w:numPr>
          <w:ilvl w:val="0"/>
          <w:numId w:val="7"/>
        </w:numPr>
        <w:ind w:left="426" w:hanging="426"/>
      </w:pPr>
      <w:r>
        <w:t>INTRODUCTION</w:t>
      </w:r>
    </w:p>
    <w:p w14:paraId="72B0CFE6" w14:textId="77777777" w:rsidR="003A6BA4" w:rsidRPr="003A6BA4" w:rsidRDefault="003A6BA4" w:rsidP="003A6BA4"/>
    <w:p w14:paraId="7D533FFD" w14:textId="1438C5C9"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Although often discussed with misty-eyed nostalgia, public houses are longstanding legal battlegrounds.</w:t>
      </w:r>
      <w:r w:rsidR="001C423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Blue Bell in York</w:t>
      </w:r>
      <w:r w:rsidR="00150783">
        <w:rPr>
          <w:rFonts w:ascii="Times New Roman" w:hAnsi="Times New Roman" w:cs="Times New Roman"/>
          <w:sz w:val="24"/>
          <w:szCs w:val="24"/>
        </w:rPr>
        <w:t>, UK</w:t>
      </w:r>
      <w:r>
        <w:rPr>
          <w:rFonts w:ascii="Times New Roman" w:hAnsi="Times New Roman" w:cs="Times New Roman"/>
          <w:sz w:val="24"/>
          <w:szCs w:val="24"/>
        </w:rPr>
        <w:t xml:space="preserve"> – one of the city’s oldest pubs, having welcomed its first patrons in 1798 – is famed not just for its 1903 interior or award-winning real ale, but also for a dispute over its lease.</w:t>
      </w:r>
      <w:bookmarkStart w:id="1" w:name="_Ref104975790"/>
      <w:r w:rsidR="00124E8D">
        <w:rPr>
          <w:rStyle w:val="FootnoteReference"/>
          <w:rFonts w:ascii="Times New Roman" w:hAnsi="Times New Roman" w:cs="Times New Roman"/>
          <w:sz w:val="24"/>
          <w:szCs w:val="24"/>
        </w:rPr>
        <w:footnoteReference w:id="2"/>
      </w:r>
      <w:bookmarkEnd w:id="1"/>
      <w:r>
        <w:rPr>
          <w:rFonts w:ascii="Times New Roman" w:hAnsi="Times New Roman" w:cs="Times New Roman"/>
          <w:sz w:val="24"/>
          <w:szCs w:val="24"/>
        </w:rPr>
        <w:t xml:space="preserve"> In common with much of the pub sector, the landlord John Plybus does not own the building outright. Instead he leases it off a large pub-owning company (PubCo) – here, Punch Taverns. This is a “tied lease” arrangement: Plybus pays less than the market rate on rent (the “dry rent”), but the terms of his lease bind him to buying </w:t>
      </w:r>
      <w:r w:rsidR="001F6406">
        <w:rPr>
          <w:rFonts w:ascii="Times New Roman" w:hAnsi="Times New Roman" w:cs="Times New Roman"/>
          <w:sz w:val="24"/>
          <w:szCs w:val="24"/>
        </w:rPr>
        <w:t xml:space="preserve">his </w:t>
      </w:r>
      <w:r>
        <w:rPr>
          <w:rFonts w:ascii="Times New Roman" w:hAnsi="Times New Roman" w:cs="Times New Roman"/>
          <w:sz w:val="24"/>
          <w:szCs w:val="24"/>
        </w:rPr>
        <w:t>beer, and often wines, sprits and other products, through the PubCo at a marked-up price (the “wet rent”). In 2019, he sought to use new statutory powers under the Pubs Code to negotiate a “market rent only” lease, where he would b</w:t>
      </w:r>
      <w:r w:rsidR="001F6406">
        <w:rPr>
          <w:rFonts w:ascii="Times New Roman" w:hAnsi="Times New Roman" w:cs="Times New Roman"/>
          <w:sz w:val="24"/>
          <w:szCs w:val="24"/>
        </w:rPr>
        <w:t xml:space="preserve">reak free of the tie </w:t>
      </w:r>
      <w:r>
        <w:rPr>
          <w:rFonts w:ascii="Times New Roman" w:hAnsi="Times New Roman" w:cs="Times New Roman"/>
          <w:sz w:val="24"/>
          <w:szCs w:val="24"/>
        </w:rPr>
        <w:t>but would pay a full market rent. In response, Punch Taverns issued a section 25 notice under the Landlord &amp; Tenant Act 1954 to evict Plybus from the premises and replace him with a salaried manager appointed by them.</w:t>
      </w:r>
    </w:p>
    <w:p w14:paraId="7DCAD1C1" w14:textId="77777777"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Over 6,500 outraged local residents signed a petition calling on Punch Taverns to:</w:t>
      </w:r>
    </w:p>
    <w:p w14:paraId="68DDDB43" w14:textId="77777777" w:rsidR="00861CCE" w:rsidRDefault="00B953D4" w:rsidP="00D6329E">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…withdraw the Section 25 (lease termination and eviction) notice which was served on licensee John Pybus at the Blue Bell in response to his attempt to exercise his legal right to an improved deal under the Pubs Code.</w:t>
      </w:r>
    </w:p>
    <w:p w14:paraId="223186D0" w14:textId="77777777" w:rsidR="00861CCE" w:rsidRDefault="00B953D4" w:rsidP="00D6329E">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We call on Punch to negotiate a new agreement with John, with terms which will allow him to continue his excellent work at this much loved and iconic pub on sustainable terms.</w:t>
      </w:r>
      <w:r>
        <w:rPr>
          <w:rStyle w:val="FootnoteAnchor"/>
          <w:rFonts w:ascii="Times New Roman" w:hAnsi="Times New Roman" w:cs="Times New Roman"/>
          <w:sz w:val="24"/>
          <w:szCs w:val="24"/>
        </w:rPr>
        <w:footnoteReference w:id="3"/>
      </w:r>
    </w:p>
    <w:p w14:paraId="610D9B7F" w14:textId="77777777"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the face of this public backlash, Punch Taverns rescinded the notice and negotiated a new market rent only lease with Plybus for a 5-year term. The Blue Bell has been saved for now. </w:t>
      </w:r>
    </w:p>
    <w:p w14:paraId="62135158" w14:textId="34D89578"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The Blue Bell’s story – reflected in many other pubs throughout the country</w:t>
      </w:r>
      <w:r>
        <w:rPr>
          <w:rStyle w:val="FootnoteAnchor"/>
          <w:rFonts w:ascii="Times New Roman" w:hAnsi="Times New Roman" w:cs="Times New Roman"/>
          <w:sz w:val="24"/>
          <w:szCs w:val="24"/>
        </w:rPr>
        <w:footnoteReference w:id="4"/>
      </w:r>
      <w:r>
        <w:rPr>
          <w:rFonts w:ascii="Times New Roman" w:hAnsi="Times New Roman" w:cs="Times New Roman"/>
          <w:sz w:val="24"/>
          <w:szCs w:val="24"/>
        </w:rPr>
        <w:t xml:space="preserve"> – illustrates two things. First, the importance of leases to the pub sector. </w:t>
      </w:r>
      <w:r w:rsidR="00F160E9">
        <w:rPr>
          <w:rFonts w:ascii="Times New Roman" w:hAnsi="Times New Roman" w:cs="Times New Roman"/>
          <w:sz w:val="24"/>
          <w:szCs w:val="24"/>
        </w:rPr>
        <w:t>T</w:t>
      </w:r>
      <w:r>
        <w:rPr>
          <w:rFonts w:ascii="Times New Roman" w:hAnsi="Times New Roman" w:cs="Times New Roman"/>
          <w:sz w:val="24"/>
          <w:szCs w:val="24"/>
        </w:rPr>
        <w:t xml:space="preserve">he reality for many thousands of UK publicans (and for many hundreds of thousands of other small businesses, particularly </w:t>
      </w:r>
      <w:r w:rsidR="004E424D">
        <w:rPr>
          <w:rFonts w:ascii="Times New Roman" w:hAnsi="Times New Roman" w:cs="Times New Roman"/>
          <w:sz w:val="24"/>
          <w:szCs w:val="24"/>
        </w:rPr>
        <w:t>in hospitality and retail</w:t>
      </w:r>
      <w:r>
        <w:rPr>
          <w:rFonts w:ascii="Times New Roman" w:hAnsi="Times New Roman" w:cs="Times New Roman"/>
          <w:sz w:val="24"/>
          <w:szCs w:val="24"/>
        </w:rPr>
        <w:t xml:space="preserve">) is that the longevity of their business is </w:t>
      </w:r>
      <w:r w:rsidR="004E424D">
        <w:rPr>
          <w:rFonts w:ascii="Times New Roman" w:hAnsi="Times New Roman" w:cs="Times New Roman"/>
          <w:sz w:val="24"/>
          <w:szCs w:val="24"/>
        </w:rPr>
        <w:t>in part dependent on</w:t>
      </w:r>
      <w:r>
        <w:rPr>
          <w:rFonts w:ascii="Times New Roman" w:hAnsi="Times New Roman" w:cs="Times New Roman"/>
          <w:sz w:val="24"/>
          <w:szCs w:val="24"/>
        </w:rPr>
        <w:t xml:space="preserve"> negotiations over the lease for their premises</w:t>
      </w:r>
      <w:r w:rsidR="004E424D">
        <w:rPr>
          <w:rFonts w:ascii="Times New Roman" w:hAnsi="Times New Roman" w:cs="Times New Roman"/>
          <w:sz w:val="24"/>
          <w:szCs w:val="24"/>
        </w:rPr>
        <w:t xml:space="preserve"> This can be challenging for small operators, such as in the pub sector</w:t>
      </w:r>
      <w:r>
        <w:rPr>
          <w:rFonts w:ascii="Times New Roman" w:hAnsi="Times New Roman" w:cs="Times New Roman"/>
          <w:sz w:val="24"/>
          <w:szCs w:val="24"/>
        </w:rPr>
        <w:t>.</w:t>
      </w:r>
      <w:r w:rsidR="00F160E9">
        <w:rPr>
          <w:rFonts w:ascii="Times New Roman" w:hAnsi="Times New Roman" w:cs="Times New Roman"/>
          <w:sz w:val="24"/>
          <w:szCs w:val="24"/>
        </w:rPr>
        <w:t xml:space="preserve"> </w:t>
      </w:r>
      <w:r w:rsidR="00F160E9" w:rsidRPr="00F160E9">
        <w:rPr>
          <w:rFonts w:ascii="Times New Roman" w:hAnsi="Times New Roman" w:cs="Times New Roman"/>
          <w:sz w:val="24"/>
          <w:szCs w:val="24"/>
        </w:rPr>
        <w:t>As Plybus puts it, pub landlords “aren’t great at legal battles; we’re not trained for that”, instead they are “trained for good banter on a Friday night and a decent Sunday roast”.</w:t>
      </w:r>
      <w:r w:rsidR="00F160E9">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Second, the local community cared about the legal form of the pub’s operation – whether it was run with a live-in lessee landlord, or via an appointed manager on a salary – because this was seen as central to both the pub’s sustainability and the reality of its day-to-day operation. The petition’s signatories were concerned that changing its legal form would change its physical form.</w:t>
      </w:r>
    </w:p>
    <w:p w14:paraId="1A2480A0" w14:textId="13A743EB"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This paper is</w:t>
      </w:r>
      <w:r w:rsidR="00A619EB">
        <w:rPr>
          <w:rFonts w:ascii="Times New Roman" w:hAnsi="Times New Roman" w:cs="Times New Roman"/>
          <w:sz w:val="24"/>
          <w:szCs w:val="24"/>
        </w:rPr>
        <w:t xml:space="preserve"> a</w:t>
      </w:r>
      <w:r>
        <w:rPr>
          <w:rFonts w:ascii="Times New Roman" w:hAnsi="Times New Roman" w:cs="Times New Roman"/>
          <w:sz w:val="24"/>
          <w:szCs w:val="24"/>
        </w:rPr>
        <w:t xml:space="preserve"> detailed interrogation of this “tied pub” lease: an arrangement common across many Western countries, where large pub</w:t>
      </w:r>
      <w:r w:rsidR="00A619EB">
        <w:rPr>
          <w:rFonts w:ascii="Times New Roman" w:hAnsi="Times New Roman" w:cs="Times New Roman"/>
          <w:sz w:val="24"/>
          <w:szCs w:val="24"/>
        </w:rPr>
        <w:t>-owning companies use lease clauses to enforce</w:t>
      </w:r>
      <w:r>
        <w:rPr>
          <w:rFonts w:ascii="Times New Roman" w:hAnsi="Times New Roman" w:cs="Times New Roman"/>
          <w:sz w:val="24"/>
          <w:szCs w:val="24"/>
        </w:rPr>
        <w:t xml:space="preserve"> contractual arrangements of exclusive supply with their</w:t>
      </w:r>
      <w:r w:rsidR="001633E9">
        <w:rPr>
          <w:rFonts w:ascii="Times New Roman" w:hAnsi="Times New Roman" w:cs="Times New Roman"/>
          <w:sz w:val="24"/>
          <w:szCs w:val="24"/>
        </w:rPr>
        <w:t xml:space="preserve"> tied</w:t>
      </w:r>
      <w:r>
        <w:rPr>
          <w:rFonts w:ascii="Times New Roman" w:hAnsi="Times New Roman" w:cs="Times New Roman"/>
          <w:sz w:val="24"/>
          <w:szCs w:val="24"/>
        </w:rPr>
        <w:t xml:space="preserve"> tenants.</w:t>
      </w:r>
      <w:bookmarkStart w:id="2" w:name="_Ref104123680"/>
      <w:r>
        <w:rPr>
          <w:rStyle w:val="FootnoteAnchor"/>
          <w:rFonts w:ascii="Times New Roman" w:hAnsi="Times New Roman" w:cs="Times New Roman"/>
          <w:sz w:val="24"/>
          <w:szCs w:val="24"/>
        </w:rPr>
        <w:footnoteReference w:id="6"/>
      </w:r>
      <w:bookmarkEnd w:id="2"/>
      <w:r>
        <w:rPr>
          <w:rFonts w:ascii="Times New Roman" w:hAnsi="Times New Roman" w:cs="Times New Roman"/>
          <w:sz w:val="24"/>
          <w:szCs w:val="24"/>
        </w:rPr>
        <w:t xml:space="preserve"> This focus on a seemingly “dull and formal piece of paper”</w:t>
      </w:r>
      <w:bookmarkStart w:id="3" w:name="_Ref104121311"/>
      <w:r>
        <w:rPr>
          <w:rStyle w:val="FootnoteAnchor"/>
          <w:rFonts w:ascii="Times New Roman" w:hAnsi="Times New Roman" w:cs="Times New Roman"/>
          <w:sz w:val="24"/>
          <w:szCs w:val="24"/>
        </w:rPr>
        <w:footnoteReference w:id="7"/>
      </w:r>
      <w:bookmarkEnd w:id="3"/>
      <w:r>
        <w:rPr>
          <w:rFonts w:ascii="Times New Roman" w:hAnsi="Times New Roman" w:cs="Times New Roman"/>
          <w:sz w:val="24"/>
          <w:szCs w:val="24"/>
        </w:rPr>
        <w:t xml:space="preserve"> is part of a new-found examination of the</w:t>
      </w:r>
      <w:r w:rsidR="00B5390D">
        <w:rPr>
          <w:rFonts w:ascii="Times New Roman" w:hAnsi="Times New Roman" w:cs="Times New Roman"/>
          <w:sz w:val="24"/>
          <w:szCs w:val="24"/>
        </w:rPr>
        <w:t xml:space="preserve"> “understudied”</w:t>
      </w:r>
      <w:r>
        <w:rPr>
          <w:rFonts w:ascii="Times New Roman" w:hAnsi="Times New Roman" w:cs="Times New Roman"/>
          <w:sz w:val="24"/>
          <w:szCs w:val="24"/>
        </w:rPr>
        <w:t xml:space="preserve"> lease in socio-legal studies.</w:t>
      </w:r>
      <w:r w:rsidR="00B5390D">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Catalysed by Hunter’s work on the lease as a “socio-legal object”,</w:t>
      </w:r>
      <w:r>
        <w:rPr>
          <w:rStyle w:val="FootnoteAnchor"/>
          <w:rFonts w:ascii="Times New Roman" w:hAnsi="Times New Roman" w:cs="Times New Roman"/>
          <w:sz w:val="24"/>
          <w:szCs w:val="24"/>
        </w:rPr>
        <w:footnoteReference w:id="9"/>
      </w:r>
      <w:r>
        <w:rPr>
          <w:rFonts w:ascii="Times New Roman" w:hAnsi="Times New Roman" w:cs="Times New Roman"/>
          <w:sz w:val="24"/>
          <w:szCs w:val="24"/>
        </w:rPr>
        <w:t xml:space="preserve"> socio-legal scholars have begun to draw on actor-network theory informed approaches to </w:t>
      </w:r>
      <w:r>
        <w:rPr>
          <w:rFonts w:ascii="Times New Roman" w:hAnsi="Times New Roman" w:cs="Times New Roman"/>
          <w:sz w:val="24"/>
          <w:szCs w:val="24"/>
        </w:rPr>
        <w:lastRenderedPageBreak/>
        <w:t>explore how leases can shape both the social and the physical world.</w:t>
      </w:r>
      <w:bookmarkStart w:id="4" w:name="_Ref104121140"/>
      <w:r>
        <w:rPr>
          <w:rStyle w:val="FootnoteAnchor"/>
          <w:rFonts w:ascii="Times New Roman" w:hAnsi="Times New Roman" w:cs="Times New Roman"/>
          <w:sz w:val="24"/>
          <w:szCs w:val="24"/>
        </w:rPr>
        <w:footnoteReference w:id="10"/>
      </w:r>
      <w:bookmarkEnd w:id="4"/>
      <w:r>
        <w:rPr>
          <w:rFonts w:ascii="Times New Roman" w:hAnsi="Times New Roman" w:cs="Times New Roman"/>
          <w:sz w:val="24"/>
          <w:szCs w:val="24"/>
        </w:rPr>
        <w:t xml:space="preserve"> This paper follows in this line of work by demonstrating how the UK pub sector – from the </w:t>
      </w:r>
      <w:r w:rsidR="004E424D">
        <w:rPr>
          <w:rFonts w:ascii="Times New Roman" w:hAnsi="Times New Roman" w:cs="Times New Roman"/>
          <w:sz w:val="24"/>
          <w:szCs w:val="24"/>
        </w:rPr>
        <w:t xml:space="preserve">importance power dynamics and risk sharing between </w:t>
      </w:r>
      <w:r>
        <w:rPr>
          <w:rFonts w:ascii="Times New Roman" w:hAnsi="Times New Roman" w:cs="Times New Roman"/>
          <w:sz w:val="24"/>
          <w:szCs w:val="24"/>
        </w:rPr>
        <w:t xml:space="preserve">the pub-owning companies and </w:t>
      </w:r>
      <w:r w:rsidR="003147CD">
        <w:rPr>
          <w:rFonts w:ascii="Times New Roman" w:hAnsi="Times New Roman" w:cs="Times New Roman"/>
          <w:sz w:val="24"/>
          <w:szCs w:val="24"/>
        </w:rPr>
        <w:t>their tenants</w:t>
      </w:r>
      <w:r>
        <w:rPr>
          <w:rFonts w:ascii="Times New Roman" w:hAnsi="Times New Roman" w:cs="Times New Roman"/>
          <w:sz w:val="24"/>
          <w:szCs w:val="24"/>
        </w:rPr>
        <w:t>, through to the physical fluid that comes out of the taps on the bar – is shaped by the lease.</w:t>
      </w:r>
    </w:p>
    <w:p w14:paraId="056743EF" w14:textId="3B296BE3" w:rsidR="00861CCE" w:rsidRDefault="004E424D"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B953D4">
        <w:rPr>
          <w:rFonts w:ascii="Times New Roman" w:hAnsi="Times New Roman" w:cs="Times New Roman"/>
          <w:sz w:val="24"/>
          <w:szCs w:val="24"/>
        </w:rPr>
        <w:t xml:space="preserve"> paper also has a broader agenda to highlight the importance of commercial leasehold. Much like their residential counterpart, commercial leases have a reputation problem. As described by Jacobs, they are easily dismissed as a “50 or 60 page monster which thuds on the desk with monotonous regularity.”</w:t>
      </w:r>
      <w:r w:rsidR="00B953D4">
        <w:rPr>
          <w:rStyle w:val="FootnoteAnchor"/>
          <w:rFonts w:ascii="Times New Roman" w:hAnsi="Times New Roman" w:cs="Times New Roman"/>
          <w:sz w:val="24"/>
          <w:szCs w:val="24"/>
        </w:rPr>
        <w:footnoteReference w:id="11"/>
      </w:r>
      <w:r w:rsidR="00B953D4">
        <w:rPr>
          <w:rFonts w:ascii="Times New Roman" w:hAnsi="Times New Roman" w:cs="Times New Roman"/>
          <w:sz w:val="24"/>
          <w:szCs w:val="24"/>
        </w:rPr>
        <w:t xml:space="preserve"> </w:t>
      </w:r>
      <w:r>
        <w:rPr>
          <w:rFonts w:ascii="Times New Roman" w:hAnsi="Times New Roman" w:cs="Times New Roman"/>
          <w:sz w:val="24"/>
          <w:szCs w:val="24"/>
        </w:rPr>
        <w:t>However,</w:t>
      </w:r>
      <w:r w:rsidR="004117F7">
        <w:rPr>
          <w:rFonts w:ascii="Times New Roman" w:hAnsi="Times New Roman" w:cs="Times New Roman"/>
          <w:sz w:val="24"/>
          <w:szCs w:val="24"/>
        </w:rPr>
        <w:t xml:space="preserve"> </w:t>
      </w:r>
      <w:r w:rsidR="00B953D4">
        <w:rPr>
          <w:rFonts w:ascii="Times New Roman" w:hAnsi="Times New Roman" w:cs="Times New Roman"/>
          <w:sz w:val="24"/>
          <w:szCs w:val="24"/>
        </w:rPr>
        <w:t>these under interrogated documents are central to the operation of many hundreds o</w:t>
      </w:r>
      <w:r w:rsidR="004117F7">
        <w:rPr>
          <w:rFonts w:ascii="Times New Roman" w:hAnsi="Times New Roman" w:cs="Times New Roman"/>
          <w:sz w:val="24"/>
          <w:szCs w:val="24"/>
        </w:rPr>
        <w:t>f thousands of small businesses. Carroll’s work on the negotiations between commercial tenants and landlords illustrates the importance and value of exploring commercial leases.</w:t>
      </w:r>
      <w:r w:rsidR="004117F7">
        <w:rPr>
          <w:rStyle w:val="FootnoteReference"/>
          <w:rFonts w:ascii="Times New Roman" w:hAnsi="Times New Roman" w:cs="Times New Roman"/>
          <w:sz w:val="24"/>
          <w:szCs w:val="24"/>
        </w:rPr>
        <w:footnoteReference w:id="12"/>
      </w:r>
      <w:r w:rsidR="004117F7">
        <w:rPr>
          <w:rFonts w:ascii="Times New Roman" w:hAnsi="Times New Roman" w:cs="Times New Roman"/>
          <w:sz w:val="24"/>
          <w:szCs w:val="24"/>
        </w:rPr>
        <w:t xml:space="preserve">  </w:t>
      </w:r>
      <w:r w:rsidR="00B953D4">
        <w:rPr>
          <w:rFonts w:ascii="Times New Roman" w:hAnsi="Times New Roman" w:cs="Times New Roman"/>
          <w:sz w:val="24"/>
          <w:szCs w:val="24"/>
        </w:rPr>
        <w:t>Indeed, for many such businesses</w:t>
      </w:r>
      <w:r w:rsidR="008A0496">
        <w:rPr>
          <w:rFonts w:ascii="Times New Roman" w:hAnsi="Times New Roman" w:cs="Times New Roman"/>
          <w:sz w:val="24"/>
          <w:szCs w:val="24"/>
        </w:rPr>
        <w:t xml:space="preserve"> – particularly</w:t>
      </w:r>
      <w:r>
        <w:rPr>
          <w:rFonts w:ascii="Times New Roman" w:hAnsi="Times New Roman" w:cs="Times New Roman"/>
          <w:sz w:val="24"/>
          <w:szCs w:val="24"/>
        </w:rPr>
        <w:t xml:space="preserve"> small-scale retailers and pub operators</w:t>
      </w:r>
      <w:r w:rsidR="008A0496">
        <w:rPr>
          <w:rFonts w:ascii="Times New Roman" w:hAnsi="Times New Roman" w:cs="Times New Roman"/>
          <w:sz w:val="24"/>
          <w:szCs w:val="24"/>
        </w:rPr>
        <w:t xml:space="preserve"> –</w:t>
      </w:r>
      <w:r w:rsidR="00B953D4">
        <w:rPr>
          <w:rFonts w:ascii="Times New Roman" w:hAnsi="Times New Roman" w:cs="Times New Roman"/>
          <w:sz w:val="24"/>
          <w:szCs w:val="24"/>
        </w:rPr>
        <w:t xml:space="preserve"> the lease is more important to their day-to-day operation and longevity than any area of company law. The “tied lease” is one particularly acute example, but this paper’s arguments extend to commercial leases more generally</w:t>
      </w:r>
      <w:r w:rsidR="00605B11">
        <w:rPr>
          <w:rFonts w:ascii="Times New Roman" w:hAnsi="Times New Roman" w:cs="Times New Roman"/>
          <w:sz w:val="24"/>
          <w:szCs w:val="24"/>
        </w:rPr>
        <w:t xml:space="preserve"> – even if the power imbalances at</w:t>
      </w:r>
      <w:r w:rsidR="0071612B">
        <w:rPr>
          <w:rFonts w:ascii="Times New Roman" w:hAnsi="Times New Roman" w:cs="Times New Roman"/>
          <w:sz w:val="24"/>
          <w:szCs w:val="24"/>
        </w:rPr>
        <w:t xml:space="preserve"> </w:t>
      </w:r>
      <w:r w:rsidR="00605B11">
        <w:rPr>
          <w:rFonts w:ascii="Times New Roman" w:hAnsi="Times New Roman" w:cs="Times New Roman"/>
          <w:sz w:val="24"/>
          <w:szCs w:val="24"/>
        </w:rPr>
        <w:t>play are often very different.</w:t>
      </w:r>
    </w:p>
    <w:p w14:paraId="65A5D813" w14:textId="126F60C3" w:rsidR="00861CCE" w:rsidRDefault="009212D0"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F6406">
        <w:rPr>
          <w:rFonts w:ascii="Times New Roman" w:hAnsi="Times New Roman" w:cs="Times New Roman"/>
          <w:sz w:val="24"/>
          <w:szCs w:val="24"/>
        </w:rPr>
        <w:t>argument</w:t>
      </w:r>
      <w:r>
        <w:rPr>
          <w:rFonts w:ascii="Times New Roman" w:hAnsi="Times New Roman" w:cs="Times New Roman"/>
          <w:sz w:val="24"/>
          <w:szCs w:val="24"/>
        </w:rPr>
        <w:t xml:space="preserve"> is in </w:t>
      </w:r>
      <w:r w:rsidR="00F2171A">
        <w:rPr>
          <w:rFonts w:ascii="Times New Roman" w:hAnsi="Times New Roman" w:cs="Times New Roman"/>
          <w:sz w:val="24"/>
          <w:szCs w:val="24"/>
        </w:rPr>
        <w:t>two</w:t>
      </w:r>
      <w:r>
        <w:rPr>
          <w:rFonts w:ascii="Times New Roman" w:hAnsi="Times New Roman" w:cs="Times New Roman"/>
          <w:sz w:val="24"/>
          <w:szCs w:val="24"/>
        </w:rPr>
        <w:t xml:space="preserve"> sections. </w:t>
      </w:r>
      <w:r w:rsidR="00FF7827">
        <w:rPr>
          <w:rFonts w:ascii="Times New Roman" w:hAnsi="Times New Roman" w:cs="Times New Roman"/>
          <w:sz w:val="24"/>
          <w:szCs w:val="24"/>
        </w:rPr>
        <w:t xml:space="preserve">First, in the same spirit as Cowan, Carr and Wallace’s </w:t>
      </w:r>
      <w:r w:rsidR="00E33E62">
        <w:rPr>
          <w:rFonts w:ascii="Times New Roman" w:hAnsi="Times New Roman" w:cs="Times New Roman"/>
          <w:sz w:val="24"/>
          <w:szCs w:val="24"/>
        </w:rPr>
        <w:t>detailed analysis of how the lease came to be used as the vehicle for “shared ownership”</w:t>
      </w:r>
      <w:r w:rsidR="00605B11">
        <w:rPr>
          <w:rFonts w:ascii="Times New Roman" w:hAnsi="Times New Roman" w:cs="Times New Roman"/>
          <w:sz w:val="24"/>
          <w:szCs w:val="24"/>
        </w:rPr>
        <w:t>,</w:t>
      </w:r>
      <w:r w:rsidR="00E33E62">
        <w:rPr>
          <w:rStyle w:val="FootnoteAnchor"/>
          <w:rFonts w:ascii="Times New Roman" w:hAnsi="Times New Roman" w:cs="Times New Roman"/>
          <w:sz w:val="24"/>
          <w:szCs w:val="24"/>
        </w:rPr>
        <w:footnoteReference w:id="13"/>
      </w:r>
      <w:r w:rsidR="00605B11">
        <w:rPr>
          <w:rFonts w:ascii="Times New Roman" w:hAnsi="Times New Roman" w:cs="Times New Roman"/>
          <w:sz w:val="24"/>
          <w:szCs w:val="24"/>
        </w:rPr>
        <w:t xml:space="preserve"> I focus on the appeal of the lease as a legal technique for brewers seeking to secure a route-to-market for their beer.</w:t>
      </w:r>
      <w:r w:rsidR="00E33E62">
        <w:rPr>
          <w:rFonts w:ascii="Times New Roman" w:hAnsi="Times New Roman" w:cs="Times New Roman"/>
          <w:sz w:val="24"/>
          <w:szCs w:val="24"/>
        </w:rPr>
        <w:t xml:space="preserve"> </w:t>
      </w:r>
      <w:r w:rsidR="0071612B">
        <w:rPr>
          <w:rFonts w:ascii="Times New Roman" w:hAnsi="Times New Roman" w:cs="Times New Roman"/>
          <w:sz w:val="24"/>
          <w:szCs w:val="24"/>
        </w:rPr>
        <w:t xml:space="preserve">After exploring the importance of the tied lease in the pub sector, </w:t>
      </w:r>
      <w:r w:rsidR="00986ED8">
        <w:rPr>
          <w:rFonts w:ascii="Times New Roman" w:hAnsi="Times New Roman" w:cs="Times New Roman"/>
          <w:sz w:val="24"/>
          <w:szCs w:val="24"/>
        </w:rPr>
        <w:t xml:space="preserve">I </w:t>
      </w:r>
      <w:r w:rsidR="0071612B">
        <w:rPr>
          <w:rFonts w:ascii="Times New Roman" w:hAnsi="Times New Roman" w:cs="Times New Roman"/>
          <w:sz w:val="24"/>
          <w:szCs w:val="24"/>
        </w:rPr>
        <w:t>briefly examine four functions that the lease serves for brewers and large PubCos</w:t>
      </w:r>
      <w:r w:rsidR="00986ED8">
        <w:rPr>
          <w:rFonts w:ascii="Times New Roman" w:hAnsi="Times New Roman" w:cs="Times New Roman"/>
          <w:sz w:val="24"/>
          <w:szCs w:val="24"/>
        </w:rPr>
        <w:t xml:space="preserve">: (i) </w:t>
      </w:r>
      <w:r w:rsidR="00A619EB">
        <w:rPr>
          <w:rFonts w:ascii="Times New Roman" w:hAnsi="Times New Roman" w:cs="Times New Roman"/>
          <w:sz w:val="24"/>
          <w:szCs w:val="24"/>
        </w:rPr>
        <w:t>an ability to capture</w:t>
      </w:r>
      <w:r w:rsidR="00986ED8">
        <w:rPr>
          <w:rFonts w:ascii="Times New Roman" w:hAnsi="Times New Roman" w:cs="Times New Roman"/>
          <w:sz w:val="24"/>
          <w:szCs w:val="24"/>
        </w:rPr>
        <w:t xml:space="preserve"> the </w:t>
      </w:r>
      <w:r w:rsidR="00D3332B">
        <w:rPr>
          <w:rFonts w:ascii="Times New Roman" w:hAnsi="Times New Roman" w:cs="Times New Roman"/>
          <w:sz w:val="24"/>
          <w:szCs w:val="24"/>
        </w:rPr>
        <w:t>“</w:t>
      </w:r>
      <w:r w:rsidR="002E37F5">
        <w:rPr>
          <w:rFonts w:ascii="Times New Roman" w:hAnsi="Times New Roman" w:cs="Times New Roman"/>
          <w:sz w:val="24"/>
          <w:szCs w:val="24"/>
        </w:rPr>
        <w:t>entrepreneurial</w:t>
      </w:r>
      <w:r w:rsidR="00986ED8">
        <w:rPr>
          <w:rFonts w:ascii="Times New Roman" w:hAnsi="Times New Roman" w:cs="Times New Roman"/>
          <w:sz w:val="24"/>
          <w:szCs w:val="24"/>
        </w:rPr>
        <w:t xml:space="preserve"> spirit</w:t>
      </w:r>
      <w:r w:rsidR="00D3332B">
        <w:rPr>
          <w:rFonts w:ascii="Times New Roman" w:hAnsi="Times New Roman" w:cs="Times New Roman"/>
          <w:sz w:val="24"/>
          <w:szCs w:val="24"/>
        </w:rPr>
        <w:t>”</w:t>
      </w:r>
      <w:r w:rsidR="00986ED8">
        <w:rPr>
          <w:rFonts w:ascii="Times New Roman" w:hAnsi="Times New Roman" w:cs="Times New Roman"/>
          <w:sz w:val="24"/>
          <w:szCs w:val="24"/>
        </w:rPr>
        <w:t xml:space="preserve"> of the publican, (ii) </w:t>
      </w:r>
      <w:r w:rsidR="00D3332B">
        <w:rPr>
          <w:rFonts w:ascii="Times New Roman" w:hAnsi="Times New Roman" w:cs="Times New Roman"/>
          <w:sz w:val="24"/>
          <w:szCs w:val="24"/>
        </w:rPr>
        <w:t xml:space="preserve">providing a mechanism to </w:t>
      </w:r>
      <w:r w:rsidR="00986ED8">
        <w:rPr>
          <w:rFonts w:ascii="Times New Roman" w:hAnsi="Times New Roman" w:cs="Times New Roman"/>
          <w:sz w:val="24"/>
          <w:szCs w:val="24"/>
        </w:rPr>
        <w:t xml:space="preserve"> combine controls over business practices with the use of the commercial property, (iii) </w:t>
      </w:r>
      <w:r w:rsidR="00D3332B">
        <w:rPr>
          <w:rFonts w:ascii="Times New Roman" w:hAnsi="Times New Roman" w:cs="Times New Roman"/>
          <w:sz w:val="24"/>
          <w:szCs w:val="24"/>
        </w:rPr>
        <w:t>managing the temporality of the business relationship</w:t>
      </w:r>
      <w:r w:rsidR="00986ED8">
        <w:rPr>
          <w:rFonts w:ascii="Times New Roman" w:hAnsi="Times New Roman" w:cs="Times New Roman"/>
          <w:sz w:val="24"/>
          <w:szCs w:val="24"/>
        </w:rPr>
        <w:t>, and (iv) function</w:t>
      </w:r>
      <w:r w:rsidR="00D3332B">
        <w:rPr>
          <w:rFonts w:ascii="Times New Roman" w:hAnsi="Times New Roman" w:cs="Times New Roman"/>
          <w:sz w:val="24"/>
          <w:szCs w:val="24"/>
        </w:rPr>
        <w:t>ing</w:t>
      </w:r>
      <w:r w:rsidR="00986ED8">
        <w:rPr>
          <w:rFonts w:ascii="Times New Roman" w:hAnsi="Times New Roman" w:cs="Times New Roman"/>
          <w:sz w:val="24"/>
          <w:szCs w:val="24"/>
        </w:rPr>
        <w:t xml:space="preserve"> as a</w:t>
      </w:r>
      <w:r w:rsidR="00540521">
        <w:rPr>
          <w:rFonts w:ascii="Times New Roman" w:hAnsi="Times New Roman" w:cs="Times New Roman"/>
          <w:sz w:val="24"/>
          <w:szCs w:val="24"/>
        </w:rPr>
        <w:t>n</w:t>
      </w:r>
      <w:r w:rsidR="00986ED8">
        <w:rPr>
          <w:rFonts w:ascii="Times New Roman" w:hAnsi="Times New Roman" w:cs="Times New Roman"/>
          <w:sz w:val="24"/>
          <w:szCs w:val="24"/>
        </w:rPr>
        <w:t xml:space="preserve"> asset class that can be securitised</w:t>
      </w:r>
      <w:r w:rsidR="00D3332B">
        <w:rPr>
          <w:rFonts w:ascii="Times New Roman" w:hAnsi="Times New Roman" w:cs="Times New Roman"/>
          <w:sz w:val="24"/>
          <w:szCs w:val="24"/>
        </w:rPr>
        <w:t xml:space="preserve"> in its own right</w:t>
      </w:r>
    </w:p>
    <w:p w14:paraId="26FFF68A" w14:textId="06C4E48F" w:rsidR="00540521" w:rsidRDefault="00847194" w:rsidP="00FD0EFE">
      <w:pPr>
        <w:spacing w:line="276" w:lineRule="auto"/>
        <w:jc w:val="both"/>
        <w:rPr>
          <w:rFonts w:ascii="Times New Roman" w:hAnsi="Times New Roman" w:cs="Times New Roman"/>
          <w:sz w:val="24"/>
          <w:szCs w:val="24"/>
        </w:rPr>
      </w:pPr>
      <w:r>
        <w:rPr>
          <w:rFonts w:ascii="Times New Roman" w:hAnsi="Times New Roman" w:cs="Times New Roman"/>
          <w:sz w:val="24"/>
          <w:szCs w:val="24"/>
        </w:rPr>
        <w:t>The second section</w:t>
      </w:r>
      <w:r w:rsidR="00F2171A">
        <w:rPr>
          <w:rFonts w:ascii="Times New Roman" w:hAnsi="Times New Roman" w:cs="Times New Roman"/>
          <w:sz w:val="24"/>
          <w:szCs w:val="24"/>
        </w:rPr>
        <w:t xml:space="preserve"> </w:t>
      </w:r>
      <w:r>
        <w:rPr>
          <w:rFonts w:ascii="Times New Roman" w:hAnsi="Times New Roman" w:cs="Times New Roman"/>
          <w:sz w:val="24"/>
          <w:szCs w:val="24"/>
        </w:rPr>
        <w:t>draws on fourteen interviews with tied tenants</w:t>
      </w:r>
      <w:r w:rsidR="002E37F5">
        <w:rPr>
          <w:rFonts w:ascii="Times New Roman" w:hAnsi="Times New Roman" w:cs="Times New Roman"/>
          <w:sz w:val="24"/>
          <w:szCs w:val="24"/>
        </w:rPr>
        <w:t xml:space="preserve"> to explore </w:t>
      </w:r>
      <w:r>
        <w:rPr>
          <w:rFonts w:ascii="Times New Roman" w:hAnsi="Times New Roman" w:cs="Times New Roman"/>
          <w:sz w:val="24"/>
          <w:szCs w:val="24"/>
        </w:rPr>
        <w:t>the role of t</w:t>
      </w:r>
      <w:r w:rsidR="002E37F5">
        <w:rPr>
          <w:rFonts w:ascii="Times New Roman" w:hAnsi="Times New Roman" w:cs="Times New Roman"/>
          <w:sz w:val="24"/>
          <w:szCs w:val="24"/>
        </w:rPr>
        <w:t xml:space="preserve">he tied lease </w:t>
      </w:r>
      <w:r w:rsidR="00EE2F51">
        <w:rPr>
          <w:rFonts w:ascii="Times New Roman" w:hAnsi="Times New Roman" w:cs="Times New Roman"/>
          <w:sz w:val="24"/>
          <w:szCs w:val="24"/>
        </w:rPr>
        <w:t>i</w:t>
      </w:r>
      <w:r>
        <w:rPr>
          <w:rFonts w:ascii="Times New Roman" w:hAnsi="Times New Roman" w:cs="Times New Roman"/>
          <w:sz w:val="24"/>
          <w:szCs w:val="24"/>
        </w:rPr>
        <w:t xml:space="preserve">n shaping </w:t>
      </w:r>
      <w:r w:rsidR="00EE2F51">
        <w:rPr>
          <w:rFonts w:ascii="Times New Roman" w:hAnsi="Times New Roman" w:cs="Times New Roman"/>
          <w:sz w:val="24"/>
          <w:szCs w:val="24"/>
        </w:rPr>
        <w:t>“physical space and social relations”</w:t>
      </w:r>
      <w:r w:rsidR="00EE2F51">
        <w:rPr>
          <w:rStyle w:val="FootnoteReference"/>
          <w:rFonts w:ascii="Times New Roman" w:hAnsi="Times New Roman" w:cs="Times New Roman"/>
          <w:sz w:val="24"/>
          <w:szCs w:val="24"/>
        </w:rPr>
        <w:footnoteReference w:id="14"/>
      </w:r>
      <w:r w:rsidR="00CE09C6">
        <w:rPr>
          <w:rFonts w:ascii="Times New Roman" w:hAnsi="Times New Roman" w:cs="Times New Roman"/>
          <w:sz w:val="24"/>
          <w:szCs w:val="24"/>
        </w:rPr>
        <w:t xml:space="preserve"> in the pub sector.</w:t>
      </w:r>
      <w:r w:rsidR="00EE2F51">
        <w:rPr>
          <w:rFonts w:ascii="Times New Roman" w:hAnsi="Times New Roman" w:cs="Times New Roman"/>
          <w:sz w:val="24"/>
          <w:szCs w:val="24"/>
        </w:rPr>
        <w:t xml:space="preserve"> After a </w:t>
      </w:r>
      <w:r w:rsidR="00EE2F51">
        <w:rPr>
          <w:rFonts w:ascii="Times New Roman" w:hAnsi="Times New Roman" w:cs="Times New Roman"/>
          <w:i/>
          <w:sz w:val="24"/>
          <w:szCs w:val="24"/>
        </w:rPr>
        <w:t>precis</w:t>
      </w:r>
      <w:r w:rsidR="008A0496">
        <w:rPr>
          <w:rFonts w:ascii="Times New Roman" w:hAnsi="Times New Roman" w:cs="Times New Roman"/>
          <w:i/>
          <w:sz w:val="24"/>
          <w:szCs w:val="24"/>
        </w:rPr>
        <w:t xml:space="preserve"> </w:t>
      </w:r>
      <w:r w:rsidR="008A0496">
        <w:rPr>
          <w:rFonts w:ascii="Times New Roman" w:hAnsi="Times New Roman" w:cs="Times New Roman"/>
          <w:sz w:val="24"/>
          <w:szCs w:val="24"/>
        </w:rPr>
        <w:t>on the</w:t>
      </w:r>
      <w:r w:rsidR="00EE2F51">
        <w:rPr>
          <w:rFonts w:ascii="Times New Roman" w:hAnsi="Times New Roman" w:cs="Times New Roman"/>
          <w:i/>
          <w:sz w:val="24"/>
          <w:szCs w:val="24"/>
        </w:rPr>
        <w:t xml:space="preserve"> </w:t>
      </w:r>
      <w:r w:rsidR="00EE2F51">
        <w:rPr>
          <w:rFonts w:ascii="Times New Roman" w:hAnsi="Times New Roman" w:cs="Times New Roman"/>
          <w:sz w:val="24"/>
          <w:szCs w:val="24"/>
        </w:rPr>
        <w:t xml:space="preserve">sample, </w:t>
      </w:r>
      <w:r w:rsidR="00512AE6">
        <w:rPr>
          <w:rFonts w:ascii="Times New Roman" w:hAnsi="Times New Roman" w:cs="Times New Roman"/>
          <w:sz w:val="24"/>
          <w:szCs w:val="24"/>
        </w:rPr>
        <w:t>drawing</w:t>
      </w:r>
      <w:r w:rsidR="00741F43">
        <w:rPr>
          <w:rFonts w:ascii="Times New Roman" w:hAnsi="Times New Roman" w:cs="Times New Roman"/>
          <w:sz w:val="24"/>
          <w:szCs w:val="24"/>
        </w:rPr>
        <w:t xml:space="preserve"> on</w:t>
      </w:r>
      <w:r w:rsidR="00512AE6">
        <w:rPr>
          <w:rFonts w:ascii="Times New Roman" w:hAnsi="Times New Roman" w:cs="Times New Roman"/>
          <w:sz w:val="24"/>
          <w:szCs w:val="24"/>
        </w:rPr>
        <w:t xml:space="preserve"> Hunter, </w:t>
      </w:r>
      <w:r w:rsidR="00EE2F51">
        <w:rPr>
          <w:rFonts w:ascii="Times New Roman" w:hAnsi="Times New Roman" w:cs="Times New Roman"/>
          <w:sz w:val="24"/>
          <w:szCs w:val="24"/>
        </w:rPr>
        <w:t xml:space="preserve">I argue </w:t>
      </w:r>
      <w:r w:rsidR="00B061C9">
        <w:rPr>
          <w:rFonts w:ascii="Times New Roman" w:hAnsi="Times New Roman" w:cs="Times New Roman"/>
          <w:sz w:val="24"/>
          <w:szCs w:val="24"/>
        </w:rPr>
        <w:t>that an analysis of the tied lease as a “socio-legal object” reveals the impact the lease can have on</w:t>
      </w:r>
      <w:r w:rsidR="00EE2F51">
        <w:rPr>
          <w:rFonts w:ascii="Times New Roman" w:hAnsi="Times New Roman" w:cs="Times New Roman"/>
          <w:sz w:val="24"/>
          <w:szCs w:val="24"/>
        </w:rPr>
        <w:t xml:space="preserve"> physical space and social relations across three domains</w:t>
      </w:r>
      <w:r w:rsidR="002F49FC">
        <w:rPr>
          <w:rFonts w:ascii="Times New Roman" w:hAnsi="Times New Roman" w:cs="Times New Roman"/>
          <w:sz w:val="24"/>
          <w:szCs w:val="24"/>
        </w:rPr>
        <w:t xml:space="preserve">: </w:t>
      </w:r>
      <w:r w:rsidR="008D3B50">
        <w:rPr>
          <w:rFonts w:ascii="Times New Roman" w:hAnsi="Times New Roman" w:cs="Times New Roman"/>
          <w:sz w:val="24"/>
          <w:szCs w:val="24"/>
        </w:rPr>
        <w:t xml:space="preserve">constraining business practices (here, through the tie), through constraining time (here through lease length), and through the </w:t>
      </w:r>
      <w:r w:rsidR="00C80345">
        <w:rPr>
          <w:rFonts w:ascii="Times New Roman" w:hAnsi="Times New Roman" w:cs="Times New Roman"/>
          <w:sz w:val="24"/>
          <w:szCs w:val="24"/>
        </w:rPr>
        <w:t xml:space="preserve">often complex construction </w:t>
      </w:r>
      <w:r w:rsidR="008D3B50">
        <w:rPr>
          <w:rFonts w:ascii="Times New Roman" w:hAnsi="Times New Roman" w:cs="Times New Roman"/>
          <w:sz w:val="24"/>
          <w:szCs w:val="24"/>
        </w:rPr>
        <w:t>of rent (and in turn the viability of the business).</w:t>
      </w:r>
    </w:p>
    <w:p w14:paraId="3194CC09" w14:textId="4FCD4E2A" w:rsidR="00861CCE" w:rsidRDefault="00B953D4" w:rsidP="00E25FAA">
      <w:pPr>
        <w:pStyle w:val="Heading1"/>
        <w:numPr>
          <w:ilvl w:val="0"/>
          <w:numId w:val="7"/>
        </w:numPr>
      </w:pPr>
      <w:r w:rsidRPr="00F2171A">
        <w:t>Pubs, leases and “the tie”</w:t>
      </w:r>
      <w:r w:rsidR="0086506F">
        <w:t>: The appeal of the lease</w:t>
      </w:r>
      <w:r w:rsidR="00C442CB">
        <w:t xml:space="preserve"> as a legal technique</w:t>
      </w:r>
      <w:r w:rsidR="0086506F">
        <w:t xml:space="preserve"> </w:t>
      </w:r>
    </w:p>
    <w:p w14:paraId="332F4E0F" w14:textId="77777777" w:rsidR="00661416" w:rsidRPr="00661416" w:rsidRDefault="00661416" w:rsidP="00661416"/>
    <w:p w14:paraId="34643363" w14:textId="4A80E4DE" w:rsidR="00861CCE" w:rsidRDefault="00B953D4" w:rsidP="00D6329E">
      <w:pPr>
        <w:spacing w:line="276"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As early as the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brewers were being criticised – or as Sidney and Webb put it in 1903, “energetically complained of”</w:t>
      </w:r>
      <w:bookmarkStart w:id="5" w:name="_Ref104123564"/>
      <w:r>
        <w:rPr>
          <w:rStyle w:val="FootnoteAnchor"/>
          <w:rFonts w:ascii="Times New Roman" w:hAnsi="Times New Roman" w:cs="Times New Roman"/>
          <w:sz w:val="24"/>
          <w:szCs w:val="24"/>
        </w:rPr>
        <w:footnoteReference w:id="15"/>
      </w:r>
      <w:bookmarkEnd w:id="5"/>
      <w:r>
        <w:rPr>
          <w:rFonts w:ascii="Times New Roman" w:hAnsi="Times New Roman" w:cs="Times New Roman"/>
          <w:sz w:val="24"/>
          <w:szCs w:val="24"/>
        </w:rPr>
        <w:t xml:space="preserve"> – by publicans and campaigners for the widespread practice of purchasing swathes of pubs, then renting them to brewers on the condition they serve (almost always</w:t>
      </w:r>
      <w:r w:rsidR="00D3332B">
        <w:rPr>
          <w:rFonts w:ascii="Times New Roman" w:hAnsi="Times New Roman" w:cs="Times New Roman"/>
          <w:sz w:val="24"/>
          <w:szCs w:val="24"/>
        </w:rPr>
        <w:t>,</w:t>
      </w:r>
      <w:r>
        <w:rPr>
          <w:rFonts w:ascii="Times New Roman" w:hAnsi="Times New Roman" w:cs="Times New Roman"/>
          <w:sz w:val="24"/>
          <w:szCs w:val="24"/>
        </w:rPr>
        <w:t xml:space="preserve"> exclusively) their beer. In his influential treatise </w:t>
      </w:r>
      <w:r>
        <w:rPr>
          <w:rFonts w:ascii="Times New Roman" w:hAnsi="Times New Roman" w:cs="Times New Roman"/>
          <w:i/>
          <w:sz w:val="24"/>
          <w:szCs w:val="24"/>
        </w:rPr>
        <w:t xml:space="preserve">Observations and Facts Relative to Public Houses </w:t>
      </w:r>
      <w:r>
        <w:rPr>
          <w:rFonts w:ascii="Times New Roman" w:hAnsi="Times New Roman" w:cs="Times New Roman"/>
          <w:sz w:val="24"/>
          <w:szCs w:val="24"/>
        </w:rPr>
        <w:t xml:space="preserve">in 1795, the magistrate Patrick Colquhoun lamented this as an </w:t>
      </w:r>
      <w:r>
        <w:rPr>
          <w:rFonts w:ascii="Times New Roman" w:hAnsi="Times New Roman" w:cs="Times New Roman"/>
          <w:sz w:val="24"/>
          <w:szCs w:val="24"/>
          <w:lang w:val="en-US"/>
        </w:rPr>
        <w:t>“evil of great magnitude in the correction of which many prominent abuses, as well as many heavy losses to the oppressed victualler…are to be prevented.”</w:t>
      </w:r>
      <w:r>
        <w:rPr>
          <w:rStyle w:val="FootnoteAnchor"/>
          <w:rFonts w:ascii="Times New Roman" w:hAnsi="Times New Roman" w:cs="Times New Roman"/>
          <w:sz w:val="24"/>
          <w:szCs w:val="24"/>
          <w:lang w:val="en-US"/>
        </w:rPr>
        <w:footnoteReference w:id="16"/>
      </w:r>
      <w:r>
        <w:rPr>
          <w:rFonts w:ascii="Times New Roman" w:hAnsi="Times New Roman" w:cs="Times New Roman"/>
          <w:sz w:val="24"/>
          <w:szCs w:val="24"/>
        </w:rPr>
        <w:t xml:space="preserve"> It is not difficult to find quot</w:t>
      </w:r>
      <w:r w:rsidR="008C0638">
        <w:rPr>
          <w:rFonts w:ascii="Times New Roman" w:hAnsi="Times New Roman" w:cs="Times New Roman"/>
          <w:sz w:val="24"/>
          <w:szCs w:val="24"/>
        </w:rPr>
        <w:t>ations</w:t>
      </w:r>
      <w:r>
        <w:rPr>
          <w:rFonts w:ascii="Times New Roman" w:hAnsi="Times New Roman" w:cs="Times New Roman"/>
          <w:sz w:val="24"/>
          <w:szCs w:val="24"/>
        </w:rPr>
        <w:t xml:space="preserve"> criticising the “mischievous features” of this practice, which came to be known as the “tied house system”.</w:t>
      </w:r>
      <w:bookmarkStart w:id="6" w:name="_Ref104121643"/>
      <w:r>
        <w:rPr>
          <w:rStyle w:val="FootnoteAnchor"/>
          <w:rFonts w:ascii="Times New Roman" w:hAnsi="Times New Roman" w:cs="Times New Roman"/>
          <w:sz w:val="24"/>
          <w:szCs w:val="24"/>
        </w:rPr>
        <w:footnoteReference w:id="17"/>
      </w:r>
      <w:bookmarkEnd w:id="6"/>
      <w:r>
        <w:rPr>
          <w:rFonts w:ascii="Times New Roman" w:hAnsi="Times New Roman" w:cs="Times New Roman"/>
          <w:sz w:val="24"/>
          <w:szCs w:val="24"/>
        </w:rPr>
        <w:t xml:space="preserve"> Metaphors adopted in front of the Royal Commission on Licensing for England and Wales from 1929-1931 – a time when around 90% of public houses were tied</w:t>
      </w:r>
      <w:r>
        <w:rPr>
          <w:rStyle w:val="FootnoteAnchor"/>
          <w:rFonts w:ascii="Times New Roman" w:hAnsi="Times New Roman" w:cs="Times New Roman"/>
          <w:sz w:val="24"/>
          <w:szCs w:val="24"/>
        </w:rPr>
        <w:footnoteReference w:id="18"/>
      </w:r>
      <w:r>
        <w:rPr>
          <w:rFonts w:ascii="Times New Roman" w:hAnsi="Times New Roman" w:cs="Times New Roman"/>
          <w:sz w:val="24"/>
          <w:szCs w:val="24"/>
        </w:rPr>
        <w:t xml:space="preserve"> – includes brewers and tied-tenants as akin to “a tyrannical master and a very helpless servant”</w:t>
      </w:r>
      <w:r>
        <w:rPr>
          <w:rStyle w:val="FootnoteAnchor"/>
          <w:rFonts w:ascii="Times New Roman" w:hAnsi="Times New Roman" w:cs="Times New Roman"/>
          <w:sz w:val="24"/>
          <w:szCs w:val="24"/>
        </w:rPr>
        <w:footnoteReference w:id="19"/>
      </w:r>
      <w:r>
        <w:rPr>
          <w:rFonts w:ascii="Times New Roman" w:hAnsi="Times New Roman" w:cs="Times New Roman"/>
          <w:sz w:val="24"/>
          <w:szCs w:val="24"/>
        </w:rPr>
        <w:t xml:space="preserve"> or the “brewer as an ‘octopus squeezing the life out of the licensee.”</w:t>
      </w:r>
      <w:r>
        <w:rPr>
          <w:rStyle w:val="FootnoteAnchor"/>
          <w:rFonts w:ascii="Times New Roman" w:hAnsi="Times New Roman" w:cs="Times New Roman"/>
          <w:sz w:val="24"/>
          <w:szCs w:val="24"/>
        </w:rPr>
        <w:footnoteReference w:id="20"/>
      </w:r>
      <w:r>
        <w:rPr>
          <w:rFonts w:ascii="Times New Roman" w:hAnsi="Times New Roman" w:cs="Times New Roman"/>
          <w:sz w:val="24"/>
          <w:szCs w:val="24"/>
        </w:rPr>
        <w:t xml:space="preserve"> The concern was both the monopolising effect of tied arrangements, and the impact they had on the “character and conduct” of the establishments.</w:t>
      </w:r>
      <w:r>
        <w:rPr>
          <w:rStyle w:val="FootnoteAnchor"/>
          <w:rFonts w:ascii="Times New Roman" w:hAnsi="Times New Roman" w:cs="Times New Roman"/>
          <w:sz w:val="24"/>
          <w:szCs w:val="24"/>
        </w:rPr>
        <w:footnoteReference w:id="21"/>
      </w:r>
    </w:p>
    <w:p w14:paraId="371D4A50" w14:textId="2138AA58" w:rsidR="00861CCE" w:rsidRDefault="00B953D4" w:rsidP="00D6329E">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Despite their controversy, tied leases are a simple proposition: a publican agrees to an exclusive supply arrangement and in return gets a lower-than-market rent. </w:t>
      </w:r>
      <w:r w:rsidR="007C7615">
        <w:rPr>
          <w:rFonts w:ascii="Times New Roman" w:hAnsi="Times New Roman" w:cs="Times New Roman"/>
          <w:bCs/>
          <w:iCs/>
          <w:sz w:val="24"/>
          <w:szCs w:val="24"/>
        </w:rPr>
        <w:t>This lower base rent in the lease is known as the “dry rent”, and the mark-up on the tied products under the exclusive supply agreement</w:t>
      </w:r>
      <w:r w:rsidR="0025600D">
        <w:rPr>
          <w:rFonts w:ascii="Times New Roman" w:hAnsi="Times New Roman" w:cs="Times New Roman"/>
          <w:bCs/>
          <w:iCs/>
          <w:sz w:val="24"/>
          <w:szCs w:val="24"/>
        </w:rPr>
        <w:t xml:space="preserve"> – even though it is not “rent” at all –</w:t>
      </w:r>
      <w:r w:rsidR="007C7615">
        <w:rPr>
          <w:rFonts w:ascii="Times New Roman" w:hAnsi="Times New Roman" w:cs="Times New Roman"/>
          <w:bCs/>
          <w:iCs/>
          <w:sz w:val="24"/>
          <w:szCs w:val="24"/>
        </w:rPr>
        <w:t xml:space="preserve"> is known as the “wet rent”. </w:t>
      </w:r>
      <w:r>
        <w:rPr>
          <w:rFonts w:ascii="Times New Roman" w:hAnsi="Times New Roman" w:cs="Times New Roman"/>
          <w:bCs/>
          <w:iCs/>
          <w:sz w:val="24"/>
          <w:szCs w:val="24"/>
        </w:rPr>
        <w:t>In practice, lease terms require the tied tenant to buy beer and often wines, spirits, soft drinks</w:t>
      </w:r>
      <w:r w:rsidR="00CA779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or other supplies, from a list of products specified by the </w:t>
      </w:r>
      <w:r w:rsidR="007C725F">
        <w:rPr>
          <w:rFonts w:ascii="Times New Roman" w:hAnsi="Times New Roman" w:cs="Times New Roman"/>
          <w:bCs/>
          <w:iCs/>
          <w:sz w:val="24"/>
          <w:szCs w:val="24"/>
        </w:rPr>
        <w:t>PubCo</w:t>
      </w:r>
      <w:r>
        <w:rPr>
          <w:rFonts w:ascii="Times New Roman" w:hAnsi="Times New Roman" w:cs="Times New Roman"/>
          <w:bCs/>
          <w:iCs/>
          <w:sz w:val="24"/>
          <w:szCs w:val="24"/>
        </w:rPr>
        <w:t xml:space="preserve"> at above-market prices.</w:t>
      </w:r>
      <w:r>
        <w:rPr>
          <w:rStyle w:val="FootnoteAnchor"/>
          <w:rFonts w:ascii="Times New Roman" w:hAnsi="Times New Roman" w:cs="Times New Roman"/>
          <w:bCs/>
          <w:iCs/>
          <w:sz w:val="24"/>
          <w:szCs w:val="24"/>
        </w:rPr>
        <w:footnoteReference w:id="22"/>
      </w:r>
      <w:r>
        <w:rPr>
          <w:rFonts w:ascii="Times New Roman" w:hAnsi="Times New Roman" w:cs="Times New Roman"/>
          <w:bCs/>
          <w:iCs/>
          <w:sz w:val="24"/>
          <w:szCs w:val="24"/>
        </w:rPr>
        <w:t xml:space="preserve"> As is the practice for licensed establishments</w:t>
      </w:r>
      <w:r w:rsidR="00D3332B">
        <w:rPr>
          <w:rFonts w:ascii="Times New Roman" w:hAnsi="Times New Roman" w:cs="Times New Roman"/>
          <w:bCs/>
          <w:iCs/>
          <w:sz w:val="24"/>
          <w:szCs w:val="24"/>
        </w:rPr>
        <w:t xml:space="preserve"> more generally</w:t>
      </w:r>
      <w:r>
        <w:rPr>
          <w:rFonts w:ascii="Times New Roman" w:hAnsi="Times New Roman" w:cs="Times New Roman"/>
          <w:bCs/>
          <w:iCs/>
          <w:sz w:val="24"/>
          <w:szCs w:val="24"/>
        </w:rPr>
        <w:t xml:space="preserve">, </w:t>
      </w:r>
      <w:r w:rsidR="00D3332B">
        <w:rPr>
          <w:rFonts w:ascii="Times New Roman" w:hAnsi="Times New Roman" w:cs="Times New Roman"/>
          <w:bCs/>
          <w:iCs/>
          <w:sz w:val="24"/>
          <w:szCs w:val="24"/>
        </w:rPr>
        <w:t xml:space="preserve">rent for </w:t>
      </w:r>
      <w:r w:rsidR="00EB18F2">
        <w:rPr>
          <w:rFonts w:ascii="Times New Roman" w:hAnsi="Times New Roman" w:cs="Times New Roman"/>
          <w:bCs/>
          <w:iCs/>
          <w:sz w:val="24"/>
          <w:szCs w:val="24"/>
        </w:rPr>
        <w:t>public houses</w:t>
      </w:r>
      <w:r w:rsidR="00D3332B">
        <w:rPr>
          <w:rFonts w:ascii="Times New Roman" w:hAnsi="Times New Roman" w:cs="Times New Roman"/>
          <w:bCs/>
          <w:iCs/>
          <w:sz w:val="24"/>
          <w:szCs w:val="24"/>
        </w:rPr>
        <w:t xml:space="preserve"> </w:t>
      </w:r>
      <w:r>
        <w:rPr>
          <w:rFonts w:ascii="Times New Roman" w:hAnsi="Times New Roman" w:cs="Times New Roman"/>
          <w:bCs/>
          <w:iCs/>
          <w:sz w:val="24"/>
          <w:szCs w:val="24"/>
        </w:rPr>
        <w:t>is calculated in line with the estimated turnover a competent publican can fashion, known as the “fair maintainable trade”.</w:t>
      </w:r>
      <w:r>
        <w:rPr>
          <w:rStyle w:val="FootnoteAnchor"/>
          <w:rFonts w:ascii="Times New Roman" w:hAnsi="Times New Roman" w:cs="Times New Roman"/>
          <w:bCs/>
          <w:iCs/>
          <w:sz w:val="24"/>
          <w:szCs w:val="24"/>
        </w:rPr>
        <w:footnoteReference w:id="23"/>
      </w:r>
      <w:r>
        <w:rPr>
          <w:rFonts w:ascii="Times New Roman" w:hAnsi="Times New Roman" w:cs="Times New Roman"/>
          <w:bCs/>
          <w:iCs/>
          <w:sz w:val="24"/>
          <w:szCs w:val="24"/>
        </w:rPr>
        <w:t xml:space="preserve"> Th</w:t>
      </w:r>
      <w:r w:rsidR="0086506F">
        <w:rPr>
          <w:rFonts w:ascii="Times New Roman" w:hAnsi="Times New Roman" w:cs="Times New Roman"/>
          <w:bCs/>
          <w:iCs/>
          <w:sz w:val="24"/>
          <w:szCs w:val="24"/>
        </w:rPr>
        <w:t>is</w:t>
      </w:r>
      <w:r>
        <w:rPr>
          <w:rFonts w:ascii="Times New Roman" w:hAnsi="Times New Roman" w:cs="Times New Roman"/>
          <w:bCs/>
          <w:iCs/>
          <w:sz w:val="24"/>
          <w:szCs w:val="24"/>
        </w:rPr>
        <w:t xml:space="preserve"> rent reflects a division of estimated profits – </w:t>
      </w:r>
      <w:r w:rsidR="00D3332B">
        <w:rPr>
          <w:rFonts w:ascii="Times New Roman" w:hAnsi="Times New Roman" w:cs="Times New Roman"/>
          <w:bCs/>
          <w:iCs/>
          <w:sz w:val="24"/>
          <w:szCs w:val="24"/>
        </w:rPr>
        <w:t xml:space="preserve">as the so-called </w:t>
      </w:r>
      <w:r>
        <w:rPr>
          <w:rFonts w:ascii="Times New Roman" w:hAnsi="Times New Roman" w:cs="Times New Roman"/>
          <w:bCs/>
          <w:iCs/>
          <w:sz w:val="24"/>
          <w:szCs w:val="24"/>
        </w:rPr>
        <w:t>“divisible balance” – ordinarily in the region of</w:t>
      </w:r>
      <w:r w:rsidR="00D3332B">
        <w:rPr>
          <w:rFonts w:ascii="Times New Roman" w:hAnsi="Times New Roman" w:cs="Times New Roman"/>
          <w:bCs/>
          <w:iCs/>
          <w:sz w:val="24"/>
          <w:szCs w:val="24"/>
        </w:rPr>
        <w:t xml:space="preserve"> a</w:t>
      </w:r>
      <w:r>
        <w:rPr>
          <w:rFonts w:ascii="Times New Roman" w:hAnsi="Times New Roman" w:cs="Times New Roman"/>
          <w:bCs/>
          <w:iCs/>
          <w:sz w:val="24"/>
          <w:szCs w:val="24"/>
        </w:rPr>
        <w:t xml:space="preserve"> 60/40 split between the pub-owning company and the tied tenant, but this varies according to the appeal of the property.</w:t>
      </w:r>
      <w:bookmarkStart w:id="7" w:name="_Ref104207767"/>
      <w:r>
        <w:rPr>
          <w:rStyle w:val="FootnoteAnchor"/>
          <w:rFonts w:ascii="Times New Roman" w:hAnsi="Times New Roman" w:cs="Times New Roman"/>
          <w:bCs/>
          <w:iCs/>
          <w:sz w:val="24"/>
          <w:szCs w:val="24"/>
        </w:rPr>
        <w:footnoteReference w:id="24"/>
      </w:r>
      <w:bookmarkEnd w:id="7"/>
    </w:p>
    <w:p w14:paraId="3F15F908" w14:textId="0A6C94D8"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bCs/>
          <w:iCs/>
          <w:sz w:val="24"/>
          <w:szCs w:val="24"/>
        </w:rPr>
        <w:t xml:space="preserve">Notionally, this is a “win-win” arrangement. The pub-owning company gets a guaranteed route-to-market for their products and makes a higher margin on their sale. The tied tenant gets </w:t>
      </w:r>
      <w:r>
        <w:rPr>
          <w:rFonts w:ascii="Times New Roman" w:hAnsi="Times New Roman" w:cs="Times New Roman"/>
          <w:bCs/>
          <w:iCs/>
          <w:sz w:val="24"/>
          <w:szCs w:val="24"/>
        </w:rPr>
        <w:lastRenderedPageBreak/>
        <w:t>a lower rent and benefits from commercial advice from the pub-owning company. In practice, the tied lease has been subject to sustained criticism from trade organisations and – given its clear potential to restrict trade – interrogation by competition authorities.</w:t>
      </w:r>
      <w:r>
        <w:rPr>
          <w:rStyle w:val="FootnoteAnchor"/>
          <w:rFonts w:ascii="Times New Roman" w:hAnsi="Times New Roman" w:cs="Times New Roman"/>
          <w:bCs/>
          <w:iCs/>
          <w:sz w:val="24"/>
          <w:szCs w:val="24"/>
        </w:rPr>
        <w:footnoteReference w:id="25"/>
      </w:r>
    </w:p>
    <w:p w14:paraId="0DB871FA" w14:textId="2F821FFD" w:rsidR="00DA26BF" w:rsidRDefault="0026252E" w:rsidP="000B430A">
      <w:pPr>
        <w:jc w:val="both"/>
        <w:rPr>
          <w:rFonts w:ascii="Times New Roman" w:hAnsi="Times New Roman" w:cs="Times New Roman"/>
          <w:sz w:val="24"/>
          <w:szCs w:val="24"/>
        </w:rPr>
      </w:pPr>
      <w:r>
        <w:rPr>
          <w:rFonts w:ascii="Times New Roman" w:hAnsi="Times New Roman" w:cs="Times New Roman"/>
          <w:sz w:val="24"/>
          <w:szCs w:val="24"/>
        </w:rPr>
        <w:t>As in Cowan, Carr and Wallace’s work on</w:t>
      </w:r>
      <w:r w:rsidR="00EA1DC2">
        <w:rPr>
          <w:rFonts w:ascii="Times New Roman" w:hAnsi="Times New Roman" w:cs="Times New Roman"/>
          <w:sz w:val="24"/>
          <w:szCs w:val="24"/>
        </w:rPr>
        <w:t xml:space="preserve"> the use of the lease as a vehicle for</w:t>
      </w:r>
      <w:r>
        <w:rPr>
          <w:rFonts w:ascii="Times New Roman" w:hAnsi="Times New Roman" w:cs="Times New Roman"/>
          <w:sz w:val="24"/>
          <w:szCs w:val="24"/>
        </w:rPr>
        <w:t xml:space="preserve"> shared ownership, the </w:t>
      </w:r>
      <w:r w:rsidR="00EA1DC2">
        <w:rPr>
          <w:rFonts w:ascii="Times New Roman" w:hAnsi="Times New Roman" w:cs="Times New Roman"/>
          <w:sz w:val="24"/>
          <w:szCs w:val="24"/>
        </w:rPr>
        <w:t>widespread tied lease</w:t>
      </w:r>
      <w:r>
        <w:rPr>
          <w:rFonts w:ascii="Times New Roman" w:hAnsi="Times New Roman" w:cs="Times New Roman"/>
          <w:sz w:val="24"/>
          <w:szCs w:val="24"/>
        </w:rPr>
        <w:t xml:space="preserve"> was not inevitable.</w:t>
      </w:r>
      <w:r w:rsidR="002B12AF">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EA1DC2">
        <w:rPr>
          <w:rFonts w:ascii="Times New Roman" w:hAnsi="Times New Roman" w:cs="Times New Roman"/>
          <w:sz w:val="24"/>
          <w:szCs w:val="24"/>
        </w:rPr>
        <w:t>Instead, t</w:t>
      </w:r>
      <w:r>
        <w:rPr>
          <w:rFonts w:ascii="Times New Roman" w:hAnsi="Times New Roman" w:cs="Times New Roman"/>
          <w:sz w:val="24"/>
          <w:szCs w:val="24"/>
        </w:rPr>
        <w:t xml:space="preserve">he tied lease emerged as </w:t>
      </w:r>
      <w:r w:rsidR="00EA1DC2">
        <w:rPr>
          <w:rFonts w:ascii="Times New Roman" w:hAnsi="Times New Roman" w:cs="Times New Roman"/>
          <w:sz w:val="24"/>
          <w:szCs w:val="24"/>
        </w:rPr>
        <w:t xml:space="preserve">an </w:t>
      </w:r>
      <w:r>
        <w:rPr>
          <w:rFonts w:ascii="Times New Roman" w:hAnsi="Times New Roman" w:cs="Times New Roman"/>
          <w:sz w:val="24"/>
          <w:szCs w:val="24"/>
        </w:rPr>
        <w:t xml:space="preserve">appealing solution for two problems faced by </w:t>
      </w:r>
      <w:r w:rsidR="00A50183">
        <w:rPr>
          <w:rFonts w:ascii="Times New Roman" w:hAnsi="Times New Roman" w:cs="Times New Roman"/>
          <w:sz w:val="24"/>
          <w:szCs w:val="24"/>
        </w:rPr>
        <w:t>b</w:t>
      </w:r>
      <w:r w:rsidR="00DA26BF">
        <w:rPr>
          <w:rFonts w:ascii="Times New Roman" w:hAnsi="Times New Roman" w:cs="Times New Roman"/>
          <w:sz w:val="24"/>
          <w:szCs w:val="24"/>
        </w:rPr>
        <w:t>rewers seeking to secure a route-to-market for their beer. First, for much of the 16</w:t>
      </w:r>
      <w:r w:rsidR="00DA26BF">
        <w:rPr>
          <w:rFonts w:ascii="Times New Roman" w:hAnsi="Times New Roman" w:cs="Times New Roman"/>
          <w:sz w:val="24"/>
          <w:szCs w:val="24"/>
          <w:vertAlign w:val="superscript"/>
        </w:rPr>
        <w:t>th</w:t>
      </w:r>
      <w:r w:rsidR="00DA26BF">
        <w:rPr>
          <w:rFonts w:ascii="Times New Roman" w:hAnsi="Times New Roman" w:cs="Times New Roman"/>
          <w:sz w:val="24"/>
          <w:szCs w:val="24"/>
        </w:rPr>
        <w:t xml:space="preserve"> century onwards, alcohol licences </w:t>
      </w:r>
      <w:r w:rsidR="00C442CB">
        <w:rPr>
          <w:rFonts w:ascii="Times New Roman" w:hAnsi="Times New Roman" w:cs="Times New Roman"/>
          <w:sz w:val="24"/>
          <w:szCs w:val="24"/>
        </w:rPr>
        <w:t xml:space="preserve">for establishments </w:t>
      </w:r>
      <w:r w:rsidR="00DA26BF">
        <w:rPr>
          <w:rFonts w:ascii="Times New Roman" w:hAnsi="Times New Roman" w:cs="Times New Roman"/>
          <w:sz w:val="24"/>
          <w:szCs w:val="24"/>
        </w:rPr>
        <w:t>have been difficult to obtain, unpredictable in number and difficult to scale-up quickly.</w:t>
      </w:r>
      <w:r w:rsidR="00DA26BF">
        <w:rPr>
          <w:rStyle w:val="FootnoteReference"/>
          <w:rFonts w:ascii="Times New Roman" w:hAnsi="Times New Roman" w:cs="Times New Roman"/>
          <w:sz w:val="24"/>
          <w:szCs w:val="24"/>
        </w:rPr>
        <w:footnoteReference w:id="27"/>
      </w:r>
      <w:r w:rsidR="00DA26BF">
        <w:rPr>
          <w:rFonts w:ascii="Times New Roman" w:hAnsi="Times New Roman" w:cs="Times New Roman"/>
          <w:sz w:val="24"/>
          <w:szCs w:val="24"/>
        </w:rPr>
        <w:t xml:space="preserve"> This le</w:t>
      </w:r>
      <w:r w:rsidR="00FE436B">
        <w:rPr>
          <w:rFonts w:ascii="Times New Roman" w:hAnsi="Times New Roman" w:cs="Times New Roman"/>
          <w:sz w:val="24"/>
          <w:szCs w:val="24"/>
        </w:rPr>
        <w:t>d</w:t>
      </w:r>
      <w:r w:rsidR="00DA26BF">
        <w:rPr>
          <w:rFonts w:ascii="Times New Roman" w:hAnsi="Times New Roman" w:cs="Times New Roman"/>
          <w:sz w:val="24"/>
          <w:szCs w:val="24"/>
        </w:rPr>
        <w:t xml:space="preserve"> to the so-called “monopoly value” of public houses: the long-standing fact that a licensed public house is worth more than a similar premises</w:t>
      </w:r>
      <w:r w:rsidR="00C442CB">
        <w:rPr>
          <w:rFonts w:ascii="Times New Roman" w:hAnsi="Times New Roman" w:cs="Times New Roman"/>
          <w:sz w:val="24"/>
          <w:szCs w:val="24"/>
        </w:rPr>
        <w:t xml:space="preserve"> without a licence to sell alcohol</w:t>
      </w:r>
      <w:r w:rsidR="00DA26BF">
        <w:rPr>
          <w:rFonts w:ascii="Times New Roman" w:hAnsi="Times New Roman" w:cs="Times New Roman"/>
          <w:sz w:val="24"/>
          <w:szCs w:val="24"/>
        </w:rPr>
        <w:t>.</w:t>
      </w:r>
      <w:r w:rsidR="00DA26BF">
        <w:rPr>
          <w:rStyle w:val="FootnoteReference"/>
          <w:rFonts w:ascii="Times New Roman" w:hAnsi="Times New Roman" w:cs="Times New Roman"/>
          <w:sz w:val="24"/>
          <w:szCs w:val="24"/>
        </w:rPr>
        <w:footnoteReference w:id="28"/>
      </w:r>
      <w:r w:rsidR="00DA26BF">
        <w:rPr>
          <w:rFonts w:ascii="Times New Roman" w:hAnsi="Times New Roman" w:cs="Times New Roman"/>
          <w:sz w:val="24"/>
          <w:szCs w:val="24"/>
        </w:rPr>
        <w:t xml:space="preserve"> This “stringency in licensing”</w:t>
      </w:r>
      <w:r w:rsidR="00DA26BF">
        <w:rPr>
          <w:rStyle w:val="FootnoteReference"/>
          <w:rFonts w:ascii="Times New Roman" w:hAnsi="Times New Roman" w:cs="Times New Roman"/>
          <w:sz w:val="24"/>
          <w:szCs w:val="24"/>
        </w:rPr>
        <w:footnoteReference w:id="29"/>
      </w:r>
      <w:r w:rsidR="00097BB5">
        <w:rPr>
          <w:rFonts w:ascii="Times New Roman" w:hAnsi="Times New Roman" w:cs="Times New Roman"/>
          <w:sz w:val="24"/>
          <w:szCs w:val="24"/>
        </w:rPr>
        <w:t>,</w:t>
      </w:r>
      <w:r w:rsidR="00DA26BF">
        <w:rPr>
          <w:rFonts w:ascii="Times New Roman" w:hAnsi="Times New Roman" w:cs="Times New Roman"/>
          <w:sz w:val="24"/>
          <w:szCs w:val="24"/>
        </w:rPr>
        <w:t xml:space="preserve"> </w:t>
      </w:r>
      <w:r w:rsidR="00097BB5">
        <w:rPr>
          <w:rFonts w:ascii="Times New Roman" w:hAnsi="Times New Roman" w:cs="Times New Roman"/>
          <w:sz w:val="24"/>
          <w:szCs w:val="24"/>
        </w:rPr>
        <w:t xml:space="preserve">combined with a </w:t>
      </w:r>
      <w:r w:rsidR="00DA26BF">
        <w:rPr>
          <w:rFonts w:ascii="Times New Roman" w:hAnsi="Times New Roman" w:cs="Times New Roman"/>
          <w:sz w:val="24"/>
          <w:szCs w:val="24"/>
        </w:rPr>
        <w:t>reluctance</w:t>
      </w:r>
      <w:r w:rsidR="00097BB5">
        <w:rPr>
          <w:rFonts w:ascii="Times New Roman" w:hAnsi="Times New Roman" w:cs="Times New Roman"/>
          <w:sz w:val="24"/>
          <w:szCs w:val="24"/>
        </w:rPr>
        <w:t xml:space="preserve"> to engage in the sector </w:t>
      </w:r>
      <w:r w:rsidR="00DA26BF">
        <w:rPr>
          <w:rFonts w:ascii="Times New Roman" w:hAnsi="Times New Roman" w:cs="Times New Roman"/>
          <w:sz w:val="24"/>
          <w:szCs w:val="24"/>
        </w:rPr>
        <w:t>from other institutional investors</w:t>
      </w:r>
      <w:r w:rsidR="00097BB5">
        <w:rPr>
          <w:rFonts w:ascii="Times New Roman" w:hAnsi="Times New Roman" w:cs="Times New Roman"/>
          <w:sz w:val="24"/>
          <w:szCs w:val="24"/>
        </w:rPr>
        <w:t>,</w:t>
      </w:r>
      <w:r w:rsidR="00DA26BF">
        <w:rPr>
          <w:rFonts w:ascii="Times New Roman" w:hAnsi="Times New Roman" w:cs="Times New Roman"/>
          <w:sz w:val="24"/>
          <w:szCs w:val="24"/>
        </w:rPr>
        <w:t xml:space="preserve"> has put pressure on brewers themselves to secure a route-to-market by gaining control over </w:t>
      </w:r>
      <w:r w:rsidR="00DA26BF" w:rsidRPr="00C80799">
        <w:rPr>
          <w:rFonts w:ascii="Times New Roman" w:hAnsi="Times New Roman" w:cs="Times New Roman"/>
          <w:sz w:val="24"/>
          <w:szCs w:val="24"/>
        </w:rPr>
        <w:t>existing licensed premises;</w:t>
      </w:r>
      <w:r w:rsidR="00DA26BF">
        <w:rPr>
          <w:rFonts w:ascii="Times New Roman" w:hAnsi="Times New Roman" w:cs="Times New Roman"/>
          <w:sz w:val="24"/>
          <w:szCs w:val="24"/>
        </w:rPr>
        <w:t xml:space="preserve"> </w:t>
      </w:r>
      <w:r w:rsidR="00FE436B">
        <w:rPr>
          <w:rFonts w:ascii="Times New Roman" w:hAnsi="Times New Roman" w:cs="Times New Roman"/>
          <w:sz w:val="24"/>
          <w:szCs w:val="24"/>
        </w:rPr>
        <w:t>the so-called</w:t>
      </w:r>
      <w:r w:rsidR="00DA26BF">
        <w:rPr>
          <w:rFonts w:ascii="Times New Roman" w:hAnsi="Times New Roman" w:cs="Times New Roman"/>
          <w:sz w:val="24"/>
          <w:szCs w:val="24"/>
        </w:rPr>
        <w:t xml:space="preserve"> “Brewers Wars”.</w:t>
      </w:r>
      <w:r w:rsidR="00DA26BF">
        <w:rPr>
          <w:rStyle w:val="FootnoteReference"/>
          <w:rFonts w:ascii="Times New Roman" w:hAnsi="Times New Roman" w:cs="Times New Roman"/>
          <w:sz w:val="24"/>
          <w:szCs w:val="24"/>
        </w:rPr>
        <w:footnoteReference w:id="30"/>
      </w:r>
      <w:r w:rsidR="00DA26BF">
        <w:rPr>
          <w:rFonts w:ascii="Times New Roman" w:hAnsi="Times New Roman" w:cs="Times New Roman"/>
          <w:sz w:val="24"/>
          <w:szCs w:val="24"/>
        </w:rPr>
        <w:t xml:space="preserve"> A brewer who fails to secure outlets for their beer, risks being </w:t>
      </w:r>
      <w:r w:rsidR="00097BB5">
        <w:rPr>
          <w:rFonts w:ascii="Times New Roman" w:hAnsi="Times New Roman" w:cs="Times New Roman"/>
          <w:sz w:val="24"/>
          <w:szCs w:val="24"/>
        </w:rPr>
        <w:t xml:space="preserve">crowded </w:t>
      </w:r>
      <w:r w:rsidR="00DA26BF">
        <w:rPr>
          <w:rFonts w:ascii="Times New Roman" w:hAnsi="Times New Roman" w:cs="Times New Roman"/>
          <w:sz w:val="24"/>
          <w:szCs w:val="24"/>
        </w:rPr>
        <w:t>out of the trade if other breweries beat them to it.</w:t>
      </w:r>
    </w:p>
    <w:p w14:paraId="4F848716" w14:textId="2E1206AD" w:rsidR="00E4295B" w:rsidRDefault="00DA26BF" w:rsidP="000B430A">
      <w:pPr>
        <w:jc w:val="both"/>
        <w:rPr>
          <w:rFonts w:ascii="Times New Roman" w:hAnsi="Times New Roman" w:cs="Times New Roman"/>
          <w:sz w:val="24"/>
          <w:szCs w:val="24"/>
        </w:rPr>
      </w:pPr>
      <w:r>
        <w:rPr>
          <w:rFonts w:ascii="Times New Roman" w:hAnsi="Times New Roman" w:cs="Times New Roman"/>
          <w:sz w:val="24"/>
          <w:szCs w:val="24"/>
        </w:rPr>
        <w:t>This premium on pubs leads to the second problem: that cost of entry into the sector increases far beyond what the class of prospective publicans can afford.</w:t>
      </w:r>
      <w:r>
        <w:rPr>
          <w:rStyle w:val="FootnoteAnchor"/>
          <w:rFonts w:ascii="Times New Roman" w:hAnsi="Times New Roman" w:cs="Times New Roman"/>
          <w:sz w:val="24"/>
          <w:szCs w:val="24"/>
        </w:rPr>
        <w:footnoteReference w:id="31"/>
      </w:r>
      <w:r>
        <w:rPr>
          <w:rFonts w:ascii="Times New Roman" w:hAnsi="Times New Roman" w:cs="Times New Roman"/>
          <w:sz w:val="24"/>
          <w:szCs w:val="24"/>
        </w:rPr>
        <w:t xml:space="preserve"> Overinflated capital values of pubs, a reluctance to invest by traditional credit providers, coupled with an historical concern by licensing authorities that the premises are suitable for its proposed use, leads to very significant upfront capital requirements for prospective publicans.</w:t>
      </w:r>
      <w:r>
        <w:rPr>
          <w:rStyle w:val="FootnoteAnchor"/>
          <w:rFonts w:ascii="Times New Roman" w:hAnsi="Times New Roman" w:cs="Times New Roman"/>
          <w:sz w:val="24"/>
          <w:szCs w:val="24"/>
        </w:rPr>
        <w:footnoteReference w:id="32"/>
      </w:r>
      <w:r>
        <w:rPr>
          <w:rFonts w:ascii="Times New Roman" w:hAnsi="Times New Roman" w:cs="Times New Roman"/>
          <w:sz w:val="24"/>
          <w:szCs w:val="24"/>
        </w:rPr>
        <w:t xml:space="preserve"> Investing in the</w:t>
      </w:r>
      <w:r w:rsidR="00D5788B">
        <w:rPr>
          <w:rFonts w:ascii="Times New Roman" w:hAnsi="Times New Roman" w:cs="Times New Roman"/>
          <w:sz w:val="24"/>
          <w:szCs w:val="24"/>
        </w:rPr>
        <w:t xml:space="preserve"> significant costs associated with</w:t>
      </w:r>
      <w:r>
        <w:rPr>
          <w:rFonts w:ascii="Times New Roman" w:hAnsi="Times New Roman" w:cs="Times New Roman"/>
          <w:sz w:val="24"/>
          <w:szCs w:val="24"/>
        </w:rPr>
        <w:t xml:space="preserve"> purchase and development of a pub provides a strong economic incentive </w:t>
      </w:r>
      <w:r w:rsidR="007C725F">
        <w:rPr>
          <w:rFonts w:ascii="Times New Roman" w:hAnsi="Times New Roman" w:cs="Times New Roman"/>
          <w:sz w:val="24"/>
          <w:szCs w:val="24"/>
        </w:rPr>
        <w:t xml:space="preserve">for brewers </w:t>
      </w:r>
      <w:r>
        <w:rPr>
          <w:rFonts w:ascii="Times New Roman" w:hAnsi="Times New Roman" w:cs="Times New Roman"/>
          <w:sz w:val="24"/>
          <w:szCs w:val="24"/>
        </w:rPr>
        <w:t xml:space="preserve">to contract for exclusivity of supply with </w:t>
      </w:r>
      <w:r w:rsidR="00B90DFE">
        <w:rPr>
          <w:rFonts w:ascii="Times New Roman" w:hAnsi="Times New Roman" w:cs="Times New Roman"/>
          <w:sz w:val="24"/>
          <w:szCs w:val="24"/>
        </w:rPr>
        <w:t>their</w:t>
      </w:r>
      <w:r>
        <w:rPr>
          <w:rFonts w:ascii="Times New Roman" w:hAnsi="Times New Roman" w:cs="Times New Roman"/>
          <w:sz w:val="24"/>
          <w:szCs w:val="24"/>
        </w:rPr>
        <w:t xml:space="preserve"> tenant</w:t>
      </w:r>
      <w:r w:rsidR="00B90DFE">
        <w:rPr>
          <w:rFonts w:ascii="Times New Roman" w:hAnsi="Times New Roman" w:cs="Times New Roman"/>
          <w:sz w:val="24"/>
          <w:szCs w:val="24"/>
        </w:rPr>
        <w:t>s</w:t>
      </w:r>
      <w:r>
        <w:rPr>
          <w:rFonts w:ascii="Times New Roman" w:hAnsi="Times New Roman" w:cs="Times New Roman"/>
          <w:sz w:val="24"/>
          <w:szCs w:val="24"/>
        </w:rPr>
        <w:t>.</w:t>
      </w:r>
      <w:r>
        <w:rPr>
          <w:rStyle w:val="FootnoteAnchor"/>
          <w:rFonts w:ascii="Times New Roman" w:hAnsi="Times New Roman" w:cs="Times New Roman"/>
          <w:sz w:val="24"/>
          <w:szCs w:val="24"/>
        </w:rPr>
        <w:footnoteReference w:id="33"/>
      </w:r>
      <w:r>
        <w:rPr>
          <w:rFonts w:ascii="Times New Roman" w:hAnsi="Times New Roman" w:cs="Times New Roman"/>
          <w:sz w:val="24"/>
          <w:szCs w:val="24"/>
        </w:rPr>
        <w:t xml:space="preserve"> If the tenant was free to buy beer from other breweries, the brewery’s investment in the pub may be solely to the benefit of their competitors.</w:t>
      </w:r>
    </w:p>
    <w:p w14:paraId="32E20A5F" w14:textId="3404FE8A" w:rsidR="00DA26BF" w:rsidRDefault="00DA26BF" w:rsidP="00DA26BF">
      <w:pPr>
        <w:jc w:val="both"/>
        <w:rPr>
          <w:rFonts w:ascii="Times New Roman" w:hAnsi="Times New Roman" w:cs="Times New Roman"/>
          <w:bCs/>
          <w:sz w:val="24"/>
          <w:szCs w:val="24"/>
        </w:rPr>
      </w:pPr>
      <w:r>
        <w:rPr>
          <w:rFonts w:ascii="Times New Roman" w:hAnsi="Times New Roman" w:cs="Times New Roman"/>
          <w:sz w:val="24"/>
          <w:szCs w:val="24"/>
        </w:rPr>
        <w:t xml:space="preserve">The tied lease, therefore, emerges from a commercial environment in which brewers </w:t>
      </w:r>
      <w:r w:rsidR="003049AA">
        <w:rPr>
          <w:rFonts w:ascii="Times New Roman" w:hAnsi="Times New Roman" w:cs="Times New Roman"/>
          <w:sz w:val="24"/>
          <w:szCs w:val="24"/>
        </w:rPr>
        <w:t>have had a longstanding,</w:t>
      </w:r>
      <w:r>
        <w:rPr>
          <w:rFonts w:ascii="Times New Roman" w:hAnsi="Times New Roman" w:cs="Times New Roman"/>
          <w:sz w:val="24"/>
          <w:szCs w:val="24"/>
        </w:rPr>
        <w:t xml:space="preserve"> pressing need to secure a route-to-market through the ownership of pubs, and prospective publicans could ill-afford to enter the market independently. However, it</w:t>
      </w:r>
      <w:r>
        <w:rPr>
          <w:rFonts w:ascii="Times New Roman" w:hAnsi="Times New Roman" w:cs="Times New Roman"/>
          <w:bCs/>
          <w:sz w:val="24"/>
          <w:szCs w:val="24"/>
        </w:rPr>
        <w:t xml:space="preserve"> is not inevitable that the solution to these problems would be a tied lease. Other options have historically been used by brewers to secure their route-to-market and realise the business benefits that vertical integration can bring.</w:t>
      </w:r>
    </w:p>
    <w:p w14:paraId="4AB8D20F" w14:textId="0AA2B27A" w:rsidR="00DA26BF" w:rsidRDefault="00DA26BF" w:rsidP="000B430A">
      <w:pPr>
        <w:jc w:val="both"/>
        <w:rPr>
          <w:rFonts w:ascii="Times New Roman" w:hAnsi="Times New Roman" w:cs="Times New Roman"/>
          <w:bCs/>
          <w:sz w:val="24"/>
          <w:szCs w:val="24"/>
        </w:rPr>
      </w:pPr>
      <w:r>
        <w:rPr>
          <w:rFonts w:ascii="Times New Roman" w:hAnsi="Times New Roman" w:cs="Times New Roman"/>
          <w:bCs/>
          <w:sz w:val="24"/>
          <w:szCs w:val="24"/>
        </w:rPr>
        <w:t>Many of the early cases disputing tied arrangements deal with mortgages, rather than leases. This was the legal technique of choice for brewers throughout much of the 19</w:t>
      </w:r>
      <w:r w:rsidRPr="00B8571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century.</w:t>
      </w:r>
      <w:r>
        <w:rPr>
          <w:rStyle w:val="FootnoteReference"/>
          <w:rFonts w:ascii="Times New Roman" w:hAnsi="Times New Roman" w:cs="Times New Roman"/>
          <w:bCs/>
          <w:sz w:val="24"/>
          <w:szCs w:val="24"/>
        </w:rPr>
        <w:footnoteReference w:id="34"/>
      </w:r>
      <w:r>
        <w:rPr>
          <w:rFonts w:ascii="Times New Roman" w:hAnsi="Times New Roman" w:cs="Times New Roman"/>
          <w:bCs/>
          <w:sz w:val="24"/>
          <w:szCs w:val="24"/>
        </w:rPr>
        <w:t xml:space="preserve"> Here, </w:t>
      </w:r>
      <w:r>
        <w:rPr>
          <w:rFonts w:ascii="Times New Roman" w:hAnsi="Times New Roman" w:cs="Times New Roman"/>
          <w:bCs/>
          <w:sz w:val="24"/>
          <w:szCs w:val="24"/>
        </w:rPr>
        <w:lastRenderedPageBreak/>
        <w:t xml:space="preserve">the publican takes out a mortgage with a brewer to purchase a pub, and </w:t>
      </w:r>
      <w:r w:rsidR="007D7F26">
        <w:rPr>
          <w:rFonts w:ascii="Times New Roman" w:hAnsi="Times New Roman" w:cs="Times New Roman"/>
          <w:bCs/>
          <w:sz w:val="24"/>
          <w:szCs w:val="24"/>
        </w:rPr>
        <w:t>covenants</w:t>
      </w:r>
      <w:r>
        <w:rPr>
          <w:rFonts w:ascii="Times New Roman" w:hAnsi="Times New Roman" w:cs="Times New Roman"/>
          <w:bCs/>
          <w:sz w:val="24"/>
          <w:szCs w:val="24"/>
        </w:rPr>
        <w:t xml:space="preserve"> under the mortgage deed tie the publican to an exclusive supply arrangement </w:t>
      </w:r>
      <w:r w:rsidR="00FA5C9B">
        <w:rPr>
          <w:rFonts w:ascii="Times New Roman" w:hAnsi="Times New Roman" w:cs="Times New Roman"/>
          <w:bCs/>
          <w:sz w:val="24"/>
          <w:szCs w:val="24"/>
        </w:rPr>
        <w:t>for</w:t>
      </w:r>
      <w:r>
        <w:rPr>
          <w:rFonts w:ascii="Times New Roman" w:hAnsi="Times New Roman" w:cs="Times New Roman"/>
          <w:bCs/>
          <w:sz w:val="24"/>
          <w:szCs w:val="24"/>
        </w:rPr>
        <w:t xml:space="preserve"> the beer and other products. These so-called “collateral advantages” are lawful, providing they are not oppressive or unconscionable.</w:t>
      </w:r>
      <w:r>
        <w:rPr>
          <w:rStyle w:val="FootnoteReference"/>
          <w:rFonts w:ascii="Times New Roman" w:hAnsi="Times New Roman" w:cs="Times New Roman"/>
          <w:bCs/>
          <w:sz w:val="24"/>
          <w:szCs w:val="24"/>
        </w:rPr>
        <w:footnoteReference w:id="35"/>
      </w:r>
      <w:r>
        <w:rPr>
          <w:rFonts w:ascii="Times New Roman" w:hAnsi="Times New Roman" w:cs="Times New Roman"/>
          <w:bCs/>
          <w:sz w:val="24"/>
          <w:szCs w:val="24"/>
        </w:rPr>
        <w:t xml:space="preserve"> However, the brewer faces a problem on redemption of the mortgage. As the House of Lords held in </w:t>
      </w:r>
      <w:r w:rsidRPr="00D85164">
        <w:rPr>
          <w:rFonts w:ascii="Times New Roman" w:hAnsi="Times New Roman" w:cs="Times New Roman"/>
          <w:bCs/>
          <w:i/>
          <w:sz w:val="24"/>
          <w:szCs w:val="24"/>
        </w:rPr>
        <w:t>Noakes v Rice</w:t>
      </w:r>
      <w:r>
        <w:rPr>
          <w:rStyle w:val="FootnoteReference"/>
          <w:rFonts w:ascii="Times New Roman" w:hAnsi="Times New Roman" w:cs="Times New Roman"/>
          <w:bCs/>
          <w:i/>
          <w:sz w:val="24"/>
          <w:szCs w:val="24"/>
        </w:rPr>
        <w:footnoteReference w:id="36"/>
      </w:r>
      <w:r>
        <w:rPr>
          <w:rFonts w:ascii="Times New Roman" w:hAnsi="Times New Roman" w:cs="Times New Roman"/>
          <w:bCs/>
          <w:sz w:val="24"/>
          <w:szCs w:val="24"/>
        </w:rPr>
        <w:t>, a brewer cannot enforce a tie upon redemption, even if the publican has agreed otherwise. This is a fetter, clog</w:t>
      </w:r>
      <w:r w:rsidR="009F7042">
        <w:rPr>
          <w:rFonts w:ascii="Times New Roman" w:hAnsi="Times New Roman" w:cs="Times New Roman"/>
          <w:bCs/>
          <w:sz w:val="24"/>
          <w:szCs w:val="24"/>
        </w:rPr>
        <w:t>,</w:t>
      </w:r>
      <w:r>
        <w:rPr>
          <w:rFonts w:ascii="Times New Roman" w:hAnsi="Times New Roman" w:cs="Times New Roman"/>
          <w:bCs/>
          <w:sz w:val="24"/>
          <w:szCs w:val="24"/>
        </w:rPr>
        <w:t xml:space="preserve"> or “</w:t>
      </w:r>
      <w:r w:rsidRPr="0081176D">
        <w:rPr>
          <w:rFonts w:ascii="Times New Roman" w:hAnsi="Times New Roman" w:cs="Times New Roman"/>
          <w:bCs/>
          <w:sz w:val="24"/>
          <w:szCs w:val="24"/>
        </w:rPr>
        <w:t>whatever figurative word may be used</w:t>
      </w:r>
      <w:r>
        <w:rPr>
          <w:rFonts w:ascii="Times New Roman" w:hAnsi="Times New Roman" w:cs="Times New Roman"/>
          <w:bCs/>
          <w:sz w:val="24"/>
          <w:szCs w:val="24"/>
        </w:rPr>
        <w:t>”</w:t>
      </w:r>
      <w:r w:rsidR="009F7042">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7"/>
      </w:r>
      <w:r w:rsidR="002275F0">
        <w:rPr>
          <w:rFonts w:ascii="Times New Roman" w:hAnsi="Times New Roman" w:cs="Times New Roman"/>
          <w:bCs/>
          <w:sz w:val="24"/>
          <w:szCs w:val="24"/>
        </w:rPr>
        <w:t xml:space="preserve"> </w:t>
      </w:r>
      <w:r>
        <w:rPr>
          <w:rFonts w:ascii="Times New Roman" w:hAnsi="Times New Roman" w:cs="Times New Roman"/>
          <w:bCs/>
          <w:sz w:val="24"/>
          <w:szCs w:val="24"/>
        </w:rPr>
        <w:t xml:space="preserve">on the longstanding equitable principle of the right of redemption: once a mortgager has paid their debt, they are entitled to have their “estate </w:t>
      </w:r>
      <w:r w:rsidRPr="0081176D">
        <w:rPr>
          <w:rFonts w:ascii="Times New Roman" w:hAnsi="Times New Roman" w:cs="Times New Roman"/>
          <w:bCs/>
          <w:sz w:val="24"/>
          <w:szCs w:val="24"/>
        </w:rPr>
        <w:t>back again unfettered and unclogged</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8"/>
      </w:r>
      <w:r>
        <w:rPr>
          <w:rFonts w:ascii="Times New Roman" w:hAnsi="Times New Roman" w:cs="Times New Roman"/>
          <w:bCs/>
          <w:sz w:val="24"/>
          <w:szCs w:val="24"/>
        </w:rPr>
        <w:t xml:space="preserve"> Mortgages therefore come with a built-in sunset clause; a significant problem for a brewer seeking to secure a permanent route-to-market.</w:t>
      </w:r>
    </w:p>
    <w:p w14:paraId="2F5F792B" w14:textId="0496E58E" w:rsidR="00DA26BF" w:rsidRDefault="00DA26BF">
      <w:pPr>
        <w:jc w:val="both"/>
        <w:rPr>
          <w:rFonts w:ascii="Times New Roman" w:hAnsi="Times New Roman" w:cs="Times New Roman"/>
          <w:bCs/>
          <w:sz w:val="24"/>
          <w:szCs w:val="24"/>
        </w:rPr>
      </w:pPr>
      <w:r>
        <w:rPr>
          <w:rFonts w:ascii="Times New Roman" w:hAnsi="Times New Roman" w:cs="Times New Roman"/>
          <w:bCs/>
          <w:sz w:val="24"/>
          <w:szCs w:val="24"/>
        </w:rPr>
        <w:t>The second option is to agree ancillary exclusive supply arrangements with publicans. This would save the brewer the significant up-front costs of buying or leasing large pub estate</w:t>
      </w:r>
      <w:r w:rsidR="00097BB5">
        <w:rPr>
          <w:rFonts w:ascii="Times New Roman" w:hAnsi="Times New Roman" w:cs="Times New Roman"/>
          <w:bCs/>
          <w:sz w:val="24"/>
          <w:szCs w:val="24"/>
        </w:rPr>
        <w:t>s.</w:t>
      </w:r>
      <w:r>
        <w:rPr>
          <w:rFonts w:ascii="Times New Roman" w:hAnsi="Times New Roman" w:cs="Times New Roman"/>
          <w:bCs/>
          <w:sz w:val="24"/>
          <w:szCs w:val="24"/>
        </w:rPr>
        <w:t xml:space="preserve">. This approach has dominated garage forecourts. Although the brewing industry was the pioneer of the tie, since the 1950s tied arrangements with oil companies </w:t>
      </w:r>
      <w:r w:rsidR="001117C2">
        <w:rPr>
          <w:rFonts w:ascii="Times New Roman" w:hAnsi="Times New Roman" w:cs="Times New Roman"/>
          <w:bCs/>
          <w:sz w:val="24"/>
          <w:szCs w:val="24"/>
        </w:rPr>
        <w:t>command</w:t>
      </w:r>
      <w:r>
        <w:rPr>
          <w:rFonts w:ascii="Times New Roman" w:hAnsi="Times New Roman" w:cs="Times New Roman"/>
          <w:bCs/>
          <w:sz w:val="24"/>
          <w:szCs w:val="24"/>
        </w:rPr>
        <w:t xml:space="preserve"> the retail sale of fuel. By 1965, 95% of all petrol retail outlets had a s</w:t>
      </w:r>
      <w:r w:rsidRPr="00FA160C">
        <w:rPr>
          <w:rFonts w:ascii="Times New Roman" w:hAnsi="Times New Roman" w:cs="Times New Roman"/>
          <w:bCs/>
          <w:sz w:val="24"/>
          <w:szCs w:val="24"/>
        </w:rPr>
        <w:t>ingle delivery agreement</w:t>
      </w:r>
      <w:r>
        <w:rPr>
          <w:rFonts w:ascii="Times New Roman" w:hAnsi="Times New Roman" w:cs="Times New Roman"/>
          <w:bCs/>
          <w:sz w:val="24"/>
          <w:szCs w:val="24"/>
        </w:rPr>
        <w:t xml:space="preserve"> (so-called “SOLUS” agreements) with a particular oil company.</w:t>
      </w:r>
      <w:r>
        <w:rPr>
          <w:rStyle w:val="FootnoteReference"/>
          <w:rFonts w:ascii="Times New Roman" w:hAnsi="Times New Roman" w:cs="Times New Roman"/>
          <w:bCs/>
          <w:sz w:val="24"/>
          <w:szCs w:val="24"/>
        </w:rPr>
        <w:footnoteReference w:id="39"/>
      </w:r>
      <w:r>
        <w:rPr>
          <w:rFonts w:ascii="Times New Roman" w:hAnsi="Times New Roman" w:cs="Times New Roman"/>
          <w:bCs/>
          <w:sz w:val="24"/>
          <w:szCs w:val="24"/>
        </w:rPr>
        <w:t xml:space="preserve"> Although some are tied to mortgages or leases, many are independent of any land transaction.</w:t>
      </w:r>
      <w:r>
        <w:rPr>
          <w:rStyle w:val="FootnoteReference"/>
          <w:rFonts w:ascii="Times New Roman" w:hAnsi="Times New Roman" w:cs="Times New Roman"/>
          <w:bCs/>
          <w:sz w:val="24"/>
          <w:szCs w:val="24"/>
        </w:rPr>
        <w:footnoteReference w:id="40"/>
      </w:r>
      <w:r>
        <w:rPr>
          <w:rFonts w:ascii="Times New Roman" w:hAnsi="Times New Roman" w:cs="Times New Roman"/>
          <w:bCs/>
          <w:sz w:val="24"/>
          <w:szCs w:val="24"/>
        </w:rPr>
        <w:t xml:space="preserve"> In order to bind future operators, an “essential feature” of these SOLUS agreements are “continuity covenants”, where – as part of the agreement – a retailer undertakes on the sale of their business to procure a purchaser who will roll over the identical </w:t>
      </w:r>
      <w:r w:rsidR="00E40554">
        <w:rPr>
          <w:rFonts w:ascii="Times New Roman" w:hAnsi="Times New Roman" w:cs="Times New Roman"/>
          <w:bCs/>
          <w:sz w:val="24"/>
          <w:szCs w:val="24"/>
        </w:rPr>
        <w:t>SOLUS</w:t>
      </w:r>
      <w:r>
        <w:rPr>
          <w:rFonts w:ascii="Times New Roman" w:hAnsi="Times New Roman" w:cs="Times New Roman"/>
          <w:bCs/>
          <w:sz w:val="24"/>
          <w:szCs w:val="24"/>
        </w:rPr>
        <w:t xml:space="preserve"> obligations.</w:t>
      </w:r>
      <w:r>
        <w:rPr>
          <w:rStyle w:val="FootnoteReference"/>
          <w:rFonts w:ascii="Times New Roman" w:hAnsi="Times New Roman" w:cs="Times New Roman"/>
          <w:bCs/>
          <w:sz w:val="24"/>
          <w:szCs w:val="24"/>
        </w:rPr>
        <w:footnoteReference w:id="41"/>
      </w:r>
      <w:r>
        <w:rPr>
          <w:rFonts w:ascii="Times New Roman" w:hAnsi="Times New Roman" w:cs="Times New Roman"/>
          <w:bCs/>
          <w:sz w:val="24"/>
          <w:szCs w:val="24"/>
        </w:rPr>
        <w:t xml:space="preserve"> However, these SOLUS agreements that exist indepe</w:t>
      </w:r>
      <w:r w:rsidRPr="00DE50ED">
        <w:rPr>
          <w:rFonts w:ascii="Times New Roman" w:hAnsi="Times New Roman" w:cs="Times New Roman"/>
          <w:bCs/>
          <w:sz w:val="24"/>
          <w:szCs w:val="24"/>
        </w:rPr>
        <w:t>ndently of a land transaction are subject to greater oversight by the courts than those that form part of a lease or mortgage.</w:t>
      </w:r>
      <w:r w:rsidRPr="00DE50ED">
        <w:rPr>
          <w:rStyle w:val="FootnoteReference"/>
          <w:rFonts w:ascii="Times New Roman" w:hAnsi="Times New Roman" w:cs="Times New Roman"/>
          <w:bCs/>
          <w:sz w:val="24"/>
          <w:szCs w:val="24"/>
        </w:rPr>
        <w:footnoteReference w:id="42"/>
      </w:r>
      <w:r w:rsidRPr="00DE50ED">
        <w:rPr>
          <w:rFonts w:ascii="Times New Roman" w:hAnsi="Times New Roman" w:cs="Times New Roman"/>
          <w:bCs/>
          <w:sz w:val="24"/>
          <w:szCs w:val="24"/>
        </w:rPr>
        <w:t xml:space="preserve"> When reached ancillary to an interest in land, the courts have been quick to apply the doctrine of the “restraint of trade” to these contracts – for instance, in </w:t>
      </w:r>
      <w:r w:rsidRPr="00DE50ED">
        <w:rPr>
          <w:rFonts w:ascii="Times New Roman" w:hAnsi="Times New Roman" w:cs="Times New Roman"/>
          <w:i/>
          <w:sz w:val="24"/>
          <w:szCs w:val="24"/>
        </w:rPr>
        <w:t>Petrofina (GT. Britain) Ltd. v Martin</w:t>
      </w:r>
      <w:r>
        <w:rPr>
          <w:rFonts w:ascii="Times New Roman" w:hAnsi="Times New Roman" w:cs="Times New Roman"/>
          <w:i/>
          <w:sz w:val="24"/>
          <w:szCs w:val="24"/>
        </w:rPr>
        <w:t>,</w:t>
      </w:r>
      <w:r w:rsidRPr="00DE50ED">
        <w:rPr>
          <w:rFonts w:ascii="Times New Roman" w:hAnsi="Times New Roman" w:cs="Times New Roman"/>
          <w:i/>
          <w:sz w:val="24"/>
          <w:szCs w:val="24"/>
        </w:rPr>
        <w:t xml:space="preserve"> </w:t>
      </w:r>
      <w:r w:rsidRPr="00DE50ED">
        <w:rPr>
          <w:rFonts w:ascii="Times New Roman" w:hAnsi="Times New Roman" w:cs="Times New Roman"/>
          <w:sz w:val="24"/>
          <w:szCs w:val="24"/>
        </w:rPr>
        <w:t>a 12 year t</w:t>
      </w:r>
      <w:r>
        <w:rPr>
          <w:rFonts w:ascii="Times New Roman" w:hAnsi="Times New Roman" w:cs="Times New Roman"/>
          <w:sz w:val="24"/>
          <w:szCs w:val="24"/>
        </w:rPr>
        <w:t>ie</w:t>
      </w:r>
      <w:r w:rsidRPr="00DE50ED">
        <w:rPr>
          <w:rFonts w:ascii="Times New Roman" w:hAnsi="Times New Roman" w:cs="Times New Roman"/>
          <w:sz w:val="24"/>
          <w:szCs w:val="24"/>
        </w:rPr>
        <w:t xml:space="preserve"> and broad-ranging “continuity covenant”</w:t>
      </w:r>
      <w:r>
        <w:rPr>
          <w:rFonts w:ascii="Times New Roman" w:hAnsi="Times New Roman" w:cs="Times New Roman"/>
          <w:sz w:val="24"/>
          <w:szCs w:val="24"/>
        </w:rPr>
        <w:t xml:space="preserve"> were held to be void as unnecessary restraints on trade.</w:t>
      </w:r>
      <w:r w:rsidRPr="00DE50ED">
        <w:rPr>
          <w:rStyle w:val="FootnoteReference"/>
          <w:rFonts w:ascii="Times New Roman" w:hAnsi="Times New Roman" w:cs="Times New Roman"/>
          <w:bCs/>
          <w:sz w:val="24"/>
          <w:szCs w:val="24"/>
        </w:rPr>
        <w:footnoteReference w:id="43"/>
      </w:r>
      <w:r>
        <w:rPr>
          <w:rFonts w:ascii="Times New Roman" w:hAnsi="Times New Roman" w:cs="Times New Roman"/>
          <w:sz w:val="24"/>
          <w:szCs w:val="24"/>
        </w:rPr>
        <w:t xml:space="preserve"> The position for a retailer taking on a lease with tying obligations is different. As Lord Denning put it in </w:t>
      </w:r>
      <w:r w:rsidRPr="00DE50ED">
        <w:rPr>
          <w:rFonts w:ascii="Times New Roman" w:hAnsi="Times New Roman" w:cs="Times New Roman"/>
          <w:i/>
          <w:sz w:val="24"/>
          <w:szCs w:val="24"/>
        </w:rPr>
        <w:t>Cleveland Petroleum Co. Ltd. v Dartstone Ltd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p>
    <w:p w14:paraId="7CB839CA" w14:textId="77777777" w:rsidR="00DA26BF" w:rsidRPr="00B26865" w:rsidRDefault="00DA26BF">
      <w:pPr>
        <w:ind w:left="567" w:right="521"/>
        <w:jc w:val="both"/>
        <w:rPr>
          <w:rFonts w:ascii="Times New Roman" w:hAnsi="Times New Roman" w:cs="Times New Roman"/>
          <w:bCs/>
          <w:sz w:val="24"/>
          <w:szCs w:val="24"/>
        </w:rPr>
      </w:pPr>
      <w:r>
        <w:rPr>
          <w:rFonts w:ascii="Times New Roman" w:hAnsi="Times New Roman" w:cs="Times New Roman"/>
          <w:bCs/>
          <w:sz w:val="24"/>
          <w:szCs w:val="24"/>
        </w:rPr>
        <w:t>W</w:t>
      </w:r>
      <w:r w:rsidRPr="00090BD7">
        <w:rPr>
          <w:rFonts w:ascii="Times New Roman" w:hAnsi="Times New Roman" w:cs="Times New Roman"/>
          <w:bCs/>
          <w:sz w:val="24"/>
          <w:szCs w:val="24"/>
        </w:rPr>
        <w:t>e should hold that when a person takes possession of premises under a lease, not having been in possession previously, and on taking possession, enters into a restrictive covenant tying him to take all his supplies from the lessor, prima facie the tie is valid. It is not an unreasonable restraint of trade</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5"/>
      </w:r>
    </w:p>
    <w:p w14:paraId="428DEC0D" w14:textId="2BF12FBC" w:rsidR="00DA26BF" w:rsidRDefault="00DA26BF">
      <w:pPr>
        <w:jc w:val="both"/>
        <w:rPr>
          <w:rFonts w:ascii="Times New Roman" w:hAnsi="Times New Roman" w:cs="Times New Roman"/>
          <w:bCs/>
          <w:sz w:val="24"/>
          <w:szCs w:val="24"/>
        </w:rPr>
      </w:pPr>
      <w:r>
        <w:rPr>
          <w:rFonts w:ascii="Times New Roman" w:hAnsi="Times New Roman" w:cs="Times New Roman"/>
          <w:bCs/>
          <w:sz w:val="24"/>
          <w:szCs w:val="24"/>
        </w:rPr>
        <w:lastRenderedPageBreak/>
        <w:t>Finally, the PubCo could buy a premises and appoint a salaried manager. Indeed, this is a model that is used routinely in much of the sector and dominates the largest pub-chain</w:t>
      </w:r>
      <w:r w:rsidR="00097BB5">
        <w:rPr>
          <w:rFonts w:ascii="Times New Roman" w:hAnsi="Times New Roman" w:cs="Times New Roman"/>
          <w:bCs/>
          <w:sz w:val="24"/>
          <w:szCs w:val="24"/>
        </w:rPr>
        <w:t>s</w:t>
      </w:r>
      <w:r>
        <w:rPr>
          <w:rFonts w:ascii="Times New Roman" w:hAnsi="Times New Roman" w:cs="Times New Roman"/>
          <w:bCs/>
          <w:sz w:val="24"/>
          <w:szCs w:val="24"/>
        </w:rPr>
        <w:t xml:space="preserve"> in the UK, </w:t>
      </w:r>
      <w:r w:rsidR="00097BB5">
        <w:rPr>
          <w:rFonts w:ascii="Times New Roman" w:hAnsi="Times New Roman" w:cs="Times New Roman"/>
          <w:bCs/>
          <w:sz w:val="24"/>
          <w:szCs w:val="24"/>
        </w:rPr>
        <w:t xml:space="preserve">such as </w:t>
      </w:r>
      <w:r w:rsidRPr="00F446E2">
        <w:rPr>
          <w:rFonts w:ascii="Times New Roman" w:hAnsi="Times New Roman" w:cs="Times New Roman"/>
          <w:bCs/>
          <w:i/>
          <w:sz w:val="24"/>
          <w:szCs w:val="24"/>
        </w:rPr>
        <w:t>Wetherspoons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6"/>
      </w:r>
      <w:r>
        <w:rPr>
          <w:rFonts w:ascii="Times New Roman" w:hAnsi="Times New Roman" w:cs="Times New Roman"/>
          <w:bCs/>
          <w:sz w:val="24"/>
          <w:szCs w:val="24"/>
        </w:rPr>
        <w:t xml:space="preserve"> There are varieties of salaried management, going from fixed annual salaries, to more complex arrangements where the pub manager can receive a share of the establishment’s turnover.</w:t>
      </w:r>
      <w:r>
        <w:rPr>
          <w:rStyle w:val="FootnoteReference"/>
          <w:rFonts w:ascii="Times New Roman" w:hAnsi="Times New Roman" w:cs="Times New Roman"/>
          <w:bCs/>
          <w:sz w:val="24"/>
          <w:szCs w:val="24"/>
        </w:rPr>
        <w:footnoteReference w:id="47"/>
      </w:r>
      <w:r>
        <w:rPr>
          <w:rFonts w:ascii="Times New Roman" w:hAnsi="Times New Roman" w:cs="Times New Roman"/>
          <w:bCs/>
          <w:sz w:val="24"/>
          <w:szCs w:val="24"/>
        </w:rPr>
        <w:t xml:space="preserve"> Although owning the establishment outright and appointing staff provides a secure tie, it comes with very significant obligations – a brewer seeking a route-to-market instead finds themselves running a large pub chain. Staff turnover, a lack of supply of good quality management staff, the significant obligations of an employer, lack of risk sharing, and problems of disinterested publican managers are all pressing problems in the management of large pub estates.</w:t>
      </w:r>
      <w:r>
        <w:rPr>
          <w:rStyle w:val="FootnoteReference"/>
          <w:rFonts w:ascii="Times New Roman" w:hAnsi="Times New Roman" w:cs="Times New Roman"/>
          <w:bCs/>
          <w:sz w:val="24"/>
          <w:szCs w:val="24"/>
        </w:rPr>
        <w:footnoteReference w:id="48"/>
      </w:r>
    </w:p>
    <w:p w14:paraId="26FB0CA8" w14:textId="793CF694" w:rsidR="001F4EDE" w:rsidRPr="001F4EDE" w:rsidRDefault="00097BB5">
      <w:pPr>
        <w:jc w:val="both"/>
        <w:rPr>
          <w:rFonts w:ascii="Times New Roman" w:hAnsi="Times New Roman" w:cs="Times New Roman"/>
          <w:sz w:val="24"/>
          <w:szCs w:val="24"/>
        </w:rPr>
      </w:pPr>
      <w:r>
        <w:rPr>
          <w:rFonts w:ascii="Times New Roman" w:hAnsi="Times New Roman" w:cs="Times New Roman"/>
          <w:sz w:val="24"/>
          <w:szCs w:val="24"/>
        </w:rPr>
        <w:t xml:space="preserve">The </w:t>
      </w:r>
      <w:r w:rsidR="001F4EDE">
        <w:rPr>
          <w:rFonts w:ascii="Times New Roman" w:hAnsi="Times New Roman" w:cs="Times New Roman"/>
          <w:sz w:val="24"/>
          <w:szCs w:val="24"/>
        </w:rPr>
        <w:t xml:space="preserve"> lease has characteristics that make</w:t>
      </w:r>
      <w:r w:rsidR="00921AF3">
        <w:rPr>
          <w:rFonts w:ascii="Times New Roman" w:hAnsi="Times New Roman" w:cs="Times New Roman"/>
          <w:sz w:val="24"/>
          <w:szCs w:val="24"/>
        </w:rPr>
        <w:t xml:space="preserve"> it particularly appealing</w:t>
      </w:r>
      <w:r w:rsidR="005238AC">
        <w:rPr>
          <w:rFonts w:ascii="Times New Roman" w:hAnsi="Times New Roman" w:cs="Times New Roman"/>
          <w:sz w:val="24"/>
          <w:szCs w:val="24"/>
        </w:rPr>
        <w:t xml:space="preserve"> as a legal technique</w:t>
      </w:r>
      <w:r w:rsidR="007E2346">
        <w:rPr>
          <w:rFonts w:ascii="Times New Roman" w:hAnsi="Times New Roman" w:cs="Times New Roman"/>
          <w:sz w:val="24"/>
          <w:szCs w:val="24"/>
        </w:rPr>
        <w:t xml:space="preserve"> for resolving these problems</w:t>
      </w:r>
      <w:r w:rsidR="00921AF3">
        <w:rPr>
          <w:rFonts w:ascii="Times New Roman" w:hAnsi="Times New Roman" w:cs="Times New Roman"/>
          <w:sz w:val="24"/>
          <w:szCs w:val="24"/>
        </w:rPr>
        <w:t xml:space="preserve">. In the context of the pub sector, leases </w:t>
      </w:r>
      <w:r w:rsidR="007E2346">
        <w:rPr>
          <w:rFonts w:ascii="Times New Roman" w:hAnsi="Times New Roman" w:cs="Times New Roman"/>
          <w:sz w:val="24"/>
          <w:szCs w:val="24"/>
        </w:rPr>
        <w:t xml:space="preserve">combine four functions: </w:t>
      </w:r>
      <w:r>
        <w:rPr>
          <w:rFonts w:ascii="Times New Roman" w:hAnsi="Times New Roman" w:cs="Times New Roman"/>
          <w:sz w:val="24"/>
          <w:szCs w:val="24"/>
        </w:rPr>
        <w:t xml:space="preserve">fostering </w:t>
      </w:r>
      <w:r w:rsidR="00921AF3">
        <w:rPr>
          <w:rFonts w:ascii="Times New Roman" w:hAnsi="Times New Roman" w:cs="Times New Roman"/>
          <w:sz w:val="24"/>
          <w:szCs w:val="24"/>
        </w:rPr>
        <w:t xml:space="preserve">the “entrepreneurial spirit” of a publican, tying occupation of the property </w:t>
      </w:r>
      <w:r w:rsidR="00375377">
        <w:rPr>
          <w:rFonts w:ascii="Times New Roman" w:hAnsi="Times New Roman" w:cs="Times New Roman"/>
          <w:sz w:val="24"/>
          <w:szCs w:val="24"/>
        </w:rPr>
        <w:t>to the practices of the occupying business</w:t>
      </w:r>
      <w:r w:rsidR="001A74CD">
        <w:rPr>
          <w:rFonts w:ascii="Times New Roman" w:hAnsi="Times New Roman" w:cs="Times New Roman"/>
          <w:sz w:val="24"/>
          <w:szCs w:val="24"/>
        </w:rPr>
        <w:t>,</w:t>
      </w:r>
      <w:r w:rsidR="00375377">
        <w:rPr>
          <w:rFonts w:ascii="Times New Roman" w:hAnsi="Times New Roman" w:cs="Times New Roman"/>
          <w:sz w:val="24"/>
          <w:szCs w:val="24"/>
        </w:rPr>
        <w:t xml:space="preserve"> </w:t>
      </w:r>
      <w:r>
        <w:rPr>
          <w:rFonts w:ascii="Times New Roman" w:hAnsi="Times New Roman" w:cs="Times New Roman"/>
          <w:sz w:val="24"/>
          <w:szCs w:val="24"/>
        </w:rPr>
        <w:t>managing the temporality of the relationship</w:t>
      </w:r>
      <w:r w:rsidR="00375377">
        <w:rPr>
          <w:rFonts w:ascii="Times New Roman" w:hAnsi="Times New Roman" w:cs="Times New Roman"/>
          <w:sz w:val="24"/>
          <w:szCs w:val="24"/>
        </w:rPr>
        <w:t>, and leverag</w:t>
      </w:r>
      <w:r w:rsidR="007E2346">
        <w:rPr>
          <w:rFonts w:ascii="Times New Roman" w:hAnsi="Times New Roman" w:cs="Times New Roman"/>
          <w:sz w:val="24"/>
          <w:szCs w:val="24"/>
        </w:rPr>
        <w:t>ing</w:t>
      </w:r>
      <w:r w:rsidR="00375377">
        <w:rPr>
          <w:rFonts w:ascii="Times New Roman" w:hAnsi="Times New Roman" w:cs="Times New Roman"/>
          <w:sz w:val="24"/>
          <w:szCs w:val="24"/>
        </w:rPr>
        <w:t xml:space="preserve"> finance via securitisation. This section deals with each in turn.</w:t>
      </w:r>
    </w:p>
    <w:p w14:paraId="6D41BB47" w14:textId="32CC7BC9" w:rsidR="00861CCE" w:rsidRPr="000B430A" w:rsidRDefault="0086506F" w:rsidP="000B430A">
      <w:pPr>
        <w:spacing w:line="276" w:lineRule="auto"/>
        <w:ind w:right="95"/>
        <w:jc w:val="both"/>
        <w:rPr>
          <w:rFonts w:ascii="Times New Roman" w:hAnsi="Times New Roman" w:cs="Times New Roman"/>
          <w:b/>
          <w:i/>
          <w:sz w:val="24"/>
          <w:szCs w:val="24"/>
        </w:rPr>
      </w:pPr>
      <w:r>
        <w:rPr>
          <w:rFonts w:ascii="Times New Roman" w:hAnsi="Times New Roman" w:cs="Times New Roman"/>
          <w:b/>
          <w:sz w:val="24"/>
          <w:szCs w:val="24"/>
        </w:rPr>
        <w:t>2.1.</w:t>
      </w:r>
      <w:r>
        <w:rPr>
          <w:rFonts w:ascii="Times New Roman" w:hAnsi="Times New Roman" w:cs="Times New Roman"/>
          <w:b/>
          <w:i/>
          <w:sz w:val="24"/>
          <w:szCs w:val="24"/>
        </w:rPr>
        <w:t xml:space="preserve"> </w:t>
      </w:r>
      <w:r w:rsidR="001A0ADB">
        <w:rPr>
          <w:rFonts w:ascii="Times New Roman" w:hAnsi="Times New Roman" w:cs="Times New Roman"/>
          <w:b/>
          <w:i/>
          <w:sz w:val="24"/>
          <w:szCs w:val="24"/>
        </w:rPr>
        <w:t>Fostering</w:t>
      </w:r>
      <w:r w:rsidR="001A0ADB" w:rsidRPr="000B430A">
        <w:rPr>
          <w:rFonts w:ascii="Times New Roman" w:hAnsi="Times New Roman" w:cs="Times New Roman"/>
          <w:b/>
          <w:i/>
          <w:sz w:val="24"/>
          <w:szCs w:val="24"/>
        </w:rPr>
        <w:t xml:space="preserve"> </w:t>
      </w:r>
      <w:r w:rsidR="0035428F" w:rsidRPr="000B430A">
        <w:rPr>
          <w:rFonts w:ascii="Times New Roman" w:hAnsi="Times New Roman" w:cs="Times New Roman"/>
          <w:b/>
          <w:i/>
          <w:sz w:val="24"/>
          <w:szCs w:val="24"/>
        </w:rPr>
        <w:t>t</w:t>
      </w:r>
      <w:r w:rsidR="00B953D4" w:rsidRPr="000B430A">
        <w:rPr>
          <w:rFonts w:ascii="Times New Roman" w:hAnsi="Times New Roman" w:cs="Times New Roman"/>
          <w:b/>
          <w:i/>
          <w:sz w:val="24"/>
          <w:szCs w:val="24"/>
        </w:rPr>
        <w:t>he “entrepreneurial spirit” of the publican</w:t>
      </w:r>
    </w:p>
    <w:p w14:paraId="06D5DD1C" w14:textId="0309D03A" w:rsidR="00BE1BEA" w:rsidRDefault="00B953D4" w:rsidP="00540521">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First, leases allow the owners of pubs to tackle the key “moral hazard” of the disinterested publican.</w:t>
      </w:r>
      <w:r>
        <w:rPr>
          <w:rStyle w:val="FootnoteAnchor"/>
          <w:rFonts w:ascii="Times New Roman" w:hAnsi="Times New Roman" w:cs="Times New Roman"/>
          <w:sz w:val="24"/>
          <w:szCs w:val="24"/>
        </w:rPr>
        <w:footnoteReference w:id="49"/>
      </w:r>
      <w:r>
        <w:rPr>
          <w:rFonts w:ascii="Times New Roman" w:hAnsi="Times New Roman" w:cs="Times New Roman"/>
          <w:sz w:val="24"/>
          <w:szCs w:val="24"/>
        </w:rPr>
        <w:t xml:space="preserve"> Pub landlords are central both to the effective running of pubs and their appeal, especially to regular customers. Being a publican is an all-consuming role</w:t>
      </w:r>
      <w:r w:rsidR="0093123A">
        <w:rPr>
          <w:rFonts w:ascii="Times New Roman" w:hAnsi="Times New Roman" w:cs="Times New Roman"/>
          <w:sz w:val="24"/>
          <w:szCs w:val="24"/>
        </w:rPr>
        <w:t>,</w:t>
      </w:r>
      <w:r>
        <w:rPr>
          <w:rFonts w:ascii="Times New Roman" w:hAnsi="Times New Roman" w:cs="Times New Roman"/>
          <w:sz w:val="24"/>
          <w:szCs w:val="24"/>
        </w:rPr>
        <w:t xml:space="preserve"> with heavy demands of both physical and “emotional labour</w:t>
      </w:r>
      <w:r w:rsidR="0093123A">
        <w:rPr>
          <w:rFonts w:ascii="Times New Roman" w:hAnsi="Times New Roman" w:cs="Times New Roman"/>
          <w:sz w:val="24"/>
          <w:szCs w:val="24"/>
        </w:rPr>
        <w:t>,</w:t>
      </w:r>
      <w:r>
        <w:rPr>
          <w:rFonts w:ascii="Times New Roman" w:hAnsi="Times New Roman" w:cs="Times New Roman"/>
          <w:sz w:val="24"/>
          <w:szCs w:val="24"/>
        </w:rPr>
        <w:t>”</w:t>
      </w:r>
      <w:r>
        <w:rPr>
          <w:rStyle w:val="FootnoteAnchor"/>
          <w:rFonts w:ascii="Times New Roman" w:hAnsi="Times New Roman" w:cs="Times New Roman"/>
          <w:sz w:val="24"/>
          <w:szCs w:val="24"/>
        </w:rPr>
        <w:footnoteReference w:id="50"/>
      </w:r>
      <w:r>
        <w:rPr>
          <w:rFonts w:ascii="Times New Roman" w:hAnsi="Times New Roman" w:cs="Times New Roman"/>
          <w:sz w:val="24"/>
          <w:szCs w:val="24"/>
        </w:rPr>
        <w:t xml:space="preserve"> and many also live within the same property (as one participant put it to Saniford and Seymour, this means “my personal problems are also my work problems”).</w:t>
      </w:r>
      <w:r>
        <w:rPr>
          <w:rStyle w:val="FootnoteAnchor"/>
          <w:rFonts w:ascii="Times New Roman" w:hAnsi="Times New Roman" w:cs="Times New Roman"/>
          <w:sz w:val="24"/>
          <w:szCs w:val="24"/>
        </w:rPr>
        <w:footnoteReference w:id="51"/>
      </w:r>
      <w:r>
        <w:rPr>
          <w:rFonts w:ascii="Times New Roman" w:hAnsi="Times New Roman" w:cs="Times New Roman"/>
          <w:sz w:val="24"/>
          <w:szCs w:val="24"/>
        </w:rPr>
        <w:t xml:space="preserve"> Smith’s detailed interrogation of the demands of life as a publican underscore that the “pervasiveness” of the life of a tenant, who is financially invested in the pub’s performance, “contrasts sharply” with that of a salaried manager.</w:t>
      </w:r>
      <w:r>
        <w:rPr>
          <w:rStyle w:val="FootnoteAnchor"/>
        </w:rPr>
        <w:footnoteReference w:id="52"/>
      </w:r>
      <w:r>
        <w:rPr>
          <w:rFonts w:ascii="Times New Roman" w:hAnsi="Times New Roman" w:cs="Times New Roman"/>
          <w:sz w:val="24"/>
          <w:szCs w:val="24"/>
        </w:rPr>
        <w:t xml:space="preserve"> The former is more likely to work longer hours, integrate more fully with patrons, and face a “pervasive” blurring between “pub life and family life”.</w:t>
      </w:r>
      <w:r>
        <w:rPr>
          <w:rStyle w:val="FootnoteAnchor"/>
        </w:rPr>
        <w:footnoteReference w:id="53"/>
      </w:r>
      <w:r>
        <w:rPr>
          <w:rFonts w:ascii="Times New Roman" w:hAnsi="Times New Roman" w:cs="Times New Roman"/>
          <w:sz w:val="24"/>
          <w:szCs w:val="24"/>
        </w:rPr>
        <w:t xml:space="preserve"> As Smith argues, the important issue is not the “economic-legal element of the tie” but instead how it impacts on the “role-style adopted by tenants particularly in relation to</w:t>
      </w:r>
      <w:r w:rsidR="002214CA">
        <w:rPr>
          <w:rFonts w:ascii="Times New Roman" w:hAnsi="Times New Roman" w:cs="Times New Roman"/>
          <w:sz w:val="24"/>
          <w:szCs w:val="24"/>
        </w:rPr>
        <w:t>…</w:t>
      </w:r>
      <w:r>
        <w:rPr>
          <w:rFonts w:ascii="Times New Roman" w:hAnsi="Times New Roman" w:cs="Times New Roman"/>
          <w:sz w:val="24"/>
          <w:szCs w:val="24"/>
        </w:rPr>
        <w:t>the leisure side of the pub”.</w:t>
      </w:r>
      <w:r>
        <w:rPr>
          <w:rStyle w:val="FootnoteAnchor"/>
        </w:rPr>
        <w:footnoteReference w:id="54"/>
      </w:r>
      <w:r>
        <w:rPr>
          <w:rFonts w:ascii="Times New Roman" w:hAnsi="Times New Roman" w:cs="Times New Roman"/>
          <w:sz w:val="24"/>
          <w:szCs w:val="24"/>
        </w:rPr>
        <w:t xml:space="preserve"> This distinction is why temperance campaigners often preferred the use of disinterested salaried managers in establishments – known as the “Gothenburg system” – as it was seen to reduce the incentive </w:t>
      </w:r>
      <w:r>
        <w:rPr>
          <w:rFonts w:ascii="Times New Roman" w:hAnsi="Times New Roman" w:cs="Times New Roman"/>
          <w:sz w:val="24"/>
          <w:szCs w:val="24"/>
        </w:rPr>
        <w:lastRenderedPageBreak/>
        <w:t>to push the sale of alcohol and develop patronage with customers.</w:t>
      </w:r>
      <w:r>
        <w:rPr>
          <w:rStyle w:val="FootnoteAnchor"/>
          <w:rFonts w:ascii="Times New Roman" w:hAnsi="Times New Roman" w:cs="Times New Roman"/>
          <w:sz w:val="24"/>
          <w:szCs w:val="24"/>
        </w:rPr>
        <w:footnoteReference w:id="55"/>
      </w:r>
      <w:r w:rsidR="00540521">
        <w:rPr>
          <w:rFonts w:ascii="Times New Roman" w:hAnsi="Times New Roman" w:cs="Times New Roman"/>
          <w:sz w:val="24"/>
          <w:szCs w:val="24"/>
        </w:rPr>
        <w:t xml:space="preserve"> </w:t>
      </w:r>
      <w:r>
        <w:rPr>
          <w:rFonts w:ascii="Times New Roman" w:hAnsi="Times New Roman" w:cs="Times New Roman"/>
          <w:sz w:val="24"/>
          <w:szCs w:val="24"/>
        </w:rPr>
        <w:t>As Pratten argues, the “logic” of breweries adopting leases was both to foster this more entrepreneurial spirit from publicans and to attract “more entrepreneurial” prospective publicans in the first place.</w:t>
      </w:r>
      <w:bookmarkStart w:id="8" w:name="_Ref104213947"/>
      <w:r>
        <w:rPr>
          <w:rStyle w:val="FootnoteAnchor"/>
          <w:rFonts w:ascii="Times New Roman" w:hAnsi="Times New Roman" w:cs="Times New Roman"/>
          <w:sz w:val="24"/>
          <w:szCs w:val="24"/>
        </w:rPr>
        <w:footnoteReference w:id="56"/>
      </w:r>
      <w:bookmarkEnd w:id="8"/>
      <w:r>
        <w:rPr>
          <w:rFonts w:ascii="Times New Roman" w:hAnsi="Times New Roman" w:cs="Times New Roman"/>
          <w:sz w:val="24"/>
          <w:szCs w:val="24"/>
        </w:rPr>
        <w:t xml:space="preserve"> By providing a clear incentive to increase profits, terms of the lease can in turn foster an arrangement between the pub-owning company that maximises the profitability of the pub.</w:t>
      </w:r>
      <w:r>
        <w:rPr>
          <w:rStyle w:val="FootnoteAnchor"/>
          <w:rFonts w:ascii="Times New Roman" w:hAnsi="Times New Roman" w:cs="Times New Roman"/>
          <w:sz w:val="24"/>
          <w:szCs w:val="24"/>
        </w:rPr>
        <w:footnoteReference w:id="57"/>
      </w:r>
      <w:r>
        <w:rPr>
          <w:rFonts w:ascii="Times New Roman" w:hAnsi="Times New Roman" w:cs="Times New Roman"/>
          <w:sz w:val="24"/>
          <w:szCs w:val="24"/>
        </w:rPr>
        <w:t xml:space="preserve"> </w:t>
      </w:r>
    </w:p>
    <w:p w14:paraId="3CB235F3" w14:textId="4A429A66" w:rsidR="00861CCE" w:rsidRDefault="00B953D4" w:rsidP="00D6329E">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Of course, this fostering of the “entrepreneurial spirit” brings with it the opportunity to shift significant amounts of risk</w:t>
      </w:r>
      <w:r w:rsidR="00312059">
        <w:rPr>
          <w:rFonts w:ascii="Times New Roman" w:hAnsi="Times New Roman" w:cs="Times New Roman"/>
          <w:sz w:val="24"/>
          <w:szCs w:val="24"/>
        </w:rPr>
        <w:t xml:space="preserve"> and responsibility</w:t>
      </w:r>
      <w:r>
        <w:rPr>
          <w:rFonts w:ascii="Times New Roman" w:hAnsi="Times New Roman" w:cs="Times New Roman"/>
          <w:sz w:val="24"/>
          <w:szCs w:val="24"/>
        </w:rPr>
        <w:t xml:space="preserve"> onto the tied-tenant. </w:t>
      </w:r>
      <w:r w:rsidR="000E515E">
        <w:rPr>
          <w:rFonts w:ascii="Times New Roman" w:hAnsi="Times New Roman" w:cs="Times New Roman"/>
          <w:sz w:val="24"/>
          <w:szCs w:val="24"/>
        </w:rPr>
        <w:t>In the pub sector</w:t>
      </w:r>
      <w:r>
        <w:rPr>
          <w:rFonts w:ascii="Times New Roman" w:hAnsi="Times New Roman" w:cs="Times New Roman"/>
          <w:sz w:val="24"/>
          <w:szCs w:val="24"/>
        </w:rPr>
        <w:t xml:space="preserve">, </w:t>
      </w:r>
      <w:r w:rsidR="005B12A3">
        <w:rPr>
          <w:rFonts w:ascii="Times New Roman" w:hAnsi="Times New Roman" w:cs="Times New Roman"/>
          <w:sz w:val="24"/>
          <w:szCs w:val="24"/>
        </w:rPr>
        <w:t>this power-imbalance between the parties is a core component to tied leases, with an often “</w:t>
      </w:r>
      <w:r w:rsidR="005B12A3" w:rsidRPr="005B12A3">
        <w:rPr>
          <w:rFonts w:ascii="Times New Roman" w:hAnsi="Times New Roman" w:cs="Times New Roman"/>
          <w:sz w:val="24"/>
          <w:szCs w:val="24"/>
        </w:rPr>
        <w:t>David and Goliath</w:t>
      </w:r>
      <w:r w:rsidR="005B12A3">
        <w:rPr>
          <w:rFonts w:ascii="Times New Roman" w:hAnsi="Times New Roman" w:cs="Times New Roman"/>
          <w:sz w:val="24"/>
          <w:szCs w:val="24"/>
        </w:rPr>
        <w:t xml:space="preserve">” dynamic between the largest PubCos (often with considerable resources) and the tied-tenants, most of whom </w:t>
      </w:r>
      <w:r w:rsidR="00D54513">
        <w:rPr>
          <w:rFonts w:ascii="Times New Roman" w:hAnsi="Times New Roman" w:cs="Times New Roman"/>
          <w:sz w:val="24"/>
          <w:szCs w:val="24"/>
        </w:rPr>
        <w:t>operate only one establishment</w:t>
      </w:r>
      <w:r w:rsidR="005B12A3">
        <w:rPr>
          <w:rFonts w:ascii="Times New Roman" w:hAnsi="Times New Roman" w:cs="Times New Roman"/>
          <w:sz w:val="24"/>
          <w:szCs w:val="24"/>
        </w:rPr>
        <w:t>.</w:t>
      </w:r>
      <w:r w:rsidR="00097BB5">
        <w:rPr>
          <w:rStyle w:val="FootnoteReference"/>
          <w:rFonts w:ascii="Times New Roman" w:hAnsi="Times New Roman" w:cs="Times New Roman"/>
          <w:sz w:val="24"/>
          <w:szCs w:val="24"/>
        </w:rPr>
        <w:footnoteReference w:id="58"/>
      </w:r>
      <w:r w:rsidR="005B12A3">
        <w:rPr>
          <w:rFonts w:ascii="Times New Roman" w:hAnsi="Times New Roman" w:cs="Times New Roman"/>
          <w:sz w:val="24"/>
          <w:szCs w:val="24"/>
        </w:rPr>
        <w:t xml:space="preserve"> This is a common theme in Cowan et al’s study of shared ownership, where the transfer of responsibilities (particularly for repairs) is a core function of the lease.</w:t>
      </w:r>
      <w:r w:rsidR="005B12A3">
        <w:rPr>
          <w:rStyle w:val="FootnoteReference"/>
          <w:rFonts w:ascii="Times New Roman" w:hAnsi="Times New Roman" w:cs="Times New Roman"/>
          <w:sz w:val="24"/>
          <w:szCs w:val="24"/>
        </w:rPr>
        <w:footnoteReference w:id="59"/>
      </w:r>
      <w:r w:rsidR="005B12A3">
        <w:rPr>
          <w:rFonts w:ascii="Times New Roman" w:hAnsi="Times New Roman" w:cs="Times New Roman"/>
          <w:sz w:val="24"/>
          <w:szCs w:val="24"/>
        </w:rPr>
        <w:t xml:space="preserve"> This in mirrored in the pub sector via the widespread use of </w:t>
      </w:r>
      <w:r>
        <w:rPr>
          <w:rFonts w:ascii="Times New Roman" w:hAnsi="Times New Roman" w:cs="Times New Roman"/>
          <w:sz w:val="24"/>
          <w:szCs w:val="24"/>
        </w:rPr>
        <w:t>“full repairing and insurance” leases , even where the term of occupation is relatively short</w:t>
      </w:r>
      <w:r w:rsidR="005B12A3">
        <w:rPr>
          <w:rFonts w:ascii="Times New Roman" w:hAnsi="Times New Roman" w:cs="Times New Roman"/>
          <w:sz w:val="24"/>
          <w:szCs w:val="24"/>
        </w:rPr>
        <w:t xml:space="preserve"> (e.g. five years)</w:t>
      </w:r>
      <w:r>
        <w:rPr>
          <w:rFonts w:ascii="Times New Roman" w:hAnsi="Times New Roman" w:cs="Times New Roman"/>
          <w:sz w:val="24"/>
          <w:szCs w:val="24"/>
        </w:rPr>
        <w:t>.</w:t>
      </w:r>
      <w:r>
        <w:rPr>
          <w:rStyle w:val="FootnoteAnchor"/>
          <w:rFonts w:ascii="Times New Roman" w:hAnsi="Times New Roman" w:cs="Times New Roman"/>
          <w:sz w:val="24"/>
          <w:szCs w:val="24"/>
        </w:rPr>
        <w:footnoteReference w:id="60"/>
      </w:r>
      <w:r>
        <w:rPr>
          <w:rFonts w:ascii="Times New Roman" w:hAnsi="Times New Roman" w:cs="Times New Roman"/>
          <w:sz w:val="24"/>
          <w:szCs w:val="24"/>
        </w:rPr>
        <w:t xml:space="preserve"> Here, the tenant is responsible for all repairs in the property – an issue of particular significance given the </w:t>
      </w:r>
      <w:r w:rsidR="007B321F">
        <w:rPr>
          <w:rFonts w:ascii="Times New Roman" w:hAnsi="Times New Roman" w:cs="Times New Roman"/>
          <w:sz w:val="24"/>
          <w:szCs w:val="24"/>
        </w:rPr>
        <w:t>considerable</w:t>
      </w:r>
      <w:r w:rsidR="00FF200A">
        <w:rPr>
          <w:rFonts w:ascii="Times New Roman" w:hAnsi="Times New Roman" w:cs="Times New Roman"/>
          <w:sz w:val="24"/>
          <w:szCs w:val="24"/>
        </w:rPr>
        <w:t xml:space="preserve"> repair issues facing</w:t>
      </w:r>
      <w:r>
        <w:rPr>
          <w:rFonts w:ascii="Times New Roman" w:hAnsi="Times New Roman" w:cs="Times New Roman"/>
          <w:sz w:val="24"/>
          <w:szCs w:val="24"/>
        </w:rPr>
        <w:t xml:space="preserve"> much of the UK’s aging pub stock.</w:t>
      </w:r>
      <w:r>
        <w:rPr>
          <w:rStyle w:val="FootnoteAnchor"/>
          <w:rFonts w:ascii="Times New Roman" w:hAnsi="Times New Roman" w:cs="Times New Roman"/>
          <w:sz w:val="24"/>
          <w:szCs w:val="24"/>
        </w:rPr>
        <w:footnoteReference w:id="61"/>
      </w:r>
      <w:r>
        <w:rPr>
          <w:rFonts w:ascii="Times New Roman" w:hAnsi="Times New Roman" w:cs="Times New Roman"/>
          <w:sz w:val="24"/>
          <w:szCs w:val="24"/>
        </w:rPr>
        <w:t xml:space="preserve"> As Chapman and Edwards have observed, tenants taking on “a full repairing lease without proper investigation of the property” can discover they are the “'proud' occupants of a listed building which will require tens of thousands of pounds of expenditure”.</w:t>
      </w:r>
      <w:r>
        <w:rPr>
          <w:rStyle w:val="FootnoteAnchor"/>
          <w:rFonts w:ascii="Times New Roman" w:hAnsi="Times New Roman" w:cs="Times New Roman"/>
          <w:sz w:val="24"/>
          <w:szCs w:val="24"/>
        </w:rPr>
        <w:footnoteReference w:id="62"/>
      </w:r>
    </w:p>
    <w:p w14:paraId="1BCC8891" w14:textId="000ED6C6" w:rsidR="00861CCE" w:rsidRPr="000B430A" w:rsidRDefault="0086506F" w:rsidP="000B430A">
      <w:pPr>
        <w:spacing w:line="276" w:lineRule="auto"/>
        <w:ind w:right="95"/>
        <w:jc w:val="both"/>
        <w:rPr>
          <w:rFonts w:ascii="Times New Roman" w:hAnsi="Times New Roman" w:cs="Times New Roman"/>
          <w:i/>
          <w:sz w:val="24"/>
          <w:szCs w:val="24"/>
        </w:rPr>
      </w:pPr>
      <w:r w:rsidRPr="000B430A">
        <w:rPr>
          <w:rFonts w:ascii="Times New Roman" w:hAnsi="Times New Roman" w:cs="Times New Roman"/>
          <w:b/>
          <w:sz w:val="24"/>
          <w:szCs w:val="24"/>
        </w:rPr>
        <w:t>2.2.</w:t>
      </w:r>
      <w:r>
        <w:rPr>
          <w:rFonts w:ascii="Times New Roman" w:hAnsi="Times New Roman" w:cs="Times New Roman"/>
          <w:b/>
          <w:i/>
          <w:sz w:val="24"/>
          <w:szCs w:val="24"/>
        </w:rPr>
        <w:t xml:space="preserve"> </w:t>
      </w:r>
      <w:r w:rsidR="006133D4">
        <w:rPr>
          <w:rFonts w:ascii="Times New Roman" w:hAnsi="Times New Roman" w:cs="Times New Roman"/>
          <w:b/>
          <w:i/>
          <w:sz w:val="24"/>
          <w:szCs w:val="24"/>
        </w:rPr>
        <w:t xml:space="preserve">Tying </w:t>
      </w:r>
      <w:r w:rsidR="00B953D4" w:rsidRPr="000B430A">
        <w:rPr>
          <w:rFonts w:ascii="Times New Roman" w:hAnsi="Times New Roman" w:cs="Times New Roman"/>
          <w:b/>
          <w:i/>
          <w:sz w:val="24"/>
          <w:szCs w:val="24"/>
        </w:rPr>
        <w:t>the</w:t>
      </w:r>
      <w:r w:rsidR="006070BD">
        <w:rPr>
          <w:rFonts w:ascii="Times New Roman" w:hAnsi="Times New Roman" w:cs="Times New Roman"/>
          <w:b/>
          <w:i/>
          <w:sz w:val="24"/>
          <w:szCs w:val="24"/>
        </w:rPr>
        <w:t xml:space="preserve"> operation of a</w:t>
      </w:r>
      <w:r w:rsidR="00B953D4" w:rsidRPr="000B430A">
        <w:rPr>
          <w:rFonts w:ascii="Times New Roman" w:hAnsi="Times New Roman" w:cs="Times New Roman"/>
          <w:b/>
          <w:i/>
          <w:sz w:val="24"/>
          <w:szCs w:val="24"/>
        </w:rPr>
        <w:t xml:space="preserve"> business to </w:t>
      </w:r>
      <w:r w:rsidR="006070BD">
        <w:rPr>
          <w:rFonts w:ascii="Times New Roman" w:hAnsi="Times New Roman" w:cs="Times New Roman"/>
          <w:b/>
          <w:i/>
          <w:sz w:val="24"/>
          <w:szCs w:val="24"/>
        </w:rPr>
        <w:t xml:space="preserve">occupation of a </w:t>
      </w:r>
      <w:r w:rsidR="00B953D4" w:rsidRPr="000B430A">
        <w:rPr>
          <w:rFonts w:ascii="Times New Roman" w:hAnsi="Times New Roman" w:cs="Times New Roman"/>
          <w:b/>
          <w:i/>
          <w:sz w:val="24"/>
          <w:szCs w:val="24"/>
        </w:rPr>
        <w:t>property</w:t>
      </w:r>
    </w:p>
    <w:p w14:paraId="109FDBA0" w14:textId="4FBF0B38" w:rsidR="00861CCE" w:rsidRDefault="00B953D4" w:rsidP="001A0ADB">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 xml:space="preserve">Second, the lease provides a flexible </w:t>
      </w:r>
      <w:r w:rsidR="006133D4">
        <w:rPr>
          <w:rFonts w:ascii="Times New Roman" w:hAnsi="Times New Roman" w:cs="Times New Roman"/>
          <w:sz w:val="24"/>
          <w:szCs w:val="24"/>
        </w:rPr>
        <w:t>way to tie</w:t>
      </w:r>
      <w:r>
        <w:rPr>
          <w:rFonts w:ascii="Times New Roman" w:hAnsi="Times New Roman" w:cs="Times New Roman"/>
          <w:sz w:val="24"/>
          <w:szCs w:val="24"/>
        </w:rPr>
        <w:t xml:space="preserve"> the operation of a business to the occupation of a property.  Traditionally, commercial leasing in the UK has been dominated by a prevalence of “standard institutional leases”, generally with long periods of occupation and with industry standard terms (such as on building repairs).</w:t>
      </w:r>
      <w:r>
        <w:rPr>
          <w:rStyle w:val="FootnoteAnchor"/>
          <w:rFonts w:ascii="Times New Roman" w:hAnsi="Times New Roman" w:cs="Times New Roman"/>
          <w:sz w:val="24"/>
          <w:szCs w:val="24"/>
        </w:rPr>
        <w:footnoteReference w:id="63"/>
      </w:r>
      <w:r>
        <w:rPr>
          <w:rFonts w:ascii="Times New Roman" w:hAnsi="Times New Roman" w:cs="Times New Roman"/>
          <w:sz w:val="24"/>
          <w:szCs w:val="24"/>
        </w:rPr>
        <w:t xml:space="preserve"> However</w:t>
      </w:r>
      <w:r w:rsidR="005D065D">
        <w:rPr>
          <w:rFonts w:ascii="Times New Roman" w:hAnsi="Times New Roman" w:cs="Times New Roman"/>
          <w:sz w:val="24"/>
          <w:szCs w:val="24"/>
        </w:rPr>
        <w:t xml:space="preserve"> </w:t>
      </w:r>
      <w:r>
        <w:rPr>
          <w:rFonts w:ascii="Times New Roman" w:hAnsi="Times New Roman" w:cs="Times New Roman"/>
          <w:sz w:val="24"/>
          <w:szCs w:val="24"/>
        </w:rPr>
        <w:t xml:space="preserve">the lease offers far more flexibility to both commercial tenant and landlord than a passive vehicle for rental income. </w:t>
      </w:r>
      <w:r w:rsidR="001A0ADB">
        <w:rPr>
          <w:rFonts w:ascii="Times New Roman" w:hAnsi="Times New Roman" w:cs="Times New Roman"/>
          <w:sz w:val="24"/>
          <w:szCs w:val="24"/>
        </w:rPr>
        <w:t xml:space="preserve">As Harris underscores, </w:t>
      </w:r>
      <w:r w:rsidR="005D065D">
        <w:rPr>
          <w:rFonts w:ascii="Times New Roman" w:hAnsi="Times New Roman" w:cs="Times New Roman"/>
          <w:sz w:val="24"/>
          <w:szCs w:val="24"/>
        </w:rPr>
        <w:t>the leases’</w:t>
      </w:r>
      <w:r w:rsidR="001A0ADB">
        <w:rPr>
          <w:rFonts w:ascii="Times New Roman" w:hAnsi="Times New Roman" w:cs="Times New Roman"/>
          <w:sz w:val="24"/>
          <w:szCs w:val="24"/>
        </w:rPr>
        <w:t xml:space="preserve"> “</w:t>
      </w:r>
      <w:r w:rsidR="001A0ADB" w:rsidRPr="001A0ADB">
        <w:rPr>
          <w:rFonts w:ascii="Times New Roman" w:hAnsi="Times New Roman" w:cs="Times New Roman"/>
          <w:sz w:val="24"/>
          <w:szCs w:val="24"/>
        </w:rPr>
        <w:t>the landlord-tenant relationship</w:t>
      </w:r>
      <w:r w:rsidR="001A0ADB">
        <w:rPr>
          <w:rFonts w:ascii="Times New Roman" w:hAnsi="Times New Roman" w:cs="Times New Roman"/>
          <w:sz w:val="24"/>
          <w:szCs w:val="24"/>
        </w:rPr>
        <w:t>” enable “</w:t>
      </w:r>
      <w:r w:rsidR="001A0ADB" w:rsidRPr="001A0ADB">
        <w:rPr>
          <w:rFonts w:ascii="Times New Roman" w:hAnsi="Times New Roman" w:cs="Times New Roman"/>
          <w:sz w:val="24"/>
          <w:szCs w:val="24"/>
        </w:rPr>
        <w:t>the attaching of conditions not attachable to a freehold</w:t>
      </w:r>
      <w:r w:rsidR="001A0ADB">
        <w:rPr>
          <w:rFonts w:ascii="Times New Roman" w:hAnsi="Times New Roman" w:cs="Times New Roman"/>
          <w:sz w:val="24"/>
          <w:szCs w:val="24"/>
        </w:rPr>
        <w:t>”.</w:t>
      </w:r>
      <w:r w:rsidR="001A0ADB">
        <w:rPr>
          <w:rStyle w:val="FootnoteReference"/>
          <w:rFonts w:ascii="Times New Roman" w:hAnsi="Times New Roman" w:cs="Times New Roman"/>
          <w:sz w:val="24"/>
          <w:szCs w:val="24"/>
        </w:rPr>
        <w:footnoteReference w:id="64"/>
      </w:r>
      <w:r w:rsidR="001A0ADB">
        <w:rPr>
          <w:rFonts w:ascii="Times New Roman" w:hAnsi="Times New Roman" w:cs="Times New Roman"/>
          <w:sz w:val="24"/>
          <w:szCs w:val="24"/>
        </w:rPr>
        <w:t xml:space="preserve"> In the context of commercial leases,</w:t>
      </w:r>
      <w:r>
        <w:rPr>
          <w:rFonts w:ascii="Times New Roman" w:hAnsi="Times New Roman" w:cs="Times New Roman"/>
          <w:sz w:val="24"/>
          <w:szCs w:val="24"/>
        </w:rPr>
        <w:t xml:space="preserve"> </w:t>
      </w:r>
      <w:r w:rsidR="005D065D">
        <w:rPr>
          <w:rFonts w:ascii="Times New Roman" w:hAnsi="Times New Roman" w:cs="Times New Roman"/>
          <w:sz w:val="24"/>
          <w:szCs w:val="24"/>
        </w:rPr>
        <w:t xml:space="preserve">this </w:t>
      </w:r>
      <w:r>
        <w:rPr>
          <w:rFonts w:ascii="Times New Roman" w:hAnsi="Times New Roman" w:cs="Times New Roman"/>
          <w:sz w:val="24"/>
          <w:szCs w:val="24"/>
        </w:rPr>
        <w:t xml:space="preserve">is perhaps best illustrated by Orr et al’s work on the increasing practice of so-called “turnover rents”, where the tenant pays a proportion of their turnover (or sometimes a combination of turnover </w:t>
      </w:r>
      <w:r>
        <w:rPr>
          <w:rFonts w:ascii="Times New Roman" w:hAnsi="Times New Roman" w:cs="Times New Roman"/>
          <w:sz w:val="24"/>
          <w:szCs w:val="24"/>
        </w:rPr>
        <w:lastRenderedPageBreak/>
        <w:t>and a lowered fixed rent) instead of simply a market rent.</w:t>
      </w:r>
      <w:bookmarkStart w:id="9" w:name="_Ref104207535"/>
      <w:r>
        <w:rPr>
          <w:rStyle w:val="FootnoteAnchor"/>
          <w:rFonts w:ascii="Times New Roman" w:hAnsi="Times New Roman" w:cs="Times New Roman"/>
          <w:sz w:val="24"/>
          <w:szCs w:val="24"/>
        </w:rPr>
        <w:footnoteReference w:id="65"/>
      </w:r>
      <w:bookmarkEnd w:id="9"/>
      <w:r>
        <w:rPr>
          <w:rFonts w:ascii="Times New Roman" w:hAnsi="Times New Roman" w:cs="Times New Roman"/>
          <w:sz w:val="24"/>
          <w:szCs w:val="24"/>
        </w:rPr>
        <w:t xml:space="preserve"> Here, the lease is achieving a risk sharing function: a retailer tenant can minimise their exposure to fixed overheads when the market downturns, </w:t>
      </w:r>
      <w:r w:rsidR="00E92221">
        <w:rPr>
          <w:rFonts w:ascii="Times New Roman" w:hAnsi="Times New Roman" w:cs="Times New Roman"/>
          <w:sz w:val="24"/>
          <w:szCs w:val="24"/>
        </w:rPr>
        <w:t xml:space="preserve">but </w:t>
      </w:r>
      <w:r>
        <w:rPr>
          <w:rFonts w:ascii="Times New Roman" w:hAnsi="Times New Roman" w:cs="Times New Roman"/>
          <w:sz w:val="24"/>
          <w:szCs w:val="24"/>
        </w:rPr>
        <w:t>are obliged to share the fruits of upturns with their landlord. Likewise, where landlords also own adjacent properties (such as in shopping centres) so-called “ad</w:t>
      </w:r>
      <w:r w:rsidR="000B6336">
        <w:rPr>
          <w:rFonts w:ascii="Times New Roman" w:hAnsi="Times New Roman" w:cs="Times New Roman"/>
          <w:sz w:val="24"/>
          <w:szCs w:val="24"/>
        </w:rPr>
        <w:t>jacency clauses” allow tenants</w:t>
      </w:r>
      <w:r>
        <w:rPr>
          <w:rFonts w:ascii="Times New Roman" w:hAnsi="Times New Roman" w:cs="Times New Roman"/>
          <w:sz w:val="24"/>
          <w:szCs w:val="24"/>
        </w:rPr>
        <w:t xml:space="preserve"> control over the space around the property, such as blocking the leasing of neighbouring units to particular competitor or undesirable companies.</w:t>
      </w:r>
      <w:r>
        <w:rPr>
          <w:rStyle w:val="FootnoteAnchor"/>
          <w:rFonts w:ascii="Times New Roman" w:hAnsi="Times New Roman" w:cs="Times New Roman"/>
          <w:sz w:val="24"/>
          <w:szCs w:val="24"/>
        </w:rPr>
        <w:footnoteReference w:id="66"/>
      </w:r>
    </w:p>
    <w:p w14:paraId="5FB93E66" w14:textId="592C262E" w:rsidR="00861CCE" w:rsidRDefault="00B953D4" w:rsidP="00D6329E">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 xml:space="preserve">The longstanding appeal of tying aspects of the business to the occupation of the property means </w:t>
      </w:r>
      <w:r w:rsidR="005D065D">
        <w:rPr>
          <w:rFonts w:ascii="Times New Roman" w:hAnsi="Times New Roman" w:cs="Times New Roman"/>
          <w:sz w:val="24"/>
          <w:szCs w:val="24"/>
        </w:rPr>
        <w:t>that leasehold is often used</w:t>
      </w:r>
      <w:r w:rsidR="0000692F">
        <w:rPr>
          <w:rFonts w:ascii="Times New Roman" w:hAnsi="Times New Roman" w:cs="Times New Roman"/>
          <w:sz w:val="24"/>
          <w:szCs w:val="24"/>
        </w:rPr>
        <w:t xml:space="preserve"> where landowners want to exercise significant arms-length control</w:t>
      </w:r>
      <w:r>
        <w:rPr>
          <w:rFonts w:ascii="Times New Roman" w:hAnsi="Times New Roman" w:cs="Times New Roman"/>
          <w:sz w:val="24"/>
          <w:szCs w:val="24"/>
        </w:rPr>
        <w:t xml:space="preserve">. Perhaps the area with the most scholarly attention is farming. The role of the lease in shaping farming practices across the </w:t>
      </w:r>
      <w:r w:rsidR="004E4293">
        <w:rPr>
          <w:rFonts w:ascii="Times New Roman" w:hAnsi="Times New Roman" w:cs="Times New Roman"/>
          <w:sz w:val="24"/>
          <w:szCs w:val="24"/>
        </w:rPr>
        <w:t xml:space="preserve">eighteenth </w:t>
      </w:r>
      <w:r>
        <w:rPr>
          <w:rFonts w:ascii="Times New Roman" w:hAnsi="Times New Roman" w:cs="Times New Roman"/>
          <w:sz w:val="24"/>
          <w:szCs w:val="24"/>
        </w:rPr>
        <w:t xml:space="preserve">and </w:t>
      </w:r>
      <w:r w:rsidR="004E4293">
        <w:rPr>
          <w:rFonts w:ascii="Times New Roman" w:hAnsi="Times New Roman" w:cs="Times New Roman"/>
          <w:sz w:val="24"/>
          <w:szCs w:val="24"/>
        </w:rPr>
        <w:t xml:space="preserve">nineteenth </w:t>
      </w:r>
      <w:r>
        <w:rPr>
          <w:rFonts w:ascii="Times New Roman" w:hAnsi="Times New Roman" w:cs="Times New Roman"/>
          <w:sz w:val="24"/>
          <w:szCs w:val="24"/>
        </w:rPr>
        <w:t xml:space="preserve">centuries is an ongoing debate between agricultural historians. Landowners used lease terms to shape farming practices and “risk management” in the agricultural sector </w:t>
      </w:r>
      <w:r w:rsidRPr="00867619">
        <w:rPr>
          <w:rFonts w:ascii="Times New Roman" w:hAnsi="Times New Roman" w:cs="Times New Roman"/>
          <w:sz w:val="24"/>
          <w:szCs w:val="24"/>
        </w:rPr>
        <w:t xml:space="preserve">in </w:t>
      </w:r>
      <w:r w:rsidR="00867619" w:rsidRPr="000B430A">
        <w:rPr>
          <w:rFonts w:ascii="Times New Roman" w:hAnsi="Times New Roman" w:cs="Times New Roman"/>
          <w:sz w:val="24"/>
          <w:szCs w:val="24"/>
        </w:rPr>
        <w:t xml:space="preserve">a </w:t>
      </w:r>
      <w:r w:rsidRPr="00867619">
        <w:rPr>
          <w:rFonts w:ascii="Times New Roman" w:hAnsi="Times New Roman" w:cs="Times New Roman"/>
          <w:sz w:val="24"/>
          <w:szCs w:val="24"/>
        </w:rPr>
        <w:t>way that</w:t>
      </w:r>
      <w:r w:rsidR="000C761D">
        <w:rPr>
          <w:rFonts w:ascii="Times New Roman" w:hAnsi="Times New Roman" w:cs="Times New Roman"/>
          <w:sz w:val="24"/>
          <w:szCs w:val="24"/>
        </w:rPr>
        <w:t xml:space="preserve"> </w:t>
      </w:r>
      <w:r>
        <w:rPr>
          <w:rFonts w:ascii="Times New Roman" w:hAnsi="Times New Roman" w:cs="Times New Roman"/>
          <w:sz w:val="24"/>
          <w:szCs w:val="24"/>
        </w:rPr>
        <w:t>Martins and Williamson argue reflect</w:t>
      </w:r>
      <w:r w:rsidR="000C761D">
        <w:rPr>
          <w:rFonts w:ascii="Times New Roman" w:hAnsi="Times New Roman" w:cs="Times New Roman"/>
          <w:sz w:val="24"/>
          <w:szCs w:val="24"/>
        </w:rPr>
        <w:t>s</w:t>
      </w:r>
      <w:r>
        <w:rPr>
          <w:rFonts w:ascii="Times New Roman" w:hAnsi="Times New Roman" w:cs="Times New Roman"/>
          <w:sz w:val="24"/>
          <w:szCs w:val="24"/>
        </w:rPr>
        <w:t xml:space="preserve"> the “changing balance of power between landlord and tenant”.</w:t>
      </w:r>
      <w:r>
        <w:rPr>
          <w:rStyle w:val="FootnoteAnchor"/>
          <w:rFonts w:ascii="Times New Roman" w:hAnsi="Times New Roman" w:cs="Times New Roman"/>
          <w:sz w:val="24"/>
          <w:szCs w:val="24"/>
        </w:rPr>
        <w:footnoteReference w:id="67"/>
      </w:r>
      <w:r w:rsidR="00122759">
        <w:rPr>
          <w:rFonts w:ascii="Times New Roman" w:hAnsi="Times New Roman" w:cs="Times New Roman"/>
          <w:sz w:val="24"/>
          <w:szCs w:val="24"/>
        </w:rPr>
        <w:t xml:space="preserve"> Much like its appeal to agricultural property owners, this flexibility in exercising control over </w:t>
      </w:r>
      <w:r w:rsidR="00122759" w:rsidRPr="00867619">
        <w:rPr>
          <w:rFonts w:ascii="Times New Roman" w:hAnsi="Times New Roman" w:cs="Times New Roman"/>
          <w:sz w:val="24"/>
          <w:szCs w:val="24"/>
        </w:rPr>
        <w:t>aspects of lessees</w:t>
      </w:r>
      <w:r w:rsidR="00867619" w:rsidRPr="000B430A">
        <w:rPr>
          <w:rFonts w:ascii="Times New Roman" w:hAnsi="Times New Roman" w:cs="Times New Roman"/>
          <w:sz w:val="24"/>
          <w:szCs w:val="24"/>
        </w:rPr>
        <w:t>’</w:t>
      </w:r>
      <w:r w:rsidR="00122759" w:rsidRPr="00867619">
        <w:rPr>
          <w:rFonts w:ascii="Times New Roman" w:hAnsi="Times New Roman" w:cs="Times New Roman"/>
          <w:sz w:val="24"/>
          <w:szCs w:val="24"/>
        </w:rPr>
        <w:t xml:space="preserve"> business</w:t>
      </w:r>
      <w:r w:rsidR="00122759">
        <w:rPr>
          <w:rFonts w:ascii="Times New Roman" w:hAnsi="Times New Roman" w:cs="Times New Roman"/>
          <w:sz w:val="24"/>
          <w:szCs w:val="24"/>
        </w:rPr>
        <w:t xml:space="preserve"> makes</w:t>
      </w:r>
      <w:r w:rsidR="00720601">
        <w:rPr>
          <w:rFonts w:ascii="Times New Roman" w:hAnsi="Times New Roman" w:cs="Times New Roman"/>
          <w:sz w:val="24"/>
          <w:szCs w:val="24"/>
        </w:rPr>
        <w:t xml:space="preserve"> the lease appealing to brewers seeking to retain vertical integration of their businesses.</w:t>
      </w:r>
    </w:p>
    <w:p w14:paraId="4F82C12A" w14:textId="0DC19AA4" w:rsidR="00861CCE" w:rsidRPr="000B430A" w:rsidRDefault="0086506F" w:rsidP="000B430A">
      <w:pPr>
        <w:spacing w:line="276" w:lineRule="auto"/>
        <w:ind w:right="95"/>
        <w:jc w:val="both"/>
        <w:rPr>
          <w:rFonts w:ascii="Times New Roman" w:hAnsi="Times New Roman" w:cs="Times New Roman"/>
          <w:sz w:val="24"/>
          <w:szCs w:val="24"/>
        </w:rPr>
      </w:pPr>
      <w:r w:rsidRPr="000B430A">
        <w:rPr>
          <w:rFonts w:ascii="Times New Roman" w:hAnsi="Times New Roman" w:cs="Times New Roman"/>
          <w:b/>
          <w:sz w:val="24"/>
          <w:szCs w:val="24"/>
        </w:rPr>
        <w:t>2.3.</w:t>
      </w:r>
      <w:r>
        <w:rPr>
          <w:rFonts w:ascii="Times New Roman" w:hAnsi="Times New Roman" w:cs="Times New Roman"/>
          <w:b/>
          <w:i/>
          <w:sz w:val="24"/>
          <w:szCs w:val="24"/>
        </w:rPr>
        <w:t xml:space="preserve"> </w:t>
      </w:r>
      <w:r w:rsidR="00554964">
        <w:rPr>
          <w:rFonts w:ascii="Times New Roman" w:hAnsi="Times New Roman" w:cs="Times New Roman"/>
          <w:b/>
          <w:i/>
          <w:sz w:val="24"/>
          <w:szCs w:val="24"/>
        </w:rPr>
        <w:t>Controls the temporality of the relationship</w:t>
      </w:r>
    </w:p>
    <w:p w14:paraId="66393F79" w14:textId="26653457" w:rsidR="00861CCE" w:rsidRDefault="00B953D4" w:rsidP="00D6329E">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 xml:space="preserve">Third, leases provide a well-established mechanism </w:t>
      </w:r>
      <w:r w:rsidRPr="00867619">
        <w:rPr>
          <w:rFonts w:ascii="Times New Roman" w:hAnsi="Times New Roman" w:cs="Times New Roman"/>
          <w:sz w:val="24"/>
          <w:szCs w:val="24"/>
        </w:rPr>
        <w:t>for hand</w:t>
      </w:r>
      <w:r w:rsidR="00867619" w:rsidRPr="000B430A">
        <w:rPr>
          <w:rFonts w:ascii="Times New Roman" w:hAnsi="Times New Roman" w:cs="Times New Roman"/>
          <w:sz w:val="24"/>
          <w:szCs w:val="24"/>
        </w:rPr>
        <w:t>l</w:t>
      </w:r>
      <w:r w:rsidRPr="00867619">
        <w:rPr>
          <w:rFonts w:ascii="Times New Roman" w:hAnsi="Times New Roman" w:cs="Times New Roman"/>
          <w:sz w:val="24"/>
          <w:szCs w:val="24"/>
        </w:rPr>
        <w:t>ing periods</w:t>
      </w:r>
      <w:r>
        <w:rPr>
          <w:rFonts w:ascii="Times New Roman" w:hAnsi="Times New Roman" w:cs="Times New Roman"/>
          <w:sz w:val="24"/>
          <w:szCs w:val="24"/>
        </w:rPr>
        <w:t xml:space="preserve"> of occupancy. The length of term is a fundamental component in any commercial lease negotiation. For the lessor, locking tenants into agreements for longer periods provides the “backbone of property investment”,</w:t>
      </w:r>
      <w:bookmarkStart w:id="10" w:name="_Ref104207681"/>
      <w:r>
        <w:rPr>
          <w:rStyle w:val="FootnoteAnchor"/>
          <w:rFonts w:ascii="Times New Roman" w:hAnsi="Times New Roman" w:cs="Times New Roman"/>
          <w:sz w:val="24"/>
          <w:szCs w:val="24"/>
        </w:rPr>
        <w:footnoteReference w:id="68"/>
      </w:r>
      <w:bookmarkEnd w:id="10"/>
      <w:r>
        <w:rPr>
          <w:rFonts w:ascii="Times New Roman" w:hAnsi="Times New Roman" w:cs="Times New Roman"/>
          <w:sz w:val="24"/>
          <w:szCs w:val="24"/>
        </w:rPr>
        <w:t xml:space="preserve"> with well-trodden mechanisms for rent review.</w:t>
      </w:r>
      <w:bookmarkStart w:id="11" w:name="_Ref104214199"/>
      <w:r>
        <w:rPr>
          <w:rStyle w:val="FootnoteAnchor"/>
          <w:rFonts w:ascii="Times New Roman" w:hAnsi="Times New Roman" w:cs="Times New Roman"/>
          <w:sz w:val="24"/>
          <w:szCs w:val="24"/>
        </w:rPr>
        <w:footnoteReference w:id="69"/>
      </w:r>
      <w:bookmarkEnd w:id="11"/>
      <w:r>
        <w:rPr>
          <w:rFonts w:ascii="Times New Roman" w:hAnsi="Times New Roman" w:cs="Times New Roman"/>
          <w:sz w:val="24"/>
          <w:szCs w:val="24"/>
        </w:rPr>
        <w:t xml:space="preserve"> For the tenant, they may seek an “escape route” and flexibility to adjust to market conditions – especially for activities where businesses may wish to downsize or upscale their access to space</w:t>
      </w:r>
      <w:r w:rsidR="00FF200A">
        <w:rPr>
          <w:rFonts w:ascii="Times New Roman" w:hAnsi="Times New Roman" w:cs="Times New Roman"/>
          <w:sz w:val="24"/>
          <w:szCs w:val="24"/>
        </w:rPr>
        <w:t xml:space="preserve"> (such as retailing or the use of office space)</w:t>
      </w:r>
      <w:r>
        <w:rPr>
          <w:rFonts w:ascii="Times New Roman" w:hAnsi="Times New Roman" w:cs="Times New Roman"/>
          <w:sz w:val="24"/>
          <w:szCs w:val="24"/>
        </w:rPr>
        <w:t>.</w:t>
      </w:r>
      <w:r>
        <w:rPr>
          <w:rStyle w:val="FootnoteAnchor"/>
          <w:rFonts w:ascii="Times New Roman" w:hAnsi="Times New Roman" w:cs="Times New Roman"/>
          <w:sz w:val="24"/>
          <w:szCs w:val="24"/>
        </w:rPr>
        <w:footnoteReference w:id="70"/>
      </w:r>
      <w:r>
        <w:rPr>
          <w:rFonts w:ascii="Times New Roman" w:hAnsi="Times New Roman" w:cs="Times New Roman"/>
          <w:sz w:val="24"/>
          <w:szCs w:val="24"/>
        </w:rPr>
        <w:t xml:space="preserve"> Lease length is a key component in the “the risk pendulum”</w:t>
      </w:r>
      <w:r>
        <w:rPr>
          <w:rStyle w:val="FootnoteAnchor"/>
          <w:rFonts w:ascii="Times New Roman" w:hAnsi="Times New Roman" w:cs="Times New Roman"/>
          <w:sz w:val="24"/>
          <w:szCs w:val="24"/>
        </w:rPr>
        <w:footnoteReference w:id="71"/>
      </w:r>
      <w:r>
        <w:rPr>
          <w:rFonts w:ascii="Times New Roman" w:hAnsi="Times New Roman" w:cs="Times New Roman"/>
          <w:sz w:val="24"/>
          <w:szCs w:val="24"/>
        </w:rPr>
        <w:t xml:space="preserve"> between tenants and landlords, with a move in recent years towards shorter lease periods across the commercial sector to better meet “the needs of occupiers functioning in a rapidly changing economic environment.”</w:t>
      </w:r>
      <w:r>
        <w:rPr>
          <w:rStyle w:val="FootnoteAnchor"/>
          <w:rFonts w:ascii="Times New Roman" w:hAnsi="Times New Roman" w:cs="Times New Roman"/>
          <w:sz w:val="24"/>
          <w:szCs w:val="24"/>
        </w:rPr>
        <w:footnoteReference w:id="72"/>
      </w:r>
    </w:p>
    <w:p w14:paraId="3D44EF48" w14:textId="2178C407" w:rsidR="00861CCE" w:rsidRDefault="00B953D4" w:rsidP="00D6329E">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 xml:space="preserve">In the tied-pub sector, the lease providing this flexibility is particularly important given “dry rents” are generally based on the calculation of “Fair Maintainable Trade” (i.e. the turnover a </w:t>
      </w:r>
      <w:r>
        <w:rPr>
          <w:rFonts w:ascii="Times New Roman" w:hAnsi="Times New Roman" w:cs="Times New Roman"/>
          <w:sz w:val="24"/>
          <w:szCs w:val="24"/>
        </w:rPr>
        <w:lastRenderedPageBreak/>
        <w:t>“reasonably efficient operator” could hypothetically fashion from the pub).</w:t>
      </w:r>
      <w:r>
        <w:rPr>
          <w:rStyle w:val="FootnoteAnchor"/>
          <w:rFonts w:ascii="Times New Roman" w:hAnsi="Times New Roman" w:cs="Times New Roman"/>
          <w:sz w:val="24"/>
          <w:szCs w:val="24"/>
        </w:rPr>
        <w:footnoteReference w:id="73"/>
      </w:r>
      <w:r>
        <w:rPr>
          <w:rFonts w:ascii="Times New Roman" w:hAnsi="Times New Roman" w:cs="Times New Roman"/>
          <w:sz w:val="24"/>
          <w:szCs w:val="24"/>
        </w:rPr>
        <w:t xml:space="preserve"> This is important in an industry that is</w:t>
      </w:r>
      <w:r w:rsidR="00A76AE7">
        <w:rPr>
          <w:rFonts w:ascii="Times New Roman" w:hAnsi="Times New Roman" w:cs="Times New Roman"/>
          <w:sz w:val="24"/>
          <w:szCs w:val="24"/>
        </w:rPr>
        <w:t xml:space="preserve"> a</w:t>
      </w:r>
      <w:r>
        <w:rPr>
          <w:rFonts w:ascii="Times New Roman" w:hAnsi="Times New Roman" w:cs="Times New Roman"/>
          <w:sz w:val="24"/>
          <w:szCs w:val="24"/>
        </w:rPr>
        <w:t xml:space="preserve"> bellwether of market forces, particularly changes in discretionary spending, societal changes </w:t>
      </w:r>
      <w:r>
        <w:rPr>
          <w:rFonts w:ascii="Times New Roman" w:hAnsi="Times New Roman" w:cs="Times New Roman"/>
          <w:sz w:val="24"/>
          <w:szCs w:val="24"/>
        </w:rPr>
        <w:softHyphen/>
        <w:t>such as the decreasing trend in levels of alcohol consumption (especially among younger households),</w:t>
      </w:r>
      <w:r>
        <w:rPr>
          <w:rStyle w:val="FootnoteAnchor"/>
          <w:rFonts w:ascii="Times New Roman" w:hAnsi="Times New Roman" w:cs="Times New Roman"/>
          <w:sz w:val="24"/>
          <w:szCs w:val="24"/>
        </w:rPr>
        <w:footnoteReference w:id="74"/>
      </w:r>
      <w:r>
        <w:rPr>
          <w:rFonts w:ascii="Times New Roman" w:hAnsi="Times New Roman" w:cs="Times New Roman"/>
          <w:sz w:val="24"/>
          <w:szCs w:val="24"/>
        </w:rPr>
        <w:t xml:space="preserve"> </w:t>
      </w:r>
      <w:r w:rsidR="005D065D">
        <w:rPr>
          <w:rFonts w:ascii="Times New Roman" w:hAnsi="Times New Roman" w:cs="Times New Roman"/>
          <w:sz w:val="24"/>
          <w:szCs w:val="24"/>
        </w:rPr>
        <w:t xml:space="preserve">and </w:t>
      </w:r>
      <w:r>
        <w:rPr>
          <w:rFonts w:ascii="Times New Roman" w:hAnsi="Times New Roman" w:cs="Times New Roman"/>
          <w:sz w:val="24"/>
          <w:szCs w:val="24"/>
        </w:rPr>
        <w:t>regulatory interventions such as the “smoking ban”.</w:t>
      </w:r>
      <w:r>
        <w:rPr>
          <w:rStyle w:val="FootnoteAnchor"/>
          <w:rFonts w:ascii="Times New Roman" w:hAnsi="Times New Roman" w:cs="Times New Roman"/>
          <w:sz w:val="24"/>
          <w:szCs w:val="24"/>
        </w:rPr>
        <w:footnoteReference w:id="75"/>
      </w:r>
      <w:r w:rsidR="0076690F">
        <w:rPr>
          <w:rFonts w:ascii="Times New Roman" w:hAnsi="Times New Roman" w:cs="Times New Roman"/>
          <w:sz w:val="24"/>
          <w:szCs w:val="24"/>
        </w:rPr>
        <w:t xml:space="preserve"> Lease lengths vary across the sector, with most new leases lasting 3-5 years, but some PubCos and breweries (in some circumstances) offer longer leases for 10 years or more.</w:t>
      </w:r>
    </w:p>
    <w:p w14:paraId="189C6D55" w14:textId="1235F4B4" w:rsidR="00861CCE" w:rsidRPr="000E15D0" w:rsidRDefault="0086506F" w:rsidP="000B430A">
      <w:pPr>
        <w:pStyle w:val="ListParagraph"/>
        <w:spacing w:line="276" w:lineRule="auto"/>
        <w:ind w:right="95"/>
        <w:jc w:val="both"/>
        <w:rPr>
          <w:rFonts w:ascii="Times New Roman" w:hAnsi="Times New Roman" w:cs="Times New Roman"/>
          <w:b/>
          <w:i/>
          <w:sz w:val="24"/>
          <w:szCs w:val="24"/>
        </w:rPr>
      </w:pPr>
      <w:r>
        <w:rPr>
          <w:rFonts w:ascii="Times New Roman" w:hAnsi="Times New Roman" w:cs="Times New Roman"/>
          <w:b/>
          <w:sz w:val="24"/>
          <w:szCs w:val="24"/>
        </w:rPr>
        <w:t xml:space="preserve">2.4. </w:t>
      </w:r>
      <w:r w:rsidR="00B953D4" w:rsidRPr="000E15D0">
        <w:rPr>
          <w:rFonts w:ascii="Times New Roman" w:hAnsi="Times New Roman" w:cs="Times New Roman"/>
          <w:b/>
          <w:i/>
          <w:sz w:val="24"/>
          <w:szCs w:val="24"/>
        </w:rPr>
        <w:t>The lease as a financial product</w:t>
      </w:r>
    </w:p>
    <w:p w14:paraId="441B16FE" w14:textId="27E8E463" w:rsidR="00861CCE" w:rsidRDefault="00B953D4" w:rsidP="00D6329E">
      <w:pPr>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Finally, for the largest pub-owning companies, leases offer greater leverage in securitisation financing.</w:t>
      </w:r>
      <w:bookmarkStart w:id="12" w:name="_Ref104208938"/>
      <w:r>
        <w:rPr>
          <w:rStyle w:val="FootnoteAnchor"/>
          <w:rFonts w:ascii="Times New Roman" w:hAnsi="Times New Roman" w:cs="Times New Roman"/>
          <w:sz w:val="24"/>
          <w:szCs w:val="24"/>
        </w:rPr>
        <w:footnoteReference w:id="76"/>
      </w:r>
      <w:bookmarkEnd w:id="12"/>
      <w:r>
        <w:rPr>
          <w:rFonts w:ascii="Times New Roman" w:hAnsi="Times New Roman" w:cs="Times New Roman"/>
          <w:sz w:val="24"/>
          <w:szCs w:val="24"/>
        </w:rPr>
        <w:t xml:space="preserve"> The lease has suffered from the same “financialization” as other property rights, becoming “financialized interests divorced from the land” to be “securitized, sold, and resold”.</w:t>
      </w:r>
      <w:r>
        <w:rPr>
          <w:rStyle w:val="FootnoteAnchor"/>
          <w:rFonts w:ascii="Times New Roman" w:hAnsi="Times New Roman" w:cs="Times New Roman"/>
          <w:sz w:val="24"/>
          <w:szCs w:val="24"/>
        </w:rPr>
        <w:footnoteReference w:id="77"/>
      </w:r>
      <w:r>
        <w:rPr>
          <w:rFonts w:ascii="Times New Roman" w:hAnsi="Times New Roman" w:cs="Times New Roman"/>
          <w:sz w:val="24"/>
          <w:szCs w:val="24"/>
        </w:rPr>
        <w:t xml:space="preserve"> Tied leases are therefore not just important in terms of their construction of the relationship between the pub-owning company and the tied tenant, but also for the ability of the former to leverage their pub estate to draw on finance. As Cox has argued, pubs with appointed managers have historically been viewed as being more volatile, “both operationally and in profitability” than leased pubs.</w:t>
      </w:r>
      <w:r>
        <w:rPr>
          <w:rStyle w:val="FootnoteAnchor"/>
          <w:rFonts w:ascii="Times New Roman" w:hAnsi="Times New Roman" w:cs="Times New Roman"/>
          <w:sz w:val="24"/>
          <w:szCs w:val="24"/>
        </w:rPr>
        <w:footnoteReference w:id="78"/>
      </w:r>
      <w:r>
        <w:rPr>
          <w:rFonts w:ascii="Times New Roman" w:hAnsi="Times New Roman" w:cs="Times New Roman"/>
          <w:sz w:val="24"/>
          <w:szCs w:val="24"/>
        </w:rPr>
        <w:t xml:space="preserve"> A more stable rental income stream and the operational risk sitting with the tied tenant </w:t>
      </w:r>
      <w:r w:rsidR="00A76AE7">
        <w:rPr>
          <w:rFonts w:ascii="Times New Roman" w:hAnsi="Times New Roman" w:cs="Times New Roman"/>
          <w:sz w:val="24"/>
          <w:szCs w:val="24"/>
        </w:rPr>
        <w:t xml:space="preserve">makes </w:t>
      </w:r>
      <w:r>
        <w:rPr>
          <w:rFonts w:ascii="Times New Roman" w:hAnsi="Times New Roman" w:cs="Times New Roman"/>
          <w:sz w:val="24"/>
          <w:szCs w:val="24"/>
        </w:rPr>
        <w:t xml:space="preserve">them easier to securitise and offers greater </w:t>
      </w:r>
      <w:r w:rsidR="00177B06">
        <w:rPr>
          <w:rFonts w:ascii="Times New Roman" w:hAnsi="Times New Roman" w:cs="Times New Roman"/>
          <w:sz w:val="24"/>
          <w:szCs w:val="24"/>
        </w:rPr>
        <w:t xml:space="preserve">financial </w:t>
      </w:r>
      <w:r>
        <w:rPr>
          <w:rFonts w:ascii="Times New Roman" w:hAnsi="Times New Roman" w:cs="Times New Roman"/>
          <w:sz w:val="24"/>
          <w:szCs w:val="24"/>
        </w:rPr>
        <w:t>leverage</w:t>
      </w:r>
      <w:r w:rsidR="00A76AE7">
        <w:rPr>
          <w:rFonts w:ascii="Times New Roman" w:hAnsi="Times New Roman" w:cs="Times New Roman"/>
          <w:sz w:val="24"/>
          <w:szCs w:val="24"/>
        </w:rPr>
        <w:t>. P</w:t>
      </w:r>
      <w:r>
        <w:rPr>
          <w:rFonts w:ascii="Times New Roman" w:hAnsi="Times New Roman" w:cs="Times New Roman"/>
          <w:sz w:val="24"/>
          <w:szCs w:val="24"/>
        </w:rPr>
        <w:t>ub owning companies</w:t>
      </w:r>
      <w:r w:rsidR="00A76AE7">
        <w:rPr>
          <w:rFonts w:ascii="Times New Roman" w:hAnsi="Times New Roman" w:cs="Times New Roman"/>
          <w:sz w:val="24"/>
          <w:szCs w:val="24"/>
        </w:rPr>
        <w:t xml:space="preserve"> are</w:t>
      </w:r>
      <w:r>
        <w:rPr>
          <w:rFonts w:ascii="Times New Roman" w:hAnsi="Times New Roman" w:cs="Times New Roman"/>
          <w:sz w:val="24"/>
          <w:szCs w:val="24"/>
        </w:rPr>
        <w:t xml:space="preserve"> able to raise around 7.5 to 8 times the annual earnings for a tied </w:t>
      </w:r>
      <w:r w:rsidR="004D728E">
        <w:rPr>
          <w:rFonts w:ascii="Times New Roman" w:hAnsi="Times New Roman" w:cs="Times New Roman"/>
          <w:sz w:val="24"/>
          <w:szCs w:val="24"/>
        </w:rPr>
        <w:t>pub</w:t>
      </w:r>
      <w:r>
        <w:rPr>
          <w:rFonts w:ascii="Times New Roman" w:hAnsi="Times New Roman" w:cs="Times New Roman"/>
          <w:sz w:val="24"/>
          <w:szCs w:val="24"/>
        </w:rPr>
        <w:t>, versus around 6 times annu</w:t>
      </w:r>
      <w:r w:rsidR="00A76AE7">
        <w:rPr>
          <w:rFonts w:ascii="Times New Roman" w:hAnsi="Times New Roman" w:cs="Times New Roman"/>
          <w:sz w:val="24"/>
          <w:szCs w:val="24"/>
        </w:rPr>
        <w:t xml:space="preserve">al earnings for a managed </w:t>
      </w:r>
      <w:r w:rsidR="004D728E">
        <w:rPr>
          <w:rFonts w:ascii="Times New Roman" w:hAnsi="Times New Roman" w:cs="Times New Roman"/>
          <w:sz w:val="24"/>
          <w:szCs w:val="24"/>
        </w:rPr>
        <w:t>pub</w:t>
      </w:r>
      <w:r>
        <w:rPr>
          <w:rFonts w:ascii="Times New Roman" w:hAnsi="Times New Roman" w:cs="Times New Roman"/>
          <w:sz w:val="24"/>
          <w:szCs w:val="24"/>
        </w:rPr>
        <w:t>.</w:t>
      </w:r>
      <w:r>
        <w:rPr>
          <w:rStyle w:val="FootnoteAnchor"/>
          <w:rFonts w:ascii="Times New Roman" w:hAnsi="Times New Roman" w:cs="Times New Roman"/>
          <w:sz w:val="24"/>
          <w:szCs w:val="24"/>
        </w:rPr>
        <w:footnoteReference w:id="79"/>
      </w:r>
      <w:r>
        <w:rPr>
          <w:rFonts w:ascii="Times New Roman" w:hAnsi="Times New Roman" w:cs="Times New Roman"/>
          <w:sz w:val="24"/>
          <w:szCs w:val="24"/>
        </w:rPr>
        <w:t xml:space="preserve"> This allows companies owning large tied-estates to raise highly rated long-term debt to facilitate expansion or other shorter-term financial objectives</w:t>
      </w:r>
      <w:r w:rsidR="00B50FE9">
        <w:rPr>
          <w:rFonts w:ascii="Times New Roman" w:hAnsi="Times New Roman" w:cs="Times New Roman"/>
          <w:sz w:val="24"/>
          <w:szCs w:val="24"/>
        </w:rPr>
        <w:t xml:space="preserve"> more easily</w:t>
      </w:r>
      <w:r>
        <w:rPr>
          <w:rFonts w:ascii="Times New Roman" w:hAnsi="Times New Roman" w:cs="Times New Roman"/>
          <w:sz w:val="24"/>
          <w:szCs w:val="24"/>
        </w:rPr>
        <w:t>.</w:t>
      </w:r>
      <w:r>
        <w:rPr>
          <w:rStyle w:val="FootnoteAnchor"/>
          <w:rFonts w:ascii="Times New Roman" w:hAnsi="Times New Roman" w:cs="Times New Roman"/>
          <w:sz w:val="24"/>
          <w:szCs w:val="24"/>
        </w:rPr>
        <w:footnoteReference w:id="80"/>
      </w:r>
    </w:p>
    <w:p w14:paraId="5E4DE231" w14:textId="2922F22F" w:rsidR="005615AE" w:rsidRDefault="00A76AE7"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historical commercial pressures facing brewers, coupled with these four appealing characteristics of the lease, make a “tied lease” an attractive proposition for the brewers seeking to secure their route to market. </w:t>
      </w:r>
      <w:r w:rsidR="00B953D4">
        <w:rPr>
          <w:rFonts w:ascii="Times New Roman" w:hAnsi="Times New Roman" w:cs="Times New Roman"/>
          <w:sz w:val="24"/>
          <w:szCs w:val="24"/>
        </w:rPr>
        <w:t>Tied-leases</w:t>
      </w:r>
      <w:r w:rsidR="00F66459">
        <w:rPr>
          <w:rFonts w:ascii="Times New Roman" w:hAnsi="Times New Roman" w:cs="Times New Roman"/>
          <w:sz w:val="24"/>
          <w:szCs w:val="24"/>
        </w:rPr>
        <w:t xml:space="preserve"> are</w:t>
      </w:r>
      <w:r w:rsidR="00B953D4">
        <w:rPr>
          <w:rFonts w:ascii="Times New Roman" w:hAnsi="Times New Roman" w:cs="Times New Roman"/>
          <w:sz w:val="24"/>
          <w:szCs w:val="24"/>
        </w:rPr>
        <w:t xml:space="preserve"> invested with the </w:t>
      </w:r>
      <w:r w:rsidR="009B33A9">
        <w:rPr>
          <w:rFonts w:ascii="Times New Roman" w:hAnsi="Times New Roman" w:cs="Times New Roman"/>
          <w:sz w:val="24"/>
          <w:szCs w:val="24"/>
        </w:rPr>
        <w:t>“</w:t>
      </w:r>
      <w:r w:rsidR="00B953D4">
        <w:rPr>
          <w:rFonts w:ascii="Times New Roman" w:hAnsi="Times New Roman" w:cs="Times New Roman"/>
          <w:sz w:val="24"/>
          <w:szCs w:val="24"/>
        </w:rPr>
        <w:t>fears</w:t>
      </w:r>
      <w:r w:rsidR="009B33A9">
        <w:rPr>
          <w:rFonts w:ascii="Times New Roman" w:hAnsi="Times New Roman" w:cs="Times New Roman"/>
          <w:sz w:val="24"/>
          <w:szCs w:val="24"/>
        </w:rPr>
        <w:t>”</w:t>
      </w:r>
      <w:r w:rsidR="00B953D4">
        <w:rPr>
          <w:rFonts w:ascii="Times New Roman" w:hAnsi="Times New Roman" w:cs="Times New Roman"/>
          <w:sz w:val="24"/>
          <w:szCs w:val="24"/>
        </w:rPr>
        <w:t xml:space="preserve"> and </w:t>
      </w:r>
      <w:r w:rsidR="009B33A9">
        <w:rPr>
          <w:rFonts w:ascii="Times New Roman" w:hAnsi="Times New Roman" w:cs="Times New Roman"/>
          <w:sz w:val="24"/>
          <w:szCs w:val="24"/>
        </w:rPr>
        <w:t>“</w:t>
      </w:r>
      <w:r w:rsidR="00B953D4">
        <w:rPr>
          <w:rFonts w:ascii="Times New Roman" w:hAnsi="Times New Roman" w:cs="Times New Roman"/>
          <w:sz w:val="24"/>
          <w:szCs w:val="24"/>
        </w:rPr>
        <w:t>anxieties</w:t>
      </w:r>
      <w:r w:rsidR="009B33A9">
        <w:rPr>
          <w:rFonts w:ascii="Times New Roman" w:hAnsi="Times New Roman" w:cs="Times New Roman"/>
          <w:sz w:val="24"/>
          <w:szCs w:val="24"/>
        </w:rPr>
        <w:t>”</w:t>
      </w:r>
      <w:r w:rsidR="0058622C" w:rsidRPr="0058622C">
        <w:rPr>
          <w:rStyle w:val="FootnoteReference"/>
          <w:rFonts w:ascii="Times New Roman" w:hAnsi="Times New Roman" w:cs="Times New Roman"/>
          <w:sz w:val="24"/>
          <w:szCs w:val="24"/>
        </w:rPr>
        <w:t xml:space="preserve"> </w:t>
      </w:r>
      <w:r w:rsidR="0058622C">
        <w:rPr>
          <w:rStyle w:val="FootnoteReference"/>
          <w:rFonts w:ascii="Times New Roman" w:hAnsi="Times New Roman" w:cs="Times New Roman"/>
          <w:sz w:val="24"/>
          <w:szCs w:val="24"/>
        </w:rPr>
        <w:footnoteReference w:id="81"/>
      </w:r>
      <w:r w:rsidR="00B953D4">
        <w:rPr>
          <w:rFonts w:ascii="Times New Roman" w:hAnsi="Times New Roman" w:cs="Times New Roman"/>
          <w:sz w:val="24"/>
          <w:szCs w:val="24"/>
        </w:rPr>
        <w:t xml:space="preserve"> of the brewers of losing access to market in an unpredictable industry on the hand; and the hope of the far less powerful publicans seeking to fashion a career and control their small, generally one-pub bu</w:t>
      </w:r>
      <w:r w:rsidR="005615AE">
        <w:rPr>
          <w:rFonts w:ascii="Times New Roman" w:hAnsi="Times New Roman" w:cs="Times New Roman"/>
          <w:sz w:val="24"/>
          <w:szCs w:val="24"/>
        </w:rPr>
        <w:t>siness on the other. The following section turns to how these leases work in practic</w:t>
      </w:r>
      <w:r w:rsidR="00F42907">
        <w:rPr>
          <w:rFonts w:ascii="Times New Roman" w:hAnsi="Times New Roman" w:cs="Times New Roman"/>
          <w:sz w:val="24"/>
          <w:szCs w:val="24"/>
        </w:rPr>
        <w:t>e</w:t>
      </w:r>
      <w:r w:rsidR="005615AE">
        <w:rPr>
          <w:rFonts w:ascii="Times New Roman" w:hAnsi="Times New Roman" w:cs="Times New Roman"/>
          <w:sz w:val="24"/>
          <w:szCs w:val="24"/>
        </w:rPr>
        <w:t>, drawing on interview data with tied publicans.</w:t>
      </w:r>
    </w:p>
    <w:p w14:paraId="6CEB5C6C" w14:textId="40ADA6EC" w:rsidR="00861CCE" w:rsidRDefault="00C442CB" w:rsidP="00483380">
      <w:pPr>
        <w:pStyle w:val="Heading1"/>
        <w:numPr>
          <w:ilvl w:val="0"/>
          <w:numId w:val="14"/>
        </w:numPr>
      </w:pPr>
      <w:r>
        <w:t xml:space="preserve">The Method: </w:t>
      </w:r>
      <w:r w:rsidR="005625B5">
        <w:t>publican interviews</w:t>
      </w:r>
    </w:p>
    <w:p w14:paraId="2F674534" w14:textId="77777777" w:rsidR="000E15D0" w:rsidRPr="000E15D0" w:rsidRDefault="000E15D0" w:rsidP="000E15D0"/>
    <w:p w14:paraId="5AC9A0D7" w14:textId="3CB1C1F4" w:rsidR="0039251A" w:rsidRDefault="0039251A"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Having established that the lease is an appealing </w:t>
      </w:r>
      <w:r w:rsidR="00F42907">
        <w:rPr>
          <w:rFonts w:ascii="Times New Roman" w:hAnsi="Times New Roman" w:cs="Times New Roman"/>
          <w:sz w:val="24"/>
          <w:szCs w:val="24"/>
        </w:rPr>
        <w:t>solution</w:t>
      </w:r>
      <w:r>
        <w:rPr>
          <w:rFonts w:ascii="Times New Roman" w:hAnsi="Times New Roman" w:cs="Times New Roman"/>
          <w:sz w:val="24"/>
          <w:szCs w:val="24"/>
        </w:rPr>
        <w:t xml:space="preserve"> for b</w:t>
      </w:r>
      <w:r w:rsidR="00B07908">
        <w:rPr>
          <w:rFonts w:ascii="Times New Roman" w:hAnsi="Times New Roman" w:cs="Times New Roman"/>
          <w:sz w:val="24"/>
          <w:szCs w:val="24"/>
        </w:rPr>
        <w:t>rewers</w:t>
      </w:r>
      <w:r w:rsidR="00116399">
        <w:rPr>
          <w:rFonts w:ascii="Times New Roman" w:hAnsi="Times New Roman" w:cs="Times New Roman"/>
          <w:sz w:val="24"/>
          <w:szCs w:val="24"/>
        </w:rPr>
        <w:t xml:space="preserve"> vying to secure their route to market</w:t>
      </w:r>
      <w:r w:rsidR="006A30F3">
        <w:rPr>
          <w:rFonts w:ascii="Times New Roman" w:hAnsi="Times New Roman" w:cs="Times New Roman"/>
          <w:sz w:val="24"/>
          <w:szCs w:val="24"/>
        </w:rPr>
        <w:t>,</w:t>
      </w:r>
      <w:r>
        <w:rPr>
          <w:rFonts w:ascii="Times New Roman" w:hAnsi="Times New Roman" w:cs="Times New Roman"/>
          <w:sz w:val="24"/>
          <w:szCs w:val="24"/>
        </w:rPr>
        <w:t xml:space="preserve"> this section outlines the data underpinning this study. The analysis that follows </w:t>
      </w:r>
      <w:r>
        <w:rPr>
          <w:rFonts w:ascii="Times New Roman" w:hAnsi="Times New Roman" w:cs="Times New Roman"/>
          <w:sz w:val="24"/>
          <w:szCs w:val="24"/>
        </w:rPr>
        <w:lastRenderedPageBreak/>
        <w:t>draws on</w:t>
      </w:r>
      <w:r w:rsidR="00B07908">
        <w:rPr>
          <w:rFonts w:ascii="Times New Roman" w:hAnsi="Times New Roman" w:cs="Times New Roman"/>
          <w:sz w:val="24"/>
          <w:szCs w:val="24"/>
        </w:rPr>
        <w:t xml:space="preserve"> fourteen</w:t>
      </w:r>
      <w:r w:rsidRPr="003B7F54">
        <w:rPr>
          <w:rFonts w:ascii="Times New Roman" w:hAnsi="Times New Roman" w:cs="Times New Roman"/>
          <w:sz w:val="24"/>
          <w:szCs w:val="24"/>
        </w:rPr>
        <w:t xml:space="preserve"> anonymous semi-structured interviews with tenants</w:t>
      </w:r>
      <w:r w:rsidR="00394606">
        <w:rPr>
          <w:rFonts w:ascii="Times New Roman" w:hAnsi="Times New Roman" w:cs="Times New Roman"/>
          <w:sz w:val="24"/>
          <w:szCs w:val="24"/>
        </w:rPr>
        <w:t xml:space="preserve"> of the largest </w:t>
      </w:r>
      <w:r>
        <w:rPr>
          <w:rFonts w:ascii="Times New Roman" w:hAnsi="Times New Roman" w:cs="Times New Roman"/>
          <w:sz w:val="24"/>
          <w:szCs w:val="24"/>
        </w:rPr>
        <w:t>pub owning companies in England: the so-called “big six”.</w:t>
      </w:r>
      <w:r w:rsidR="00262781">
        <w:rPr>
          <w:rStyle w:val="FootnoteReference"/>
          <w:rFonts w:ascii="Times New Roman" w:hAnsi="Times New Roman" w:cs="Times New Roman"/>
          <w:sz w:val="24"/>
          <w:szCs w:val="24"/>
        </w:rPr>
        <w:footnoteReference w:id="82"/>
      </w:r>
      <w:r w:rsidR="00394606">
        <w:rPr>
          <w:rFonts w:ascii="Times New Roman" w:hAnsi="Times New Roman" w:cs="Times New Roman"/>
          <w:sz w:val="24"/>
          <w:szCs w:val="24"/>
        </w:rPr>
        <w:t xml:space="preserve"> The interviews formed part of a broader project interrogating the Pubs Code Regulations 2016 (SI/790) – a statutory intervention in tied-lease negotiations, that (among other things) provides tied-tenants of these largest pub-owning companies a </w:t>
      </w:r>
      <w:r w:rsidR="00A74FD4">
        <w:rPr>
          <w:rFonts w:ascii="Times New Roman" w:hAnsi="Times New Roman" w:cs="Times New Roman"/>
          <w:sz w:val="24"/>
          <w:szCs w:val="24"/>
        </w:rPr>
        <w:t>statutory r</w:t>
      </w:r>
      <w:r w:rsidR="00394606">
        <w:rPr>
          <w:rFonts w:ascii="Times New Roman" w:hAnsi="Times New Roman" w:cs="Times New Roman"/>
          <w:sz w:val="24"/>
          <w:szCs w:val="24"/>
        </w:rPr>
        <w:t>ight to receive a free-of-tie lease proposal in response to specific trigger events.</w:t>
      </w:r>
    </w:p>
    <w:p w14:paraId="77A95CC6" w14:textId="5B593701" w:rsidR="00394606" w:rsidRDefault="009E200F"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paper </w:t>
      </w:r>
      <w:r w:rsidR="00791C71">
        <w:rPr>
          <w:rFonts w:ascii="Times New Roman" w:hAnsi="Times New Roman" w:cs="Times New Roman"/>
          <w:sz w:val="24"/>
          <w:szCs w:val="24"/>
        </w:rPr>
        <w:t>does not deal directly with th</w:t>
      </w:r>
      <w:r w:rsidR="00C442CB">
        <w:rPr>
          <w:rFonts w:ascii="Times New Roman" w:hAnsi="Times New Roman" w:cs="Times New Roman"/>
          <w:sz w:val="24"/>
          <w:szCs w:val="24"/>
        </w:rPr>
        <w:t>e</w:t>
      </w:r>
      <w:r w:rsidR="00791C71">
        <w:rPr>
          <w:rFonts w:ascii="Times New Roman" w:hAnsi="Times New Roman" w:cs="Times New Roman"/>
          <w:sz w:val="24"/>
          <w:szCs w:val="24"/>
        </w:rPr>
        <w:t>se</w:t>
      </w:r>
      <w:r w:rsidR="00C442CB">
        <w:rPr>
          <w:rFonts w:ascii="Times New Roman" w:hAnsi="Times New Roman" w:cs="Times New Roman"/>
          <w:sz w:val="24"/>
          <w:szCs w:val="24"/>
        </w:rPr>
        <w:t xml:space="preserve"> Pubs Code</w:t>
      </w:r>
      <w:r w:rsidR="00791C71">
        <w:rPr>
          <w:rFonts w:ascii="Times New Roman" w:hAnsi="Times New Roman" w:cs="Times New Roman"/>
          <w:sz w:val="24"/>
          <w:szCs w:val="24"/>
        </w:rPr>
        <w:t xml:space="preserve"> regulations</w:t>
      </w:r>
      <w:r w:rsidR="005041F1">
        <w:rPr>
          <w:rFonts w:ascii="Times New Roman" w:hAnsi="Times New Roman" w:cs="Times New Roman"/>
          <w:sz w:val="24"/>
          <w:szCs w:val="24"/>
        </w:rPr>
        <w:t xml:space="preserve"> as there would be room for little else. A detailed critique of their </w:t>
      </w:r>
      <w:r w:rsidR="00C442CB">
        <w:rPr>
          <w:rFonts w:ascii="Times New Roman" w:hAnsi="Times New Roman" w:cs="Times New Roman"/>
          <w:sz w:val="24"/>
          <w:szCs w:val="24"/>
        </w:rPr>
        <w:t xml:space="preserve">history, </w:t>
      </w:r>
      <w:r w:rsidR="005041F1">
        <w:rPr>
          <w:rFonts w:ascii="Times New Roman" w:hAnsi="Times New Roman" w:cs="Times New Roman"/>
          <w:sz w:val="24"/>
          <w:szCs w:val="24"/>
        </w:rPr>
        <w:t>design and operation</w:t>
      </w:r>
      <w:r w:rsidR="00C442CB">
        <w:rPr>
          <w:rFonts w:ascii="Times New Roman" w:hAnsi="Times New Roman" w:cs="Times New Roman"/>
          <w:sz w:val="24"/>
          <w:szCs w:val="24"/>
        </w:rPr>
        <w:t xml:space="preserve"> –</w:t>
      </w:r>
      <w:r w:rsidR="00571504">
        <w:rPr>
          <w:rFonts w:ascii="Times New Roman" w:hAnsi="Times New Roman" w:cs="Times New Roman"/>
          <w:sz w:val="24"/>
          <w:szCs w:val="24"/>
        </w:rPr>
        <w:t xml:space="preserve"> drawing on these same interviews</w:t>
      </w:r>
      <w:r w:rsidR="00C442CB">
        <w:rPr>
          <w:rFonts w:ascii="Times New Roman" w:hAnsi="Times New Roman" w:cs="Times New Roman"/>
          <w:sz w:val="24"/>
          <w:szCs w:val="24"/>
        </w:rPr>
        <w:t xml:space="preserve"> –</w:t>
      </w:r>
      <w:r w:rsidR="005041F1">
        <w:rPr>
          <w:rFonts w:ascii="Times New Roman" w:hAnsi="Times New Roman" w:cs="Times New Roman"/>
          <w:sz w:val="24"/>
          <w:szCs w:val="24"/>
        </w:rPr>
        <w:t xml:space="preserve"> is available elsewhere.</w:t>
      </w:r>
      <w:r w:rsidR="00CC0016">
        <w:rPr>
          <w:rStyle w:val="FootnoteReference"/>
          <w:rFonts w:ascii="Times New Roman" w:hAnsi="Times New Roman" w:cs="Times New Roman"/>
          <w:sz w:val="24"/>
          <w:szCs w:val="24"/>
        </w:rPr>
        <w:footnoteReference w:id="83"/>
      </w:r>
      <w:r w:rsidR="005041F1">
        <w:rPr>
          <w:rFonts w:ascii="Times New Roman" w:hAnsi="Times New Roman" w:cs="Times New Roman"/>
          <w:sz w:val="24"/>
          <w:szCs w:val="24"/>
        </w:rPr>
        <w:t xml:space="preserve"> </w:t>
      </w:r>
      <w:r w:rsidR="00571504">
        <w:rPr>
          <w:rFonts w:ascii="Times New Roman" w:hAnsi="Times New Roman" w:cs="Times New Roman"/>
          <w:sz w:val="24"/>
          <w:szCs w:val="24"/>
        </w:rPr>
        <w:t>However, what emerged in these semi-structured interview</w:t>
      </w:r>
      <w:r w:rsidR="00310EFF">
        <w:rPr>
          <w:rFonts w:ascii="Times New Roman" w:hAnsi="Times New Roman" w:cs="Times New Roman"/>
          <w:sz w:val="24"/>
          <w:szCs w:val="24"/>
        </w:rPr>
        <w:t>s</w:t>
      </w:r>
      <w:r w:rsidR="00571504">
        <w:rPr>
          <w:rFonts w:ascii="Times New Roman" w:hAnsi="Times New Roman" w:cs="Times New Roman"/>
          <w:sz w:val="24"/>
          <w:szCs w:val="24"/>
        </w:rPr>
        <w:t xml:space="preserve"> was a broader concern not just with the Pubs Code processes, but also </w:t>
      </w:r>
      <w:r w:rsidR="00310EFF">
        <w:rPr>
          <w:rFonts w:ascii="Times New Roman" w:hAnsi="Times New Roman" w:cs="Times New Roman"/>
          <w:sz w:val="24"/>
          <w:szCs w:val="24"/>
        </w:rPr>
        <w:t xml:space="preserve">with the tied lease more generally. </w:t>
      </w:r>
      <w:r w:rsidR="003D5B8B">
        <w:rPr>
          <w:rFonts w:ascii="Times New Roman" w:hAnsi="Times New Roman" w:cs="Times New Roman"/>
          <w:sz w:val="24"/>
          <w:szCs w:val="24"/>
        </w:rPr>
        <w:t>Participants were asked about their current pub</w:t>
      </w:r>
      <w:r w:rsidR="006A30F3">
        <w:rPr>
          <w:rFonts w:ascii="Times New Roman" w:hAnsi="Times New Roman" w:cs="Times New Roman"/>
          <w:sz w:val="24"/>
          <w:szCs w:val="24"/>
        </w:rPr>
        <w:t>(s)</w:t>
      </w:r>
      <w:r w:rsidR="003D5B8B">
        <w:rPr>
          <w:rFonts w:ascii="Times New Roman" w:hAnsi="Times New Roman" w:cs="Times New Roman"/>
          <w:sz w:val="24"/>
          <w:szCs w:val="24"/>
        </w:rPr>
        <w:t>, their lease, and their experiences in dealing with the PubCo. The analysis that follows draws on their responses to these questions.</w:t>
      </w:r>
      <w:r w:rsidR="00DB1521">
        <w:rPr>
          <w:rFonts w:ascii="Times New Roman" w:hAnsi="Times New Roman" w:cs="Times New Roman"/>
          <w:sz w:val="24"/>
          <w:szCs w:val="24"/>
        </w:rPr>
        <w:t xml:space="preserve"> </w:t>
      </w:r>
      <w:bookmarkStart w:id="13" w:name="_Hlk111888904"/>
      <w:r w:rsidR="00DB1521">
        <w:rPr>
          <w:rFonts w:ascii="Times New Roman" w:hAnsi="Times New Roman" w:cs="Times New Roman"/>
          <w:sz w:val="24"/>
          <w:szCs w:val="24"/>
        </w:rPr>
        <w:t xml:space="preserve">The specific content of </w:t>
      </w:r>
      <w:r w:rsidR="003722C9">
        <w:rPr>
          <w:rFonts w:ascii="Times New Roman" w:hAnsi="Times New Roman" w:cs="Times New Roman"/>
          <w:sz w:val="24"/>
          <w:szCs w:val="24"/>
        </w:rPr>
        <w:t>participants’</w:t>
      </w:r>
      <w:r w:rsidR="00DB1521">
        <w:rPr>
          <w:rFonts w:ascii="Times New Roman" w:hAnsi="Times New Roman" w:cs="Times New Roman"/>
          <w:sz w:val="24"/>
          <w:szCs w:val="24"/>
        </w:rPr>
        <w:t xml:space="preserve"> leases is commercially sensitive information and could</w:t>
      </w:r>
      <w:r w:rsidR="00674332">
        <w:rPr>
          <w:rFonts w:ascii="Times New Roman" w:hAnsi="Times New Roman" w:cs="Times New Roman"/>
          <w:sz w:val="24"/>
          <w:szCs w:val="24"/>
        </w:rPr>
        <w:t>,</w:t>
      </w:r>
      <w:r w:rsidR="00DB1521">
        <w:rPr>
          <w:rFonts w:ascii="Times New Roman" w:hAnsi="Times New Roman" w:cs="Times New Roman"/>
          <w:sz w:val="24"/>
          <w:szCs w:val="24"/>
        </w:rPr>
        <w:t xml:space="preserve"> given variations in the exact product ties, discounts, penalties, and so on</w:t>
      </w:r>
      <w:r w:rsidR="00674332">
        <w:rPr>
          <w:rFonts w:ascii="Times New Roman" w:hAnsi="Times New Roman" w:cs="Times New Roman"/>
          <w:sz w:val="24"/>
          <w:szCs w:val="24"/>
        </w:rPr>
        <w:t>,</w:t>
      </w:r>
      <w:r w:rsidR="00DB1521">
        <w:rPr>
          <w:rFonts w:ascii="Times New Roman" w:hAnsi="Times New Roman" w:cs="Times New Roman"/>
          <w:sz w:val="24"/>
          <w:szCs w:val="24"/>
        </w:rPr>
        <w:t xml:space="preserve"> identify the participant</w:t>
      </w:r>
      <w:r w:rsidR="00674332">
        <w:rPr>
          <w:rFonts w:ascii="Times New Roman" w:hAnsi="Times New Roman" w:cs="Times New Roman"/>
          <w:sz w:val="24"/>
          <w:szCs w:val="24"/>
        </w:rPr>
        <w:t>.</w:t>
      </w:r>
      <w:r w:rsidR="00DB1521">
        <w:rPr>
          <w:rFonts w:ascii="Times New Roman" w:hAnsi="Times New Roman" w:cs="Times New Roman"/>
          <w:sz w:val="24"/>
          <w:szCs w:val="24"/>
        </w:rPr>
        <w:t xml:space="preserve"> </w:t>
      </w:r>
      <w:r w:rsidR="00674332">
        <w:rPr>
          <w:rFonts w:ascii="Times New Roman" w:hAnsi="Times New Roman" w:cs="Times New Roman"/>
          <w:sz w:val="24"/>
          <w:szCs w:val="24"/>
        </w:rPr>
        <w:t>T</w:t>
      </w:r>
      <w:r w:rsidR="00DB1521">
        <w:rPr>
          <w:rFonts w:ascii="Times New Roman" w:hAnsi="Times New Roman" w:cs="Times New Roman"/>
          <w:sz w:val="24"/>
          <w:szCs w:val="24"/>
        </w:rPr>
        <w:t>he analysis below does not use illustrative terms from these leases. Instead, to provide examples of common terms and variations, extracts are used from a publicly available sample tied lease, published for prospective future tenants by one of the largest PubCos</w:t>
      </w:r>
      <w:r w:rsidR="00674332">
        <w:rPr>
          <w:rFonts w:ascii="Times New Roman" w:hAnsi="Times New Roman" w:cs="Times New Roman"/>
          <w:sz w:val="24"/>
          <w:szCs w:val="24"/>
        </w:rPr>
        <w:t xml:space="preserve"> –</w:t>
      </w:r>
      <w:r w:rsidR="00DB1521">
        <w:rPr>
          <w:rFonts w:ascii="Times New Roman" w:hAnsi="Times New Roman" w:cs="Times New Roman"/>
          <w:sz w:val="24"/>
          <w:szCs w:val="24"/>
        </w:rPr>
        <w:t xml:space="preserve"> Star Pubs and Bars.</w:t>
      </w:r>
      <w:r w:rsidR="00DB1521">
        <w:rPr>
          <w:rStyle w:val="FootnoteReference"/>
          <w:rFonts w:ascii="Times New Roman" w:hAnsi="Times New Roman" w:cs="Times New Roman"/>
          <w:sz w:val="24"/>
          <w:szCs w:val="24"/>
        </w:rPr>
        <w:footnoteReference w:id="84"/>
      </w:r>
      <w:bookmarkEnd w:id="13"/>
    </w:p>
    <w:p w14:paraId="54B4BB1C" w14:textId="23179A0F" w:rsidR="00861CCE" w:rsidRDefault="001D596C" w:rsidP="001D596C">
      <w:pPr>
        <w:spacing w:line="276" w:lineRule="auto"/>
        <w:jc w:val="both"/>
        <w:rPr>
          <w:rFonts w:ascii="Times New Roman" w:hAnsi="Times New Roman" w:cs="Times New Roman"/>
          <w:sz w:val="24"/>
          <w:szCs w:val="24"/>
        </w:rPr>
      </w:pPr>
      <w:r w:rsidRPr="003B7F54">
        <w:rPr>
          <w:rFonts w:ascii="Times New Roman" w:hAnsi="Times New Roman" w:cs="Times New Roman"/>
          <w:sz w:val="24"/>
          <w:szCs w:val="24"/>
        </w:rPr>
        <w:t>Participants were recruited via stakeholders who provide advice on the exercise of Pubs Code rights in the pub sector</w:t>
      </w:r>
      <w:r w:rsidR="006A30F3">
        <w:rPr>
          <w:rFonts w:ascii="Times New Roman" w:hAnsi="Times New Roman" w:cs="Times New Roman"/>
          <w:sz w:val="24"/>
          <w:szCs w:val="24"/>
        </w:rPr>
        <w:t>.</w:t>
      </w:r>
      <w:r w:rsidRPr="003B7F54">
        <w:rPr>
          <w:rFonts w:ascii="Times New Roman" w:hAnsi="Times New Roman" w:cs="Times New Roman"/>
          <w:sz w:val="24"/>
          <w:szCs w:val="24"/>
        </w:rPr>
        <w:t xml:space="preserve"> </w:t>
      </w:r>
      <w:r w:rsidR="006A30F3">
        <w:rPr>
          <w:rFonts w:ascii="Times New Roman" w:hAnsi="Times New Roman" w:cs="Times New Roman"/>
          <w:sz w:val="24"/>
          <w:szCs w:val="24"/>
        </w:rPr>
        <w:t>E</w:t>
      </w:r>
      <w:r w:rsidRPr="003B7F54">
        <w:rPr>
          <w:rFonts w:ascii="Times New Roman" w:hAnsi="Times New Roman" w:cs="Times New Roman"/>
          <w:sz w:val="24"/>
          <w:szCs w:val="24"/>
        </w:rPr>
        <w:t>ach interview was conducted via Zoom during May and June 2021, and the audio subsequently transcribed and analysed. The study received ethical permission from the University of York.</w:t>
      </w:r>
      <w:r w:rsidR="00E04CE1">
        <w:rPr>
          <w:rFonts w:ascii="Times New Roman" w:hAnsi="Times New Roman" w:cs="Times New Roman"/>
          <w:sz w:val="24"/>
          <w:szCs w:val="24"/>
        </w:rPr>
        <w:t xml:space="preserve"> Each participant</w:t>
      </w:r>
      <w:r w:rsidR="00B07908">
        <w:rPr>
          <w:rFonts w:ascii="Times New Roman" w:hAnsi="Times New Roman" w:cs="Times New Roman"/>
          <w:sz w:val="24"/>
          <w:szCs w:val="24"/>
        </w:rPr>
        <w:t xml:space="preserve"> has been assigned a pseudonym, based on the fourteen most common pub names in the UK. Table One details the pseudonyms and a short outline of the nature of their pub businesses. In </w:t>
      </w:r>
      <w:r w:rsidR="006A30F3">
        <w:rPr>
          <w:rFonts w:ascii="Times New Roman" w:hAnsi="Times New Roman" w:cs="Times New Roman"/>
          <w:sz w:val="24"/>
          <w:szCs w:val="24"/>
        </w:rPr>
        <w:t>two</w:t>
      </w:r>
      <w:r w:rsidR="00B07908">
        <w:rPr>
          <w:rFonts w:ascii="Times New Roman" w:hAnsi="Times New Roman" w:cs="Times New Roman"/>
          <w:sz w:val="24"/>
          <w:szCs w:val="24"/>
        </w:rPr>
        <w:t xml:space="preserve"> interviews, two participants – in both cases, a married couple operating the premises – were </w:t>
      </w:r>
      <w:r w:rsidR="006C3992">
        <w:rPr>
          <w:rFonts w:ascii="Times New Roman" w:hAnsi="Times New Roman" w:cs="Times New Roman"/>
          <w:sz w:val="24"/>
          <w:szCs w:val="24"/>
        </w:rPr>
        <w:t>present</w:t>
      </w:r>
      <w:r w:rsidR="006A30F3">
        <w:rPr>
          <w:rFonts w:ascii="Times New Roman" w:hAnsi="Times New Roman" w:cs="Times New Roman"/>
          <w:sz w:val="24"/>
          <w:szCs w:val="24"/>
        </w:rPr>
        <w:t>. D</w:t>
      </w:r>
      <w:r w:rsidR="006C3992">
        <w:rPr>
          <w:rFonts w:ascii="Times New Roman" w:hAnsi="Times New Roman" w:cs="Times New Roman"/>
          <w:sz w:val="24"/>
          <w:szCs w:val="24"/>
        </w:rPr>
        <w:t>ifferent speakers are</w:t>
      </w:r>
      <w:r w:rsidR="00B07908">
        <w:rPr>
          <w:rFonts w:ascii="Times New Roman" w:hAnsi="Times New Roman" w:cs="Times New Roman"/>
          <w:sz w:val="24"/>
          <w:szCs w:val="24"/>
        </w:rPr>
        <w:t xml:space="preserve"> indicated in quoted excerpts </w:t>
      </w:r>
      <w:r w:rsidR="00063C12">
        <w:rPr>
          <w:rFonts w:ascii="Times New Roman" w:hAnsi="Times New Roman" w:cs="Times New Roman"/>
          <w:sz w:val="24"/>
          <w:szCs w:val="24"/>
        </w:rPr>
        <w:t xml:space="preserve">below </w:t>
      </w:r>
      <w:r w:rsidR="00B07908">
        <w:rPr>
          <w:rFonts w:ascii="Times New Roman" w:hAnsi="Times New Roman" w:cs="Times New Roman"/>
          <w:sz w:val="24"/>
          <w:szCs w:val="24"/>
        </w:rPr>
        <w:t>via the use of italics.</w:t>
      </w:r>
    </w:p>
    <w:p w14:paraId="498590BE" w14:textId="5A05B803" w:rsidR="00E04CE1" w:rsidRDefault="00E04CE1" w:rsidP="001D596C">
      <w:pPr>
        <w:spacing w:line="276" w:lineRule="auto"/>
        <w:jc w:val="both"/>
        <w:rPr>
          <w:rFonts w:ascii="Times New Roman" w:hAnsi="Times New Roman" w:cs="Times New Roman"/>
          <w:sz w:val="24"/>
          <w:szCs w:val="24"/>
        </w:rPr>
      </w:pPr>
    </w:p>
    <w:p w14:paraId="287127C7" w14:textId="7C5B06ED" w:rsidR="0091073E" w:rsidRPr="00075582" w:rsidRDefault="0091073E" w:rsidP="0091073E">
      <w:pPr>
        <w:spacing w:line="276" w:lineRule="auto"/>
        <w:jc w:val="center"/>
        <w:rPr>
          <w:rFonts w:ascii="Times New Roman" w:hAnsi="Times New Roman" w:cs="Times New Roman"/>
          <w:b/>
          <w:sz w:val="24"/>
          <w:szCs w:val="24"/>
        </w:rPr>
      </w:pPr>
      <w:r w:rsidRPr="00075582">
        <w:rPr>
          <w:rFonts w:ascii="Times New Roman" w:hAnsi="Times New Roman" w:cs="Times New Roman"/>
          <w:b/>
          <w:sz w:val="24"/>
          <w:szCs w:val="24"/>
        </w:rPr>
        <w:t>[TABLE ONE]</w:t>
      </w:r>
    </w:p>
    <w:p w14:paraId="6142C1AE" w14:textId="148BCE90" w:rsidR="00E04CE1" w:rsidRDefault="00E04CE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E048FA8" w14:textId="0A6A6F0E" w:rsidR="00C442CB" w:rsidRDefault="00C442CB" w:rsidP="000B430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Before turning to the data, it is important to underscore </w:t>
      </w:r>
      <w:r w:rsidR="008F4E36">
        <w:rPr>
          <w:rFonts w:ascii="Times New Roman" w:hAnsi="Times New Roman" w:cs="Times New Roman"/>
          <w:sz w:val="24"/>
          <w:szCs w:val="24"/>
        </w:rPr>
        <w:t>a key</w:t>
      </w:r>
      <w:r>
        <w:rPr>
          <w:rFonts w:ascii="Times New Roman" w:hAnsi="Times New Roman" w:cs="Times New Roman"/>
          <w:sz w:val="24"/>
          <w:szCs w:val="24"/>
        </w:rPr>
        <w:t xml:space="preserve"> limitation of this approach</w:t>
      </w:r>
      <w:r w:rsidR="008F4E36">
        <w:rPr>
          <w:rFonts w:ascii="Times New Roman" w:hAnsi="Times New Roman" w:cs="Times New Roman"/>
          <w:sz w:val="24"/>
          <w:szCs w:val="24"/>
        </w:rPr>
        <w:t>:</w:t>
      </w:r>
      <w:r>
        <w:rPr>
          <w:rFonts w:ascii="Times New Roman" w:hAnsi="Times New Roman" w:cs="Times New Roman"/>
          <w:sz w:val="24"/>
          <w:szCs w:val="24"/>
        </w:rPr>
        <w:t xml:space="preserve"> only publicans were interviewed, not the </w:t>
      </w:r>
      <w:r w:rsidR="00E72AB1">
        <w:rPr>
          <w:rFonts w:ascii="Times New Roman" w:hAnsi="Times New Roman" w:cs="Times New Roman"/>
          <w:sz w:val="24"/>
          <w:szCs w:val="24"/>
        </w:rPr>
        <w:t>PubCos</w:t>
      </w:r>
      <w:r>
        <w:rPr>
          <w:rFonts w:ascii="Times New Roman" w:hAnsi="Times New Roman" w:cs="Times New Roman"/>
          <w:sz w:val="24"/>
          <w:szCs w:val="24"/>
        </w:rPr>
        <w:t xml:space="preserve"> themselves. The data that follows is, therefore, rooted in the experience of the lessees and not the lessors. PubCos were not contacted for interview for this study for </w:t>
      </w:r>
      <w:r w:rsidR="00E72AB1">
        <w:rPr>
          <w:rFonts w:ascii="Times New Roman" w:hAnsi="Times New Roman" w:cs="Times New Roman"/>
          <w:sz w:val="24"/>
          <w:szCs w:val="24"/>
        </w:rPr>
        <w:t>two</w:t>
      </w:r>
      <w:r w:rsidR="008F4E36">
        <w:rPr>
          <w:rFonts w:ascii="Times New Roman" w:hAnsi="Times New Roman" w:cs="Times New Roman"/>
          <w:sz w:val="24"/>
          <w:szCs w:val="24"/>
        </w:rPr>
        <w:t xml:space="preserve"> main</w:t>
      </w:r>
      <w:r>
        <w:rPr>
          <w:rFonts w:ascii="Times New Roman" w:hAnsi="Times New Roman" w:cs="Times New Roman"/>
          <w:sz w:val="24"/>
          <w:szCs w:val="24"/>
        </w:rPr>
        <w:t xml:space="preserve"> reasons. Firstly,</w:t>
      </w:r>
      <w:r w:rsidR="000614F8">
        <w:rPr>
          <w:rFonts w:ascii="Times New Roman" w:hAnsi="Times New Roman" w:cs="Times New Roman"/>
          <w:sz w:val="24"/>
          <w:szCs w:val="24"/>
        </w:rPr>
        <w:t xml:space="preserve"> </w:t>
      </w:r>
      <w:r>
        <w:rPr>
          <w:rFonts w:ascii="Times New Roman" w:hAnsi="Times New Roman" w:cs="Times New Roman"/>
          <w:sz w:val="24"/>
          <w:szCs w:val="24"/>
        </w:rPr>
        <w:t>the analysis that follows does not seek to draw conclusions about the Pubs Code Regulations, make policy recommendations about the regulation of the pub sector</w:t>
      </w:r>
      <w:r w:rsidR="008F4E36">
        <w:rPr>
          <w:rFonts w:ascii="Times New Roman" w:hAnsi="Times New Roman" w:cs="Times New Roman"/>
          <w:sz w:val="24"/>
          <w:szCs w:val="24"/>
        </w:rPr>
        <w:t xml:space="preserve"> more broadly</w:t>
      </w:r>
      <w:r>
        <w:rPr>
          <w:rFonts w:ascii="Times New Roman" w:hAnsi="Times New Roman" w:cs="Times New Roman"/>
          <w:sz w:val="24"/>
          <w:szCs w:val="24"/>
        </w:rPr>
        <w:t>, or analyse the competition law status of the tie.</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w:t>
      </w:r>
      <w:r w:rsidR="008F4E36">
        <w:rPr>
          <w:rFonts w:ascii="Times New Roman" w:hAnsi="Times New Roman" w:cs="Times New Roman"/>
          <w:sz w:val="24"/>
          <w:szCs w:val="24"/>
        </w:rPr>
        <w:t xml:space="preserve">Given the commercial sensitivity of their agreements with individual publicans (and sometimes the terms of their employment), it is difficult for those employed by the lessors to comment on the operation of individual establishments – which is the focus of this paper. </w:t>
      </w:r>
      <w:r w:rsidR="000614F8">
        <w:rPr>
          <w:rFonts w:ascii="Times New Roman" w:hAnsi="Times New Roman" w:cs="Times New Roman"/>
          <w:sz w:val="24"/>
          <w:szCs w:val="24"/>
        </w:rPr>
        <w:t xml:space="preserve">Interviews with PubCo representatives </w:t>
      </w:r>
      <w:r w:rsidR="008F4E36">
        <w:rPr>
          <w:rFonts w:ascii="Times New Roman" w:hAnsi="Times New Roman" w:cs="Times New Roman"/>
          <w:sz w:val="24"/>
          <w:szCs w:val="24"/>
        </w:rPr>
        <w:t>are therefore better-</w:t>
      </w:r>
      <w:r w:rsidR="000614F8">
        <w:rPr>
          <w:rFonts w:ascii="Times New Roman" w:hAnsi="Times New Roman" w:cs="Times New Roman"/>
          <w:sz w:val="24"/>
          <w:szCs w:val="24"/>
        </w:rPr>
        <w:t>suited to addressing th</w:t>
      </w:r>
      <w:r w:rsidR="00540521">
        <w:rPr>
          <w:rFonts w:ascii="Times New Roman" w:hAnsi="Times New Roman" w:cs="Times New Roman"/>
          <w:sz w:val="24"/>
          <w:szCs w:val="24"/>
        </w:rPr>
        <w:t>ese policy-level considerations</w:t>
      </w:r>
      <w:r w:rsidR="000614F8">
        <w:rPr>
          <w:rFonts w:ascii="Times New Roman" w:hAnsi="Times New Roman" w:cs="Times New Roman"/>
          <w:sz w:val="24"/>
          <w:szCs w:val="24"/>
        </w:rPr>
        <w:t>. Second, the project had limited resources and interviews with a broader range of lessees occupying the pubs</w:t>
      </w:r>
      <w:r w:rsidR="00F42907">
        <w:rPr>
          <w:rFonts w:ascii="Times New Roman" w:hAnsi="Times New Roman" w:cs="Times New Roman"/>
          <w:sz w:val="24"/>
          <w:szCs w:val="24"/>
        </w:rPr>
        <w:t xml:space="preserve"> were prioritised</w:t>
      </w:r>
      <w:r w:rsidR="000614F8">
        <w:rPr>
          <w:rFonts w:ascii="Times New Roman" w:hAnsi="Times New Roman" w:cs="Times New Roman"/>
          <w:sz w:val="24"/>
          <w:szCs w:val="24"/>
        </w:rPr>
        <w:t>, so to ensure a larger range of establishments were covered.</w:t>
      </w:r>
    </w:p>
    <w:p w14:paraId="23F741E4" w14:textId="77777777" w:rsidR="00C442CB" w:rsidRDefault="00C442CB">
      <w:pPr>
        <w:spacing w:after="0" w:line="240" w:lineRule="auto"/>
        <w:rPr>
          <w:rFonts w:ascii="Times New Roman" w:hAnsi="Times New Roman" w:cs="Times New Roman"/>
          <w:sz w:val="24"/>
          <w:szCs w:val="24"/>
        </w:rPr>
      </w:pPr>
    </w:p>
    <w:p w14:paraId="612FEDE3" w14:textId="3798E318" w:rsidR="00540521" w:rsidRDefault="004A097C" w:rsidP="00165A2A">
      <w:pPr>
        <w:spacing w:line="276" w:lineRule="auto"/>
        <w:jc w:val="both"/>
        <w:rPr>
          <w:rFonts w:ascii="Times New Roman" w:hAnsi="Times New Roman" w:cs="Times New Roman"/>
          <w:sz w:val="24"/>
          <w:szCs w:val="24"/>
        </w:rPr>
      </w:pPr>
      <w:r w:rsidRPr="004A097C">
        <w:t>Examining the Role of the Tied Lease in Structuring</w:t>
      </w:r>
      <w:r>
        <w:t xml:space="preserve"> </w:t>
      </w:r>
      <w:r w:rsidRPr="004A097C">
        <w:t>Relations</w:t>
      </w:r>
      <w:r>
        <w:t>HIPS</w:t>
      </w:r>
      <w:r w:rsidRPr="004A097C">
        <w:t xml:space="preserve"> and Physical Space</w:t>
      </w:r>
    </w:p>
    <w:p w14:paraId="1D1BE989" w14:textId="1B0E1CFF" w:rsidR="00721ADC" w:rsidRDefault="00165A2A" w:rsidP="00FD0EFE">
      <w:pPr>
        <w:jc w:val="both"/>
      </w:pPr>
      <w:r>
        <w:rPr>
          <w:rFonts w:ascii="Times New Roman" w:hAnsi="Times New Roman" w:cs="Times New Roman"/>
          <w:sz w:val="24"/>
          <w:szCs w:val="24"/>
        </w:rPr>
        <w:t>Current research on commercial leases underscores that the relationship between landlord and tenant is often an adversarial one, and that changes in lease terms can affect elements of the physical space of the property (such as its environmental efficiency).</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r w:rsidR="00721ADC">
        <w:rPr>
          <w:rFonts w:ascii="Times New Roman" w:hAnsi="Times New Roman" w:cs="Times New Roman"/>
          <w:sz w:val="24"/>
          <w:szCs w:val="24"/>
        </w:rPr>
        <w:t>Drawing on the interview data, this section draws on Hunter’s prior work examining residential leases to identify how the tied lease: shapes business practices (here, through the tie), constrains time (here, through lease length), and affects the viability of the business (through the construction of rent).</w:t>
      </w:r>
      <w:r w:rsidR="00721ADC" w:rsidRPr="00B4101C">
        <w:rPr>
          <w:rFonts w:ascii="Times New Roman" w:hAnsi="Times New Roman" w:cs="Times New Roman"/>
          <w:sz w:val="24"/>
          <w:szCs w:val="24"/>
        </w:rPr>
        <w:t xml:space="preserve"> </w:t>
      </w:r>
      <w:r w:rsidR="00721ADC">
        <w:rPr>
          <w:rFonts w:ascii="Times New Roman" w:hAnsi="Times New Roman" w:cs="Times New Roman"/>
          <w:sz w:val="24"/>
          <w:szCs w:val="24"/>
        </w:rPr>
        <w:t>Each will be dealt with in turn.</w:t>
      </w:r>
    </w:p>
    <w:p w14:paraId="4E7931EC" w14:textId="5D4C7474" w:rsidR="00165A2A" w:rsidRDefault="00721ADC" w:rsidP="00165A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Before turning to this analysis, it is important to underscore a few key elements of </w:t>
      </w:r>
      <w:r w:rsidR="00165A2A">
        <w:rPr>
          <w:rFonts w:ascii="Times New Roman" w:hAnsi="Times New Roman" w:cs="Times New Roman"/>
          <w:sz w:val="24"/>
          <w:szCs w:val="24"/>
        </w:rPr>
        <w:t>Hunter’s</w:t>
      </w:r>
      <w:r>
        <w:rPr>
          <w:rFonts w:ascii="Times New Roman" w:hAnsi="Times New Roman" w:cs="Times New Roman"/>
          <w:sz w:val="24"/>
          <w:szCs w:val="24"/>
        </w:rPr>
        <w:t xml:space="preserve"> prior work on </w:t>
      </w:r>
      <w:r w:rsidR="00165A2A">
        <w:rPr>
          <w:rFonts w:ascii="Times New Roman" w:hAnsi="Times New Roman" w:cs="Times New Roman"/>
          <w:sz w:val="24"/>
          <w:szCs w:val="24"/>
        </w:rPr>
        <w:t>residential leases as “socio-legal objects”</w:t>
      </w:r>
      <w:r>
        <w:rPr>
          <w:rFonts w:ascii="Times New Roman" w:hAnsi="Times New Roman" w:cs="Times New Roman"/>
          <w:sz w:val="24"/>
          <w:szCs w:val="24"/>
        </w:rPr>
        <w:t>. Her study</w:t>
      </w:r>
      <w:r w:rsidR="00165A2A">
        <w:rPr>
          <w:rFonts w:ascii="Times New Roman" w:hAnsi="Times New Roman" w:cs="Times New Roman"/>
          <w:sz w:val="24"/>
          <w:szCs w:val="24"/>
        </w:rPr>
        <w:t xml:space="preserve"> provides a framework for analysing the more far-reaching potential of the lease in shaping social relations and physical reality. As Hunter’s argument is rooted firmly in </w:t>
      </w:r>
      <w:r w:rsidR="00483380">
        <w:rPr>
          <w:rFonts w:ascii="Times New Roman" w:hAnsi="Times New Roman" w:cs="Times New Roman"/>
          <w:sz w:val="24"/>
          <w:szCs w:val="24"/>
        </w:rPr>
        <w:t>”actor network theory” (ANT)</w:t>
      </w:r>
      <w:r w:rsidR="00165A2A">
        <w:rPr>
          <w:rFonts w:ascii="Times New Roman" w:hAnsi="Times New Roman" w:cs="Times New Roman"/>
          <w:sz w:val="24"/>
          <w:szCs w:val="24"/>
        </w:rPr>
        <w:t>, it important to highlight two key features of this literature.</w:t>
      </w:r>
      <w:r>
        <w:rPr>
          <w:rFonts w:ascii="Times New Roman" w:hAnsi="Times New Roman" w:cs="Times New Roman"/>
          <w:sz w:val="24"/>
          <w:szCs w:val="24"/>
        </w:rPr>
        <w:t xml:space="preserve"> </w:t>
      </w:r>
      <w:r w:rsidR="00165A2A">
        <w:rPr>
          <w:rFonts w:ascii="Times New Roman" w:hAnsi="Times New Roman" w:cs="Times New Roman"/>
          <w:sz w:val="24"/>
          <w:szCs w:val="24"/>
        </w:rPr>
        <w:t xml:space="preserve">First, as Mant argues, “actor-network </w:t>
      </w:r>
      <w:r w:rsidR="00165A2A">
        <w:rPr>
          <w:rFonts w:ascii="Times New Roman" w:hAnsi="Times New Roman" w:cs="Times New Roman"/>
          <w:i/>
          <w:sz w:val="24"/>
          <w:szCs w:val="24"/>
        </w:rPr>
        <w:t>theory</w:t>
      </w:r>
      <w:r w:rsidR="00165A2A" w:rsidRPr="0002243E">
        <w:rPr>
          <w:rFonts w:ascii="Times New Roman" w:hAnsi="Times New Roman" w:cs="Times New Roman"/>
          <w:sz w:val="24"/>
          <w:szCs w:val="24"/>
        </w:rPr>
        <w:t>”</w:t>
      </w:r>
      <w:r w:rsidR="00165A2A">
        <w:rPr>
          <w:rFonts w:ascii="Times New Roman" w:hAnsi="Times New Roman" w:cs="Times New Roman"/>
          <w:i/>
          <w:sz w:val="24"/>
          <w:szCs w:val="24"/>
        </w:rPr>
        <w:t xml:space="preserve"> </w:t>
      </w:r>
      <w:r w:rsidR="00165A2A">
        <w:rPr>
          <w:rFonts w:ascii="Times New Roman" w:hAnsi="Times New Roman" w:cs="Times New Roman"/>
          <w:sz w:val="24"/>
          <w:szCs w:val="24"/>
        </w:rPr>
        <w:t>is perhaps a deceptive phrase, as it is best understood as an “analytical method” rather than an explanatory theory.</w:t>
      </w:r>
      <w:r w:rsidR="00165A2A">
        <w:rPr>
          <w:rStyle w:val="FootnoteReference"/>
          <w:rFonts w:ascii="Times New Roman" w:hAnsi="Times New Roman" w:cs="Times New Roman"/>
          <w:sz w:val="24"/>
          <w:szCs w:val="24"/>
        </w:rPr>
        <w:footnoteReference w:id="87"/>
      </w:r>
      <w:r w:rsidR="00165A2A">
        <w:rPr>
          <w:rFonts w:ascii="Times New Roman" w:hAnsi="Times New Roman" w:cs="Times New Roman"/>
          <w:sz w:val="24"/>
          <w:szCs w:val="24"/>
        </w:rPr>
        <w:t xml:space="preserve"> As Cowan and Carr warn, there is “considerable naval gazing” over the meaning of the term, which is no doubt “frustrating to some”.</w:t>
      </w:r>
      <w:r w:rsidR="00165A2A">
        <w:rPr>
          <w:rStyle w:val="FootnoteReference"/>
          <w:rFonts w:ascii="Times New Roman" w:hAnsi="Times New Roman" w:cs="Times New Roman"/>
          <w:sz w:val="24"/>
          <w:szCs w:val="24"/>
        </w:rPr>
        <w:footnoteReference w:id="88"/>
      </w:r>
      <w:r w:rsidR="00165A2A">
        <w:rPr>
          <w:rFonts w:ascii="Times New Roman" w:hAnsi="Times New Roman" w:cs="Times New Roman"/>
          <w:sz w:val="24"/>
          <w:szCs w:val="24"/>
        </w:rPr>
        <w:t xml:space="preserve"> However, for the purposes of this paper, the key “tenet” of an approach rooted in ANT is acknowledging the role non-human actors (such as documents or other objects) play in the complexity of the world. As Cloatre puts it, proponents of ANT argue that by having “privileged humans in their analysis, social scientists have missed a trick.”</w:t>
      </w:r>
      <w:r w:rsidR="00165A2A">
        <w:rPr>
          <w:rStyle w:val="FootnoteReference"/>
          <w:rFonts w:ascii="Times New Roman" w:hAnsi="Times New Roman" w:cs="Times New Roman"/>
          <w:sz w:val="24"/>
          <w:szCs w:val="24"/>
        </w:rPr>
        <w:footnoteReference w:id="89"/>
      </w:r>
    </w:p>
    <w:p w14:paraId="1A7D009B" w14:textId="313A6A07" w:rsidR="00165A2A" w:rsidRDefault="00165A2A" w:rsidP="00165A2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Second, although far from confined to documents</w:t>
      </w:r>
      <w:r w:rsidR="00F63DB5">
        <w:rPr>
          <w:rFonts w:ascii="Times New Roman" w:hAnsi="Times New Roman" w:cs="Times New Roman"/>
          <w:sz w:val="24"/>
          <w:szCs w:val="24"/>
        </w:rPr>
        <w:t xml:space="preserve"> like leases</w:t>
      </w:r>
      <w:r>
        <w:rPr>
          <w:rFonts w:ascii="Times New Roman" w:hAnsi="Times New Roman" w:cs="Times New Roman"/>
          <w:sz w:val="24"/>
          <w:szCs w:val="24"/>
        </w:rPr>
        <w:t>, a long-line of ANT scholarship has called for “closer attention to documents.”</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In the recent </w:t>
      </w:r>
      <w:r w:rsidRPr="006E2312">
        <w:rPr>
          <w:rFonts w:ascii="Times New Roman" w:hAnsi="Times New Roman" w:cs="Times New Roman"/>
          <w:i/>
          <w:sz w:val="24"/>
          <w:szCs w:val="24"/>
        </w:rPr>
        <w:t>Routledge Handbook of Law and Society</w:t>
      </w:r>
      <w:r>
        <w:rPr>
          <w:rFonts w:ascii="Times New Roman" w:hAnsi="Times New Roman" w:cs="Times New Roman"/>
          <w:i/>
          <w:sz w:val="24"/>
          <w:szCs w:val="24"/>
        </w:rPr>
        <w:t xml:space="preserve">, </w:t>
      </w:r>
      <w:r w:rsidRPr="006E2312">
        <w:rPr>
          <w:rFonts w:ascii="Times New Roman" w:hAnsi="Times New Roman" w:cs="Times New Roman"/>
          <w:sz w:val="24"/>
          <w:szCs w:val="24"/>
        </w:rPr>
        <w:t>Barrera and Latorr</w:t>
      </w:r>
      <w:r>
        <w:rPr>
          <w:rFonts w:ascii="Times New Roman" w:hAnsi="Times New Roman" w:cs="Times New Roman"/>
          <w:sz w:val="24"/>
          <w:szCs w:val="24"/>
        </w:rPr>
        <w:t>e each reflect on how ANT-informed approaches facilitated their analysis of two documents: files in the Argentine Supreme Court and land title deeds in Columbia.</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Drawing on Riles’ work,</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they demonstrate how an ANT approach takes materials that are “usually taken for granted by both legal actors and scholars” – such as “</w:t>
      </w:r>
      <w:r w:rsidRPr="006E2312">
        <w:rPr>
          <w:rFonts w:ascii="Times New Roman" w:hAnsi="Times New Roman" w:cs="Times New Roman"/>
          <w:sz w:val="24"/>
          <w:szCs w:val="24"/>
        </w:rPr>
        <w:t>documents, forms, files, leases, deeds, patents</w:t>
      </w:r>
      <w:r>
        <w:rPr>
          <w:rFonts w:ascii="Times New Roman" w:hAnsi="Times New Roman" w:cs="Times New Roman"/>
          <w:sz w:val="24"/>
          <w:szCs w:val="24"/>
        </w:rPr>
        <w:t>”</w:t>
      </w:r>
      <w:r w:rsidR="00520DA9">
        <w:rPr>
          <w:rFonts w:ascii="Times New Roman" w:hAnsi="Times New Roman" w:cs="Times New Roman"/>
          <w:sz w:val="24"/>
          <w:szCs w:val="24"/>
        </w:rPr>
        <w:t xml:space="preserve"> –</w:t>
      </w:r>
      <w:r>
        <w:rPr>
          <w:rFonts w:ascii="Times New Roman" w:hAnsi="Times New Roman" w:cs="Times New Roman"/>
          <w:sz w:val="24"/>
          <w:szCs w:val="24"/>
        </w:rPr>
        <w:t xml:space="preserve"> and treat</w:t>
      </w:r>
      <w:r w:rsidR="00520DA9">
        <w:rPr>
          <w:rFonts w:ascii="Times New Roman" w:hAnsi="Times New Roman" w:cs="Times New Roman"/>
          <w:sz w:val="24"/>
          <w:szCs w:val="24"/>
        </w:rPr>
        <w:t>s</w:t>
      </w:r>
      <w:r>
        <w:rPr>
          <w:rFonts w:ascii="Times New Roman" w:hAnsi="Times New Roman" w:cs="Times New Roman"/>
          <w:sz w:val="24"/>
          <w:szCs w:val="24"/>
        </w:rPr>
        <w:t xml:space="preserve"> them as “</w:t>
      </w:r>
      <w:r w:rsidRPr="006E2312">
        <w:rPr>
          <w:rFonts w:ascii="Times New Roman" w:hAnsi="Times New Roman" w:cs="Times New Roman"/>
          <w:sz w:val="24"/>
          <w:szCs w:val="24"/>
        </w:rPr>
        <w:t>distinct objects of analysis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3"/>
      </w:r>
    </w:p>
    <w:p w14:paraId="488CF3EE" w14:textId="591C6EE4" w:rsidR="00165A2A" w:rsidRDefault="00165A2A" w:rsidP="00165A2A">
      <w:pPr>
        <w:spacing w:line="276" w:lineRule="auto"/>
        <w:jc w:val="both"/>
        <w:rPr>
          <w:rFonts w:ascii="Times New Roman" w:hAnsi="Times New Roman" w:cs="Times New Roman"/>
          <w:sz w:val="24"/>
          <w:szCs w:val="24"/>
        </w:rPr>
      </w:pPr>
      <w:r>
        <w:rPr>
          <w:rFonts w:ascii="Times New Roman" w:hAnsi="Times New Roman" w:cs="Times New Roman"/>
          <w:sz w:val="24"/>
          <w:szCs w:val="24"/>
        </w:rPr>
        <w:t>It is in this line of work that Hunter’s arguments on the lease as a “socio-legal object” sit. Drawing on ANT scholarship (and Cloatre in particular),</w:t>
      </w:r>
      <w:r w:rsidR="006E6AEF">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Hunter argues that leases – </w:t>
      </w:r>
      <w:r w:rsidR="00A36A94">
        <w:rPr>
          <w:rFonts w:ascii="Times New Roman" w:hAnsi="Times New Roman" w:cs="Times New Roman"/>
          <w:sz w:val="24"/>
          <w:szCs w:val="24"/>
        </w:rPr>
        <w:t>though often neglected</w:t>
      </w:r>
      <w:r>
        <w:rPr>
          <w:rFonts w:ascii="Times New Roman" w:hAnsi="Times New Roman" w:cs="Times New Roman"/>
          <w:sz w:val="24"/>
          <w:szCs w:val="24"/>
        </w:rPr>
        <w:t xml:space="preserve"> – are important documents to analyse in their own right. This is because leases are important actors in influencing both social relations –</w:t>
      </w:r>
      <w:r w:rsidR="00C8099A">
        <w:rPr>
          <w:rFonts w:ascii="Times New Roman" w:hAnsi="Times New Roman" w:cs="Times New Roman"/>
          <w:sz w:val="24"/>
          <w:szCs w:val="24"/>
        </w:rPr>
        <w:t xml:space="preserve"> </w:t>
      </w:r>
      <w:r>
        <w:rPr>
          <w:rFonts w:ascii="Times New Roman" w:hAnsi="Times New Roman" w:cs="Times New Roman"/>
          <w:sz w:val="24"/>
          <w:szCs w:val="24"/>
        </w:rPr>
        <w:t>between landlords, tenants, neighbours, businesses, and so on – and the physical world –</w:t>
      </w:r>
      <w:r w:rsidR="00C8099A">
        <w:rPr>
          <w:rFonts w:ascii="Times New Roman" w:hAnsi="Times New Roman" w:cs="Times New Roman"/>
          <w:sz w:val="24"/>
          <w:szCs w:val="24"/>
        </w:rPr>
        <w:t xml:space="preserve"> </w:t>
      </w:r>
      <w:r>
        <w:rPr>
          <w:rFonts w:ascii="Times New Roman" w:hAnsi="Times New Roman" w:cs="Times New Roman"/>
          <w:sz w:val="24"/>
          <w:szCs w:val="24"/>
        </w:rPr>
        <w:t xml:space="preserve">the environment of the </w:t>
      </w:r>
      <w:r w:rsidR="00C8099A">
        <w:rPr>
          <w:rFonts w:ascii="Times New Roman" w:hAnsi="Times New Roman" w:cs="Times New Roman"/>
          <w:sz w:val="24"/>
          <w:szCs w:val="24"/>
        </w:rPr>
        <w:t>property itself</w:t>
      </w:r>
      <w:r>
        <w:rPr>
          <w:rFonts w:ascii="Times New Roman" w:hAnsi="Times New Roman" w:cs="Times New Roman"/>
          <w:sz w:val="24"/>
          <w:szCs w:val="24"/>
        </w:rPr>
        <w:t>.</w:t>
      </w:r>
    </w:p>
    <w:p w14:paraId="6276BF16" w14:textId="0241C299" w:rsidR="00165A2A" w:rsidRDefault="00165A2A" w:rsidP="00165A2A">
      <w:pPr>
        <w:spacing w:line="276" w:lineRule="auto"/>
        <w:jc w:val="both"/>
        <w:rPr>
          <w:rFonts w:ascii="Times New Roman" w:hAnsi="Times New Roman" w:cs="Times New Roman"/>
          <w:sz w:val="24"/>
          <w:szCs w:val="24"/>
        </w:rPr>
      </w:pPr>
      <w:r>
        <w:rPr>
          <w:rFonts w:ascii="Times New Roman" w:hAnsi="Times New Roman" w:cs="Times New Roman"/>
          <w:sz w:val="24"/>
          <w:szCs w:val="24"/>
        </w:rPr>
        <w:t>On the former, Hunter argues that leases are an important component in managing conflicts between landlords and tenants, but also (drawing on Blandy)</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neighbours and others with interests in the leased property.</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In the residential context, Hunter concludes that the lease was an important influence in these relationships, but was not an “everyday presence</w:t>
      </w:r>
      <w:r w:rsidR="008E0510">
        <w:rPr>
          <w:rFonts w:ascii="Times New Roman" w:hAnsi="Times New Roman" w:cs="Times New Roman"/>
          <w:sz w:val="24"/>
          <w:szCs w:val="24"/>
        </w:rPr>
        <w:t>.</w:t>
      </w:r>
      <w:r>
        <w:rPr>
          <w:rFonts w:ascii="Times New Roman" w:hAnsi="Times New Roman" w:cs="Times New Roman"/>
          <w:sz w:val="24"/>
          <w:szCs w:val="24"/>
        </w:rPr>
        <w:t>”</w:t>
      </w:r>
      <w:r w:rsidR="006E7825">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w:t>
      </w:r>
      <w:r w:rsidR="008E0510">
        <w:rPr>
          <w:rFonts w:ascii="Times New Roman" w:hAnsi="Times New Roman" w:cs="Times New Roman"/>
          <w:sz w:val="24"/>
          <w:szCs w:val="24"/>
        </w:rPr>
        <w:t>I</w:t>
      </w:r>
      <w:r>
        <w:rPr>
          <w:rFonts w:ascii="Times New Roman" w:hAnsi="Times New Roman" w:cs="Times New Roman"/>
          <w:sz w:val="24"/>
          <w:szCs w:val="24"/>
        </w:rPr>
        <w:t>nstead it only “came into play” at particular points of conflict. A similar point is made in the context of retail leases by Patrick and Bright, where the lease “</w:t>
      </w:r>
      <w:r w:rsidRPr="00B42CEA">
        <w:rPr>
          <w:rFonts w:ascii="Times New Roman" w:hAnsi="Times New Roman" w:cs="Times New Roman"/>
          <w:sz w:val="24"/>
          <w:szCs w:val="24"/>
        </w:rPr>
        <w:t>seemed largely irrelevant for day to day issues</w:t>
      </w:r>
      <w:r>
        <w:rPr>
          <w:rFonts w:ascii="Times New Roman" w:hAnsi="Times New Roman" w:cs="Times New Roman"/>
          <w:sz w:val="24"/>
          <w:szCs w:val="24"/>
        </w:rPr>
        <w:t>”, with one participant even referring, dismissively, to the “lease in the cupboard”.</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The analysis that follows demonstrates that for tied tenants, the lease is not confined to being invoked to deal with rare conflicts. Instead, the lease has an important role in generating a commercial power imbalance between the tied tenant and the pub-owning company that impacts on the day-to-day running of the tied establishment. In common with some other forms of commercial leasehold, the lease is a therefore a core component in the functioning and ongoing viability of the occupying tenant’s business.</w:t>
      </w:r>
    </w:p>
    <w:p w14:paraId="73A5D883" w14:textId="32D6F81F" w:rsidR="00721ADC" w:rsidRPr="0058176B" w:rsidRDefault="00165A2A" w:rsidP="004A09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 the latter, Hunter argues </w:t>
      </w:r>
      <w:r w:rsidRPr="0058176B">
        <w:rPr>
          <w:rFonts w:ascii="Times New Roman" w:hAnsi="Times New Roman" w:cs="Times New Roman"/>
          <w:sz w:val="24"/>
          <w:szCs w:val="24"/>
        </w:rPr>
        <w:t xml:space="preserve">that the lease </w:t>
      </w:r>
      <w:r>
        <w:rPr>
          <w:rFonts w:ascii="Times New Roman" w:hAnsi="Times New Roman" w:cs="Times New Roman"/>
          <w:sz w:val="24"/>
          <w:szCs w:val="24"/>
        </w:rPr>
        <w:t>shapes physical space. Her example focuses on the installation of solar panels in leased residential property, demonstrating that the way in which the lease permits</w:t>
      </w:r>
      <w:r w:rsidRPr="0058176B">
        <w:rPr>
          <w:rFonts w:ascii="Times New Roman" w:hAnsi="Times New Roman" w:cs="Times New Roman"/>
          <w:sz w:val="24"/>
          <w:szCs w:val="24"/>
        </w:rPr>
        <w:t xml:space="preserve"> or constrain</w:t>
      </w:r>
      <w:r>
        <w:rPr>
          <w:rFonts w:ascii="Times New Roman" w:hAnsi="Times New Roman" w:cs="Times New Roman"/>
          <w:sz w:val="24"/>
          <w:szCs w:val="24"/>
        </w:rPr>
        <w:t>s</w:t>
      </w:r>
      <w:r w:rsidRPr="0058176B">
        <w:rPr>
          <w:rFonts w:ascii="Times New Roman" w:hAnsi="Times New Roman" w:cs="Times New Roman"/>
          <w:sz w:val="24"/>
          <w:szCs w:val="24"/>
        </w:rPr>
        <w:t xml:space="preserve"> </w:t>
      </w:r>
      <w:r>
        <w:rPr>
          <w:rFonts w:ascii="Times New Roman" w:hAnsi="Times New Roman" w:cs="Times New Roman"/>
          <w:sz w:val="24"/>
          <w:szCs w:val="24"/>
        </w:rPr>
        <w:t>t</w:t>
      </w:r>
      <w:r w:rsidRPr="0058176B">
        <w:rPr>
          <w:rFonts w:ascii="Times New Roman" w:hAnsi="Times New Roman" w:cs="Times New Roman"/>
          <w:sz w:val="24"/>
          <w:szCs w:val="24"/>
        </w:rPr>
        <w:t>he use of leased prop</w:t>
      </w:r>
      <w:r>
        <w:rPr>
          <w:rFonts w:ascii="Times New Roman" w:hAnsi="Times New Roman" w:cs="Times New Roman"/>
          <w:sz w:val="24"/>
          <w:szCs w:val="24"/>
        </w:rPr>
        <w:t>erty in turn</w:t>
      </w:r>
      <w:r w:rsidRPr="0058176B">
        <w:rPr>
          <w:rFonts w:ascii="Times New Roman" w:hAnsi="Times New Roman" w:cs="Times New Roman"/>
          <w:sz w:val="24"/>
          <w:szCs w:val="24"/>
        </w:rPr>
        <w:t xml:space="preserve"> </w:t>
      </w:r>
      <w:r>
        <w:rPr>
          <w:rFonts w:ascii="Times New Roman" w:hAnsi="Times New Roman" w:cs="Times New Roman"/>
          <w:sz w:val="24"/>
          <w:szCs w:val="24"/>
        </w:rPr>
        <w:t>affects its</w:t>
      </w:r>
      <w:r w:rsidRPr="0058176B">
        <w:rPr>
          <w:rFonts w:ascii="Times New Roman" w:hAnsi="Times New Roman" w:cs="Times New Roman"/>
          <w:sz w:val="24"/>
          <w:szCs w:val="24"/>
        </w:rPr>
        <w:t xml:space="preserve"> physical form</w:t>
      </w:r>
      <w:r>
        <w:rPr>
          <w:rFonts w:ascii="Times New Roman" w:hAnsi="Times New Roman" w:cs="Times New Roman"/>
          <w:sz w:val="24"/>
          <w:szCs w:val="24"/>
        </w:rPr>
        <w:t xml:space="preserve">. </w:t>
      </w:r>
      <w:r>
        <w:rPr>
          <w:rFonts w:ascii="Times New Roman" w:hAnsi="Times New Roman" w:cs="Times New Roman"/>
          <w:sz w:val="24"/>
          <w:szCs w:val="24"/>
        </w:rPr>
        <w:lastRenderedPageBreak/>
        <w:t>Hunter argues that</w:t>
      </w:r>
      <w:r w:rsidRPr="0058176B">
        <w:rPr>
          <w:rFonts w:ascii="Times New Roman" w:hAnsi="Times New Roman" w:cs="Times New Roman"/>
          <w:sz w:val="24"/>
          <w:szCs w:val="24"/>
        </w:rPr>
        <w:t xml:space="preserve"> the lease is, </w:t>
      </w:r>
      <w:r>
        <w:rPr>
          <w:rFonts w:ascii="Times New Roman" w:hAnsi="Times New Roman" w:cs="Times New Roman"/>
          <w:sz w:val="24"/>
          <w:szCs w:val="24"/>
        </w:rPr>
        <w:t>at least in part</w:t>
      </w:r>
      <w:r w:rsidRPr="0058176B">
        <w:rPr>
          <w:rFonts w:ascii="Times New Roman" w:hAnsi="Times New Roman" w:cs="Times New Roman"/>
          <w:sz w:val="24"/>
          <w:szCs w:val="24"/>
        </w:rPr>
        <w:t>, “constitutive of the socio-material reality of the city</w:t>
      </w:r>
      <w:r>
        <w:rPr>
          <w:rFonts w:ascii="Times New Roman" w:hAnsi="Times New Roman" w:cs="Times New Roman"/>
          <w:sz w:val="24"/>
          <w:szCs w:val="24"/>
        </w:rPr>
        <w:t>.</w:t>
      </w:r>
      <w:r w:rsidRPr="0058176B">
        <w:rPr>
          <w:rFonts w:ascii="Times New Roman" w:hAnsi="Times New Roman" w:cs="Times New Roman"/>
          <w:sz w:val="24"/>
          <w:szCs w:val="24"/>
        </w:rPr>
        <w:t>”</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For tied leases – where the operation of the business is heavily incorporated into the commercial lease terms – the lease shapes the physical space of the UK public house, right down to the fluid that comes out of the taps.</w:t>
      </w:r>
      <w:r w:rsidR="004A097C">
        <w:rPr>
          <w:rFonts w:ascii="Times New Roman" w:hAnsi="Times New Roman" w:cs="Times New Roman"/>
          <w:sz w:val="24"/>
          <w:szCs w:val="24"/>
        </w:rPr>
        <w:t xml:space="preserve"> </w:t>
      </w:r>
      <w:r w:rsidR="00721ADC">
        <w:rPr>
          <w:rFonts w:ascii="Times New Roman" w:hAnsi="Times New Roman" w:cs="Times New Roman"/>
          <w:sz w:val="24"/>
          <w:szCs w:val="24"/>
        </w:rPr>
        <w:t>Drawing on Hunter’s approach, this section now turns to the role of the lease in shaping</w:t>
      </w:r>
      <w:r w:rsidR="00721ADC" w:rsidRPr="00721ADC">
        <w:rPr>
          <w:rFonts w:ascii="Times New Roman" w:hAnsi="Times New Roman" w:cs="Times New Roman"/>
          <w:sz w:val="24"/>
          <w:szCs w:val="24"/>
        </w:rPr>
        <w:t xml:space="preserve"> business practices</w:t>
      </w:r>
      <w:r w:rsidR="00721ADC">
        <w:rPr>
          <w:rFonts w:ascii="Times New Roman" w:hAnsi="Times New Roman" w:cs="Times New Roman"/>
          <w:sz w:val="24"/>
          <w:szCs w:val="24"/>
        </w:rPr>
        <w:t xml:space="preserve">, </w:t>
      </w:r>
      <w:r w:rsidR="00721ADC" w:rsidRPr="00721ADC">
        <w:rPr>
          <w:rFonts w:ascii="Times New Roman" w:hAnsi="Times New Roman" w:cs="Times New Roman"/>
          <w:sz w:val="24"/>
          <w:szCs w:val="24"/>
        </w:rPr>
        <w:t xml:space="preserve">time, and </w:t>
      </w:r>
      <w:r w:rsidR="00721ADC">
        <w:rPr>
          <w:rFonts w:ascii="Times New Roman" w:hAnsi="Times New Roman" w:cs="Times New Roman"/>
          <w:sz w:val="24"/>
          <w:szCs w:val="24"/>
        </w:rPr>
        <w:t>business viability</w:t>
      </w:r>
      <w:r w:rsidR="00721ADC" w:rsidRPr="00721ADC">
        <w:rPr>
          <w:rFonts w:ascii="Times New Roman" w:hAnsi="Times New Roman" w:cs="Times New Roman"/>
          <w:sz w:val="24"/>
          <w:szCs w:val="24"/>
        </w:rPr>
        <w:t>. Each will be dealt with in turn.</w:t>
      </w:r>
    </w:p>
    <w:p w14:paraId="17ADD1B2" w14:textId="77777777" w:rsidR="004C227C" w:rsidRDefault="004C227C" w:rsidP="007A68DF">
      <w:pPr>
        <w:rPr>
          <w:rFonts w:ascii="Times New Roman" w:hAnsi="Times New Roman" w:cs="Times New Roman"/>
          <w:sz w:val="24"/>
          <w:szCs w:val="24"/>
        </w:rPr>
      </w:pPr>
    </w:p>
    <w:p w14:paraId="3C15E341" w14:textId="77777777" w:rsidR="00FC3D87" w:rsidRPr="007A68DF" w:rsidRDefault="00FC3D87" w:rsidP="007A68DF"/>
    <w:p w14:paraId="5701200B" w14:textId="563CD889" w:rsidR="00861CCE" w:rsidRDefault="00483380" w:rsidP="007A68DF">
      <w:pPr>
        <w:pStyle w:val="Heading2"/>
      </w:pPr>
      <w:r>
        <w:t>4.</w:t>
      </w:r>
      <w:r w:rsidR="007A68DF">
        <w:t xml:space="preserve">.1 </w:t>
      </w:r>
      <w:r w:rsidR="000F1AA0">
        <w:t xml:space="preserve">The tied terms: </w:t>
      </w:r>
      <w:r w:rsidR="000362E2">
        <w:t xml:space="preserve">SHAPING </w:t>
      </w:r>
      <w:r w:rsidR="00223D09">
        <w:t>business practices</w:t>
      </w:r>
    </w:p>
    <w:p w14:paraId="3731CE99" w14:textId="77777777" w:rsidR="007A68DF" w:rsidRPr="007A68DF" w:rsidRDefault="007A68DF" w:rsidP="007A68DF"/>
    <w:p w14:paraId="73E86305" w14:textId="72D830A8" w:rsidR="005724E5"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Although the very definition of a “tied lease” is that there is a contractual arrangement of exclusive supply built-in, the parameters of these vary by pub and are subject to negotiation by the tied publican. In all cases beer is tied – either partially or in full – and in many instances, keg ciders or “WSM” (wines, spirits and minerals – the latter being soft drinks and mixers)</w:t>
      </w:r>
      <w:r w:rsidR="00E37EFA">
        <w:rPr>
          <w:rFonts w:ascii="Times New Roman" w:hAnsi="Times New Roman" w:cs="Times New Roman"/>
          <w:sz w:val="24"/>
          <w:szCs w:val="24"/>
        </w:rPr>
        <w:t xml:space="preserve"> are too</w:t>
      </w:r>
      <w:r>
        <w:rPr>
          <w:rFonts w:ascii="Times New Roman" w:hAnsi="Times New Roman" w:cs="Times New Roman"/>
          <w:sz w:val="24"/>
          <w:szCs w:val="24"/>
        </w:rPr>
        <w:t>.</w:t>
      </w:r>
      <w:r w:rsidR="005724E5">
        <w:rPr>
          <w:rFonts w:ascii="Times New Roman" w:hAnsi="Times New Roman" w:cs="Times New Roman"/>
          <w:sz w:val="24"/>
          <w:szCs w:val="24"/>
        </w:rPr>
        <w:t xml:space="preserve"> Standard terms in tied leases enforce the tie in a number of ways. Figure One details an annotated excerpt from the sample lease</w:t>
      </w:r>
      <w:r w:rsidR="00FA7C9E">
        <w:rPr>
          <w:rFonts w:ascii="Times New Roman" w:hAnsi="Times New Roman" w:cs="Times New Roman"/>
          <w:sz w:val="24"/>
          <w:szCs w:val="24"/>
        </w:rPr>
        <w:t>.</w:t>
      </w:r>
    </w:p>
    <w:p w14:paraId="61371CFC" w14:textId="2A12F23D" w:rsidR="00584C6E" w:rsidRPr="0091073E" w:rsidRDefault="0091073E" w:rsidP="0091073E">
      <w:pPr>
        <w:spacing w:line="276" w:lineRule="auto"/>
        <w:jc w:val="center"/>
        <w:rPr>
          <w:rFonts w:ascii="Times New Roman" w:hAnsi="Times New Roman" w:cs="Times New Roman"/>
          <w:b/>
          <w:sz w:val="24"/>
          <w:szCs w:val="24"/>
        </w:rPr>
      </w:pPr>
      <w:r w:rsidRPr="0091073E">
        <w:rPr>
          <w:rFonts w:ascii="Times New Roman" w:hAnsi="Times New Roman" w:cs="Times New Roman"/>
          <w:b/>
          <w:sz w:val="24"/>
          <w:szCs w:val="24"/>
        </w:rPr>
        <w:t>[FIGURE ONE]</w:t>
      </w:r>
    </w:p>
    <w:p w14:paraId="68B72276" w14:textId="774BEC0A" w:rsidR="000D3EFE" w:rsidRDefault="005724E5"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Here, the lease obliges the publican to promote the sale of tied drinks and undertake their “best endeavours” to develop the business</w:t>
      </w:r>
      <w:r w:rsidR="001A6CE0">
        <w:rPr>
          <w:rFonts w:ascii="Times New Roman" w:hAnsi="Times New Roman" w:cs="Times New Roman"/>
          <w:sz w:val="24"/>
          <w:szCs w:val="24"/>
        </w:rPr>
        <w:t>,</w:t>
      </w:r>
      <w:r>
        <w:rPr>
          <w:rFonts w:ascii="Times New Roman" w:hAnsi="Times New Roman" w:cs="Times New Roman"/>
          <w:sz w:val="24"/>
          <w:szCs w:val="24"/>
        </w:rPr>
        <w:t xml:space="preserve"> stock tied drinks</w:t>
      </w:r>
      <w:r w:rsidR="001A6CE0">
        <w:rPr>
          <w:rFonts w:ascii="Times New Roman" w:hAnsi="Times New Roman" w:cs="Times New Roman"/>
          <w:sz w:val="24"/>
          <w:szCs w:val="24"/>
        </w:rPr>
        <w:t>,</w:t>
      </w:r>
      <w:r>
        <w:rPr>
          <w:rFonts w:ascii="Times New Roman" w:hAnsi="Times New Roman" w:cs="Times New Roman"/>
          <w:sz w:val="24"/>
          <w:szCs w:val="24"/>
        </w:rPr>
        <w:t xml:space="preserve"> and remain open during all trading hours. </w:t>
      </w:r>
      <w:r w:rsidR="00FA7C9E">
        <w:rPr>
          <w:rFonts w:ascii="Times New Roman" w:hAnsi="Times New Roman" w:cs="Times New Roman"/>
          <w:sz w:val="24"/>
          <w:szCs w:val="24"/>
        </w:rPr>
        <w:t>These terms work together to ensure the availability and promotion of tied drinks in the pub for the PubCo</w:t>
      </w:r>
      <w:r w:rsidR="00231171">
        <w:rPr>
          <w:rFonts w:ascii="Times New Roman" w:hAnsi="Times New Roman" w:cs="Times New Roman"/>
          <w:sz w:val="24"/>
          <w:szCs w:val="24"/>
        </w:rPr>
        <w:t>.</w:t>
      </w:r>
      <w:r w:rsidR="00FA7C9E">
        <w:rPr>
          <w:rFonts w:ascii="Times New Roman" w:hAnsi="Times New Roman" w:cs="Times New Roman"/>
          <w:sz w:val="24"/>
          <w:szCs w:val="24"/>
        </w:rPr>
        <w:t xml:space="preserve"> </w:t>
      </w:r>
      <w:r w:rsidR="00231171">
        <w:rPr>
          <w:rFonts w:ascii="Times New Roman" w:hAnsi="Times New Roman" w:cs="Times New Roman"/>
          <w:sz w:val="24"/>
          <w:szCs w:val="24"/>
        </w:rPr>
        <w:t>G</w:t>
      </w:r>
      <w:r w:rsidR="00FA7C9E">
        <w:rPr>
          <w:rFonts w:ascii="Times New Roman" w:hAnsi="Times New Roman" w:cs="Times New Roman"/>
          <w:sz w:val="24"/>
          <w:szCs w:val="24"/>
        </w:rPr>
        <w:t xml:space="preserve">iven the margin they make on the sale of these products, this is an important function of the lease. However, standard terms in tied leases also provide </w:t>
      </w:r>
      <w:r w:rsidR="00E37EFA">
        <w:rPr>
          <w:rFonts w:ascii="Times New Roman" w:hAnsi="Times New Roman" w:cs="Times New Roman"/>
          <w:sz w:val="24"/>
          <w:szCs w:val="24"/>
        </w:rPr>
        <w:t xml:space="preserve">broader </w:t>
      </w:r>
      <w:r w:rsidR="00231171">
        <w:rPr>
          <w:rFonts w:ascii="Times New Roman" w:hAnsi="Times New Roman" w:cs="Times New Roman"/>
          <w:sz w:val="24"/>
          <w:szCs w:val="24"/>
        </w:rPr>
        <w:t>reaching</w:t>
      </w:r>
      <w:r w:rsidR="00FA7C9E">
        <w:rPr>
          <w:rFonts w:ascii="Times New Roman" w:hAnsi="Times New Roman" w:cs="Times New Roman"/>
          <w:sz w:val="24"/>
          <w:szCs w:val="24"/>
        </w:rPr>
        <w:t xml:space="preserve"> influence over the tied publican’s business. Figure Two provides a further excerpt from the standard lease.  </w:t>
      </w:r>
    </w:p>
    <w:p w14:paraId="483399FE" w14:textId="1432D268" w:rsidR="00473A3A" w:rsidRDefault="0091073E" w:rsidP="0091073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[FIGURE TWO]</w:t>
      </w:r>
    </w:p>
    <w:p w14:paraId="28C97CA1" w14:textId="68DB11CC" w:rsidR="0006624E" w:rsidRPr="0006624E" w:rsidRDefault="0006624E" w:rsidP="00D6329E">
      <w:pPr>
        <w:spacing w:line="276" w:lineRule="auto"/>
        <w:jc w:val="both"/>
        <w:rPr>
          <w:rFonts w:ascii="Times New Roman" w:hAnsi="Times New Roman" w:cs="Times New Roman"/>
          <w:sz w:val="24"/>
          <w:szCs w:val="24"/>
        </w:rPr>
      </w:pPr>
      <w:r w:rsidRPr="000B430A">
        <w:rPr>
          <w:rFonts w:ascii="Times New Roman" w:hAnsi="Times New Roman" w:cs="Times New Roman"/>
          <w:sz w:val="24"/>
          <w:szCs w:val="24"/>
        </w:rPr>
        <w:t>These</w:t>
      </w:r>
      <w:r>
        <w:rPr>
          <w:rFonts w:ascii="Times New Roman" w:hAnsi="Times New Roman" w:cs="Times New Roman"/>
          <w:sz w:val="24"/>
          <w:szCs w:val="24"/>
        </w:rPr>
        <w:t xml:space="preserve"> lease</w:t>
      </w:r>
      <w:r w:rsidRPr="000B430A">
        <w:rPr>
          <w:rFonts w:ascii="Times New Roman" w:hAnsi="Times New Roman" w:cs="Times New Roman"/>
          <w:sz w:val="24"/>
          <w:szCs w:val="24"/>
        </w:rPr>
        <w:t xml:space="preserve"> terms </w:t>
      </w:r>
      <w:r w:rsidR="00E37EFA">
        <w:rPr>
          <w:rFonts w:ascii="Times New Roman" w:hAnsi="Times New Roman" w:cs="Times New Roman"/>
          <w:sz w:val="24"/>
          <w:szCs w:val="24"/>
        </w:rPr>
        <w:t>extend influence by</w:t>
      </w:r>
      <w:r>
        <w:rPr>
          <w:rFonts w:ascii="Times New Roman" w:hAnsi="Times New Roman" w:cs="Times New Roman"/>
          <w:sz w:val="24"/>
          <w:szCs w:val="24"/>
        </w:rPr>
        <w:t xml:space="preserve"> </w:t>
      </w:r>
      <w:r w:rsidR="00E37EFA">
        <w:rPr>
          <w:rFonts w:ascii="Times New Roman" w:hAnsi="Times New Roman" w:cs="Times New Roman"/>
          <w:sz w:val="24"/>
          <w:szCs w:val="24"/>
        </w:rPr>
        <w:t xml:space="preserve">the </w:t>
      </w:r>
      <w:r>
        <w:rPr>
          <w:rFonts w:ascii="Times New Roman" w:hAnsi="Times New Roman" w:cs="Times New Roman"/>
          <w:sz w:val="24"/>
          <w:szCs w:val="24"/>
        </w:rPr>
        <w:t xml:space="preserve">PubCo </w:t>
      </w:r>
      <w:r w:rsidR="00E37EFA">
        <w:rPr>
          <w:rFonts w:ascii="Times New Roman" w:hAnsi="Times New Roman" w:cs="Times New Roman"/>
          <w:sz w:val="24"/>
          <w:szCs w:val="24"/>
        </w:rPr>
        <w:t xml:space="preserve">to other elements of </w:t>
      </w:r>
      <w:r>
        <w:rPr>
          <w:rFonts w:ascii="Times New Roman" w:hAnsi="Times New Roman" w:cs="Times New Roman"/>
          <w:sz w:val="24"/>
          <w:szCs w:val="24"/>
        </w:rPr>
        <w:t xml:space="preserve">the operation of </w:t>
      </w:r>
      <w:r w:rsidR="00E37EFA">
        <w:rPr>
          <w:rFonts w:ascii="Times New Roman" w:hAnsi="Times New Roman" w:cs="Times New Roman"/>
          <w:sz w:val="24"/>
          <w:szCs w:val="24"/>
        </w:rPr>
        <w:t xml:space="preserve">a </w:t>
      </w:r>
      <w:r>
        <w:rPr>
          <w:rFonts w:ascii="Times New Roman" w:hAnsi="Times New Roman" w:cs="Times New Roman"/>
          <w:sz w:val="24"/>
          <w:szCs w:val="24"/>
        </w:rPr>
        <w:t>tied pub. Standard prices and promotion terms prevent a publican from artificially inflating the cost of tied relative to non-tied</w:t>
      </w:r>
      <w:r w:rsidR="00ED45B1">
        <w:rPr>
          <w:rFonts w:ascii="Times New Roman" w:hAnsi="Times New Roman" w:cs="Times New Roman"/>
          <w:sz w:val="24"/>
          <w:szCs w:val="24"/>
        </w:rPr>
        <w:t xml:space="preserve"> products</w:t>
      </w:r>
      <w:r>
        <w:rPr>
          <w:rFonts w:ascii="Times New Roman" w:hAnsi="Times New Roman" w:cs="Times New Roman"/>
          <w:sz w:val="24"/>
          <w:szCs w:val="24"/>
        </w:rPr>
        <w:t xml:space="preserve">, and requires them to effect the sale of tied drinks. The business plan terms secure the PubCo influence on </w:t>
      </w:r>
      <w:r w:rsidR="000A1DD6">
        <w:rPr>
          <w:rFonts w:ascii="Times New Roman" w:hAnsi="Times New Roman" w:cs="Times New Roman"/>
          <w:sz w:val="24"/>
          <w:szCs w:val="24"/>
        </w:rPr>
        <w:t>other</w:t>
      </w:r>
      <w:r w:rsidR="007C6055">
        <w:rPr>
          <w:rFonts w:ascii="Times New Roman" w:hAnsi="Times New Roman" w:cs="Times New Roman"/>
          <w:sz w:val="24"/>
          <w:szCs w:val="24"/>
        </w:rPr>
        <w:t xml:space="preserve"> aspects of the business – particularly barrelage (the volume and type of beer sold) and the provision of food, etc.</w:t>
      </w:r>
    </w:p>
    <w:p w14:paraId="1BD141AB" w14:textId="4CE060A8" w:rsidR="00DD094E" w:rsidRDefault="00361F0F"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In order to enforce the tie, these</w:t>
      </w:r>
      <w:r w:rsidR="00584C6E">
        <w:rPr>
          <w:rFonts w:ascii="Times New Roman" w:hAnsi="Times New Roman" w:cs="Times New Roman"/>
          <w:sz w:val="24"/>
          <w:szCs w:val="24"/>
        </w:rPr>
        <w:t xml:space="preserve"> leases almost always contain separate terms dealing with </w:t>
      </w:r>
      <w:r>
        <w:rPr>
          <w:rFonts w:ascii="Times New Roman" w:hAnsi="Times New Roman" w:cs="Times New Roman"/>
          <w:sz w:val="24"/>
          <w:szCs w:val="24"/>
        </w:rPr>
        <w:t>fines</w:t>
      </w:r>
      <w:r w:rsidR="00584C6E">
        <w:rPr>
          <w:rFonts w:ascii="Times New Roman" w:hAnsi="Times New Roman" w:cs="Times New Roman"/>
          <w:sz w:val="24"/>
          <w:szCs w:val="24"/>
        </w:rPr>
        <w:t xml:space="preserve">. </w:t>
      </w:r>
      <w:r>
        <w:rPr>
          <w:rFonts w:ascii="Times New Roman" w:hAnsi="Times New Roman" w:cs="Times New Roman"/>
          <w:sz w:val="24"/>
          <w:szCs w:val="24"/>
        </w:rPr>
        <w:t>These are ordinarily calculated to compensate the PubCo for their lost earnings. Figure Three details the relevant excerpt from the sample lease.</w:t>
      </w:r>
    </w:p>
    <w:p w14:paraId="01F691E2" w14:textId="6C467486" w:rsidR="0091073E" w:rsidRPr="0091073E" w:rsidRDefault="0091073E" w:rsidP="0091073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[FIGURE THREE]</w:t>
      </w:r>
    </w:p>
    <w:p w14:paraId="1A5FEB55" w14:textId="529A3BD7" w:rsidR="00584C6E" w:rsidRDefault="00251ABC"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use of these enforcement terms arose in the sample. For instance, </w:t>
      </w:r>
      <w:r w:rsidR="009505DD">
        <w:rPr>
          <w:rFonts w:ascii="Times New Roman" w:hAnsi="Times New Roman" w:cs="Times New Roman"/>
          <w:sz w:val="24"/>
          <w:szCs w:val="24"/>
        </w:rPr>
        <w:t>The King’s Arms</w:t>
      </w:r>
      <w:r w:rsidR="00584C6E">
        <w:rPr>
          <w:rFonts w:ascii="Times New Roman" w:hAnsi="Times New Roman" w:cs="Times New Roman"/>
          <w:sz w:val="24"/>
          <w:szCs w:val="24"/>
        </w:rPr>
        <w:t xml:space="preserve"> faced enforcement action after misinterpreting a tied term in their lease and “buying out”</w:t>
      </w:r>
      <w:r w:rsidR="007D3ED0">
        <w:rPr>
          <w:rFonts w:ascii="Times New Roman" w:hAnsi="Times New Roman" w:cs="Times New Roman"/>
          <w:sz w:val="24"/>
          <w:szCs w:val="24"/>
        </w:rPr>
        <w:t xml:space="preserve"> (i.e. buying </w:t>
      </w:r>
      <w:r w:rsidR="007D3ED0">
        <w:rPr>
          <w:rFonts w:ascii="Times New Roman" w:hAnsi="Times New Roman" w:cs="Times New Roman"/>
          <w:sz w:val="24"/>
          <w:szCs w:val="24"/>
        </w:rPr>
        <w:lastRenderedPageBreak/>
        <w:t>beer not sanctioned by the tied terms in the lease)</w:t>
      </w:r>
      <w:r w:rsidR="00584C6E">
        <w:rPr>
          <w:rFonts w:ascii="Times New Roman" w:hAnsi="Times New Roman" w:cs="Times New Roman"/>
          <w:sz w:val="24"/>
          <w:szCs w:val="24"/>
        </w:rPr>
        <w:t>, leading to a visit from what they referred to as the “Beer Police”:</w:t>
      </w:r>
    </w:p>
    <w:p w14:paraId="6CD3D20D" w14:textId="3ABD404E" w:rsidR="00861CCE" w:rsidRPr="00584C6E" w:rsidRDefault="00B953D4" w:rsidP="00D6329E">
      <w:pPr>
        <w:spacing w:line="276" w:lineRule="auto"/>
        <w:ind w:left="567" w:right="521"/>
        <w:jc w:val="both"/>
        <w:rPr>
          <w:rFonts w:ascii="Times New Roman" w:hAnsi="Times New Roman" w:cs="Times New Roman"/>
          <w:sz w:val="24"/>
          <w:szCs w:val="24"/>
        </w:rPr>
      </w:pPr>
      <w:r w:rsidRPr="00584C6E">
        <w:rPr>
          <w:rFonts w:ascii="Times New Roman" w:hAnsi="Times New Roman" w:cs="Times New Roman"/>
          <w:sz w:val="24"/>
          <w:szCs w:val="24"/>
        </w:rPr>
        <w:t>I was buying beer from a wholesale supplier, which I genuinely believed I could under the terms of the lease and it turned out I couldn’t…my [contact at the PubCo] brought along the, we call them the Beer Police…the Beer Standards Policy…they looked at the cellar and saw the product there and then promptly came into the pub, sat down, wrote out a report and said, there’s your £3,000 fine, how do you want to pay?</w:t>
      </w:r>
      <w:r w:rsidR="009505DD">
        <w:rPr>
          <w:rFonts w:ascii="Times New Roman" w:hAnsi="Times New Roman" w:cs="Times New Roman"/>
          <w:sz w:val="24"/>
          <w:szCs w:val="24"/>
        </w:rPr>
        <w:t xml:space="preserve"> (</w:t>
      </w:r>
      <w:r w:rsidR="009505DD">
        <w:rPr>
          <w:rFonts w:ascii="Times New Roman" w:hAnsi="Times New Roman" w:cs="Times New Roman"/>
          <w:i/>
          <w:sz w:val="24"/>
          <w:szCs w:val="24"/>
        </w:rPr>
        <w:t>The Kings Arms)</w:t>
      </w:r>
      <w:r w:rsidR="009505DD">
        <w:rPr>
          <w:rFonts w:ascii="Times New Roman" w:hAnsi="Times New Roman" w:cs="Times New Roman"/>
          <w:sz w:val="24"/>
          <w:szCs w:val="24"/>
        </w:rPr>
        <w:t>.</w:t>
      </w:r>
    </w:p>
    <w:p w14:paraId="152E2314" w14:textId="13656BA4"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Importantly, the extent of the</w:t>
      </w:r>
      <w:r w:rsidR="00251ABC">
        <w:rPr>
          <w:rFonts w:ascii="Times New Roman" w:hAnsi="Times New Roman" w:cs="Times New Roman"/>
          <w:sz w:val="24"/>
          <w:szCs w:val="24"/>
        </w:rPr>
        <w:t>se broader</w:t>
      </w:r>
      <w:r>
        <w:rPr>
          <w:rFonts w:ascii="Times New Roman" w:hAnsi="Times New Roman" w:cs="Times New Roman"/>
          <w:sz w:val="24"/>
          <w:szCs w:val="24"/>
        </w:rPr>
        <w:t xml:space="preserve"> tie</w:t>
      </w:r>
      <w:r w:rsidR="00251ABC">
        <w:rPr>
          <w:rFonts w:ascii="Times New Roman" w:hAnsi="Times New Roman" w:cs="Times New Roman"/>
          <w:sz w:val="24"/>
          <w:szCs w:val="24"/>
        </w:rPr>
        <w:t>d terms</w:t>
      </w:r>
      <w:r>
        <w:rPr>
          <w:rFonts w:ascii="Times New Roman" w:hAnsi="Times New Roman" w:cs="Times New Roman"/>
          <w:sz w:val="24"/>
          <w:szCs w:val="24"/>
        </w:rPr>
        <w:t xml:space="preserve"> has serious implications on the earnings potential of the tied publican. As noted above, </w:t>
      </w:r>
      <w:r w:rsidR="00C3187A">
        <w:rPr>
          <w:rFonts w:ascii="Times New Roman" w:hAnsi="Times New Roman" w:cs="Times New Roman"/>
          <w:sz w:val="24"/>
          <w:szCs w:val="24"/>
        </w:rPr>
        <w:t xml:space="preserve">the mark-up on </w:t>
      </w:r>
      <w:r w:rsidR="00C5473F">
        <w:rPr>
          <w:rFonts w:ascii="Times New Roman" w:hAnsi="Times New Roman" w:cs="Times New Roman"/>
          <w:sz w:val="24"/>
          <w:szCs w:val="24"/>
        </w:rPr>
        <w:t>tied product prices</w:t>
      </w:r>
      <w:r>
        <w:rPr>
          <w:rFonts w:ascii="Times New Roman" w:hAnsi="Times New Roman" w:cs="Times New Roman"/>
          <w:sz w:val="24"/>
          <w:szCs w:val="24"/>
        </w:rPr>
        <w:t xml:space="preserve"> is the “central mechanism” through which PubCos “extract the surplus of the pub” via the lease </w:t>
      </w:r>
      <w:r w:rsidR="00B20E32">
        <w:rPr>
          <w:rFonts w:ascii="Times New Roman" w:hAnsi="Times New Roman" w:cs="Times New Roman"/>
          <w:sz w:val="24"/>
          <w:szCs w:val="24"/>
        </w:rPr>
        <w:t>because</w:t>
      </w:r>
      <w:r>
        <w:rPr>
          <w:rFonts w:ascii="Times New Roman" w:hAnsi="Times New Roman" w:cs="Times New Roman"/>
          <w:sz w:val="24"/>
          <w:szCs w:val="24"/>
        </w:rPr>
        <w:t xml:space="preserve"> the tied products are sold at a higher-than-market rate.</w:t>
      </w:r>
      <w:r>
        <w:rPr>
          <w:rStyle w:val="FootnoteAnchor"/>
          <w:rFonts w:ascii="Times New Roman" w:hAnsi="Times New Roman" w:cs="Times New Roman"/>
          <w:sz w:val="24"/>
          <w:szCs w:val="24"/>
        </w:rPr>
        <w:footnoteReference w:id="100"/>
      </w:r>
      <w:r>
        <w:rPr>
          <w:rFonts w:ascii="Times New Roman" w:hAnsi="Times New Roman" w:cs="Times New Roman"/>
          <w:sz w:val="24"/>
          <w:szCs w:val="24"/>
        </w:rPr>
        <w:t xml:space="preserve"> Examples from our interview sample demonstrate the extent of this differential. </w:t>
      </w:r>
      <w:r w:rsidR="007D3ED0">
        <w:rPr>
          <w:rFonts w:ascii="Times New Roman" w:hAnsi="Times New Roman" w:cs="Times New Roman"/>
          <w:sz w:val="24"/>
          <w:szCs w:val="24"/>
        </w:rPr>
        <w:t xml:space="preserve">The </w:t>
      </w:r>
      <w:r w:rsidR="007F7921">
        <w:rPr>
          <w:rFonts w:ascii="Times New Roman" w:hAnsi="Times New Roman" w:cs="Times New Roman"/>
          <w:sz w:val="24"/>
          <w:szCs w:val="24"/>
        </w:rPr>
        <w:t>Queen’s Head</w:t>
      </w:r>
      <w:r>
        <w:rPr>
          <w:rFonts w:ascii="Times New Roman" w:hAnsi="Times New Roman" w:cs="Times New Roman"/>
          <w:sz w:val="24"/>
          <w:szCs w:val="24"/>
        </w:rPr>
        <w:t xml:space="preserve"> provides an illustrative example of a leading lager brand, Birra Moretti – a sentiment echoed by </w:t>
      </w:r>
      <w:r w:rsidR="0029683E">
        <w:rPr>
          <w:rFonts w:ascii="Times New Roman" w:hAnsi="Times New Roman" w:cs="Times New Roman"/>
          <w:sz w:val="24"/>
          <w:szCs w:val="24"/>
        </w:rPr>
        <w:t>The Royal Oak</w:t>
      </w:r>
      <w:r>
        <w:rPr>
          <w:rFonts w:ascii="Times New Roman" w:hAnsi="Times New Roman" w:cs="Times New Roman"/>
          <w:sz w:val="24"/>
          <w:szCs w:val="24"/>
        </w:rPr>
        <w:t>:</w:t>
      </w:r>
    </w:p>
    <w:p w14:paraId="26046E8A" w14:textId="380DDACC" w:rsidR="00861CCE" w:rsidRDefault="00B953D4" w:rsidP="000B430A">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 I know how much a keg costs and I know how much a keg can cost… just for things like Moretti, that’s over £200 a keg. That’s pretty insane. I can get the same keg for 50%</w:t>
      </w:r>
      <w:r w:rsidR="008C2054">
        <w:rPr>
          <w:rFonts w:ascii="Times New Roman" w:hAnsi="Times New Roman" w:cs="Times New Roman"/>
          <w:sz w:val="24"/>
          <w:szCs w:val="24"/>
        </w:rPr>
        <w:t xml:space="preserve"> [outside of the tie]</w:t>
      </w:r>
      <w:r>
        <w:rPr>
          <w:rFonts w:ascii="Times New Roman" w:hAnsi="Times New Roman" w:cs="Times New Roman"/>
          <w:sz w:val="24"/>
          <w:szCs w:val="24"/>
        </w:rPr>
        <w:t>, so we’re absolutely penalised</w:t>
      </w:r>
      <w:r w:rsidR="007F7921">
        <w:rPr>
          <w:rFonts w:ascii="Times New Roman" w:hAnsi="Times New Roman" w:cs="Times New Roman"/>
          <w:sz w:val="24"/>
          <w:szCs w:val="24"/>
        </w:rPr>
        <w:t xml:space="preserve"> </w:t>
      </w:r>
      <w:r w:rsidR="007F7921">
        <w:rPr>
          <w:rFonts w:ascii="Times New Roman" w:hAnsi="Times New Roman" w:cs="Times New Roman"/>
          <w:i/>
          <w:sz w:val="24"/>
          <w:szCs w:val="24"/>
        </w:rPr>
        <w:t>(The Queen’s Head)</w:t>
      </w:r>
      <w:r>
        <w:rPr>
          <w:rFonts w:ascii="Times New Roman" w:hAnsi="Times New Roman" w:cs="Times New Roman"/>
          <w:sz w:val="24"/>
          <w:szCs w:val="24"/>
        </w:rPr>
        <w:t>.</w:t>
      </w:r>
    </w:p>
    <w:p w14:paraId="1311676C" w14:textId="77777777" w:rsidR="00861CCE" w:rsidRDefault="00B953D4" w:rsidP="00D6329E">
      <w:pPr>
        <w:spacing w:line="276" w:lineRule="auto"/>
        <w:ind w:left="567" w:right="521"/>
        <w:rPr>
          <w:rFonts w:ascii="Times New Roman" w:hAnsi="Times New Roman" w:cs="Times New Roman"/>
          <w:sz w:val="24"/>
          <w:szCs w:val="24"/>
        </w:rPr>
      </w:pPr>
      <w:r>
        <w:rPr>
          <w:rFonts w:ascii="Times New Roman" w:hAnsi="Times New Roman" w:cs="Times New Roman"/>
          <w:sz w:val="24"/>
          <w:szCs w:val="24"/>
        </w:rPr>
        <w:t>…</w:t>
      </w:r>
    </w:p>
    <w:p w14:paraId="1DB9520F" w14:textId="35CE4422" w:rsidR="00861CCE" w:rsidRDefault="00B953D4" w:rsidP="000B430A">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Well I know I'm being massively overcharged for my beer, I already know that because I've got several friends, very close to me, that are buying their beer locally and get charged so much less</w:t>
      </w:r>
      <w:r w:rsidR="007F7921">
        <w:rPr>
          <w:rFonts w:ascii="Times New Roman" w:hAnsi="Times New Roman" w:cs="Times New Roman"/>
          <w:sz w:val="24"/>
          <w:szCs w:val="24"/>
        </w:rPr>
        <w:t xml:space="preserve"> </w:t>
      </w:r>
      <w:r w:rsidR="007F7921">
        <w:rPr>
          <w:rFonts w:ascii="Times New Roman" w:hAnsi="Times New Roman" w:cs="Times New Roman"/>
          <w:i/>
          <w:sz w:val="24"/>
          <w:szCs w:val="24"/>
        </w:rPr>
        <w:t>(The Royal Oak)</w:t>
      </w:r>
      <w:r>
        <w:rPr>
          <w:rFonts w:ascii="Times New Roman" w:hAnsi="Times New Roman" w:cs="Times New Roman"/>
          <w:sz w:val="24"/>
          <w:szCs w:val="24"/>
        </w:rPr>
        <w:t>.</w:t>
      </w:r>
    </w:p>
    <w:p w14:paraId="698DC949" w14:textId="73BD4AF9" w:rsidR="00861CCE" w:rsidRDefault="00B953D4" w:rsidP="00D6329E">
      <w:pPr>
        <w:spacing w:line="276" w:lineRule="auto"/>
        <w:ind w:right="95"/>
        <w:jc w:val="both"/>
      </w:pPr>
      <w:r>
        <w:rPr>
          <w:rFonts w:ascii="Times New Roman" w:hAnsi="Times New Roman"/>
          <w:sz w:val="24"/>
          <w:szCs w:val="24"/>
        </w:rPr>
        <w:t xml:space="preserve">Similar sentiments were widespread in the sample. </w:t>
      </w:r>
      <w:r w:rsidR="008D021E">
        <w:rPr>
          <w:rFonts w:ascii="Times New Roman" w:hAnsi="Times New Roman"/>
          <w:sz w:val="24"/>
          <w:szCs w:val="24"/>
        </w:rPr>
        <w:t>The White Hart</w:t>
      </w:r>
      <w:r>
        <w:rPr>
          <w:rFonts w:ascii="Times New Roman" w:hAnsi="Times New Roman"/>
          <w:sz w:val="24"/>
          <w:szCs w:val="24"/>
        </w:rPr>
        <w:t xml:space="preserve"> being the most acute, stating that they were paying “three times the normal price of a barrel” – over a year’s sales, “70 or 80 grand” above market rates. As they put it, when they looked at the market rates “I’m thinking, oh my god we can buy a barrel of Fosters for £65!”. </w:t>
      </w:r>
      <w:r>
        <w:rPr>
          <w:rFonts w:ascii="Times New Roman" w:hAnsi="Times New Roman" w:cs="Times New Roman"/>
          <w:sz w:val="24"/>
          <w:szCs w:val="24"/>
        </w:rPr>
        <w:t xml:space="preserve">Indeed, the IPPR suggested the extent of </w:t>
      </w:r>
      <w:r w:rsidR="00C5473F">
        <w:rPr>
          <w:rFonts w:ascii="Times New Roman" w:hAnsi="Times New Roman" w:cs="Times New Roman"/>
          <w:sz w:val="24"/>
          <w:szCs w:val="24"/>
        </w:rPr>
        <w:t>this mark-up on tied products</w:t>
      </w:r>
      <w:r>
        <w:rPr>
          <w:rFonts w:ascii="Times New Roman" w:hAnsi="Times New Roman" w:cs="Times New Roman"/>
          <w:sz w:val="24"/>
          <w:szCs w:val="24"/>
        </w:rPr>
        <w:t xml:space="preserve"> may be a key reason why tied publicans earn so much less than independent publicans: 46 per cent of tied publicans earn less than £15,000 per year, in contrast to only 22 per cent of non-tied publicans.</w:t>
      </w:r>
      <w:r>
        <w:rPr>
          <w:rStyle w:val="FootnoteAnchor"/>
          <w:rFonts w:ascii="Times New Roman" w:hAnsi="Times New Roman" w:cs="Times New Roman"/>
          <w:sz w:val="24"/>
          <w:szCs w:val="24"/>
        </w:rPr>
        <w:footnoteReference w:id="101"/>
      </w:r>
      <w:r>
        <w:rPr>
          <w:rFonts w:ascii="Times New Roman" w:hAnsi="Times New Roman" w:cs="Times New Roman"/>
          <w:sz w:val="24"/>
          <w:szCs w:val="24"/>
        </w:rPr>
        <w:t xml:space="preserve"> This is broadly in line with the earnings of publicans (particularly those just running one establishment) in our sample. As </w:t>
      </w:r>
      <w:r w:rsidR="005970B4">
        <w:rPr>
          <w:rFonts w:ascii="Times New Roman" w:hAnsi="Times New Roman" w:cs="Times New Roman"/>
          <w:sz w:val="24"/>
          <w:szCs w:val="24"/>
        </w:rPr>
        <w:t>t</w:t>
      </w:r>
      <w:r w:rsidR="00465B5B">
        <w:rPr>
          <w:rFonts w:ascii="Times New Roman" w:hAnsi="Times New Roman" w:cs="Times New Roman"/>
          <w:sz w:val="24"/>
          <w:szCs w:val="24"/>
        </w:rPr>
        <w:t>he White Horse</w:t>
      </w:r>
      <w:r>
        <w:rPr>
          <w:rFonts w:ascii="Times New Roman" w:hAnsi="Times New Roman" w:cs="Times New Roman"/>
          <w:sz w:val="24"/>
          <w:szCs w:val="24"/>
        </w:rPr>
        <w:t xml:space="preserve"> puts it:</w:t>
      </w:r>
    </w:p>
    <w:p w14:paraId="7F6FEC6D" w14:textId="25FF544C" w:rsidR="00861CCE" w:rsidRDefault="00B953D4" w:rsidP="00D6329E">
      <w:pPr>
        <w:pStyle w:val="ListParagraph"/>
        <w:spacing w:line="276" w:lineRule="auto"/>
        <w:ind w:right="521"/>
        <w:jc w:val="both"/>
        <w:rPr>
          <w:rFonts w:ascii="Times New Roman" w:hAnsi="Times New Roman" w:cs="Times New Roman"/>
          <w:sz w:val="24"/>
          <w:szCs w:val="24"/>
        </w:rPr>
      </w:pPr>
      <w:r>
        <w:rPr>
          <w:rFonts w:ascii="Times New Roman" w:hAnsi="Times New Roman" w:cs="Times New Roman"/>
          <w:sz w:val="24"/>
          <w:szCs w:val="24"/>
        </w:rPr>
        <w:t>So if you’re tied on beer, you know, you’re pretty well – almost break even… Whilst we did pretty well in terms of sales we were finding ourselves in a position where we weren’t making any money to speak of…[we] took twelve-grand a year out of the business and that’s it…it’s not as glamorous as it sounds (laughs)</w:t>
      </w:r>
      <w:r w:rsidR="00465B5B">
        <w:rPr>
          <w:rFonts w:ascii="Times New Roman" w:hAnsi="Times New Roman" w:cs="Times New Roman"/>
          <w:sz w:val="24"/>
          <w:szCs w:val="24"/>
        </w:rPr>
        <w:t xml:space="preserve"> </w:t>
      </w:r>
      <w:r w:rsidR="00465B5B">
        <w:rPr>
          <w:rFonts w:ascii="Times New Roman" w:hAnsi="Times New Roman" w:cs="Times New Roman"/>
          <w:i/>
          <w:iCs/>
          <w:sz w:val="24"/>
          <w:szCs w:val="24"/>
        </w:rPr>
        <w:t>(The White Horse)</w:t>
      </w:r>
      <w:r>
        <w:rPr>
          <w:rFonts w:ascii="Times New Roman" w:hAnsi="Times New Roman" w:cs="Times New Roman"/>
          <w:sz w:val="24"/>
          <w:szCs w:val="24"/>
        </w:rPr>
        <w:t>.</w:t>
      </w:r>
    </w:p>
    <w:p w14:paraId="03CE1BEB" w14:textId="75672F6C" w:rsidR="00861CCE" w:rsidRDefault="00B953D4"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What is apparent from the interviews is that the tied terms shaped not just their bottom line, but also the business practices of the publicans</w:t>
      </w:r>
      <w:r w:rsidR="00584C6E">
        <w:rPr>
          <w:rFonts w:ascii="Times New Roman" w:hAnsi="Times New Roman" w:cs="Times New Roman"/>
          <w:sz w:val="24"/>
          <w:szCs w:val="24"/>
        </w:rPr>
        <w:t xml:space="preserve"> and in turn the physical environment of the pub</w:t>
      </w:r>
      <w:r>
        <w:rPr>
          <w:rFonts w:ascii="Times New Roman" w:hAnsi="Times New Roman" w:cs="Times New Roman"/>
          <w:sz w:val="24"/>
          <w:szCs w:val="24"/>
        </w:rPr>
        <w:t xml:space="preserve">. For instance, </w:t>
      </w:r>
      <w:r w:rsidR="00465B5B">
        <w:rPr>
          <w:rFonts w:ascii="Times New Roman" w:hAnsi="Times New Roman" w:cs="Times New Roman"/>
          <w:sz w:val="24"/>
          <w:szCs w:val="24"/>
        </w:rPr>
        <w:t>The Railway Tavern</w:t>
      </w:r>
      <w:r>
        <w:rPr>
          <w:rFonts w:ascii="Times New Roman" w:hAnsi="Times New Roman" w:cs="Times New Roman"/>
          <w:sz w:val="24"/>
          <w:szCs w:val="24"/>
        </w:rPr>
        <w:t xml:space="preserve"> notes how they shifted their pub </w:t>
      </w:r>
      <w:r w:rsidR="001C7361">
        <w:rPr>
          <w:rFonts w:ascii="Times New Roman" w:hAnsi="Times New Roman" w:cs="Times New Roman"/>
          <w:sz w:val="24"/>
          <w:szCs w:val="24"/>
        </w:rPr>
        <w:t>“dynamic”</w:t>
      </w:r>
      <w:r>
        <w:rPr>
          <w:rFonts w:ascii="Times New Roman" w:hAnsi="Times New Roman" w:cs="Times New Roman"/>
          <w:sz w:val="24"/>
          <w:szCs w:val="24"/>
        </w:rPr>
        <w:t xml:space="preserve"> in order to escape the far-reaching beer tie in their lease:</w:t>
      </w:r>
    </w:p>
    <w:p w14:paraId="1511C5D7" w14:textId="6E011897" w:rsidR="00861CCE" w:rsidRDefault="00B953D4" w:rsidP="00D6329E">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I have taken steps over the previous 20-odd years to minimise my exposure to the tie anyway, you know. We’d changed the way our pubs worked. We weren’t tied on wines and spirits and minerals anywhere, so we changed the dynamic of those pubs and we specialised in spirits to increase our margin…And it’s something now that others are doing…</w:t>
      </w:r>
      <w:r w:rsidR="00465B5B">
        <w:rPr>
          <w:rFonts w:ascii="Times New Roman" w:hAnsi="Times New Roman" w:cs="Times New Roman"/>
          <w:sz w:val="24"/>
          <w:szCs w:val="24"/>
        </w:rPr>
        <w:t xml:space="preserve"> </w:t>
      </w:r>
      <w:r w:rsidR="00465B5B">
        <w:rPr>
          <w:rFonts w:ascii="Times New Roman" w:hAnsi="Times New Roman" w:cs="Times New Roman"/>
          <w:i/>
          <w:iCs/>
          <w:sz w:val="24"/>
          <w:szCs w:val="24"/>
        </w:rPr>
        <w:t>(The Railway Tavern)</w:t>
      </w:r>
      <w:r w:rsidR="00465B5B">
        <w:rPr>
          <w:rFonts w:ascii="Times New Roman" w:hAnsi="Times New Roman" w:cs="Times New Roman"/>
          <w:sz w:val="24"/>
          <w:szCs w:val="24"/>
        </w:rPr>
        <w:t>.</w:t>
      </w:r>
    </w:p>
    <w:p w14:paraId="65DF76CF" w14:textId="42164754" w:rsidR="00861CCE" w:rsidRDefault="00542E50" w:rsidP="00D6329E">
      <w:pPr>
        <w:spacing w:line="276" w:lineRule="auto"/>
        <w:ind w:right="-46"/>
        <w:rPr>
          <w:rFonts w:ascii="Times New Roman" w:hAnsi="Times New Roman" w:cs="Times New Roman"/>
          <w:sz w:val="24"/>
          <w:szCs w:val="24"/>
        </w:rPr>
      </w:pPr>
      <w:r>
        <w:rPr>
          <w:rFonts w:ascii="Times New Roman" w:hAnsi="Times New Roman" w:cs="Times New Roman"/>
          <w:sz w:val="24"/>
          <w:szCs w:val="24"/>
        </w:rPr>
        <w:t>Here, the publican’s attempts to circumnavigate the PubCo’s attempt to create a stable tie in the lease, led to the nature of the pub itself changing. In industry and scholarship, is known as the “pub concept” or “pubscape”: the particular environment and product offering.</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w:t>
      </w:r>
      <w:r w:rsidR="00871255">
        <w:rPr>
          <w:rFonts w:ascii="Times New Roman" w:hAnsi="Times New Roman" w:cs="Times New Roman"/>
          <w:sz w:val="24"/>
          <w:szCs w:val="24"/>
        </w:rPr>
        <w:t xml:space="preserve">The publican’s </w:t>
      </w:r>
      <w:r w:rsidR="00B953D4">
        <w:rPr>
          <w:rFonts w:ascii="Times New Roman" w:hAnsi="Times New Roman" w:cs="Times New Roman"/>
          <w:sz w:val="24"/>
          <w:szCs w:val="24"/>
        </w:rPr>
        <w:t xml:space="preserve">PubCo contact was trying to push </w:t>
      </w:r>
      <w:r w:rsidR="00871255">
        <w:rPr>
          <w:rFonts w:ascii="Times New Roman" w:hAnsi="Times New Roman" w:cs="Times New Roman"/>
          <w:sz w:val="24"/>
          <w:szCs w:val="24"/>
        </w:rPr>
        <w:t>them</w:t>
      </w:r>
      <w:r w:rsidR="005D5600">
        <w:rPr>
          <w:rFonts w:ascii="Times New Roman" w:hAnsi="Times New Roman" w:cs="Times New Roman"/>
          <w:sz w:val="24"/>
          <w:szCs w:val="24"/>
        </w:rPr>
        <w:t xml:space="preserve"> back</w:t>
      </w:r>
      <w:r w:rsidR="00B953D4">
        <w:rPr>
          <w:rFonts w:ascii="Times New Roman" w:hAnsi="Times New Roman" w:cs="Times New Roman"/>
          <w:sz w:val="24"/>
          <w:szCs w:val="24"/>
        </w:rPr>
        <w:t xml:space="preserve"> to a more beer-led pub environment - a suggestion that </w:t>
      </w:r>
      <w:r w:rsidR="00465B5B">
        <w:rPr>
          <w:rFonts w:ascii="Times New Roman" w:hAnsi="Times New Roman" w:cs="Times New Roman"/>
          <w:sz w:val="24"/>
          <w:szCs w:val="24"/>
        </w:rPr>
        <w:t>The Railway Tavern</w:t>
      </w:r>
      <w:r w:rsidR="00B953D4">
        <w:rPr>
          <w:rFonts w:ascii="Times New Roman" w:hAnsi="Times New Roman" w:cs="Times New Roman"/>
          <w:sz w:val="24"/>
          <w:szCs w:val="24"/>
        </w:rPr>
        <w:t xml:space="preserve"> did not take well:</w:t>
      </w:r>
    </w:p>
    <w:p w14:paraId="48DDDBC2" w14:textId="6F828607" w:rsidR="00861CCE" w:rsidRDefault="00B953D4" w:rsidP="00D6329E">
      <w:pPr>
        <w:spacing w:line="276" w:lineRule="auto"/>
        <w:ind w:left="567" w:right="804"/>
        <w:jc w:val="both"/>
        <w:rPr>
          <w:rFonts w:ascii="Times New Roman" w:hAnsi="Times New Roman" w:cs="Times New Roman"/>
          <w:sz w:val="24"/>
          <w:szCs w:val="24"/>
        </w:rPr>
      </w:pPr>
      <w:r>
        <w:rPr>
          <w:rFonts w:ascii="Times New Roman" w:hAnsi="Times New Roman" w:cs="Times New Roman"/>
          <w:sz w:val="24"/>
          <w:szCs w:val="24"/>
        </w:rPr>
        <w:t>He’s probably incentivised on barrelage</w:t>
      </w:r>
      <w:r w:rsidR="00584C6E">
        <w:rPr>
          <w:rFonts w:ascii="Times New Roman" w:hAnsi="Times New Roman" w:cs="Times New Roman"/>
          <w:sz w:val="24"/>
          <w:szCs w:val="24"/>
        </w:rPr>
        <w:t xml:space="preserve"> [the amount of beer sold]</w:t>
      </w:r>
      <w:r>
        <w:rPr>
          <w:rFonts w:ascii="Times New Roman" w:hAnsi="Times New Roman" w:cs="Times New Roman"/>
          <w:sz w:val="24"/>
          <w:szCs w:val="24"/>
        </w:rPr>
        <w:t xml:space="preserve">. He wants me to sell more beer. That’s my lowest-margin product. Why do I want to sell more beer? I don’t want to sell more beer; I want to sell </w:t>
      </w:r>
      <w:r>
        <w:rPr>
          <w:rFonts w:ascii="Times New Roman" w:hAnsi="Times New Roman" w:cs="Times New Roman"/>
          <w:i/>
          <w:sz w:val="24"/>
          <w:szCs w:val="24"/>
        </w:rPr>
        <w:t>less</w:t>
      </w:r>
      <w:r>
        <w:rPr>
          <w:rFonts w:ascii="Times New Roman" w:hAnsi="Times New Roman" w:cs="Times New Roman"/>
          <w:sz w:val="24"/>
          <w:szCs w:val="24"/>
        </w:rPr>
        <w:t xml:space="preserve"> beer. How is he helping my business? He’s not. He’s hindering my business and I’m paying for the privilege of him hindering my business</w:t>
      </w:r>
      <w:r w:rsidR="00465B5B">
        <w:rPr>
          <w:rFonts w:ascii="Times New Roman" w:hAnsi="Times New Roman" w:cs="Times New Roman"/>
          <w:sz w:val="24"/>
          <w:szCs w:val="24"/>
        </w:rPr>
        <w:t xml:space="preserve"> </w:t>
      </w:r>
      <w:r w:rsidR="00465B5B">
        <w:rPr>
          <w:rFonts w:ascii="Times New Roman" w:hAnsi="Times New Roman" w:cs="Times New Roman"/>
          <w:i/>
          <w:iCs/>
          <w:sz w:val="24"/>
          <w:szCs w:val="24"/>
        </w:rPr>
        <w:t>(The Railway Tavern)</w:t>
      </w:r>
      <w:r>
        <w:rPr>
          <w:rFonts w:ascii="Times New Roman" w:hAnsi="Times New Roman" w:cs="Times New Roman"/>
          <w:sz w:val="24"/>
          <w:szCs w:val="24"/>
        </w:rPr>
        <w:t>.</w:t>
      </w:r>
    </w:p>
    <w:p w14:paraId="02448549" w14:textId="13F61B26" w:rsidR="00861CCE" w:rsidRDefault="00B953D4" w:rsidP="00FD0EF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Others felt the tie limited them from running the sort of pub they wanted to. Especially being able to stock beers and develop relationships with </w:t>
      </w:r>
      <w:r w:rsidR="00584C6E">
        <w:rPr>
          <w:rFonts w:ascii="Times New Roman" w:hAnsi="Times New Roman" w:cs="Times New Roman"/>
          <w:sz w:val="24"/>
          <w:szCs w:val="24"/>
        </w:rPr>
        <w:t>smaller independent</w:t>
      </w:r>
      <w:r w:rsidR="00BC0912">
        <w:rPr>
          <w:rFonts w:ascii="Times New Roman" w:hAnsi="Times New Roman" w:cs="Times New Roman"/>
          <w:sz w:val="24"/>
          <w:szCs w:val="24"/>
        </w:rPr>
        <w:t xml:space="preserve"> </w:t>
      </w:r>
      <w:r>
        <w:rPr>
          <w:rFonts w:ascii="Times New Roman" w:hAnsi="Times New Roman" w:cs="Times New Roman"/>
          <w:sz w:val="24"/>
          <w:szCs w:val="24"/>
        </w:rPr>
        <w:t xml:space="preserve">local breweries. As </w:t>
      </w:r>
      <w:r w:rsidR="007F7921">
        <w:rPr>
          <w:rFonts w:ascii="Times New Roman" w:hAnsi="Times New Roman" w:cs="Times New Roman"/>
          <w:sz w:val="24"/>
          <w:szCs w:val="24"/>
        </w:rPr>
        <w:t>The Queen’s Head</w:t>
      </w:r>
      <w:r>
        <w:rPr>
          <w:rFonts w:ascii="Times New Roman" w:hAnsi="Times New Roman" w:cs="Times New Roman"/>
          <w:sz w:val="24"/>
          <w:szCs w:val="24"/>
        </w:rPr>
        <w:t xml:space="preserve"> put it:</w:t>
      </w:r>
    </w:p>
    <w:p w14:paraId="19B9F2E6" w14:textId="20C40FCC" w:rsidR="00861CCE" w:rsidRDefault="00B953D4" w:rsidP="00D6329E">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There are lots of breweries just around me, all small, little independent breweries, and we want to use their stock and do interesting things and not have to – you know, just be free to go and buy from suppliers we want to buy from, really…</w:t>
      </w:r>
      <w:r w:rsidR="007F7921">
        <w:rPr>
          <w:rFonts w:ascii="Times New Roman" w:hAnsi="Times New Roman" w:cs="Times New Roman"/>
          <w:sz w:val="24"/>
          <w:szCs w:val="24"/>
        </w:rPr>
        <w:t xml:space="preserve"> </w:t>
      </w:r>
      <w:r w:rsidR="007F7921">
        <w:rPr>
          <w:rFonts w:ascii="Times New Roman" w:hAnsi="Times New Roman" w:cs="Times New Roman"/>
          <w:i/>
          <w:sz w:val="24"/>
          <w:szCs w:val="24"/>
        </w:rPr>
        <w:t>(The Queen’s Head)</w:t>
      </w:r>
      <w:r w:rsidR="007F7921">
        <w:rPr>
          <w:rFonts w:ascii="Times New Roman" w:hAnsi="Times New Roman" w:cs="Times New Roman"/>
          <w:sz w:val="24"/>
          <w:szCs w:val="24"/>
        </w:rPr>
        <w:t>.</w:t>
      </w:r>
    </w:p>
    <w:p w14:paraId="0DA82FEF" w14:textId="7453B186" w:rsidR="00861CCE" w:rsidRPr="00584C6E" w:rsidRDefault="008D021E" w:rsidP="0015625A">
      <w:pPr>
        <w:spacing w:line="276" w:lineRule="auto"/>
        <w:jc w:val="both"/>
        <w:rPr>
          <w:rFonts w:ascii="Times New Roman" w:hAnsi="Times New Roman" w:cs="Times New Roman"/>
          <w:sz w:val="24"/>
          <w:szCs w:val="24"/>
        </w:rPr>
      </w:pPr>
      <w:r>
        <w:rPr>
          <w:rFonts w:ascii="Times New Roman" w:hAnsi="Times New Roman" w:cs="Times New Roman"/>
          <w:sz w:val="24"/>
          <w:szCs w:val="24"/>
        </w:rPr>
        <w:t>The White Hart</w:t>
      </w:r>
      <w:r w:rsidR="00584C6E">
        <w:rPr>
          <w:rFonts w:ascii="Times New Roman" w:hAnsi="Times New Roman" w:cs="Times New Roman"/>
          <w:sz w:val="24"/>
          <w:szCs w:val="24"/>
        </w:rPr>
        <w:t>’s lease did not provide access to cask beer – a staple of the UK pub.</w:t>
      </w:r>
      <w:r w:rsidR="003B2176">
        <w:rPr>
          <w:rStyle w:val="FootnoteReference"/>
          <w:rFonts w:ascii="Times New Roman" w:hAnsi="Times New Roman" w:cs="Times New Roman"/>
          <w:sz w:val="24"/>
          <w:szCs w:val="24"/>
        </w:rPr>
        <w:footnoteReference w:id="103"/>
      </w:r>
      <w:r w:rsidR="00584C6E">
        <w:rPr>
          <w:rFonts w:ascii="Times New Roman" w:hAnsi="Times New Roman" w:cs="Times New Roman"/>
          <w:sz w:val="24"/>
          <w:szCs w:val="24"/>
        </w:rPr>
        <w:t xml:space="preserve"> They had tried to negotiate a change to their arrangement and expand the product list, but were not able to do so:</w:t>
      </w:r>
      <w:r w:rsidR="00584C6E" w:rsidRPr="00584C6E">
        <w:rPr>
          <w:rFonts w:ascii="Times New Roman" w:hAnsi="Times New Roman" w:cs="Times New Roman"/>
          <w:sz w:val="24"/>
          <w:szCs w:val="24"/>
        </w:rPr>
        <w:t xml:space="preserve"> </w:t>
      </w:r>
    </w:p>
    <w:p w14:paraId="0843AE28" w14:textId="77777777" w:rsidR="00861CCE" w:rsidRPr="00290338" w:rsidRDefault="00B953D4" w:rsidP="00D6329E">
      <w:pPr>
        <w:spacing w:line="276" w:lineRule="auto"/>
        <w:ind w:left="567" w:right="521"/>
        <w:jc w:val="both"/>
        <w:rPr>
          <w:rFonts w:ascii="Times New Roman" w:hAnsi="Times New Roman" w:cs="Times New Roman"/>
          <w:sz w:val="24"/>
          <w:szCs w:val="24"/>
        </w:rPr>
      </w:pPr>
      <w:r w:rsidRPr="00290338">
        <w:rPr>
          <w:rFonts w:ascii="Times New Roman" w:hAnsi="Times New Roman" w:cs="Times New Roman"/>
          <w:sz w:val="24"/>
          <w:szCs w:val="24"/>
        </w:rPr>
        <w:t xml:space="preserve">And variety of products; </w:t>
      </w:r>
      <w:r w:rsidR="00584C6E" w:rsidRPr="00290338">
        <w:rPr>
          <w:rFonts w:ascii="Times New Roman" w:hAnsi="Times New Roman" w:cs="Times New Roman"/>
          <w:sz w:val="24"/>
          <w:szCs w:val="24"/>
        </w:rPr>
        <w:t>[the PubCo]</w:t>
      </w:r>
      <w:r w:rsidRPr="00290338">
        <w:rPr>
          <w:rFonts w:ascii="Times New Roman" w:hAnsi="Times New Roman" w:cs="Times New Roman"/>
          <w:sz w:val="24"/>
          <w:szCs w:val="24"/>
        </w:rPr>
        <w:t xml:space="preserve"> have been very stuck in the mud about; they’ve not helped us at all. I put an order in; it’ll be two years January now, for new products, and we’re still waiting for that to be signed off by the </w:t>
      </w:r>
      <w:r w:rsidR="00584C6E" w:rsidRPr="00290338">
        <w:rPr>
          <w:rFonts w:ascii="Times New Roman" w:hAnsi="Times New Roman" w:cs="Times New Roman"/>
          <w:sz w:val="24"/>
          <w:szCs w:val="24"/>
        </w:rPr>
        <w:t>[PubCo]</w:t>
      </w:r>
      <w:r w:rsidRPr="00290338">
        <w:rPr>
          <w:rFonts w:ascii="Times New Roman" w:hAnsi="Times New Roman" w:cs="Times New Roman"/>
          <w:sz w:val="24"/>
          <w:szCs w:val="24"/>
        </w:rPr>
        <w:t xml:space="preserve">. So </w:t>
      </w:r>
      <w:r w:rsidRPr="00290338">
        <w:rPr>
          <w:rFonts w:ascii="Times New Roman" w:hAnsi="Times New Roman" w:cs="Times New Roman"/>
          <w:sz w:val="24"/>
          <w:szCs w:val="24"/>
        </w:rPr>
        <w:lastRenderedPageBreak/>
        <w:t>they’ve just not helped us in any way and we need a variety, we’ve got no cask ales, you know, we’ve got – they just haven’t been…</w:t>
      </w:r>
    </w:p>
    <w:p w14:paraId="277CEF34" w14:textId="77D16751" w:rsidR="00861CCE" w:rsidRPr="00290338" w:rsidRDefault="00B953D4" w:rsidP="00D6329E">
      <w:pPr>
        <w:spacing w:line="276" w:lineRule="auto"/>
        <w:ind w:left="567" w:right="521"/>
        <w:jc w:val="both"/>
        <w:rPr>
          <w:rFonts w:ascii="Times New Roman" w:hAnsi="Times New Roman" w:cs="Times New Roman"/>
          <w:i/>
          <w:sz w:val="24"/>
          <w:szCs w:val="24"/>
        </w:rPr>
      </w:pPr>
      <w:r w:rsidRPr="00290338">
        <w:rPr>
          <w:rFonts w:ascii="Times New Roman" w:hAnsi="Times New Roman" w:cs="Times New Roman"/>
          <w:i/>
          <w:sz w:val="24"/>
          <w:szCs w:val="24"/>
        </w:rPr>
        <w:t>Yeah, we don’t have a hand pull</w:t>
      </w:r>
      <w:r w:rsidR="00272DB6">
        <w:rPr>
          <w:rFonts w:ascii="Times New Roman" w:hAnsi="Times New Roman" w:cs="Times New Roman"/>
          <w:i/>
          <w:sz w:val="24"/>
          <w:szCs w:val="24"/>
        </w:rPr>
        <w:t xml:space="preserve"> </w:t>
      </w:r>
      <w:r w:rsidR="00272DB6">
        <w:rPr>
          <w:rFonts w:ascii="Times New Roman" w:hAnsi="Times New Roman" w:cs="Times New Roman"/>
          <w:iCs/>
          <w:sz w:val="24"/>
          <w:szCs w:val="24"/>
        </w:rPr>
        <w:t>[a cask beer line]</w:t>
      </w:r>
      <w:r w:rsidRPr="00290338">
        <w:rPr>
          <w:rFonts w:ascii="Times New Roman" w:hAnsi="Times New Roman" w:cs="Times New Roman"/>
          <w:i/>
          <w:sz w:val="24"/>
          <w:szCs w:val="24"/>
        </w:rPr>
        <w:t>.</w:t>
      </w:r>
    </w:p>
    <w:p w14:paraId="7EF159FB" w14:textId="209DD283" w:rsidR="00861CCE" w:rsidRPr="00290338" w:rsidRDefault="00B953D4" w:rsidP="00D6329E">
      <w:pPr>
        <w:spacing w:line="276" w:lineRule="auto"/>
        <w:ind w:left="567" w:right="521"/>
        <w:jc w:val="both"/>
        <w:rPr>
          <w:rFonts w:ascii="Times New Roman" w:hAnsi="Times New Roman" w:cs="Times New Roman"/>
          <w:sz w:val="24"/>
          <w:szCs w:val="24"/>
        </w:rPr>
      </w:pPr>
      <w:r w:rsidRPr="00290338">
        <w:rPr>
          <w:rFonts w:ascii="Times New Roman" w:hAnsi="Times New Roman" w:cs="Times New Roman"/>
          <w:sz w:val="24"/>
          <w:szCs w:val="24"/>
        </w:rPr>
        <w:t>We’ve got no hand pull, so yeah that’s what we want to be doing</w:t>
      </w:r>
      <w:r w:rsidR="008D021E">
        <w:rPr>
          <w:rFonts w:ascii="Times New Roman" w:hAnsi="Times New Roman" w:cs="Times New Roman"/>
          <w:sz w:val="24"/>
          <w:szCs w:val="24"/>
        </w:rPr>
        <w:t>, it’s what we need to be doing</w:t>
      </w:r>
      <w:r w:rsidR="007008B4">
        <w:rPr>
          <w:rFonts w:ascii="Times New Roman" w:hAnsi="Times New Roman" w:cs="Times New Roman"/>
          <w:sz w:val="24"/>
          <w:szCs w:val="24"/>
        </w:rPr>
        <w:t>.</w:t>
      </w:r>
      <w:r w:rsidRPr="00290338">
        <w:rPr>
          <w:rFonts w:ascii="Times New Roman" w:hAnsi="Times New Roman" w:cs="Times New Roman"/>
          <w:sz w:val="24"/>
          <w:szCs w:val="24"/>
        </w:rPr>
        <w:t>”</w:t>
      </w:r>
      <w:r w:rsidR="008D021E">
        <w:rPr>
          <w:rFonts w:ascii="Times New Roman" w:hAnsi="Times New Roman" w:cs="Times New Roman"/>
          <w:sz w:val="24"/>
          <w:szCs w:val="24"/>
        </w:rPr>
        <w:t xml:space="preserve"> </w:t>
      </w:r>
      <w:r w:rsidR="008D021E" w:rsidRPr="008D021E">
        <w:rPr>
          <w:rFonts w:ascii="Times New Roman" w:hAnsi="Times New Roman" w:cs="Times New Roman"/>
          <w:i/>
          <w:sz w:val="24"/>
          <w:szCs w:val="24"/>
        </w:rPr>
        <w:t>(The White Hart)</w:t>
      </w:r>
      <w:r w:rsidR="008D021E">
        <w:rPr>
          <w:rFonts w:ascii="Times New Roman" w:hAnsi="Times New Roman" w:cs="Times New Roman"/>
          <w:i/>
          <w:sz w:val="24"/>
          <w:szCs w:val="24"/>
        </w:rPr>
        <w:t>.</w:t>
      </w:r>
    </w:p>
    <w:p w14:paraId="0C15E5F4" w14:textId="097CFF50" w:rsidR="00861CCE" w:rsidRPr="00BE2DFC" w:rsidRDefault="0053467B" w:rsidP="00D6329E">
      <w:pPr>
        <w:spacing w:line="276" w:lineRule="auto"/>
        <w:jc w:val="both"/>
        <w:rPr>
          <w:rFonts w:ascii="Times New Roman" w:hAnsi="Times New Roman" w:cs="Times New Roman"/>
          <w:sz w:val="24"/>
          <w:szCs w:val="24"/>
        </w:rPr>
      </w:pPr>
      <w:r w:rsidRPr="00BE2DFC">
        <w:rPr>
          <w:rFonts w:ascii="Times New Roman" w:hAnsi="Times New Roman" w:cs="Times New Roman"/>
          <w:sz w:val="24"/>
          <w:szCs w:val="24"/>
        </w:rPr>
        <w:t xml:space="preserve">The tied lease terms not only have an impact on the physical pub environment, but also the social relations between the PubCo and the tied tenant. </w:t>
      </w:r>
      <w:r w:rsidR="00916EDE" w:rsidRPr="00BE2DFC">
        <w:rPr>
          <w:rFonts w:ascii="Times New Roman" w:hAnsi="Times New Roman" w:cs="Times New Roman"/>
          <w:sz w:val="24"/>
          <w:szCs w:val="24"/>
        </w:rPr>
        <w:t xml:space="preserve">The </w:t>
      </w:r>
      <w:r w:rsidR="00290338" w:rsidRPr="00BE2DFC">
        <w:rPr>
          <w:rFonts w:ascii="Times New Roman" w:hAnsi="Times New Roman" w:cs="Times New Roman"/>
          <w:sz w:val="24"/>
          <w:szCs w:val="24"/>
        </w:rPr>
        <w:t xml:space="preserve">entrepreneurial hopes of the tied publican to </w:t>
      </w:r>
      <w:r w:rsidR="00916EDE" w:rsidRPr="00BE2DFC">
        <w:rPr>
          <w:rFonts w:ascii="Times New Roman" w:hAnsi="Times New Roman" w:cs="Times New Roman"/>
          <w:sz w:val="24"/>
          <w:szCs w:val="24"/>
        </w:rPr>
        <w:t>“be your own boss”</w:t>
      </w:r>
      <w:r w:rsidR="00290338" w:rsidRPr="00BE2DFC">
        <w:rPr>
          <w:rFonts w:ascii="Times New Roman" w:hAnsi="Times New Roman" w:cs="Times New Roman"/>
          <w:sz w:val="24"/>
          <w:szCs w:val="24"/>
        </w:rPr>
        <w:t>, clashed with the reality of the lease terms imposed by the PubCo:</w:t>
      </w:r>
    </w:p>
    <w:p w14:paraId="3F23672E" w14:textId="54170885" w:rsidR="00F57772" w:rsidRPr="00290338" w:rsidRDefault="00F57772" w:rsidP="00D6329E">
      <w:pPr>
        <w:spacing w:line="276" w:lineRule="auto"/>
        <w:ind w:left="567" w:right="521"/>
        <w:jc w:val="both"/>
        <w:rPr>
          <w:rFonts w:ascii="Times New Roman" w:hAnsi="Times New Roman" w:cs="Times New Roman"/>
          <w:sz w:val="24"/>
          <w:szCs w:val="24"/>
        </w:rPr>
      </w:pPr>
      <w:r w:rsidRPr="00290338">
        <w:rPr>
          <w:rFonts w:ascii="Times New Roman" w:hAnsi="Times New Roman" w:cs="Times New Roman"/>
          <w:sz w:val="24"/>
          <w:szCs w:val="24"/>
        </w:rPr>
        <w:t xml:space="preserve">…when pub companies advertise this, be your own boss, live the dream, blah, blah, blah, blah, it’s all bull basically isn’t it, people should be </w:t>
      </w:r>
      <w:r w:rsidR="0053467B" w:rsidRPr="00290338">
        <w:rPr>
          <w:rFonts w:ascii="Times New Roman" w:hAnsi="Times New Roman" w:cs="Times New Roman"/>
          <w:sz w:val="24"/>
          <w:szCs w:val="24"/>
        </w:rPr>
        <w:t>warned</w:t>
      </w:r>
      <w:r w:rsidRPr="00290338">
        <w:rPr>
          <w:rFonts w:ascii="Times New Roman" w:hAnsi="Times New Roman" w:cs="Times New Roman"/>
          <w:sz w:val="24"/>
          <w:szCs w:val="24"/>
        </w:rPr>
        <w:t xml:space="preserve"> when you’re stepping into the pub, you’re going to be shafted left, right and centre, you’re going to fork out thousands of pounds out of your own pocket for everything under the Sun, and the pub companies are just going to stand there and go, take it all of</w:t>
      </w:r>
      <w:r w:rsidR="00EF0862">
        <w:rPr>
          <w:rFonts w:ascii="Times New Roman" w:hAnsi="Times New Roman" w:cs="Times New Roman"/>
          <w:sz w:val="24"/>
          <w:szCs w:val="24"/>
        </w:rPr>
        <w:t>f</w:t>
      </w:r>
      <w:r w:rsidRPr="00290338">
        <w:rPr>
          <w:rFonts w:ascii="Times New Roman" w:hAnsi="Times New Roman" w:cs="Times New Roman"/>
          <w:sz w:val="24"/>
          <w:szCs w:val="24"/>
        </w:rPr>
        <w:t xml:space="preserve"> you as much as they can…</w:t>
      </w:r>
    </w:p>
    <w:p w14:paraId="4C3A29A0" w14:textId="77777777" w:rsidR="00F57772" w:rsidRPr="00290338" w:rsidRDefault="00F57772" w:rsidP="00D6329E">
      <w:pPr>
        <w:spacing w:line="276" w:lineRule="auto"/>
        <w:ind w:left="567" w:right="521"/>
        <w:jc w:val="both"/>
        <w:rPr>
          <w:rFonts w:ascii="Times New Roman" w:hAnsi="Times New Roman" w:cs="Times New Roman"/>
          <w:i/>
          <w:sz w:val="24"/>
          <w:szCs w:val="24"/>
        </w:rPr>
      </w:pPr>
      <w:r w:rsidRPr="00290338">
        <w:rPr>
          <w:rFonts w:ascii="Times New Roman" w:hAnsi="Times New Roman" w:cs="Times New Roman"/>
          <w:i/>
          <w:sz w:val="24"/>
          <w:szCs w:val="24"/>
        </w:rPr>
        <w:t>That’s only if you’re on, that’s only if you’re on our lease.</w:t>
      </w:r>
    </w:p>
    <w:p w14:paraId="6E5BB7C3" w14:textId="68297E06" w:rsidR="00F57772" w:rsidRPr="00290338" w:rsidRDefault="00F57772" w:rsidP="00D6329E">
      <w:pPr>
        <w:spacing w:line="276" w:lineRule="auto"/>
        <w:ind w:left="567" w:right="521"/>
        <w:jc w:val="both"/>
        <w:rPr>
          <w:rFonts w:ascii="Times New Roman" w:hAnsi="Times New Roman" w:cs="Times New Roman"/>
          <w:sz w:val="24"/>
          <w:szCs w:val="24"/>
        </w:rPr>
      </w:pPr>
      <w:r w:rsidRPr="00290338">
        <w:rPr>
          <w:rFonts w:ascii="Times New Roman" w:hAnsi="Times New Roman" w:cs="Times New Roman"/>
          <w:sz w:val="24"/>
          <w:szCs w:val="24"/>
        </w:rPr>
        <w:t>Yeah, that’s what I would say to anybody coming into the pub business, that’s what we’ve learnt that, if anything, we’re learnt that we will be shafted until we get a free of tie, that’s the only option of making the pub succeed”</w:t>
      </w:r>
      <w:r w:rsidR="00785C92">
        <w:rPr>
          <w:rFonts w:ascii="Times New Roman" w:hAnsi="Times New Roman" w:cs="Times New Roman"/>
          <w:sz w:val="24"/>
          <w:szCs w:val="24"/>
        </w:rPr>
        <w:t xml:space="preserve"> </w:t>
      </w:r>
      <w:r w:rsidR="00785C92">
        <w:rPr>
          <w:rFonts w:ascii="Times New Roman" w:hAnsi="Times New Roman" w:cs="Times New Roman"/>
          <w:i/>
          <w:sz w:val="24"/>
          <w:szCs w:val="24"/>
        </w:rPr>
        <w:t>(The White Hart).</w:t>
      </w:r>
    </w:p>
    <w:p w14:paraId="4FA5AF79" w14:textId="21CF65FE" w:rsidR="00F57772" w:rsidRPr="00290338" w:rsidRDefault="00290338" w:rsidP="00D6329E">
      <w:pPr>
        <w:spacing w:line="276" w:lineRule="auto"/>
        <w:rPr>
          <w:rFonts w:ascii="Times New Roman" w:hAnsi="Times New Roman" w:cs="Times New Roman"/>
          <w:sz w:val="24"/>
          <w:szCs w:val="24"/>
        </w:rPr>
      </w:pPr>
      <w:r w:rsidRPr="00290338">
        <w:rPr>
          <w:rFonts w:ascii="Times New Roman" w:hAnsi="Times New Roman" w:cs="Times New Roman"/>
          <w:sz w:val="24"/>
          <w:szCs w:val="24"/>
        </w:rPr>
        <w:t xml:space="preserve">Similar sentiments were echoed elsewhere in the sample. </w:t>
      </w:r>
      <w:r w:rsidR="008D021E">
        <w:rPr>
          <w:rFonts w:ascii="Times New Roman" w:hAnsi="Times New Roman" w:cs="Times New Roman"/>
          <w:sz w:val="24"/>
          <w:szCs w:val="24"/>
        </w:rPr>
        <w:t>The White Hart</w:t>
      </w:r>
      <w:r w:rsidR="005D7B26">
        <w:rPr>
          <w:rFonts w:ascii="Times New Roman" w:hAnsi="Times New Roman" w:cs="Times New Roman"/>
          <w:sz w:val="24"/>
          <w:szCs w:val="24"/>
        </w:rPr>
        <w:t xml:space="preserve"> felt that on signing their lease, they would be working as “partners” with the PubCo, but this wasn’t reflected in the day-to-day running of the establishment that the lease terms necessitated:</w:t>
      </w:r>
    </w:p>
    <w:p w14:paraId="224983B5" w14:textId="3CA3317D" w:rsidR="0053467B" w:rsidRPr="00950C8B" w:rsidRDefault="0053467B" w:rsidP="00D6329E">
      <w:pPr>
        <w:spacing w:line="276" w:lineRule="auto"/>
        <w:ind w:left="567" w:right="521"/>
        <w:jc w:val="both"/>
        <w:rPr>
          <w:rFonts w:ascii="Times New Roman" w:hAnsi="Times New Roman" w:cs="Times New Roman"/>
          <w:sz w:val="24"/>
          <w:szCs w:val="24"/>
        </w:rPr>
      </w:pPr>
      <w:r w:rsidRPr="00950C8B">
        <w:rPr>
          <w:rFonts w:ascii="Times New Roman" w:hAnsi="Times New Roman" w:cs="Times New Roman"/>
          <w:sz w:val="24"/>
          <w:szCs w:val="24"/>
        </w:rPr>
        <w:t xml:space="preserve">We stupidly thought that when we work with </w:t>
      </w:r>
      <w:r w:rsidR="001B2A10">
        <w:rPr>
          <w:rFonts w:ascii="Times New Roman" w:hAnsi="Times New Roman" w:cs="Times New Roman"/>
          <w:sz w:val="24"/>
          <w:szCs w:val="24"/>
        </w:rPr>
        <w:t>[the PubCo]</w:t>
      </w:r>
      <w:r w:rsidRPr="00950C8B">
        <w:rPr>
          <w:rFonts w:ascii="Times New Roman" w:hAnsi="Times New Roman" w:cs="Times New Roman"/>
          <w:sz w:val="24"/>
          <w:szCs w:val="24"/>
        </w:rPr>
        <w:t>, we were working with them as partners and that’s not been the case at all, it just feels like working for them. We’ve done all the work here, we do all the work here, and all we do, it just feels like we open the till and hand them all our money and then they still talk to us like we’re dirt, that’s what it’s felt like</w:t>
      </w:r>
      <w:r w:rsidR="00785C92">
        <w:rPr>
          <w:rFonts w:ascii="Times New Roman" w:hAnsi="Times New Roman" w:cs="Times New Roman"/>
          <w:sz w:val="24"/>
          <w:szCs w:val="24"/>
        </w:rPr>
        <w:t xml:space="preserve"> for me over the last few years </w:t>
      </w:r>
      <w:r w:rsidR="00785C92" w:rsidRPr="00785C92">
        <w:rPr>
          <w:rFonts w:ascii="Times New Roman" w:hAnsi="Times New Roman" w:cs="Times New Roman"/>
          <w:i/>
          <w:sz w:val="24"/>
          <w:szCs w:val="24"/>
        </w:rPr>
        <w:t>(</w:t>
      </w:r>
      <w:r w:rsidR="00785C92">
        <w:rPr>
          <w:rFonts w:ascii="Times New Roman" w:hAnsi="Times New Roman" w:cs="Times New Roman"/>
          <w:i/>
          <w:sz w:val="24"/>
          <w:szCs w:val="24"/>
        </w:rPr>
        <w:t>The White Hart).</w:t>
      </w:r>
    </w:p>
    <w:p w14:paraId="794E8CEB" w14:textId="25431877" w:rsidR="0053467B" w:rsidRPr="00950C8B" w:rsidRDefault="00950C8B" w:rsidP="00D6329E">
      <w:pPr>
        <w:spacing w:line="276" w:lineRule="auto"/>
        <w:rPr>
          <w:rFonts w:ascii="Times New Roman" w:hAnsi="Times New Roman" w:cs="Times New Roman"/>
          <w:sz w:val="24"/>
          <w:szCs w:val="24"/>
        </w:rPr>
      </w:pPr>
      <w:r w:rsidRPr="00950C8B">
        <w:rPr>
          <w:rFonts w:ascii="Times New Roman" w:hAnsi="Times New Roman" w:cs="Times New Roman"/>
          <w:sz w:val="24"/>
          <w:szCs w:val="24"/>
        </w:rPr>
        <w:t xml:space="preserve">Indeed, </w:t>
      </w:r>
      <w:r>
        <w:rPr>
          <w:rFonts w:ascii="Times New Roman" w:hAnsi="Times New Roman" w:cs="Times New Roman"/>
          <w:sz w:val="24"/>
          <w:szCs w:val="24"/>
        </w:rPr>
        <w:t xml:space="preserve">for some participants, perceived power imbalances in their dealings with PubCos led to heightened levels of distrust in their business relationship. For </w:t>
      </w:r>
      <w:r w:rsidR="00785C92">
        <w:rPr>
          <w:rFonts w:ascii="Times New Roman" w:hAnsi="Times New Roman" w:cs="Times New Roman"/>
          <w:sz w:val="24"/>
          <w:szCs w:val="24"/>
        </w:rPr>
        <w:t>The Swan</w:t>
      </w:r>
      <w:r>
        <w:rPr>
          <w:rFonts w:ascii="Times New Roman" w:hAnsi="Times New Roman" w:cs="Times New Roman"/>
          <w:sz w:val="24"/>
          <w:szCs w:val="24"/>
        </w:rPr>
        <w:t>, this culminated in them covertly recording meetings with their PubCo contact</w:t>
      </w:r>
      <w:r w:rsidR="008A4F33">
        <w:rPr>
          <w:rFonts w:ascii="Times New Roman" w:hAnsi="Times New Roman" w:cs="Times New Roman"/>
          <w:sz w:val="24"/>
          <w:szCs w:val="24"/>
        </w:rPr>
        <w:t>:</w:t>
      </w:r>
    </w:p>
    <w:p w14:paraId="55810F3A" w14:textId="6BBB422C" w:rsidR="0053467B" w:rsidRPr="008A4F33" w:rsidRDefault="0053467B" w:rsidP="00D6329E">
      <w:pPr>
        <w:spacing w:line="276" w:lineRule="auto"/>
        <w:ind w:left="567" w:right="521"/>
        <w:jc w:val="both"/>
        <w:rPr>
          <w:rFonts w:ascii="Times New Roman" w:hAnsi="Times New Roman" w:cs="Times New Roman"/>
          <w:sz w:val="24"/>
          <w:szCs w:val="24"/>
        </w:rPr>
      </w:pPr>
      <w:r w:rsidRPr="008A4F33">
        <w:rPr>
          <w:rFonts w:ascii="Times New Roman" w:hAnsi="Times New Roman" w:cs="Times New Roman"/>
          <w:sz w:val="24"/>
          <w:szCs w:val="24"/>
        </w:rPr>
        <w:t>…so every time we had any communication with them they wanted to keep it verbal and they put nothing in writing. And all verbal conversations were positive</w:t>
      </w:r>
      <w:r w:rsidR="00542E50">
        <w:rPr>
          <w:rFonts w:ascii="Times New Roman" w:hAnsi="Times New Roman" w:cs="Times New Roman"/>
          <w:sz w:val="24"/>
          <w:szCs w:val="24"/>
        </w:rPr>
        <w:t>…</w:t>
      </w:r>
      <w:r w:rsidRPr="008A4F33">
        <w:rPr>
          <w:rFonts w:ascii="Times New Roman" w:hAnsi="Times New Roman" w:cs="Times New Roman"/>
          <w:sz w:val="24"/>
          <w:szCs w:val="24"/>
        </w:rPr>
        <w:t xml:space="preserve"> it was then rowed back on or claimed it didn’t exist because of course it wasn’t in writing. And it was so bad that we went to the point of recording – filming and recording </w:t>
      </w:r>
      <w:r w:rsidR="001B2A10">
        <w:rPr>
          <w:rFonts w:ascii="Times New Roman" w:hAnsi="Times New Roman" w:cs="Times New Roman"/>
          <w:sz w:val="24"/>
          <w:szCs w:val="24"/>
        </w:rPr>
        <w:t>[</w:t>
      </w:r>
      <w:r w:rsidR="00184345">
        <w:rPr>
          <w:rFonts w:ascii="Times New Roman" w:hAnsi="Times New Roman" w:cs="Times New Roman"/>
          <w:sz w:val="24"/>
          <w:szCs w:val="24"/>
        </w:rPr>
        <w:t xml:space="preserve">meetings with </w:t>
      </w:r>
      <w:r w:rsidR="001B2A10">
        <w:rPr>
          <w:rFonts w:ascii="Times New Roman" w:hAnsi="Times New Roman" w:cs="Times New Roman"/>
          <w:sz w:val="24"/>
          <w:szCs w:val="24"/>
        </w:rPr>
        <w:t>our PubCo contact]</w:t>
      </w:r>
      <w:r w:rsidR="00785C92">
        <w:rPr>
          <w:rFonts w:ascii="Times New Roman" w:hAnsi="Times New Roman" w:cs="Times New Roman"/>
          <w:sz w:val="24"/>
          <w:szCs w:val="24"/>
        </w:rPr>
        <w:t xml:space="preserve"> </w:t>
      </w:r>
      <w:r w:rsidR="00785C92">
        <w:rPr>
          <w:rFonts w:ascii="Times New Roman" w:hAnsi="Times New Roman" w:cs="Times New Roman"/>
          <w:i/>
          <w:sz w:val="24"/>
          <w:szCs w:val="24"/>
        </w:rPr>
        <w:t>(The Swan)</w:t>
      </w:r>
      <w:r w:rsidRPr="008A4F33">
        <w:rPr>
          <w:rFonts w:ascii="Times New Roman" w:hAnsi="Times New Roman" w:cs="Times New Roman"/>
          <w:sz w:val="24"/>
          <w:szCs w:val="24"/>
        </w:rPr>
        <w:t>.</w:t>
      </w:r>
    </w:p>
    <w:p w14:paraId="533207A6" w14:textId="6994FA72" w:rsidR="00F1206A" w:rsidRDefault="00FB4453" w:rsidP="00D6329E">
      <w:pPr>
        <w:spacing w:line="276" w:lineRule="auto"/>
        <w:jc w:val="both"/>
        <w:rPr>
          <w:rFonts w:ascii="Times New Roman" w:hAnsi="Times New Roman" w:cs="Times New Roman"/>
          <w:sz w:val="24"/>
          <w:szCs w:val="24"/>
        </w:rPr>
      </w:pPr>
      <w:r w:rsidRPr="00FB4453">
        <w:rPr>
          <w:rFonts w:ascii="Times New Roman" w:hAnsi="Times New Roman" w:cs="Times New Roman"/>
          <w:sz w:val="24"/>
          <w:szCs w:val="24"/>
        </w:rPr>
        <w:t xml:space="preserve">What emerges from the interviews is that the tied lease </w:t>
      </w:r>
      <w:r w:rsidR="00D5158D">
        <w:rPr>
          <w:rFonts w:ascii="Times New Roman" w:hAnsi="Times New Roman" w:cs="Times New Roman"/>
          <w:sz w:val="24"/>
          <w:szCs w:val="24"/>
        </w:rPr>
        <w:t xml:space="preserve">terms shape both the physical environment of the pub and the social relations between the PubCo and tied pub tenant. </w:t>
      </w:r>
      <w:r w:rsidR="00F1206A">
        <w:rPr>
          <w:rFonts w:ascii="Times New Roman" w:hAnsi="Times New Roman" w:cs="Times New Roman"/>
          <w:sz w:val="24"/>
          <w:szCs w:val="24"/>
        </w:rPr>
        <w:t xml:space="preserve">The </w:t>
      </w:r>
      <w:r w:rsidR="00F1206A">
        <w:rPr>
          <w:rFonts w:ascii="Times New Roman" w:hAnsi="Times New Roman" w:cs="Times New Roman"/>
          <w:sz w:val="24"/>
          <w:szCs w:val="24"/>
        </w:rPr>
        <w:lastRenderedPageBreak/>
        <w:t>reality of the operation of the tied lease is that for publicans in the sample, they were constrained from realising their ambitions for the pub they wanted to run, and the relationship with their PubCo landlord was strained as a result.</w:t>
      </w:r>
      <w:r w:rsidR="009A14B8">
        <w:rPr>
          <w:rFonts w:ascii="Times New Roman" w:hAnsi="Times New Roman" w:cs="Times New Roman"/>
          <w:sz w:val="24"/>
          <w:szCs w:val="24"/>
        </w:rPr>
        <w:t xml:space="preserve"> The lease was</w:t>
      </w:r>
      <w:r w:rsidR="001255DE">
        <w:rPr>
          <w:rFonts w:ascii="Times New Roman" w:hAnsi="Times New Roman" w:cs="Times New Roman"/>
          <w:sz w:val="24"/>
          <w:szCs w:val="24"/>
        </w:rPr>
        <w:t xml:space="preserve"> central in shaping </w:t>
      </w:r>
      <w:r w:rsidR="009A14B8">
        <w:rPr>
          <w:rFonts w:ascii="Times New Roman" w:hAnsi="Times New Roman" w:cs="Times New Roman"/>
          <w:sz w:val="24"/>
          <w:szCs w:val="24"/>
        </w:rPr>
        <w:t>the power imbalance between the tied tenant and the PubCo</w:t>
      </w:r>
      <w:r w:rsidR="001255DE">
        <w:rPr>
          <w:rFonts w:ascii="Times New Roman" w:hAnsi="Times New Roman" w:cs="Times New Roman"/>
          <w:sz w:val="24"/>
          <w:szCs w:val="24"/>
        </w:rPr>
        <w:t>.</w:t>
      </w:r>
    </w:p>
    <w:p w14:paraId="284E3735" w14:textId="5D80C5DC" w:rsidR="0091073E" w:rsidRDefault="0091073E" w:rsidP="00D6329E">
      <w:pPr>
        <w:spacing w:line="276" w:lineRule="auto"/>
        <w:jc w:val="both"/>
        <w:rPr>
          <w:rFonts w:ascii="Times New Roman" w:hAnsi="Times New Roman" w:cs="Times New Roman"/>
          <w:sz w:val="24"/>
          <w:szCs w:val="24"/>
        </w:rPr>
      </w:pPr>
    </w:p>
    <w:p w14:paraId="303363E3" w14:textId="77777777" w:rsidR="0091073E" w:rsidRDefault="0091073E" w:rsidP="00D6329E">
      <w:pPr>
        <w:spacing w:line="276" w:lineRule="auto"/>
        <w:jc w:val="both"/>
        <w:rPr>
          <w:rFonts w:ascii="Times New Roman" w:hAnsi="Times New Roman" w:cs="Times New Roman"/>
          <w:sz w:val="24"/>
          <w:szCs w:val="24"/>
        </w:rPr>
      </w:pPr>
    </w:p>
    <w:p w14:paraId="415C5481" w14:textId="1358DEB4" w:rsidR="00861CCE" w:rsidRDefault="00483380" w:rsidP="00D6329E">
      <w:pPr>
        <w:spacing w:line="276" w:lineRule="auto"/>
        <w:rPr>
          <w:rFonts w:ascii="Times New Roman" w:hAnsi="Times New Roman" w:cs="Times New Roman"/>
          <w:b/>
          <w:sz w:val="24"/>
          <w:szCs w:val="24"/>
        </w:rPr>
      </w:pPr>
      <w:r>
        <w:rPr>
          <w:rFonts w:ascii="Times New Roman" w:hAnsi="Times New Roman" w:cs="Times New Roman"/>
          <w:b/>
          <w:sz w:val="24"/>
          <w:szCs w:val="24"/>
        </w:rPr>
        <w:t>4</w:t>
      </w:r>
      <w:r w:rsidR="007A68DF">
        <w:rPr>
          <w:rFonts w:ascii="Times New Roman" w:hAnsi="Times New Roman" w:cs="Times New Roman"/>
          <w:b/>
          <w:sz w:val="24"/>
          <w:szCs w:val="24"/>
        </w:rPr>
        <w:t xml:space="preserve">.2. </w:t>
      </w:r>
      <w:r w:rsidR="00C16841">
        <w:rPr>
          <w:rFonts w:ascii="Times New Roman" w:hAnsi="Times New Roman" w:cs="Times New Roman"/>
          <w:b/>
          <w:sz w:val="24"/>
          <w:szCs w:val="24"/>
        </w:rPr>
        <w:t>Lease length: Temporal controls</w:t>
      </w:r>
    </w:p>
    <w:p w14:paraId="7FE04C94" w14:textId="2F15DBC8" w:rsidR="00852BFD" w:rsidRPr="00046C23" w:rsidRDefault="00B953D4" w:rsidP="00852BFD">
      <w:pPr>
        <w:jc w:val="both"/>
        <w:rPr>
          <w:rFonts w:ascii="Times New Roman" w:hAnsi="Times New Roman" w:cs="Times New Roman"/>
          <w:color w:val="000000" w:themeColor="text1"/>
          <w:sz w:val="24"/>
          <w:szCs w:val="24"/>
          <w:shd w:val="clear" w:color="auto" w:fill="FFFFFF"/>
        </w:rPr>
      </w:pPr>
      <w:r w:rsidRPr="00596A91">
        <w:rPr>
          <w:rFonts w:ascii="Times New Roman" w:hAnsi="Times New Roman" w:cs="Times New Roman"/>
          <w:sz w:val="24"/>
          <w:szCs w:val="24"/>
        </w:rPr>
        <w:t>A key theme through</w:t>
      </w:r>
      <w:r w:rsidR="006B68EF">
        <w:rPr>
          <w:rFonts w:ascii="Times New Roman" w:hAnsi="Times New Roman" w:cs="Times New Roman"/>
          <w:sz w:val="24"/>
          <w:szCs w:val="24"/>
        </w:rPr>
        <w:t>out</w:t>
      </w:r>
      <w:r w:rsidRPr="00596A91">
        <w:rPr>
          <w:rFonts w:ascii="Times New Roman" w:hAnsi="Times New Roman" w:cs="Times New Roman"/>
          <w:sz w:val="24"/>
          <w:szCs w:val="24"/>
        </w:rPr>
        <w:t xml:space="preserve"> the interviews was how the lease constructed a </w:t>
      </w:r>
      <w:r w:rsidR="001B6087">
        <w:rPr>
          <w:rFonts w:ascii="Times New Roman" w:hAnsi="Times New Roman" w:cs="Times New Roman"/>
          <w:sz w:val="24"/>
          <w:szCs w:val="24"/>
        </w:rPr>
        <w:t>time frame</w:t>
      </w:r>
      <w:r w:rsidRPr="00596A91">
        <w:rPr>
          <w:rFonts w:ascii="Times New Roman" w:hAnsi="Times New Roman" w:cs="Times New Roman"/>
          <w:sz w:val="24"/>
          <w:szCs w:val="24"/>
        </w:rPr>
        <w:t xml:space="preserve"> – a kind of sunset clause – for the business activities of the pub.</w:t>
      </w:r>
      <w:r w:rsidR="00FD0F3E" w:rsidRPr="00FD0F3E">
        <w:rPr>
          <w:rFonts w:ascii="Times New Roman" w:hAnsi="Times New Roman" w:cs="Times New Roman"/>
          <w:color w:val="000000" w:themeColor="text1"/>
          <w:sz w:val="24"/>
          <w:szCs w:val="24"/>
          <w:shd w:val="clear" w:color="auto" w:fill="FFFFFF"/>
        </w:rPr>
        <w:t xml:space="preserve"> </w:t>
      </w:r>
      <w:r w:rsidR="00FD0F3E" w:rsidRPr="00046C23">
        <w:rPr>
          <w:rFonts w:ascii="Times New Roman" w:hAnsi="Times New Roman" w:cs="Times New Roman"/>
          <w:color w:val="000000" w:themeColor="text1"/>
          <w:sz w:val="24"/>
          <w:szCs w:val="24"/>
          <w:shd w:val="clear" w:color="auto" w:fill="FFFFFF"/>
        </w:rPr>
        <w:t>In most cases, tied leases are protected under the Landlord and Tenant Act 1954. At the point of renewal, the Act provides the tenant (after satisfying a series of procedural steps)</w:t>
      </w:r>
      <w:r w:rsidR="00FD0F3E">
        <w:rPr>
          <w:rFonts w:ascii="Times New Roman" w:hAnsi="Times New Roman" w:cs="Times New Roman"/>
          <w:color w:val="000000" w:themeColor="text1"/>
          <w:sz w:val="24"/>
          <w:szCs w:val="24"/>
          <w:shd w:val="clear" w:color="auto" w:fill="FFFFFF"/>
        </w:rPr>
        <w:t xml:space="preserve"> a right to a new tenancy</w:t>
      </w:r>
      <w:r w:rsidR="00FD0F3E" w:rsidRPr="00046C23">
        <w:rPr>
          <w:rFonts w:ascii="Times New Roman" w:hAnsi="Times New Roman" w:cs="Times New Roman"/>
          <w:color w:val="000000" w:themeColor="text1"/>
          <w:sz w:val="24"/>
          <w:szCs w:val="24"/>
          <w:shd w:val="clear" w:color="auto" w:fill="FFFFFF"/>
        </w:rPr>
        <w:t>, unless the landlord can establish one or more specific grounds of opposition.</w:t>
      </w:r>
      <w:r w:rsidR="00FD0F3E" w:rsidRPr="00046C23">
        <w:rPr>
          <w:rStyle w:val="FootnoteReference"/>
          <w:rFonts w:ascii="Times New Roman" w:hAnsi="Times New Roman" w:cs="Times New Roman"/>
          <w:color w:val="333333"/>
          <w:sz w:val="24"/>
          <w:szCs w:val="24"/>
          <w:shd w:val="clear" w:color="auto" w:fill="FFFFFF"/>
        </w:rPr>
        <w:footnoteReference w:id="104"/>
      </w:r>
      <w:r w:rsidR="00FD0F3E">
        <w:rPr>
          <w:rFonts w:ascii="Times New Roman" w:hAnsi="Times New Roman" w:cs="Times New Roman"/>
          <w:color w:val="000000" w:themeColor="text1"/>
          <w:sz w:val="24"/>
          <w:szCs w:val="24"/>
          <w:shd w:val="clear" w:color="auto" w:fill="FFFFFF"/>
        </w:rPr>
        <w:t xml:space="preserve"> In the context of pub tenancies, contested renewals often take the form of the PubCo seeking to appoint a salaried manager of the premises themselves</w:t>
      </w:r>
      <w:r w:rsidR="00FD0F3E">
        <w:rPr>
          <w:rStyle w:val="FootnoteReference"/>
          <w:rFonts w:ascii="Times New Roman" w:hAnsi="Times New Roman" w:cs="Times New Roman"/>
          <w:color w:val="000000" w:themeColor="text1"/>
          <w:sz w:val="24"/>
          <w:szCs w:val="24"/>
          <w:shd w:val="clear" w:color="auto" w:fill="FFFFFF"/>
        </w:rPr>
        <w:footnoteReference w:id="105"/>
      </w:r>
      <w:r w:rsidR="00FD0F3E">
        <w:rPr>
          <w:rFonts w:ascii="Times New Roman" w:hAnsi="Times New Roman" w:cs="Times New Roman"/>
          <w:color w:val="000000" w:themeColor="text1"/>
          <w:sz w:val="24"/>
          <w:szCs w:val="24"/>
          <w:shd w:val="clear" w:color="auto" w:fill="FFFFFF"/>
        </w:rPr>
        <w:t xml:space="preserve"> – a ground of opposition protected under s.30(1)(g), to allow the landlord to </w:t>
      </w:r>
      <w:r w:rsidR="00FD0F3E" w:rsidRPr="007A4BB1">
        <w:rPr>
          <w:rFonts w:ascii="Times New Roman" w:hAnsi="Times New Roman" w:cs="Times New Roman"/>
          <w:color w:val="000000" w:themeColor="text1"/>
          <w:sz w:val="24"/>
          <w:szCs w:val="24"/>
          <w:shd w:val="clear" w:color="auto" w:fill="FFFFFF"/>
        </w:rPr>
        <w:t>“</w:t>
      </w:r>
      <w:r w:rsidR="00FD0F3E" w:rsidRPr="002D118E">
        <w:rPr>
          <w:rFonts w:ascii="Times New Roman" w:hAnsi="Times New Roman" w:cs="Times New Roman"/>
          <w:sz w:val="24"/>
          <w:szCs w:val="24"/>
        </w:rPr>
        <w:t>occupy the holding for the purposes…of a business to be carried on by him therein</w:t>
      </w:r>
      <w:r w:rsidR="00FD0F3E">
        <w:rPr>
          <w:rFonts w:ascii="Times New Roman" w:hAnsi="Times New Roman" w:cs="Times New Roman"/>
          <w:sz w:val="24"/>
          <w:szCs w:val="24"/>
        </w:rPr>
        <w:t>”.</w:t>
      </w:r>
      <w:r w:rsidR="00FD0F3E">
        <w:rPr>
          <w:rStyle w:val="FootnoteReference"/>
          <w:rFonts w:ascii="Times New Roman" w:hAnsi="Times New Roman" w:cs="Times New Roman"/>
          <w:sz w:val="24"/>
          <w:szCs w:val="24"/>
        </w:rPr>
        <w:footnoteReference w:id="106"/>
      </w:r>
      <w:r w:rsidR="00F748BC">
        <w:rPr>
          <w:rFonts w:ascii="Times New Roman" w:hAnsi="Times New Roman" w:cs="Times New Roman"/>
          <w:sz w:val="24"/>
          <w:szCs w:val="24"/>
        </w:rPr>
        <w:t>The appeal of the s.30(1)(g) ground is unusual: for most commercial leases – across both the retail and hospitality sectors – there is little scope (or enthusiasm) for the landlord to take over and run the business themselves.</w:t>
      </w:r>
      <w:r w:rsidR="002F7917">
        <w:rPr>
          <w:rFonts w:ascii="Times New Roman" w:hAnsi="Times New Roman" w:cs="Times New Roman"/>
          <w:sz w:val="24"/>
          <w:szCs w:val="24"/>
        </w:rPr>
        <w:t xml:space="preserve"> For a vertically integrated sector</w:t>
      </w:r>
      <w:r w:rsidR="007C48D3">
        <w:rPr>
          <w:rFonts w:ascii="Times New Roman" w:hAnsi="Times New Roman" w:cs="Times New Roman"/>
          <w:sz w:val="24"/>
          <w:szCs w:val="24"/>
        </w:rPr>
        <w:t xml:space="preserve"> – where the breweries and PubCos are well-placed to run establishments themselves if they wish –</w:t>
      </w:r>
      <w:r w:rsidR="002F7917">
        <w:rPr>
          <w:rFonts w:ascii="Times New Roman" w:hAnsi="Times New Roman" w:cs="Times New Roman"/>
          <w:sz w:val="24"/>
          <w:szCs w:val="24"/>
        </w:rPr>
        <w:t xml:space="preserve"> there is a fundamental shift in the power-imbalance that this ground generates. </w:t>
      </w:r>
      <w:r w:rsidR="00F748BC">
        <w:rPr>
          <w:rFonts w:ascii="Times New Roman" w:hAnsi="Times New Roman" w:cs="Times New Roman"/>
          <w:sz w:val="24"/>
          <w:szCs w:val="24"/>
        </w:rPr>
        <w:t xml:space="preserve"> </w:t>
      </w:r>
      <w:r w:rsidR="002F7917">
        <w:rPr>
          <w:rFonts w:ascii="Times New Roman" w:hAnsi="Times New Roman" w:cs="Times New Roman"/>
          <w:sz w:val="24"/>
          <w:szCs w:val="24"/>
        </w:rPr>
        <w:t>lAs a result, l</w:t>
      </w:r>
      <w:r w:rsidRPr="00596A91">
        <w:rPr>
          <w:rFonts w:ascii="Times New Roman" w:hAnsi="Times New Roman" w:cs="Times New Roman"/>
          <w:sz w:val="24"/>
          <w:szCs w:val="24"/>
        </w:rPr>
        <w:t>ease lengths created moments of risk on the horizon for tied-tenants by reducing their security. For a sector where successful businesses can take years to develop and have little fungibility (it is easier to move the location of your shop than it is to move the location of your pub), shorter lease periods bring with them the risk that investment of time and money may be rendered futile if a lease renewal is successfully contested.</w:t>
      </w:r>
    </w:p>
    <w:p w14:paraId="6450F382" w14:textId="6420E5CC" w:rsidR="00861CCE" w:rsidRDefault="00B953D4" w:rsidP="00D6329E">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Within the literature on commercial leasehold more generally, the move has been to</w:t>
      </w:r>
      <w:r w:rsidR="00515FBF">
        <w:rPr>
          <w:rFonts w:ascii="Times New Roman" w:hAnsi="Times New Roman" w:cs="Times New Roman"/>
          <w:sz w:val="24"/>
          <w:szCs w:val="24"/>
        </w:rPr>
        <w:t>wards</w:t>
      </w:r>
      <w:r>
        <w:rPr>
          <w:rFonts w:ascii="Times New Roman" w:hAnsi="Times New Roman" w:cs="Times New Roman"/>
          <w:sz w:val="24"/>
          <w:szCs w:val="24"/>
        </w:rPr>
        <w:t xml:space="preserve"> far shorter lease periods – now, generally five to ten years for your average high street premises, but the trend is downwards.</w:t>
      </w:r>
      <w:r>
        <w:rPr>
          <w:rStyle w:val="FootnoteAnchor"/>
          <w:rFonts w:ascii="Times New Roman" w:hAnsi="Times New Roman" w:cs="Times New Roman"/>
          <w:sz w:val="24"/>
          <w:szCs w:val="24"/>
        </w:rPr>
        <w:footnoteReference w:id="107"/>
      </w:r>
      <w:r>
        <w:rPr>
          <w:rFonts w:ascii="Times New Roman" w:hAnsi="Times New Roman" w:cs="Times New Roman"/>
          <w:sz w:val="24"/>
          <w:szCs w:val="24"/>
        </w:rPr>
        <w:t xml:space="preserve"> This has been driven by commercial tenants seeking greater flexibility and “exit routes” and (in many areas) </w:t>
      </w:r>
      <w:r w:rsidR="00D460F3">
        <w:rPr>
          <w:rFonts w:ascii="Times New Roman" w:hAnsi="Times New Roman" w:cs="Times New Roman"/>
          <w:sz w:val="24"/>
          <w:szCs w:val="24"/>
        </w:rPr>
        <w:t xml:space="preserve">a </w:t>
      </w:r>
      <w:r>
        <w:rPr>
          <w:rFonts w:ascii="Times New Roman" w:hAnsi="Times New Roman" w:cs="Times New Roman"/>
          <w:sz w:val="24"/>
          <w:szCs w:val="24"/>
        </w:rPr>
        <w:t xml:space="preserve">saturated market of landlords </w:t>
      </w:r>
      <w:r w:rsidR="00C354A6">
        <w:rPr>
          <w:rFonts w:ascii="Times New Roman" w:hAnsi="Times New Roman" w:cs="Times New Roman"/>
          <w:sz w:val="24"/>
          <w:szCs w:val="24"/>
        </w:rPr>
        <w:t xml:space="preserve">has been </w:t>
      </w:r>
      <w:r>
        <w:rPr>
          <w:rFonts w:ascii="Times New Roman" w:hAnsi="Times New Roman" w:cs="Times New Roman"/>
          <w:sz w:val="24"/>
          <w:szCs w:val="24"/>
        </w:rPr>
        <w:t>keen to respond.</w:t>
      </w:r>
      <w:r>
        <w:rPr>
          <w:rStyle w:val="FootnoteAnchor"/>
          <w:rFonts w:ascii="Times New Roman" w:hAnsi="Times New Roman" w:cs="Times New Roman"/>
          <w:sz w:val="24"/>
          <w:szCs w:val="24"/>
        </w:rPr>
        <w:footnoteReference w:id="108"/>
      </w:r>
      <w:r>
        <w:rPr>
          <w:rFonts w:ascii="Times New Roman" w:hAnsi="Times New Roman" w:cs="Times New Roman"/>
          <w:sz w:val="24"/>
          <w:szCs w:val="24"/>
        </w:rPr>
        <w:t xml:space="preserve"> However, these same </w:t>
      </w:r>
      <w:r>
        <w:rPr>
          <w:rFonts w:ascii="Times New Roman" w:hAnsi="Times New Roman" w:cs="Times New Roman"/>
          <w:color w:val="000000"/>
          <w:sz w:val="24"/>
          <w:szCs w:val="24"/>
        </w:rPr>
        <w:t xml:space="preserve">pressures do not exist in the same way for tied publicans because there is a well-established secondary market for buying pub leases. A lease with a large number of years remaining is an attractive proposition to sell onto another prospective </w:t>
      </w:r>
      <w:r>
        <w:rPr>
          <w:rFonts w:ascii="Times New Roman" w:hAnsi="Times New Roman" w:cs="Times New Roman"/>
          <w:color w:val="000000"/>
          <w:sz w:val="24"/>
          <w:szCs w:val="24"/>
        </w:rPr>
        <w:lastRenderedPageBreak/>
        <w:t>publican; one with few years remaining is not.</w:t>
      </w:r>
      <w:r w:rsidR="00FD0F3E">
        <w:rPr>
          <w:rFonts w:ascii="Times New Roman" w:hAnsi="Times New Roman" w:cs="Times New Roman"/>
          <w:color w:val="000000"/>
          <w:sz w:val="24"/>
          <w:szCs w:val="24"/>
        </w:rPr>
        <w:t xml:space="preserve"> In the sample lease, the term specified is for five years</w:t>
      </w:r>
      <w:r w:rsidR="007A21BE">
        <w:rPr>
          <w:rFonts w:ascii="Times New Roman" w:hAnsi="Times New Roman" w:cs="Times New Roman"/>
          <w:color w:val="000000"/>
          <w:sz w:val="24"/>
          <w:szCs w:val="24"/>
        </w:rPr>
        <w:t>;</w:t>
      </w:r>
      <w:r w:rsidR="00FD0F3E">
        <w:rPr>
          <w:rFonts w:ascii="Times New Roman" w:hAnsi="Times New Roman" w:cs="Times New Roman"/>
          <w:color w:val="000000"/>
          <w:sz w:val="24"/>
          <w:szCs w:val="24"/>
        </w:rPr>
        <w:t xml:space="preserve"> a common lease period for new tied leases.</w:t>
      </w:r>
    </w:p>
    <w:p w14:paraId="1A48EAB6" w14:textId="4BE5E641" w:rsidR="00FD0F3E" w:rsidRPr="0091073E" w:rsidRDefault="0091073E" w:rsidP="000B430A">
      <w:pPr>
        <w:spacing w:line="276" w:lineRule="auto"/>
        <w:ind w:left="567" w:right="521"/>
        <w:jc w:val="center"/>
        <w:rPr>
          <w:rFonts w:ascii="Times New Roman" w:hAnsi="Times New Roman" w:cs="Times New Roman"/>
          <w:b/>
          <w:sz w:val="24"/>
          <w:szCs w:val="24"/>
        </w:rPr>
      </w:pPr>
      <w:r>
        <w:rPr>
          <w:rFonts w:ascii="Times New Roman" w:hAnsi="Times New Roman" w:cs="Times New Roman"/>
          <w:b/>
          <w:sz w:val="24"/>
          <w:szCs w:val="24"/>
        </w:rPr>
        <w:t xml:space="preserve"> [FIGURE FOUR]</w:t>
      </w:r>
    </w:p>
    <w:p w14:paraId="109AB6E5" w14:textId="0B36C9AA" w:rsidR="00861CCE" w:rsidRPr="00596A91" w:rsidRDefault="00D85678" w:rsidP="00426048">
      <w:pPr>
        <w:spacing w:line="276" w:lineRule="auto"/>
        <w:jc w:val="both"/>
        <w:rPr>
          <w:rFonts w:ascii="Times New Roman" w:hAnsi="Times New Roman"/>
          <w:color w:val="000000" w:themeColor="text1"/>
          <w:sz w:val="24"/>
          <w:szCs w:val="24"/>
        </w:rPr>
      </w:pPr>
      <w:r>
        <w:rPr>
          <w:rFonts w:ascii="Times New Roman" w:hAnsi="Times New Roman" w:cs="Times New Roman"/>
          <w:color w:val="000000"/>
          <w:sz w:val="24"/>
          <w:szCs w:val="24"/>
        </w:rPr>
        <w:t>The time period for the lease is</w:t>
      </w:r>
      <w:r w:rsidR="00B953D4">
        <w:rPr>
          <w:rFonts w:ascii="Times New Roman" w:hAnsi="Times New Roman" w:cs="Times New Roman"/>
          <w:color w:val="000000"/>
          <w:sz w:val="24"/>
          <w:szCs w:val="24"/>
        </w:rPr>
        <w:t xml:space="preserve"> </w:t>
      </w:r>
      <w:r w:rsidR="00426048">
        <w:rPr>
          <w:rFonts w:ascii="Times New Roman" w:hAnsi="Times New Roman" w:cs="Times New Roman"/>
          <w:color w:val="000000"/>
          <w:sz w:val="24"/>
          <w:szCs w:val="24"/>
        </w:rPr>
        <w:t>an important component in the relationship between the tied-tenants and the PubCos. Blandy, Bright and Nield</w:t>
      </w:r>
      <w:r w:rsidR="00B953D4">
        <w:rPr>
          <w:rFonts w:ascii="Times New Roman" w:hAnsi="Times New Roman" w:cs="Times New Roman"/>
          <w:color w:val="000000"/>
          <w:sz w:val="24"/>
          <w:szCs w:val="24"/>
        </w:rPr>
        <w:t xml:space="preserve"> </w:t>
      </w:r>
      <w:r w:rsidR="00426048">
        <w:rPr>
          <w:rFonts w:ascii="Times New Roman" w:hAnsi="Times New Roman" w:cs="Times New Roman"/>
          <w:color w:val="000000"/>
          <w:sz w:val="24"/>
          <w:szCs w:val="24"/>
        </w:rPr>
        <w:t>have underscored how lease lengths in commercial leases often neglect the more “relational” norms between a lessee and a lessor that might be expected from a long-term relationship rooted with building a business over time.</w:t>
      </w:r>
      <w:r w:rsidR="00103A33">
        <w:rPr>
          <w:rStyle w:val="FootnoteReference"/>
          <w:rFonts w:ascii="Times New Roman" w:hAnsi="Times New Roman" w:cs="Times New Roman"/>
          <w:color w:val="000000"/>
          <w:sz w:val="24"/>
          <w:szCs w:val="24"/>
        </w:rPr>
        <w:footnoteReference w:id="109"/>
      </w:r>
      <w:r w:rsidR="00426048">
        <w:rPr>
          <w:rFonts w:ascii="Times New Roman" w:hAnsi="Times New Roman" w:cs="Times New Roman"/>
          <w:color w:val="000000"/>
          <w:sz w:val="24"/>
          <w:szCs w:val="24"/>
        </w:rPr>
        <w:t xml:space="preserve"> Instead, commercial lease lengths are almost always “</w:t>
      </w:r>
      <w:r w:rsidR="00426048" w:rsidRPr="00426048">
        <w:rPr>
          <w:rFonts w:ascii="Times New Roman" w:hAnsi="Times New Roman" w:cs="Times New Roman"/>
          <w:color w:val="000000"/>
          <w:sz w:val="24"/>
          <w:szCs w:val="24"/>
        </w:rPr>
        <w:t>as if discrete</w:t>
      </w:r>
      <w:r w:rsidR="00426048">
        <w:rPr>
          <w:rFonts w:ascii="Times New Roman" w:hAnsi="Times New Roman" w:cs="Times New Roman"/>
          <w:color w:val="000000"/>
          <w:sz w:val="24"/>
          <w:szCs w:val="24"/>
        </w:rPr>
        <w:t xml:space="preserve">” </w:t>
      </w:r>
      <w:r w:rsidR="00426048" w:rsidRPr="00426048">
        <w:rPr>
          <w:rFonts w:ascii="Times New Roman" w:hAnsi="Times New Roman" w:cs="Times New Roman"/>
          <w:color w:val="000000"/>
          <w:sz w:val="24"/>
          <w:szCs w:val="24"/>
        </w:rPr>
        <w:t>contracts</w:t>
      </w:r>
      <w:r w:rsidR="00426048">
        <w:rPr>
          <w:rFonts w:ascii="Times New Roman" w:hAnsi="Times New Roman" w:cs="Times New Roman"/>
          <w:color w:val="000000"/>
          <w:sz w:val="24"/>
          <w:szCs w:val="24"/>
        </w:rPr>
        <w:t xml:space="preserve">: a fixed number of years, </w:t>
      </w:r>
      <w:r w:rsidR="008F7AE9">
        <w:rPr>
          <w:rFonts w:ascii="Times New Roman" w:hAnsi="Times New Roman" w:cs="Times New Roman"/>
          <w:color w:val="000000"/>
          <w:sz w:val="24"/>
          <w:szCs w:val="24"/>
        </w:rPr>
        <w:t>such as</w:t>
      </w:r>
      <w:r w:rsidR="00426048">
        <w:rPr>
          <w:rFonts w:ascii="Times New Roman" w:hAnsi="Times New Roman" w:cs="Times New Roman"/>
          <w:color w:val="000000"/>
          <w:sz w:val="24"/>
          <w:szCs w:val="24"/>
        </w:rPr>
        <w:t xml:space="preserve"> the “5 year” rolling term in the sample lease. </w:t>
      </w:r>
      <w:r w:rsidR="00B953D4">
        <w:rPr>
          <w:rFonts w:ascii="Times New Roman" w:hAnsi="Times New Roman" w:cs="Times New Roman"/>
          <w:color w:val="000000"/>
          <w:sz w:val="24"/>
          <w:szCs w:val="24"/>
        </w:rPr>
        <w:t>Given publicans also often live in the same premises, interviews reflected many of the same sentiments as work on tenancy lengths in the residential private rented sector.</w:t>
      </w:r>
      <w:r w:rsidR="000776AB">
        <w:rPr>
          <w:rStyle w:val="FootnoteReference"/>
          <w:rFonts w:ascii="Times New Roman" w:hAnsi="Times New Roman" w:cs="Times New Roman"/>
          <w:color w:val="000000"/>
          <w:sz w:val="24"/>
          <w:szCs w:val="24"/>
        </w:rPr>
        <w:footnoteReference w:id="110"/>
      </w:r>
      <w:r w:rsidR="00B953D4">
        <w:rPr>
          <w:rFonts w:ascii="Times New Roman" w:hAnsi="Times New Roman" w:cs="Times New Roman"/>
          <w:color w:val="000000"/>
          <w:sz w:val="24"/>
          <w:szCs w:val="24"/>
        </w:rPr>
        <w:t xml:space="preserve"> As Rolfe et al have argued, longer-term tenancies can help to foster “the development of trust and encourage both parties to maintain relationships and resolve difficulties”.</w:t>
      </w:r>
      <w:r w:rsidR="00B953D4">
        <w:rPr>
          <w:rStyle w:val="FootnoteAnchor"/>
          <w:rFonts w:ascii="Times New Roman" w:hAnsi="Times New Roman" w:cs="Times New Roman"/>
          <w:color w:val="000000"/>
          <w:sz w:val="24"/>
          <w:szCs w:val="24"/>
        </w:rPr>
        <w:footnoteReference w:id="111"/>
      </w:r>
      <w:r w:rsidR="00B953D4">
        <w:rPr>
          <w:rFonts w:ascii="Times New Roman" w:hAnsi="Times New Roman" w:cs="Times New Roman"/>
          <w:color w:val="000000"/>
          <w:sz w:val="24"/>
          <w:szCs w:val="24"/>
        </w:rPr>
        <w:t xml:space="preserve"> Whereas shorter tenancies can fray “tenants’ connections with their local communities” and jeopardise practices of “home-making”.</w:t>
      </w:r>
      <w:r w:rsidR="00B953D4">
        <w:rPr>
          <w:rStyle w:val="FootnoteAnchor"/>
          <w:rFonts w:ascii="Times New Roman" w:hAnsi="Times New Roman" w:cs="Times New Roman"/>
          <w:color w:val="000000"/>
          <w:sz w:val="24"/>
          <w:szCs w:val="24"/>
        </w:rPr>
        <w:footnoteReference w:id="112"/>
      </w:r>
      <w:r w:rsidR="00B953D4">
        <w:rPr>
          <w:rFonts w:ascii="Times New Roman" w:hAnsi="Times New Roman" w:cs="Times New Roman"/>
          <w:color w:val="000000"/>
          <w:sz w:val="24"/>
          <w:szCs w:val="24"/>
        </w:rPr>
        <w:t xml:space="preserve"> In much the same way, interviewed publicans noted the importance of lease length to their ability </w:t>
      </w:r>
      <w:r w:rsidR="00B953D4" w:rsidRPr="00596A91">
        <w:rPr>
          <w:rFonts w:ascii="Times New Roman" w:hAnsi="Times New Roman" w:cs="Times New Roman"/>
          <w:color w:val="000000" w:themeColor="text1"/>
          <w:sz w:val="24"/>
          <w:szCs w:val="24"/>
        </w:rPr>
        <w:t>to create a sustainable long-term</w:t>
      </w:r>
      <w:r w:rsidR="00250DE9">
        <w:rPr>
          <w:rFonts w:ascii="Times New Roman" w:hAnsi="Times New Roman" w:cs="Times New Roman"/>
          <w:color w:val="000000" w:themeColor="text1"/>
          <w:sz w:val="24"/>
          <w:szCs w:val="24"/>
        </w:rPr>
        <w:t xml:space="preserve"> pub</w:t>
      </w:r>
      <w:r w:rsidR="00B953D4" w:rsidRPr="00596A91">
        <w:rPr>
          <w:rFonts w:ascii="Times New Roman" w:hAnsi="Times New Roman" w:cs="Times New Roman"/>
          <w:color w:val="000000" w:themeColor="text1"/>
          <w:sz w:val="24"/>
          <w:szCs w:val="24"/>
        </w:rPr>
        <w:t xml:space="preserve"> business</w:t>
      </w:r>
      <w:r w:rsidR="00A56DB9">
        <w:rPr>
          <w:rFonts w:ascii="Times New Roman" w:hAnsi="Times New Roman" w:cs="Times New Roman"/>
          <w:color w:val="000000" w:themeColor="text1"/>
          <w:sz w:val="24"/>
          <w:szCs w:val="24"/>
        </w:rPr>
        <w:t xml:space="preserve"> rooted in the community</w:t>
      </w:r>
      <w:r w:rsidR="00B953D4" w:rsidRPr="00596A91">
        <w:rPr>
          <w:rFonts w:ascii="Times New Roman" w:hAnsi="Times New Roman" w:cs="Times New Roman"/>
          <w:color w:val="000000" w:themeColor="text1"/>
          <w:sz w:val="24"/>
          <w:szCs w:val="24"/>
        </w:rPr>
        <w:t>.</w:t>
      </w:r>
    </w:p>
    <w:p w14:paraId="1A671B8D" w14:textId="580E305C" w:rsidR="00861CCE" w:rsidRPr="00596A91" w:rsidRDefault="001E5643" w:rsidP="00D6329E">
      <w:pPr>
        <w:spacing w:line="276"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The Crown</w:t>
      </w:r>
      <w:r w:rsidR="00B953D4" w:rsidRPr="00596A91">
        <w:rPr>
          <w:rFonts w:ascii="Times New Roman" w:hAnsi="Times New Roman" w:cs="Times New Roman"/>
          <w:color w:val="000000" w:themeColor="text1"/>
          <w:sz w:val="24"/>
          <w:szCs w:val="24"/>
        </w:rPr>
        <w:t xml:space="preserve"> contrasted the demands of creating a successful pub environment with the strict temporal window created from “lease’s point of view”</w:t>
      </w:r>
      <w:r w:rsidR="007A21BE">
        <w:rPr>
          <w:rFonts w:ascii="Times New Roman" w:hAnsi="Times New Roman" w:cs="Times New Roman"/>
          <w:color w:val="000000" w:themeColor="text1"/>
          <w:sz w:val="24"/>
          <w:szCs w:val="24"/>
        </w:rPr>
        <w:t>.</w:t>
      </w:r>
      <w:r w:rsidR="00B953D4" w:rsidRPr="00596A91">
        <w:rPr>
          <w:rFonts w:ascii="Times New Roman" w:hAnsi="Times New Roman" w:cs="Times New Roman"/>
          <w:color w:val="000000" w:themeColor="text1"/>
          <w:sz w:val="24"/>
          <w:szCs w:val="24"/>
        </w:rPr>
        <w:t xml:space="preserve"> </w:t>
      </w:r>
      <w:r w:rsidR="0095537E">
        <w:rPr>
          <w:rFonts w:ascii="Times New Roman" w:hAnsi="Times New Roman" w:cs="Times New Roman"/>
          <w:color w:val="000000" w:themeColor="text1"/>
          <w:sz w:val="24"/>
          <w:szCs w:val="24"/>
        </w:rPr>
        <w:t>They</w:t>
      </w:r>
      <w:r w:rsidR="00B953D4" w:rsidRPr="00596A91">
        <w:rPr>
          <w:rFonts w:ascii="Times New Roman" w:hAnsi="Times New Roman" w:cs="Times New Roman"/>
          <w:color w:val="000000" w:themeColor="text1"/>
          <w:sz w:val="24"/>
          <w:szCs w:val="24"/>
        </w:rPr>
        <w:t xml:space="preserve"> underscore the importance and considerable burden of emotional labour facing pub landlords</w:t>
      </w:r>
      <w:r w:rsidR="005F5355">
        <w:rPr>
          <w:rFonts w:ascii="Times New Roman" w:hAnsi="Times New Roman" w:cs="Times New Roman"/>
          <w:color w:val="000000" w:themeColor="text1"/>
          <w:sz w:val="24"/>
          <w:szCs w:val="24"/>
        </w:rPr>
        <w:t xml:space="preserve"> over longer periods than that envisaged in the lease</w:t>
      </w:r>
      <w:r w:rsidR="00B953D4" w:rsidRPr="00596A91">
        <w:rPr>
          <w:rFonts w:ascii="Times New Roman" w:hAnsi="Times New Roman" w:cs="Times New Roman"/>
          <w:color w:val="000000" w:themeColor="text1"/>
          <w:sz w:val="24"/>
          <w:szCs w:val="24"/>
        </w:rPr>
        <w:t>:</w:t>
      </w:r>
    </w:p>
    <w:p w14:paraId="0098B815" w14:textId="14287CAC" w:rsidR="00861CCE" w:rsidRDefault="00B953D4" w:rsidP="00D6329E">
      <w:pPr>
        <w:spacing w:line="276" w:lineRule="auto"/>
        <w:ind w:left="567" w:right="510"/>
        <w:jc w:val="both"/>
        <w:rPr>
          <w:rFonts w:ascii="Times New Roman" w:hAnsi="Times New Roman"/>
          <w:sz w:val="24"/>
          <w:szCs w:val="24"/>
        </w:rPr>
      </w:pPr>
      <w:r>
        <w:rPr>
          <w:rFonts w:ascii="Times New Roman" w:hAnsi="Times New Roman" w:cs="Times New Roman"/>
          <w:sz w:val="24"/>
          <w:szCs w:val="24"/>
        </w:rPr>
        <w:t>I don’t believe there’s such a thing as a good pub, there might be pretty pubs, there might be clean pubs, big pubs, small pubs; but the thing that brings people back into a pub is the landlord, the landlady, the staff, that’s what makes a pub. Not a beautiful building, or an old building, it’s the people that are in there. If the landlord – my wife and I are in the bar almost every single night, we’re not just serving, we’re going, we’re introducing ourselves to the customers… pub companies have got to understand that and they don’t”</w:t>
      </w:r>
      <w:r w:rsidR="001E5643">
        <w:rPr>
          <w:rFonts w:ascii="Times New Roman" w:hAnsi="Times New Roman" w:cs="Times New Roman"/>
          <w:sz w:val="24"/>
          <w:szCs w:val="24"/>
        </w:rPr>
        <w:t xml:space="preserve"> (</w:t>
      </w:r>
      <w:r w:rsidR="001E5643">
        <w:rPr>
          <w:rFonts w:ascii="Times New Roman" w:hAnsi="Times New Roman" w:cs="Times New Roman"/>
          <w:i/>
          <w:sz w:val="24"/>
          <w:szCs w:val="24"/>
        </w:rPr>
        <w:t>The Crown)</w:t>
      </w:r>
      <w:r w:rsidR="001E5643">
        <w:rPr>
          <w:rFonts w:ascii="Times New Roman" w:hAnsi="Times New Roman" w:cs="Times New Roman"/>
          <w:sz w:val="24"/>
          <w:szCs w:val="24"/>
        </w:rPr>
        <w:t>.</w:t>
      </w:r>
    </w:p>
    <w:p w14:paraId="7DDAB885" w14:textId="38C6D96E" w:rsidR="00861CCE" w:rsidRDefault="00B953D4" w:rsidP="00D6329E">
      <w:pPr>
        <w:spacing w:line="276" w:lineRule="auto"/>
        <w:jc w:val="both"/>
        <w:rPr>
          <w:rFonts w:ascii="Times New Roman" w:hAnsi="Times New Roman"/>
          <w:sz w:val="24"/>
          <w:szCs w:val="24"/>
        </w:rPr>
      </w:pPr>
      <w:r>
        <w:rPr>
          <w:rFonts w:ascii="Times New Roman" w:hAnsi="Times New Roman" w:cs="Times New Roman"/>
          <w:sz w:val="24"/>
          <w:szCs w:val="24"/>
        </w:rPr>
        <w:t xml:space="preserve">This long-term social effort of the publican is contrasted by </w:t>
      </w:r>
      <w:r w:rsidR="001E5643">
        <w:rPr>
          <w:rFonts w:ascii="Times New Roman" w:hAnsi="Times New Roman" w:cs="Times New Roman"/>
          <w:sz w:val="24"/>
          <w:szCs w:val="24"/>
        </w:rPr>
        <w:t>The Crown</w:t>
      </w:r>
      <w:r>
        <w:rPr>
          <w:rFonts w:ascii="Times New Roman" w:hAnsi="Times New Roman" w:cs="Times New Roman"/>
          <w:sz w:val="24"/>
          <w:szCs w:val="24"/>
        </w:rPr>
        <w:t xml:space="preserve"> against a reduction in his lease length on renewal of the agreement from 10 years to 5 years:</w:t>
      </w:r>
    </w:p>
    <w:p w14:paraId="4AE5BDAE" w14:textId="15B8D8F6" w:rsidR="00861CCE" w:rsidRDefault="00B953D4" w:rsidP="00D6329E">
      <w:pPr>
        <w:spacing w:line="276" w:lineRule="auto"/>
        <w:ind w:left="567" w:right="510"/>
        <w:jc w:val="both"/>
        <w:rPr>
          <w:rFonts w:ascii="Times New Roman" w:hAnsi="Times New Roman"/>
          <w:sz w:val="24"/>
          <w:szCs w:val="24"/>
        </w:rPr>
      </w:pPr>
      <w:r>
        <w:rPr>
          <w:rFonts w:ascii="Times New Roman" w:hAnsi="Times New Roman" w:cs="Times New Roman"/>
          <w:sz w:val="24"/>
          <w:szCs w:val="24"/>
        </w:rPr>
        <w:lastRenderedPageBreak/>
        <w:t>Purely from the lease part of it, the lease’s point of view, they are now saying that they might take the lease back in five years, therefore my lease, which should be agreed on a 10 year lease, they’re allowed to cut to a 5 year lease</w:t>
      </w:r>
      <w:r w:rsidR="0029683E">
        <w:rPr>
          <w:rFonts w:ascii="Times New Roman" w:hAnsi="Times New Roman" w:cs="Times New Roman"/>
          <w:sz w:val="24"/>
          <w:szCs w:val="24"/>
        </w:rPr>
        <w:t xml:space="preserve"> </w:t>
      </w:r>
      <w:r w:rsidR="0029683E" w:rsidRPr="0029683E">
        <w:rPr>
          <w:rFonts w:ascii="Times New Roman" w:hAnsi="Times New Roman" w:cs="Times New Roman"/>
          <w:i/>
          <w:sz w:val="24"/>
          <w:szCs w:val="24"/>
        </w:rPr>
        <w:t>(</w:t>
      </w:r>
      <w:r w:rsidR="0029683E">
        <w:rPr>
          <w:rFonts w:ascii="Times New Roman" w:hAnsi="Times New Roman" w:cs="Times New Roman"/>
          <w:i/>
          <w:sz w:val="24"/>
          <w:szCs w:val="24"/>
        </w:rPr>
        <w:t>The Crown)</w:t>
      </w:r>
      <w:r>
        <w:rPr>
          <w:rFonts w:ascii="Times New Roman" w:hAnsi="Times New Roman" w:cs="Times New Roman"/>
          <w:sz w:val="24"/>
          <w:szCs w:val="24"/>
        </w:rPr>
        <w:t>.</w:t>
      </w:r>
    </w:p>
    <w:p w14:paraId="6AAA88DC" w14:textId="548CA2E2" w:rsidR="00861CCE" w:rsidRDefault="0029683E" w:rsidP="00D6329E">
      <w:pPr>
        <w:spacing w:line="276" w:lineRule="auto"/>
        <w:rPr>
          <w:rFonts w:ascii="Times New Roman" w:hAnsi="Times New Roman"/>
          <w:sz w:val="24"/>
          <w:szCs w:val="24"/>
        </w:rPr>
      </w:pPr>
      <w:r>
        <w:rPr>
          <w:rFonts w:ascii="Times New Roman" w:hAnsi="Times New Roman"/>
          <w:sz w:val="24"/>
          <w:szCs w:val="24"/>
        </w:rPr>
        <w:t>The Crown</w:t>
      </w:r>
      <w:r w:rsidR="00B953D4">
        <w:rPr>
          <w:rFonts w:ascii="Times New Roman" w:hAnsi="Times New Roman"/>
          <w:sz w:val="24"/>
          <w:szCs w:val="24"/>
        </w:rPr>
        <w:t xml:space="preserve"> notes the “huge difference” this change of term makes, both </w:t>
      </w:r>
      <w:r w:rsidR="00602B9B">
        <w:rPr>
          <w:rFonts w:ascii="Times New Roman" w:hAnsi="Times New Roman"/>
          <w:sz w:val="24"/>
          <w:szCs w:val="24"/>
        </w:rPr>
        <w:t xml:space="preserve">because </w:t>
      </w:r>
      <w:r w:rsidR="00B953D4">
        <w:rPr>
          <w:rFonts w:ascii="Times New Roman" w:hAnsi="Times New Roman"/>
          <w:sz w:val="24"/>
          <w:szCs w:val="24"/>
        </w:rPr>
        <w:t xml:space="preserve">he does not intend to leave the business, and </w:t>
      </w:r>
      <w:r w:rsidR="00602B9B">
        <w:rPr>
          <w:rFonts w:ascii="Times New Roman" w:hAnsi="Times New Roman"/>
          <w:sz w:val="24"/>
          <w:szCs w:val="24"/>
        </w:rPr>
        <w:t xml:space="preserve">its impact </w:t>
      </w:r>
      <w:r w:rsidR="00B953D4">
        <w:rPr>
          <w:rFonts w:ascii="Times New Roman" w:hAnsi="Times New Roman"/>
          <w:sz w:val="24"/>
          <w:szCs w:val="24"/>
        </w:rPr>
        <w:t>on his ability to sell the lease onwards should circumstances mean he is unable to continue running the pub:</w:t>
      </w:r>
    </w:p>
    <w:p w14:paraId="2B515928" w14:textId="38793281" w:rsidR="00861CCE" w:rsidRDefault="00B953D4" w:rsidP="00D6329E">
      <w:pPr>
        <w:spacing w:line="276" w:lineRule="auto"/>
        <w:ind w:left="567" w:right="510"/>
        <w:jc w:val="both"/>
        <w:rPr>
          <w:rFonts w:ascii="Times New Roman" w:hAnsi="Times New Roman"/>
          <w:sz w:val="24"/>
          <w:szCs w:val="24"/>
        </w:rPr>
      </w:pPr>
      <w:r>
        <w:rPr>
          <w:rFonts w:ascii="Times New Roman" w:hAnsi="Times New Roman" w:cs="Times New Roman"/>
          <w:sz w:val="24"/>
          <w:szCs w:val="24"/>
        </w:rPr>
        <w:t>A 5 year, having a 5 year lease as opposed to a 10 year lease makes a huge difference, it’s a huge difference because while we’ve no intentions of leaving, if, and I’ve already had cancer, if something comes along that prevents us or means that in the future we won’t be able to run the pub, a 5 year lease we are not going to be able to sell on the same as we would sell on a 10 year lease. That’s a huge, huge difference in them halving that lease from 10 to 5 years and I think that’s something, I don’t see how they can get away with doing that</w:t>
      </w:r>
      <w:r w:rsidR="0029683E">
        <w:rPr>
          <w:rFonts w:ascii="Times New Roman" w:hAnsi="Times New Roman" w:cs="Times New Roman"/>
          <w:sz w:val="24"/>
          <w:szCs w:val="24"/>
        </w:rPr>
        <w:t xml:space="preserve"> (</w:t>
      </w:r>
      <w:r w:rsidR="0029683E">
        <w:rPr>
          <w:rFonts w:ascii="Times New Roman" w:hAnsi="Times New Roman" w:cs="Times New Roman"/>
          <w:i/>
          <w:sz w:val="24"/>
          <w:szCs w:val="24"/>
        </w:rPr>
        <w:t>The Crown</w:t>
      </w:r>
      <w:r w:rsidR="0029683E">
        <w:rPr>
          <w:rFonts w:ascii="Times New Roman" w:hAnsi="Times New Roman" w:cs="Times New Roman"/>
          <w:sz w:val="24"/>
          <w:szCs w:val="24"/>
        </w:rPr>
        <w:t>).</w:t>
      </w:r>
    </w:p>
    <w:p w14:paraId="6AD62952" w14:textId="17CCB909" w:rsidR="00861CCE" w:rsidRDefault="004A003D" w:rsidP="00D6329E">
      <w:pPr>
        <w:spacing w:line="276" w:lineRule="auto"/>
        <w:rPr>
          <w:rFonts w:ascii="Times New Roman" w:hAnsi="Times New Roman" w:cs="Times New Roman"/>
          <w:sz w:val="24"/>
          <w:szCs w:val="24"/>
        </w:rPr>
      </w:pPr>
      <w:r>
        <w:rPr>
          <w:rFonts w:ascii="Times New Roman" w:hAnsi="Times New Roman" w:cs="Times New Roman"/>
          <w:sz w:val="24"/>
          <w:szCs w:val="24"/>
        </w:rPr>
        <w:t xml:space="preserve">Points of renewal along the lease were a source of stress for publicans in the sample. As </w:t>
      </w:r>
      <w:r w:rsidR="00DF4FCE">
        <w:rPr>
          <w:rFonts w:ascii="Times New Roman" w:hAnsi="Times New Roman" w:cs="Times New Roman"/>
          <w:sz w:val="24"/>
          <w:szCs w:val="24"/>
        </w:rPr>
        <w:t>The Swan</w:t>
      </w:r>
      <w:r>
        <w:rPr>
          <w:rFonts w:ascii="Times New Roman" w:hAnsi="Times New Roman" w:cs="Times New Roman"/>
          <w:sz w:val="24"/>
          <w:szCs w:val="24"/>
        </w:rPr>
        <w:t xml:space="preserve"> outlined, there was the hanging threat of a lease renewal being contested, and the publican therefore losing their security of tenure (and in many cases, their home)</w:t>
      </w:r>
      <w:r w:rsidR="00BC762F">
        <w:rPr>
          <w:rFonts w:ascii="Times New Roman" w:hAnsi="Times New Roman" w:cs="Times New Roman"/>
          <w:sz w:val="24"/>
          <w:szCs w:val="24"/>
        </w:rPr>
        <w:t>. This was, in their view,</w:t>
      </w:r>
      <w:r w:rsidR="00B878E1">
        <w:rPr>
          <w:rFonts w:ascii="Times New Roman" w:hAnsi="Times New Roman" w:cs="Times New Roman"/>
          <w:sz w:val="24"/>
          <w:szCs w:val="24"/>
        </w:rPr>
        <w:t xml:space="preserve"> </w:t>
      </w:r>
      <w:r w:rsidR="00BC762F">
        <w:rPr>
          <w:rFonts w:ascii="Times New Roman" w:hAnsi="Times New Roman" w:cs="Times New Roman"/>
          <w:sz w:val="24"/>
          <w:szCs w:val="24"/>
        </w:rPr>
        <w:t>part of the power imbalance between the two sides</w:t>
      </w:r>
      <w:r>
        <w:rPr>
          <w:rFonts w:ascii="Times New Roman" w:hAnsi="Times New Roman" w:cs="Times New Roman"/>
          <w:sz w:val="24"/>
          <w:szCs w:val="24"/>
        </w:rPr>
        <w:t>:</w:t>
      </w:r>
    </w:p>
    <w:p w14:paraId="34FC2E2B" w14:textId="135ADF1C" w:rsidR="00B66440" w:rsidRDefault="00B66440" w:rsidP="00D6329E">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Because obviously if you are a tenant you’re not in an arm’s length position because you are a tenant. So your negotiating power is weakened and the power goes to the pub companies, because you’re in there and you don’t want to lose your security of tenure. You’re almost – what’s the word? You’re being held to ransom in many ways</w:t>
      </w:r>
      <w:r w:rsidR="00DF4FCE">
        <w:rPr>
          <w:rFonts w:ascii="Times New Roman" w:hAnsi="Times New Roman" w:cs="Times New Roman"/>
          <w:sz w:val="24"/>
          <w:szCs w:val="24"/>
        </w:rPr>
        <w:t xml:space="preserve"> </w:t>
      </w:r>
      <w:r w:rsidR="00DF4FCE">
        <w:rPr>
          <w:rFonts w:ascii="Times New Roman" w:hAnsi="Times New Roman" w:cs="Times New Roman"/>
          <w:i/>
          <w:sz w:val="24"/>
          <w:szCs w:val="24"/>
        </w:rPr>
        <w:t>(The Swan)</w:t>
      </w:r>
      <w:r>
        <w:rPr>
          <w:rFonts w:ascii="Times New Roman" w:hAnsi="Times New Roman" w:cs="Times New Roman"/>
          <w:sz w:val="24"/>
          <w:szCs w:val="24"/>
        </w:rPr>
        <w:t>.</w:t>
      </w:r>
    </w:p>
    <w:p w14:paraId="4983F95E" w14:textId="060CBF54" w:rsidR="002D6882" w:rsidRDefault="005E5912" w:rsidP="000027D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perceived power imbalance was such that, when </w:t>
      </w:r>
      <w:r w:rsidR="008D021E">
        <w:rPr>
          <w:rFonts w:ascii="Times New Roman" w:hAnsi="Times New Roman" w:cs="Times New Roman"/>
          <w:sz w:val="24"/>
          <w:szCs w:val="24"/>
        </w:rPr>
        <w:t>The White Hart</w:t>
      </w:r>
      <w:r>
        <w:rPr>
          <w:rFonts w:ascii="Times New Roman" w:hAnsi="Times New Roman" w:cs="Times New Roman"/>
          <w:sz w:val="24"/>
          <w:szCs w:val="24"/>
        </w:rPr>
        <w:t xml:space="preserve">’s lease </w:t>
      </w:r>
      <w:r w:rsidR="00047FDC">
        <w:rPr>
          <w:rFonts w:ascii="Times New Roman" w:hAnsi="Times New Roman" w:cs="Times New Roman"/>
          <w:sz w:val="24"/>
          <w:szCs w:val="24"/>
        </w:rPr>
        <w:t>was terminated by his PubCo, he did not see the point in contesting it under s.25 Landlord &amp; Tenant Act 1954:</w:t>
      </w:r>
    </w:p>
    <w:p w14:paraId="67026B81" w14:textId="32518D5F" w:rsidR="00B66440" w:rsidRDefault="00D9365F" w:rsidP="00D6329E">
      <w:pPr>
        <w:spacing w:line="276" w:lineRule="auto"/>
        <w:ind w:left="567" w:right="521"/>
        <w:jc w:val="both"/>
        <w:rPr>
          <w:rFonts w:ascii="Times New Roman" w:hAnsi="Times New Roman" w:cs="Times New Roman"/>
          <w:sz w:val="24"/>
          <w:szCs w:val="24"/>
        </w:rPr>
      </w:pPr>
      <w:r>
        <w:rPr>
          <w:rFonts w:ascii="Times New Roman" w:hAnsi="Times New Roman" w:cs="Times New Roman"/>
          <w:sz w:val="24"/>
          <w:szCs w:val="24"/>
        </w:rPr>
        <w:t>Then, as it got close to the date of the expiration of my lease they put in the section whatever it is, you know, section 30-something, to say that they’re not renewing it. Now I can challenge that, but you don’t win apparently. Yeah, I’d stopped then, no point then is there.</w:t>
      </w:r>
      <w:r w:rsidR="00047FDC">
        <w:rPr>
          <w:rFonts w:ascii="Times New Roman" w:hAnsi="Times New Roman" w:cs="Times New Roman"/>
          <w:sz w:val="24"/>
          <w:szCs w:val="24"/>
        </w:rPr>
        <w:t>.. I asked loads of people… I don’t think anyone has won it, that case, you know what I mean, stopping them taking the lease back. Nobody that I know of…</w:t>
      </w:r>
      <w:r w:rsidR="00901DF5">
        <w:rPr>
          <w:rFonts w:ascii="Times New Roman" w:hAnsi="Times New Roman" w:cs="Times New Roman"/>
          <w:sz w:val="24"/>
          <w:szCs w:val="24"/>
        </w:rPr>
        <w:t xml:space="preserve"> </w:t>
      </w:r>
      <w:r w:rsidR="00901DF5">
        <w:rPr>
          <w:rFonts w:ascii="Times New Roman" w:hAnsi="Times New Roman" w:cs="Times New Roman"/>
          <w:i/>
          <w:iCs/>
          <w:sz w:val="24"/>
          <w:szCs w:val="24"/>
        </w:rPr>
        <w:t>(The White Hart)</w:t>
      </w:r>
      <w:r w:rsidR="00901DF5">
        <w:rPr>
          <w:rFonts w:ascii="Times New Roman" w:hAnsi="Times New Roman" w:cs="Times New Roman"/>
          <w:sz w:val="24"/>
          <w:szCs w:val="24"/>
        </w:rPr>
        <w:t>.</w:t>
      </w:r>
    </w:p>
    <w:p w14:paraId="3755F394" w14:textId="757F8563" w:rsidR="00B80EC2" w:rsidRDefault="007C48D3" w:rsidP="00B80EC2">
      <w:pPr>
        <w:spacing w:line="276"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These data suggest that </w:t>
      </w:r>
      <w:r w:rsidR="00B80EC2">
        <w:rPr>
          <w:rFonts w:ascii="Times New Roman" w:hAnsi="Times New Roman" w:cs="Times New Roman"/>
          <w:sz w:val="24"/>
          <w:szCs w:val="24"/>
        </w:rPr>
        <w:t>terms</w:t>
      </w:r>
      <w:r>
        <w:rPr>
          <w:rFonts w:ascii="Times New Roman" w:hAnsi="Times New Roman" w:cs="Times New Roman"/>
          <w:sz w:val="24"/>
          <w:szCs w:val="24"/>
        </w:rPr>
        <w:t xml:space="preserve"> in the lease managing </w:t>
      </w:r>
      <w:r w:rsidR="00B80EC2">
        <w:rPr>
          <w:rFonts w:ascii="Times New Roman" w:hAnsi="Times New Roman" w:cs="Times New Roman"/>
          <w:sz w:val="24"/>
          <w:szCs w:val="24"/>
        </w:rPr>
        <w:t xml:space="preserve">of overall </w:t>
      </w:r>
      <w:r>
        <w:rPr>
          <w:rFonts w:ascii="Times New Roman" w:hAnsi="Times New Roman" w:cs="Times New Roman"/>
          <w:sz w:val="24"/>
          <w:szCs w:val="24"/>
        </w:rPr>
        <w:t xml:space="preserve">term </w:t>
      </w:r>
      <w:r w:rsidR="00B80EC2">
        <w:rPr>
          <w:rFonts w:ascii="Times New Roman" w:hAnsi="Times New Roman" w:cs="Times New Roman"/>
          <w:sz w:val="24"/>
          <w:szCs w:val="24"/>
        </w:rPr>
        <w:t xml:space="preserve">length and opportunities to contest renewal </w:t>
      </w:r>
      <w:r>
        <w:rPr>
          <w:rFonts w:ascii="Times New Roman" w:hAnsi="Times New Roman" w:cs="Times New Roman"/>
          <w:sz w:val="24"/>
          <w:szCs w:val="24"/>
        </w:rPr>
        <w:t>were central to the publican’s business</w:t>
      </w:r>
      <w:r w:rsidR="00B80EC2">
        <w:rPr>
          <w:rFonts w:ascii="Times New Roman" w:hAnsi="Times New Roman" w:cs="Times New Roman"/>
          <w:sz w:val="24"/>
          <w:szCs w:val="24"/>
        </w:rPr>
        <w:t>. The apparent preferences for shorter lease lengths or multiple “exit routes” elsewhere in the commercial leasehold sector give way to a preference for longer, more secure leases in the pub sector. For tied-tenants, a largely non-fungible business rooted in the community (which for many publicans is also their home) suffers from a lack of security in the lease.</w:t>
      </w:r>
    </w:p>
    <w:p w14:paraId="6F951E2E" w14:textId="77777777" w:rsidR="002A05B7" w:rsidRDefault="002A05B7" w:rsidP="00D6329E">
      <w:pPr>
        <w:spacing w:line="276" w:lineRule="auto"/>
        <w:rPr>
          <w:rFonts w:ascii="Times New Roman" w:hAnsi="Times New Roman" w:cs="Times New Roman"/>
          <w:sz w:val="24"/>
          <w:szCs w:val="24"/>
        </w:rPr>
      </w:pPr>
    </w:p>
    <w:p w14:paraId="46B3BD5A" w14:textId="382D291E" w:rsidR="00861CCE" w:rsidRPr="002A07EB" w:rsidRDefault="00483380" w:rsidP="00D6329E">
      <w:pPr>
        <w:spacing w:line="276" w:lineRule="auto"/>
        <w:rPr>
          <w:rFonts w:ascii="Times New Roman" w:hAnsi="Times New Roman" w:cs="Times New Roman"/>
          <w:b/>
          <w:sz w:val="24"/>
          <w:szCs w:val="24"/>
        </w:rPr>
      </w:pPr>
      <w:r>
        <w:rPr>
          <w:rFonts w:ascii="Times New Roman" w:hAnsi="Times New Roman" w:cs="Times New Roman"/>
          <w:b/>
          <w:sz w:val="24"/>
          <w:szCs w:val="24"/>
        </w:rPr>
        <w:t>4</w:t>
      </w:r>
      <w:r w:rsidR="007A68DF">
        <w:rPr>
          <w:rFonts w:ascii="Times New Roman" w:hAnsi="Times New Roman" w:cs="Times New Roman"/>
          <w:b/>
          <w:sz w:val="24"/>
          <w:szCs w:val="24"/>
        </w:rPr>
        <w:t xml:space="preserve">.3 </w:t>
      </w:r>
      <w:r w:rsidR="00C16841">
        <w:rPr>
          <w:rFonts w:ascii="Times New Roman" w:hAnsi="Times New Roman" w:cs="Times New Roman"/>
          <w:b/>
          <w:sz w:val="24"/>
          <w:szCs w:val="24"/>
        </w:rPr>
        <w:t>Rent and business viability</w:t>
      </w:r>
    </w:p>
    <w:p w14:paraId="65129146" w14:textId="3DE7925E" w:rsidR="00BB48ED" w:rsidRDefault="002A07EB" w:rsidP="00D6329E">
      <w:pPr>
        <w:spacing w:line="276" w:lineRule="auto"/>
        <w:jc w:val="both"/>
        <w:rPr>
          <w:rFonts w:ascii="Times New Roman" w:hAnsi="Times New Roman" w:cs="Times New Roman"/>
          <w:sz w:val="24"/>
          <w:szCs w:val="24"/>
        </w:rPr>
      </w:pPr>
      <w:r w:rsidRPr="00AD73EF">
        <w:rPr>
          <w:rFonts w:ascii="Times New Roman" w:hAnsi="Times New Roman" w:cs="Times New Roman"/>
          <w:sz w:val="24"/>
          <w:szCs w:val="24"/>
        </w:rPr>
        <w:lastRenderedPageBreak/>
        <w:t>Rent is – as almost goes without saying – a fundamental component of any commercial lease</w:t>
      </w:r>
      <w:r w:rsidR="007549BC">
        <w:rPr>
          <w:rFonts w:ascii="Times New Roman" w:hAnsi="Times New Roman" w:cs="Times New Roman"/>
          <w:sz w:val="24"/>
          <w:szCs w:val="24"/>
        </w:rPr>
        <w:t xml:space="preserve"> and is often the “</w:t>
      </w:r>
      <w:r w:rsidR="007549BC" w:rsidRPr="007549BC">
        <w:rPr>
          <w:rFonts w:ascii="Times New Roman" w:hAnsi="Times New Roman" w:cs="Times New Roman"/>
          <w:sz w:val="24"/>
          <w:szCs w:val="24"/>
        </w:rPr>
        <w:t>the most criticised issue”</w:t>
      </w:r>
      <w:r w:rsidR="008B7F7B">
        <w:rPr>
          <w:rFonts w:ascii="Times New Roman" w:hAnsi="Times New Roman" w:cs="Times New Roman"/>
          <w:sz w:val="24"/>
          <w:szCs w:val="24"/>
        </w:rPr>
        <w:t xml:space="preserve"> by landlords and tenants alike.</w:t>
      </w:r>
      <w:r w:rsidR="007549BC">
        <w:rPr>
          <w:rStyle w:val="FootnoteReference"/>
          <w:rFonts w:ascii="Times New Roman" w:hAnsi="Times New Roman" w:cs="Times New Roman"/>
          <w:sz w:val="24"/>
          <w:szCs w:val="24"/>
        </w:rPr>
        <w:footnoteReference w:id="113"/>
      </w:r>
      <w:r w:rsidRPr="00AD73EF">
        <w:rPr>
          <w:rFonts w:ascii="Times New Roman" w:hAnsi="Times New Roman" w:cs="Times New Roman"/>
          <w:sz w:val="24"/>
          <w:szCs w:val="24"/>
        </w:rPr>
        <w:t xml:space="preserve"> It is not just the headline figure that matters, but also the broader “rental structure” within the lease terms: the review mechanisms and processes for how rents are calculated.</w:t>
      </w:r>
      <w:r w:rsidR="00551AB4" w:rsidRPr="00AD73EF">
        <w:rPr>
          <w:rStyle w:val="FootnoteReference"/>
          <w:rFonts w:ascii="Times New Roman" w:hAnsi="Times New Roman" w:cs="Times New Roman"/>
          <w:sz w:val="24"/>
          <w:szCs w:val="24"/>
        </w:rPr>
        <w:footnoteReference w:id="114"/>
      </w:r>
      <w:r w:rsidR="00797484" w:rsidRPr="00AD73EF">
        <w:rPr>
          <w:rFonts w:ascii="Times New Roman" w:hAnsi="Times New Roman" w:cs="Times New Roman"/>
          <w:sz w:val="24"/>
          <w:szCs w:val="24"/>
        </w:rPr>
        <w:t xml:space="preserve"> </w:t>
      </w:r>
      <w:r w:rsidR="002E7ED5" w:rsidRPr="00AD73EF">
        <w:rPr>
          <w:rFonts w:ascii="Times New Roman" w:hAnsi="Times New Roman" w:cs="Times New Roman"/>
          <w:sz w:val="24"/>
          <w:szCs w:val="24"/>
        </w:rPr>
        <w:t xml:space="preserve">Ordinarily, rents for commercial properties are calculated with reference to </w:t>
      </w:r>
      <w:r w:rsidR="00AD73EF" w:rsidRPr="00AD73EF">
        <w:rPr>
          <w:rFonts w:ascii="Times New Roman" w:hAnsi="Times New Roman" w:cs="Times New Roman"/>
          <w:sz w:val="24"/>
          <w:szCs w:val="24"/>
        </w:rPr>
        <w:t xml:space="preserve">square footage (with some leases stipulating a percentage of turnover </w:t>
      </w:r>
      <w:r w:rsidR="007C48D3">
        <w:rPr>
          <w:rFonts w:ascii="Times New Roman" w:hAnsi="Times New Roman" w:cs="Times New Roman"/>
          <w:sz w:val="24"/>
          <w:szCs w:val="24"/>
        </w:rPr>
        <w:t>as well</w:t>
      </w:r>
      <w:r w:rsidR="00AD73EF" w:rsidRPr="00AD73EF">
        <w:rPr>
          <w:rFonts w:ascii="Times New Roman" w:hAnsi="Times New Roman" w:cs="Times New Roman"/>
          <w:sz w:val="24"/>
          <w:szCs w:val="24"/>
        </w:rPr>
        <w:t>).</w:t>
      </w:r>
      <w:r w:rsidR="00AD73EF" w:rsidRPr="00AD73EF">
        <w:rPr>
          <w:rStyle w:val="FootnoteAnchor"/>
          <w:rFonts w:ascii="Times New Roman" w:hAnsi="Times New Roman" w:cs="Times New Roman"/>
          <w:sz w:val="24"/>
          <w:szCs w:val="24"/>
        </w:rPr>
        <w:footnoteReference w:id="115"/>
      </w:r>
      <w:r w:rsidR="00BA369D">
        <w:rPr>
          <w:rFonts w:ascii="Times New Roman" w:hAnsi="Times New Roman" w:cs="Times New Roman"/>
          <w:sz w:val="24"/>
          <w:szCs w:val="24"/>
        </w:rPr>
        <w:t xml:space="preserve"> As noted above, pubs leases are </w:t>
      </w:r>
      <w:r w:rsidR="007B6DCD">
        <w:rPr>
          <w:rFonts w:ascii="Times New Roman" w:hAnsi="Times New Roman" w:cs="Times New Roman"/>
          <w:sz w:val="24"/>
          <w:szCs w:val="24"/>
        </w:rPr>
        <w:t xml:space="preserve">relatively </w:t>
      </w:r>
      <w:r w:rsidR="00BA369D">
        <w:rPr>
          <w:rFonts w:ascii="Times New Roman" w:hAnsi="Times New Roman" w:cs="Times New Roman"/>
          <w:sz w:val="24"/>
          <w:szCs w:val="24"/>
        </w:rPr>
        <w:t>unusual in that rents are calculated by calculating the “fair maintainable trade” a competent publican could fashion, then dividing estimated profits between the PubCo and the tied publican</w:t>
      </w:r>
      <w:r w:rsidR="00F5330C">
        <w:rPr>
          <w:rFonts w:ascii="Times New Roman" w:hAnsi="Times New Roman" w:cs="Times New Roman"/>
          <w:sz w:val="24"/>
          <w:szCs w:val="24"/>
        </w:rPr>
        <w:t>;</w:t>
      </w:r>
      <w:r w:rsidR="00BA369D">
        <w:rPr>
          <w:rFonts w:ascii="Times New Roman" w:hAnsi="Times New Roman" w:cs="Times New Roman"/>
          <w:sz w:val="24"/>
          <w:szCs w:val="24"/>
        </w:rPr>
        <w:t xml:space="preserve"> normally a 60/40 split</w:t>
      </w:r>
      <w:r w:rsidR="0095537E">
        <w:rPr>
          <w:rFonts w:ascii="Times New Roman" w:hAnsi="Times New Roman" w:cs="Times New Roman"/>
          <w:sz w:val="24"/>
          <w:szCs w:val="24"/>
        </w:rPr>
        <w:t xml:space="preserve"> respectively</w:t>
      </w:r>
      <w:r w:rsidR="00BA369D">
        <w:rPr>
          <w:rFonts w:ascii="Times New Roman" w:hAnsi="Times New Roman" w:cs="Times New Roman"/>
          <w:sz w:val="24"/>
          <w:szCs w:val="24"/>
        </w:rPr>
        <w:t>.</w:t>
      </w:r>
      <w:r w:rsidR="00D43DF8">
        <w:rPr>
          <w:rStyle w:val="FootnoteAnchor"/>
          <w:rFonts w:ascii="Times New Roman" w:hAnsi="Times New Roman" w:cs="Times New Roman"/>
          <w:bCs/>
          <w:iCs/>
          <w:sz w:val="24"/>
          <w:szCs w:val="24"/>
        </w:rPr>
        <w:footnoteReference w:id="116"/>
      </w:r>
      <w:r w:rsidR="00C75E54">
        <w:rPr>
          <w:rFonts w:ascii="Times New Roman" w:hAnsi="Times New Roman" w:cs="Times New Roman"/>
          <w:sz w:val="24"/>
          <w:szCs w:val="24"/>
        </w:rPr>
        <w:t xml:space="preserve"> </w:t>
      </w:r>
      <w:r w:rsidR="007C48D3" w:rsidRPr="007C48D3">
        <w:rPr>
          <w:rFonts w:ascii="Times New Roman" w:hAnsi="Times New Roman" w:cs="Times New Roman"/>
          <w:sz w:val="24"/>
          <w:szCs w:val="24"/>
        </w:rPr>
        <w:t>Generally – though not always – the rent payment, rent review and repairing obligations are more favorable in a tied lease than a non-tied lease (in part, to help make tied arrangements more enticing to a prospective publican).</w:t>
      </w:r>
      <w:r w:rsidR="00BB48ED">
        <w:rPr>
          <w:rFonts w:ascii="Times New Roman" w:hAnsi="Times New Roman" w:cs="Times New Roman"/>
          <w:sz w:val="24"/>
          <w:szCs w:val="24"/>
        </w:rPr>
        <w:t>Variations are shown in a side-by-side table in the sample lease, detailed in Figure F</w:t>
      </w:r>
      <w:r w:rsidR="007C48D3">
        <w:rPr>
          <w:rFonts w:ascii="Times New Roman" w:hAnsi="Times New Roman" w:cs="Times New Roman"/>
          <w:sz w:val="24"/>
          <w:szCs w:val="24"/>
        </w:rPr>
        <w:t>ive</w:t>
      </w:r>
      <w:r w:rsidR="00BB48ED">
        <w:rPr>
          <w:rFonts w:ascii="Times New Roman" w:hAnsi="Times New Roman" w:cs="Times New Roman"/>
          <w:sz w:val="24"/>
          <w:szCs w:val="24"/>
        </w:rPr>
        <w:t>. Here, the tied tenants get a more regular rent payment schedule, fewer repairing obligations, and avoid so-called “upward only” rent reviews</w:t>
      </w:r>
      <w:r w:rsidR="00F5330C">
        <w:rPr>
          <w:rFonts w:ascii="Times New Roman" w:hAnsi="Times New Roman" w:cs="Times New Roman"/>
          <w:sz w:val="24"/>
          <w:szCs w:val="24"/>
        </w:rPr>
        <w:t xml:space="preserve"> (which is rare in tied leases)</w:t>
      </w:r>
      <w:r w:rsidR="00BB48ED">
        <w:rPr>
          <w:rFonts w:ascii="Times New Roman" w:hAnsi="Times New Roman" w:cs="Times New Roman"/>
          <w:sz w:val="24"/>
          <w:szCs w:val="24"/>
        </w:rPr>
        <w:t xml:space="preserve">, with the ability to refer to a cost-capped </w:t>
      </w:r>
      <w:r w:rsidR="00DA2EED">
        <w:rPr>
          <w:rFonts w:ascii="Times New Roman" w:hAnsi="Times New Roman" w:cs="Times New Roman"/>
          <w:sz w:val="24"/>
          <w:szCs w:val="24"/>
        </w:rPr>
        <w:t>dispute resolution service.</w:t>
      </w:r>
      <w:r w:rsidR="00EA5AB3">
        <w:rPr>
          <w:rStyle w:val="FootnoteReference"/>
          <w:rFonts w:ascii="Times New Roman" w:hAnsi="Times New Roman" w:cs="Times New Roman"/>
          <w:sz w:val="24"/>
          <w:szCs w:val="24"/>
        </w:rPr>
        <w:footnoteReference w:id="117"/>
      </w:r>
      <w:r w:rsidR="00DA2EED">
        <w:rPr>
          <w:rFonts w:ascii="Times New Roman" w:hAnsi="Times New Roman" w:cs="Times New Roman"/>
          <w:sz w:val="24"/>
          <w:szCs w:val="24"/>
        </w:rPr>
        <w:t xml:space="preserve"> </w:t>
      </w:r>
    </w:p>
    <w:p w14:paraId="204E9E76" w14:textId="7B386860" w:rsidR="00565FE8" w:rsidRPr="0091073E" w:rsidRDefault="0091073E" w:rsidP="0091073E">
      <w:pPr>
        <w:spacing w:line="276" w:lineRule="auto"/>
        <w:jc w:val="center"/>
        <w:rPr>
          <w:rFonts w:ascii="Times New Roman" w:hAnsi="Times New Roman" w:cs="Times New Roman"/>
          <w:b/>
          <w:sz w:val="24"/>
          <w:szCs w:val="24"/>
        </w:rPr>
      </w:pPr>
      <w:r w:rsidRPr="0091073E">
        <w:rPr>
          <w:rFonts w:ascii="Times New Roman" w:hAnsi="Times New Roman" w:cs="Times New Roman"/>
          <w:b/>
          <w:sz w:val="24"/>
          <w:szCs w:val="24"/>
        </w:rPr>
        <w:t>[FIGURE FIVE]</w:t>
      </w:r>
    </w:p>
    <w:p w14:paraId="14A08222" w14:textId="203C197C" w:rsidR="00BA369D" w:rsidRPr="00AD73EF" w:rsidRDefault="00266E46" w:rsidP="000B430A">
      <w:pPr>
        <w:spacing w:line="276" w:lineRule="auto"/>
        <w:jc w:val="both"/>
        <w:rPr>
          <w:rFonts w:ascii="Times New Roman" w:hAnsi="Times New Roman" w:cs="Times New Roman"/>
          <w:sz w:val="24"/>
          <w:szCs w:val="24"/>
        </w:rPr>
      </w:pPr>
      <w:r>
        <w:rPr>
          <w:rFonts w:ascii="Times New Roman" w:hAnsi="Times New Roman" w:cs="Times New Roman"/>
          <w:sz w:val="24"/>
          <w:szCs w:val="24"/>
        </w:rPr>
        <w:t>Across the sample t</w:t>
      </w:r>
      <w:r w:rsidR="00C7599B">
        <w:rPr>
          <w:rFonts w:ascii="Times New Roman" w:hAnsi="Times New Roman" w:cs="Times New Roman"/>
          <w:sz w:val="24"/>
          <w:szCs w:val="24"/>
        </w:rPr>
        <w:t xml:space="preserve">ied tenants were critical of </w:t>
      </w:r>
      <w:r>
        <w:rPr>
          <w:rFonts w:ascii="Times New Roman" w:hAnsi="Times New Roman" w:cs="Times New Roman"/>
          <w:sz w:val="24"/>
          <w:szCs w:val="24"/>
        </w:rPr>
        <w:t>the way their rent was calculated</w:t>
      </w:r>
      <w:r w:rsidR="00C7599B">
        <w:rPr>
          <w:rFonts w:ascii="Times New Roman" w:hAnsi="Times New Roman" w:cs="Times New Roman"/>
          <w:sz w:val="24"/>
          <w:szCs w:val="24"/>
        </w:rPr>
        <w:t xml:space="preserve">. In particular, they argued that the hypothetical competent publican rarely reflected the reality of the pub’s operation – particularly given that estimated turnover in a tied lease is highly sensitive not just to the volume, but also the </w:t>
      </w:r>
      <w:r w:rsidR="00C7599B" w:rsidRPr="00FD0EFE">
        <w:rPr>
          <w:rFonts w:ascii="Times New Roman" w:hAnsi="Times New Roman" w:cs="Times New Roman"/>
          <w:i/>
          <w:iCs/>
          <w:sz w:val="24"/>
          <w:szCs w:val="24"/>
        </w:rPr>
        <w:t>type</w:t>
      </w:r>
      <w:r w:rsidR="00C7599B">
        <w:rPr>
          <w:rFonts w:ascii="Times New Roman" w:hAnsi="Times New Roman" w:cs="Times New Roman"/>
          <w:sz w:val="24"/>
          <w:szCs w:val="24"/>
        </w:rPr>
        <w:t xml:space="preserve"> of drinks being sold. As </w:t>
      </w:r>
      <w:r w:rsidR="00DF4FCE">
        <w:rPr>
          <w:rFonts w:ascii="Times New Roman" w:hAnsi="Times New Roman" w:cs="Times New Roman"/>
          <w:sz w:val="24"/>
          <w:szCs w:val="24"/>
        </w:rPr>
        <w:t>The Swan</w:t>
      </w:r>
      <w:r w:rsidR="00C7599B">
        <w:rPr>
          <w:rFonts w:ascii="Times New Roman" w:hAnsi="Times New Roman" w:cs="Times New Roman"/>
          <w:sz w:val="24"/>
          <w:szCs w:val="24"/>
        </w:rPr>
        <w:t xml:space="preserve"> put it:</w:t>
      </w:r>
    </w:p>
    <w:p w14:paraId="6CAD2166" w14:textId="3CAA7F51" w:rsidR="002339CF" w:rsidRPr="00C7599B" w:rsidRDefault="002339CF" w:rsidP="00D6329E">
      <w:pPr>
        <w:spacing w:line="276" w:lineRule="auto"/>
        <w:ind w:left="567" w:right="521"/>
        <w:jc w:val="both"/>
        <w:rPr>
          <w:rFonts w:ascii="Times New Roman" w:hAnsi="Times New Roman" w:cs="Times New Roman"/>
          <w:sz w:val="24"/>
          <w:szCs w:val="24"/>
        </w:rPr>
      </w:pPr>
      <w:r w:rsidRPr="00C7599B">
        <w:rPr>
          <w:rFonts w:ascii="Times New Roman" w:hAnsi="Times New Roman" w:cs="Times New Roman"/>
          <w:sz w:val="24"/>
          <w:szCs w:val="24"/>
        </w:rPr>
        <w:t xml:space="preserve">…for the purpose of a rent review, all these sort of estimates, etc, and you can argue whether that’s right or wrong, all the assessments are as per the lease terms of a willing tenant, a willing, prudent, knowledgable tenant, brand spanking new pub with no dilapidations, etc. So of course they were going to produce a </w:t>
      </w:r>
      <w:r w:rsidR="00C7599B" w:rsidRPr="00C7599B">
        <w:rPr>
          <w:rFonts w:ascii="Times New Roman" w:hAnsi="Times New Roman" w:cs="Times New Roman"/>
          <w:sz w:val="24"/>
          <w:szCs w:val="24"/>
        </w:rPr>
        <w:t>[rent proposal]</w:t>
      </w:r>
      <w:r w:rsidRPr="00C7599B">
        <w:rPr>
          <w:rFonts w:ascii="Times New Roman" w:hAnsi="Times New Roman" w:cs="Times New Roman"/>
          <w:sz w:val="24"/>
          <w:szCs w:val="24"/>
        </w:rPr>
        <w:t xml:space="preserve"> based on that rather than what we were actually doing... They’ve known that it’s always been a cask ale pub since I’ve run it, but of course want to use a </w:t>
      </w:r>
      <w:r w:rsidR="00FB052C">
        <w:rPr>
          <w:rFonts w:ascii="Times New Roman" w:hAnsi="Times New Roman" w:cs="Times New Roman"/>
          <w:sz w:val="24"/>
          <w:szCs w:val="24"/>
        </w:rPr>
        <w:t>[gross profit]</w:t>
      </w:r>
      <w:r w:rsidRPr="00C7599B">
        <w:rPr>
          <w:rFonts w:ascii="Times New Roman" w:hAnsi="Times New Roman" w:cs="Times New Roman"/>
          <w:sz w:val="24"/>
          <w:szCs w:val="24"/>
        </w:rPr>
        <w:t xml:space="preserve"> that reflects keg sales in a sports orientated boozer with a lot of England fans in it, that kind of thing (laughs)</w:t>
      </w:r>
      <w:r w:rsidR="000255BA">
        <w:rPr>
          <w:rFonts w:ascii="Times New Roman" w:hAnsi="Times New Roman" w:cs="Times New Roman"/>
          <w:sz w:val="24"/>
          <w:szCs w:val="24"/>
        </w:rPr>
        <w:t xml:space="preserve"> </w:t>
      </w:r>
      <w:r w:rsidR="000255BA">
        <w:rPr>
          <w:rFonts w:ascii="Times New Roman" w:hAnsi="Times New Roman" w:cs="Times New Roman"/>
          <w:i/>
          <w:sz w:val="24"/>
          <w:szCs w:val="24"/>
        </w:rPr>
        <w:t>(The Swan).</w:t>
      </w:r>
    </w:p>
    <w:p w14:paraId="48E73818" w14:textId="77E6F916" w:rsidR="002339CF" w:rsidRPr="00E465C8" w:rsidRDefault="00E465C8"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This approach also leads</w:t>
      </w:r>
      <w:r w:rsidR="00EF6FC1">
        <w:rPr>
          <w:rFonts w:ascii="Times New Roman" w:hAnsi="Times New Roman" w:cs="Times New Roman"/>
          <w:sz w:val="24"/>
          <w:szCs w:val="24"/>
        </w:rPr>
        <w:t xml:space="preserve"> to a problem </w:t>
      </w:r>
      <w:r w:rsidR="00C80943">
        <w:rPr>
          <w:rFonts w:ascii="Times New Roman" w:hAnsi="Times New Roman" w:cs="Times New Roman"/>
          <w:sz w:val="24"/>
          <w:szCs w:val="24"/>
        </w:rPr>
        <w:t xml:space="preserve">where a publican who generates higher than expected sales, in turn faces the prospect of their rent increasing </w:t>
      </w:r>
      <w:r w:rsidR="000F2BAC">
        <w:rPr>
          <w:rFonts w:ascii="Times New Roman" w:hAnsi="Times New Roman" w:cs="Times New Roman"/>
          <w:sz w:val="24"/>
          <w:szCs w:val="24"/>
        </w:rPr>
        <w:t xml:space="preserve">when </w:t>
      </w:r>
      <w:r w:rsidR="003942C0">
        <w:rPr>
          <w:rFonts w:ascii="Times New Roman" w:hAnsi="Times New Roman" w:cs="Times New Roman"/>
          <w:sz w:val="24"/>
          <w:szCs w:val="24"/>
        </w:rPr>
        <w:t>it is next subject to review</w:t>
      </w:r>
      <w:r w:rsidR="00C80943">
        <w:rPr>
          <w:rFonts w:ascii="Times New Roman" w:hAnsi="Times New Roman" w:cs="Times New Roman"/>
          <w:sz w:val="24"/>
          <w:szCs w:val="24"/>
        </w:rPr>
        <w:t xml:space="preserve">. </w:t>
      </w:r>
      <w:r w:rsidR="003942C0">
        <w:rPr>
          <w:rFonts w:ascii="Times New Roman" w:hAnsi="Times New Roman" w:cs="Times New Roman"/>
          <w:sz w:val="24"/>
          <w:szCs w:val="24"/>
        </w:rPr>
        <w:t xml:space="preserve">The PubCo benefits from </w:t>
      </w:r>
      <w:r w:rsidR="002747EE">
        <w:rPr>
          <w:rFonts w:ascii="Times New Roman" w:hAnsi="Times New Roman" w:cs="Times New Roman"/>
          <w:sz w:val="24"/>
          <w:szCs w:val="24"/>
        </w:rPr>
        <w:t xml:space="preserve">the premium on tied products </w:t>
      </w:r>
      <w:r w:rsidR="003942C0">
        <w:rPr>
          <w:rFonts w:ascii="Times New Roman" w:hAnsi="Times New Roman" w:cs="Times New Roman"/>
          <w:sz w:val="24"/>
          <w:szCs w:val="24"/>
        </w:rPr>
        <w:t xml:space="preserve">as the beer barrelage is higher and is paid </w:t>
      </w:r>
      <w:r w:rsidR="003942C0">
        <w:rPr>
          <w:rFonts w:ascii="Times New Roman" w:hAnsi="Times New Roman" w:cs="Times New Roman"/>
          <w:sz w:val="24"/>
          <w:szCs w:val="24"/>
        </w:rPr>
        <w:lastRenderedPageBreak/>
        <w:t>at tied prices</w:t>
      </w:r>
      <w:r w:rsidR="002747EE">
        <w:rPr>
          <w:rFonts w:ascii="Times New Roman" w:hAnsi="Times New Roman" w:cs="Times New Roman"/>
          <w:sz w:val="24"/>
          <w:szCs w:val="24"/>
        </w:rPr>
        <w:t xml:space="preserve">, </w:t>
      </w:r>
      <w:r w:rsidR="003942C0">
        <w:rPr>
          <w:rFonts w:ascii="Times New Roman" w:hAnsi="Times New Roman" w:cs="Times New Roman"/>
          <w:sz w:val="24"/>
          <w:szCs w:val="24"/>
        </w:rPr>
        <w:t>and, given the increase in turnover, can argue that the “dry rent” should be higher too.</w:t>
      </w:r>
      <w:r w:rsidR="00542E50">
        <w:rPr>
          <w:rFonts w:ascii="Times New Roman" w:hAnsi="Times New Roman" w:cs="Times New Roman"/>
          <w:sz w:val="24"/>
          <w:szCs w:val="24"/>
        </w:rPr>
        <w:t xml:space="preserve"> </w:t>
      </w:r>
      <w:r w:rsidR="00C80943">
        <w:rPr>
          <w:rFonts w:ascii="Times New Roman" w:hAnsi="Times New Roman" w:cs="Times New Roman"/>
          <w:sz w:val="24"/>
          <w:szCs w:val="24"/>
        </w:rPr>
        <w:t xml:space="preserve">As </w:t>
      </w:r>
      <w:r w:rsidR="00EB4F26">
        <w:rPr>
          <w:rFonts w:ascii="Times New Roman" w:hAnsi="Times New Roman" w:cs="Times New Roman"/>
          <w:sz w:val="24"/>
          <w:szCs w:val="24"/>
        </w:rPr>
        <w:t>The Railway Tavern</w:t>
      </w:r>
      <w:r w:rsidR="00C80943">
        <w:rPr>
          <w:rFonts w:ascii="Times New Roman" w:hAnsi="Times New Roman" w:cs="Times New Roman"/>
          <w:sz w:val="24"/>
          <w:szCs w:val="24"/>
        </w:rPr>
        <w:t xml:space="preserve"> puts it:</w:t>
      </w:r>
    </w:p>
    <w:p w14:paraId="695FDC3D" w14:textId="6825FB9B" w:rsidR="006B177E" w:rsidRPr="00C80943" w:rsidRDefault="006B177E" w:rsidP="00D6329E">
      <w:pPr>
        <w:spacing w:line="276" w:lineRule="auto"/>
        <w:ind w:left="567" w:right="521"/>
        <w:jc w:val="both"/>
        <w:rPr>
          <w:rFonts w:ascii="Times New Roman" w:hAnsi="Times New Roman" w:cs="Times New Roman"/>
          <w:sz w:val="24"/>
          <w:szCs w:val="24"/>
        </w:rPr>
      </w:pPr>
      <w:r w:rsidRPr="00C80943">
        <w:rPr>
          <w:rFonts w:ascii="Times New Roman" w:hAnsi="Times New Roman" w:cs="Times New Roman"/>
          <w:sz w:val="24"/>
          <w:szCs w:val="24"/>
        </w:rPr>
        <w:t xml:space="preserve">You’re saying I’m going to, </w:t>
      </w:r>
      <w:r w:rsidR="000A6B00">
        <w:rPr>
          <w:rFonts w:ascii="Times New Roman" w:hAnsi="Times New Roman" w:cs="Times New Roman"/>
          <w:sz w:val="24"/>
          <w:szCs w:val="24"/>
        </w:rPr>
        <w:t>‘</w:t>
      </w:r>
      <w:r w:rsidRPr="00C80943">
        <w:rPr>
          <w:rFonts w:ascii="Times New Roman" w:hAnsi="Times New Roman" w:cs="Times New Roman"/>
          <w:sz w:val="24"/>
          <w:szCs w:val="24"/>
        </w:rPr>
        <w:t>well done, you. I’m getting extra</w:t>
      </w:r>
      <w:r w:rsidR="007033E6">
        <w:rPr>
          <w:rFonts w:ascii="Times New Roman" w:hAnsi="Times New Roman" w:cs="Times New Roman"/>
          <w:sz w:val="24"/>
          <w:szCs w:val="24"/>
        </w:rPr>
        <w:t xml:space="preserve"> [wet]</w:t>
      </w:r>
      <w:r w:rsidRPr="00C80943">
        <w:rPr>
          <w:rFonts w:ascii="Times New Roman" w:hAnsi="Times New Roman" w:cs="Times New Roman"/>
          <w:sz w:val="24"/>
          <w:szCs w:val="24"/>
        </w:rPr>
        <w:t xml:space="preserve"> rent for you selling more barrels, and because you’re giving me that extra </w:t>
      </w:r>
      <w:r w:rsidR="007033E6">
        <w:rPr>
          <w:rFonts w:ascii="Times New Roman" w:hAnsi="Times New Roman" w:cs="Times New Roman"/>
          <w:sz w:val="24"/>
          <w:szCs w:val="24"/>
        </w:rPr>
        <w:t xml:space="preserve">[wet] </w:t>
      </w:r>
      <w:r w:rsidRPr="00C80943">
        <w:rPr>
          <w:rFonts w:ascii="Times New Roman" w:hAnsi="Times New Roman" w:cs="Times New Roman"/>
          <w:sz w:val="24"/>
          <w:szCs w:val="24"/>
        </w:rPr>
        <w:t>rent, I’m going to penalise you as well</w:t>
      </w:r>
      <w:r w:rsidR="000A6B00">
        <w:rPr>
          <w:rFonts w:ascii="Times New Roman" w:hAnsi="Times New Roman" w:cs="Times New Roman"/>
          <w:sz w:val="24"/>
          <w:szCs w:val="24"/>
        </w:rPr>
        <w:t>’</w:t>
      </w:r>
      <w:r w:rsidRPr="00C80943">
        <w:rPr>
          <w:rFonts w:ascii="Times New Roman" w:hAnsi="Times New Roman" w:cs="Times New Roman"/>
          <w:sz w:val="24"/>
          <w:szCs w:val="24"/>
        </w:rPr>
        <w:t xml:space="preserve">…Now, that’s a classic having your cake and eating it argument and you shouldn’t be allowed to do it, but they do. They go, </w:t>
      </w:r>
      <w:r w:rsidR="000A6B00">
        <w:rPr>
          <w:rFonts w:ascii="Times New Roman" w:hAnsi="Times New Roman" w:cs="Times New Roman"/>
          <w:sz w:val="24"/>
          <w:szCs w:val="24"/>
        </w:rPr>
        <w:t>‘</w:t>
      </w:r>
      <w:r w:rsidRPr="00C80943">
        <w:rPr>
          <w:rFonts w:ascii="Times New Roman" w:hAnsi="Times New Roman" w:cs="Times New Roman"/>
          <w:sz w:val="24"/>
          <w:szCs w:val="24"/>
        </w:rPr>
        <w:t>barrelage is up here. Must have got the rent wrong.</w:t>
      </w:r>
      <w:r w:rsidR="000A6B00">
        <w:rPr>
          <w:rFonts w:ascii="Times New Roman" w:hAnsi="Times New Roman" w:cs="Times New Roman"/>
          <w:sz w:val="24"/>
          <w:szCs w:val="24"/>
        </w:rPr>
        <w:t>’</w:t>
      </w:r>
      <w:r w:rsidRPr="00C80943">
        <w:rPr>
          <w:rFonts w:ascii="Times New Roman" w:hAnsi="Times New Roman" w:cs="Times New Roman"/>
          <w:sz w:val="24"/>
          <w:szCs w:val="24"/>
        </w:rPr>
        <w:t xml:space="preserve"> No, it’s a bloody good operator and you’re getting more </w:t>
      </w:r>
      <w:r w:rsidR="007033E6">
        <w:rPr>
          <w:rFonts w:ascii="Times New Roman" w:hAnsi="Times New Roman" w:cs="Times New Roman"/>
          <w:sz w:val="24"/>
          <w:szCs w:val="24"/>
        </w:rPr>
        <w:t xml:space="preserve">[wet] </w:t>
      </w:r>
      <w:r w:rsidRPr="00C80943">
        <w:rPr>
          <w:rFonts w:ascii="Times New Roman" w:hAnsi="Times New Roman" w:cs="Times New Roman"/>
          <w:sz w:val="24"/>
          <w:szCs w:val="24"/>
        </w:rPr>
        <w:t>rent already. So, you know, I get really angry about that one, as you can probably tell. Drives me mad</w:t>
      </w:r>
      <w:r w:rsidR="00EB4F26">
        <w:rPr>
          <w:rFonts w:ascii="Times New Roman" w:hAnsi="Times New Roman" w:cs="Times New Roman"/>
          <w:sz w:val="24"/>
          <w:szCs w:val="24"/>
        </w:rPr>
        <w:t xml:space="preserve"> </w:t>
      </w:r>
      <w:r w:rsidR="00EB4F26">
        <w:rPr>
          <w:rFonts w:ascii="Times New Roman" w:hAnsi="Times New Roman" w:cs="Times New Roman"/>
          <w:i/>
          <w:iCs/>
          <w:sz w:val="24"/>
          <w:szCs w:val="24"/>
        </w:rPr>
        <w:t>(The Railway Tavern)</w:t>
      </w:r>
      <w:r w:rsidRPr="00C80943">
        <w:rPr>
          <w:rFonts w:ascii="Times New Roman" w:hAnsi="Times New Roman" w:cs="Times New Roman"/>
          <w:sz w:val="24"/>
          <w:szCs w:val="24"/>
        </w:rPr>
        <w:t>.</w:t>
      </w:r>
    </w:p>
    <w:p w14:paraId="1D91031A" w14:textId="4C44DF25" w:rsidR="006B177E" w:rsidRPr="00B91B2A" w:rsidRDefault="00542E50" w:rsidP="00D632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Put another way, the landlord gets a double-benefit from increased sales: a return on the “dry rent” and increased sales via the “wet rent”. This is significantly different from other retail contexts, such as turnover rents in shopping centres, as the landlord rarely also supplies stock to the tenant. </w:t>
      </w:r>
      <w:r w:rsidR="00110710" w:rsidRPr="00B91B2A">
        <w:rPr>
          <w:rFonts w:ascii="Times New Roman" w:hAnsi="Times New Roman" w:cs="Times New Roman"/>
          <w:sz w:val="24"/>
          <w:szCs w:val="24"/>
        </w:rPr>
        <w:t xml:space="preserve">The same issue was highlighted by </w:t>
      </w:r>
      <w:r w:rsidR="000255BA">
        <w:rPr>
          <w:rFonts w:ascii="Times New Roman" w:hAnsi="Times New Roman" w:cs="Times New Roman"/>
          <w:sz w:val="24"/>
          <w:szCs w:val="24"/>
        </w:rPr>
        <w:t>The Plough</w:t>
      </w:r>
      <w:r w:rsidR="00110710" w:rsidRPr="00B91B2A">
        <w:rPr>
          <w:rFonts w:ascii="Times New Roman" w:hAnsi="Times New Roman" w:cs="Times New Roman"/>
          <w:sz w:val="24"/>
          <w:szCs w:val="24"/>
        </w:rPr>
        <w:t xml:space="preserve">, who </w:t>
      </w:r>
      <w:r w:rsidR="008D24E5" w:rsidRPr="00B91B2A">
        <w:rPr>
          <w:rFonts w:ascii="Times New Roman" w:hAnsi="Times New Roman" w:cs="Times New Roman"/>
          <w:sz w:val="24"/>
          <w:szCs w:val="24"/>
        </w:rPr>
        <w:t xml:space="preserve">underscored that </w:t>
      </w:r>
      <w:r w:rsidR="00B91B2A">
        <w:rPr>
          <w:rFonts w:ascii="Times New Roman" w:hAnsi="Times New Roman" w:cs="Times New Roman"/>
          <w:sz w:val="24"/>
          <w:szCs w:val="24"/>
        </w:rPr>
        <w:t xml:space="preserve">this </w:t>
      </w:r>
      <w:r w:rsidR="009E05F8">
        <w:rPr>
          <w:rFonts w:ascii="Times New Roman" w:hAnsi="Times New Roman" w:cs="Times New Roman"/>
          <w:sz w:val="24"/>
          <w:szCs w:val="24"/>
        </w:rPr>
        <w:t>perceived “penalty for success”</w:t>
      </w:r>
      <w:r w:rsidR="009E05F8">
        <w:rPr>
          <w:rStyle w:val="FootnoteReference"/>
          <w:rFonts w:ascii="Times New Roman" w:hAnsi="Times New Roman" w:cs="Times New Roman"/>
          <w:sz w:val="24"/>
          <w:szCs w:val="24"/>
        </w:rPr>
        <w:footnoteReference w:id="118"/>
      </w:r>
      <w:r w:rsidR="009E05F8">
        <w:rPr>
          <w:rFonts w:ascii="Times New Roman" w:hAnsi="Times New Roman" w:cs="Times New Roman"/>
          <w:sz w:val="24"/>
          <w:szCs w:val="24"/>
        </w:rPr>
        <w:t xml:space="preserve"> </w:t>
      </w:r>
      <w:r w:rsidR="00B91B2A">
        <w:rPr>
          <w:rFonts w:ascii="Times New Roman" w:hAnsi="Times New Roman" w:cs="Times New Roman"/>
          <w:sz w:val="24"/>
          <w:szCs w:val="24"/>
        </w:rPr>
        <w:t>was a “systematic” problem in tied leases</w:t>
      </w:r>
      <w:r w:rsidR="008D24E5" w:rsidRPr="00B91B2A">
        <w:rPr>
          <w:rFonts w:ascii="Times New Roman" w:hAnsi="Times New Roman" w:cs="Times New Roman"/>
          <w:sz w:val="24"/>
          <w:szCs w:val="24"/>
        </w:rPr>
        <w:t>:</w:t>
      </w:r>
    </w:p>
    <w:p w14:paraId="5F30C859" w14:textId="7F76A3E5" w:rsidR="00110710" w:rsidRPr="000255BA" w:rsidRDefault="00110710" w:rsidP="00D6329E">
      <w:pPr>
        <w:spacing w:line="276" w:lineRule="auto"/>
        <w:ind w:left="567" w:right="521"/>
        <w:jc w:val="both"/>
        <w:rPr>
          <w:rFonts w:ascii="Times New Roman" w:hAnsi="Times New Roman" w:cs="Times New Roman"/>
          <w:sz w:val="24"/>
          <w:szCs w:val="24"/>
        </w:rPr>
      </w:pPr>
      <w:r w:rsidRPr="00B91B2A">
        <w:rPr>
          <w:rFonts w:ascii="Times New Roman" w:hAnsi="Times New Roman" w:cs="Times New Roman"/>
          <w:sz w:val="24"/>
          <w:szCs w:val="24"/>
        </w:rPr>
        <w:t>I think that increasing trade that a really, really good tenant does is all passed on in rent and it’s never left with the tenant, and that’s systematically a problem</w:t>
      </w:r>
      <w:r w:rsidR="000255BA">
        <w:rPr>
          <w:rFonts w:ascii="Times New Roman" w:hAnsi="Times New Roman" w:cs="Times New Roman"/>
          <w:sz w:val="24"/>
          <w:szCs w:val="24"/>
        </w:rPr>
        <w:t xml:space="preserve"> </w:t>
      </w:r>
      <w:r w:rsidR="000255BA">
        <w:rPr>
          <w:rFonts w:ascii="Times New Roman" w:hAnsi="Times New Roman" w:cs="Times New Roman"/>
          <w:i/>
          <w:sz w:val="24"/>
          <w:szCs w:val="24"/>
        </w:rPr>
        <w:t>(The Plough).</w:t>
      </w:r>
    </w:p>
    <w:p w14:paraId="6D82D83E" w14:textId="5C63D7B7" w:rsidR="00110710" w:rsidRPr="00110710" w:rsidRDefault="00C521E2" w:rsidP="0009618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These problems with the calculation of rent are </w:t>
      </w:r>
      <w:r w:rsidR="00CD3B21" w:rsidRPr="00CD3B21">
        <w:rPr>
          <w:rFonts w:ascii="Times New Roman" w:hAnsi="Times New Roman" w:cs="Times New Roman"/>
          <w:sz w:val="24"/>
          <w:szCs w:val="24"/>
        </w:rPr>
        <w:t>exasperat</w:t>
      </w:r>
      <w:r w:rsidR="00CD3B21">
        <w:rPr>
          <w:rFonts w:ascii="Times New Roman" w:hAnsi="Times New Roman" w:cs="Times New Roman"/>
          <w:sz w:val="24"/>
          <w:szCs w:val="24"/>
        </w:rPr>
        <w:t>ed by the widespread presence of so-called “upward only rent reviews”.</w:t>
      </w:r>
      <w:r w:rsidR="00527752">
        <w:rPr>
          <w:rStyle w:val="FootnoteAnchor"/>
          <w:rFonts w:ascii="Times New Roman" w:hAnsi="Times New Roman" w:cs="Times New Roman"/>
          <w:sz w:val="24"/>
          <w:szCs w:val="24"/>
        </w:rPr>
        <w:footnoteReference w:id="119"/>
      </w:r>
      <w:r w:rsidR="0053756B">
        <w:rPr>
          <w:rFonts w:ascii="Times New Roman" w:hAnsi="Times New Roman" w:cs="Times New Roman"/>
          <w:sz w:val="24"/>
          <w:szCs w:val="24"/>
        </w:rPr>
        <w:t xml:space="preserve"> Lease clauses which mandate that rents can only increase across the lease term are widespread in commercial leases</w:t>
      </w:r>
      <w:r w:rsidR="003627F3">
        <w:rPr>
          <w:rFonts w:ascii="Times New Roman" w:hAnsi="Times New Roman" w:cs="Times New Roman"/>
          <w:sz w:val="24"/>
          <w:szCs w:val="24"/>
        </w:rPr>
        <w:t xml:space="preserve"> and </w:t>
      </w:r>
      <w:r w:rsidR="001620EC">
        <w:rPr>
          <w:rFonts w:ascii="Times New Roman" w:hAnsi="Times New Roman" w:cs="Times New Roman"/>
          <w:sz w:val="24"/>
          <w:szCs w:val="24"/>
        </w:rPr>
        <w:t>this is also the case for the pub sector</w:t>
      </w:r>
      <w:r w:rsidR="0053756B">
        <w:rPr>
          <w:rFonts w:ascii="Times New Roman" w:hAnsi="Times New Roman" w:cs="Times New Roman"/>
          <w:sz w:val="24"/>
          <w:szCs w:val="24"/>
        </w:rPr>
        <w:t xml:space="preserve"> (so much so, there is sustained </w:t>
      </w:r>
      <w:r w:rsidR="00EE2485">
        <w:rPr>
          <w:rFonts w:ascii="Times New Roman" w:hAnsi="Times New Roman" w:cs="Times New Roman"/>
          <w:sz w:val="24"/>
          <w:szCs w:val="24"/>
        </w:rPr>
        <w:t>campaigning for a legislative ban</w:t>
      </w:r>
      <w:r w:rsidR="00096186">
        <w:rPr>
          <w:rFonts w:ascii="Times New Roman" w:hAnsi="Times New Roman" w:cs="Times New Roman"/>
          <w:sz w:val="24"/>
          <w:szCs w:val="24"/>
        </w:rPr>
        <w:t>)</w:t>
      </w:r>
      <w:r w:rsidR="00EE2485">
        <w:rPr>
          <w:rFonts w:ascii="Times New Roman" w:hAnsi="Times New Roman" w:cs="Times New Roman"/>
          <w:sz w:val="24"/>
          <w:szCs w:val="24"/>
        </w:rPr>
        <w:t>.</w:t>
      </w:r>
      <w:r w:rsidR="00EE2485">
        <w:rPr>
          <w:rStyle w:val="FootnoteReference"/>
          <w:rFonts w:ascii="Times New Roman" w:hAnsi="Times New Roman" w:cs="Times New Roman"/>
          <w:sz w:val="24"/>
          <w:szCs w:val="24"/>
        </w:rPr>
        <w:footnoteReference w:id="120"/>
      </w:r>
      <w:r w:rsidR="00214DDB">
        <w:rPr>
          <w:rFonts w:ascii="Times New Roman" w:hAnsi="Times New Roman" w:cs="Times New Roman"/>
          <w:sz w:val="24"/>
          <w:szCs w:val="24"/>
        </w:rPr>
        <w:t xml:space="preserve"> For the tied publicans in the sample, these clauses did not reflect the reality of their trading conditions. As </w:t>
      </w:r>
      <w:r w:rsidR="009505DD">
        <w:rPr>
          <w:rFonts w:ascii="Times New Roman" w:hAnsi="Times New Roman" w:cs="Times New Roman"/>
          <w:sz w:val="24"/>
          <w:szCs w:val="24"/>
        </w:rPr>
        <w:t>The Railway Tavern</w:t>
      </w:r>
      <w:r w:rsidR="00214DDB">
        <w:rPr>
          <w:rFonts w:ascii="Times New Roman" w:hAnsi="Times New Roman" w:cs="Times New Roman"/>
          <w:sz w:val="24"/>
          <w:szCs w:val="24"/>
        </w:rPr>
        <w:t xml:space="preserve"> underscored, upward only rent clauses contrast with the </w:t>
      </w:r>
      <w:r w:rsidR="00EC4CF5">
        <w:rPr>
          <w:rFonts w:ascii="Times New Roman" w:hAnsi="Times New Roman" w:cs="Times New Roman"/>
          <w:sz w:val="24"/>
          <w:szCs w:val="24"/>
        </w:rPr>
        <w:t>declining levels of beer consumption in the UK detailed in British Beer and Pub Association (BBPA) figures:</w:t>
      </w:r>
    </w:p>
    <w:p w14:paraId="4FAEC187" w14:textId="75E2BA00" w:rsidR="00BB6E58" w:rsidRPr="00EC4CF5" w:rsidRDefault="00BB6E58" w:rsidP="00D6329E">
      <w:pPr>
        <w:spacing w:line="276" w:lineRule="auto"/>
        <w:ind w:left="567" w:right="521"/>
        <w:jc w:val="both"/>
        <w:rPr>
          <w:rFonts w:ascii="Times New Roman" w:hAnsi="Times New Roman" w:cs="Times New Roman"/>
          <w:sz w:val="24"/>
          <w:szCs w:val="24"/>
        </w:rPr>
      </w:pPr>
      <w:r w:rsidRPr="00EC4CF5">
        <w:rPr>
          <w:rFonts w:ascii="Times New Roman" w:hAnsi="Times New Roman" w:cs="Times New Roman"/>
          <w:sz w:val="24"/>
          <w:szCs w:val="24"/>
        </w:rPr>
        <w:t>…Because you know, you only have to go to the BBPA’s stats and see what’s happened to beer sales to know that your barrelage, if you’re a reasonably efficient operator, would go down because a reasonably efficient operator would be the kind of average pub operator  – so if national beer sales are falling, the reasonably efficient – it would be a sensible, fair argument to say that the reasonably efficient operators’ beer sales would also be falling</w:t>
      </w:r>
      <w:r w:rsidR="009505DD">
        <w:rPr>
          <w:rFonts w:ascii="Times New Roman" w:hAnsi="Times New Roman" w:cs="Times New Roman"/>
          <w:sz w:val="24"/>
          <w:szCs w:val="24"/>
        </w:rPr>
        <w:t xml:space="preserve"> </w:t>
      </w:r>
      <w:r w:rsidR="009505DD">
        <w:rPr>
          <w:rFonts w:ascii="Times New Roman" w:hAnsi="Times New Roman" w:cs="Times New Roman"/>
          <w:i/>
          <w:sz w:val="24"/>
          <w:szCs w:val="24"/>
        </w:rPr>
        <w:t>(The Railway Tavern)</w:t>
      </w:r>
      <w:r w:rsidRPr="00EC4CF5">
        <w:rPr>
          <w:rFonts w:ascii="Times New Roman" w:hAnsi="Times New Roman" w:cs="Times New Roman"/>
          <w:sz w:val="24"/>
          <w:szCs w:val="24"/>
        </w:rPr>
        <w:t>.</w:t>
      </w:r>
    </w:p>
    <w:p w14:paraId="7E432D62" w14:textId="5A7FF426" w:rsidR="00EC4CF5" w:rsidRPr="00EC4CF5" w:rsidRDefault="00EC4CF5" w:rsidP="00310B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Shouldering the risk for changes in market conditions is particularly acute for publicans, as fluctuations in business conditions are baked into their rent calculation. </w:t>
      </w:r>
      <w:r w:rsidR="009505DD">
        <w:rPr>
          <w:rFonts w:ascii="Times New Roman" w:hAnsi="Times New Roman" w:cs="Times New Roman"/>
          <w:sz w:val="24"/>
          <w:szCs w:val="24"/>
        </w:rPr>
        <w:t>The White Horse</w:t>
      </w:r>
      <w:r>
        <w:rPr>
          <w:rFonts w:ascii="Times New Roman" w:hAnsi="Times New Roman" w:cs="Times New Roman"/>
          <w:sz w:val="24"/>
          <w:szCs w:val="24"/>
        </w:rPr>
        <w:t xml:space="preserve"> draws a contrast between shops and pubs in this regard:</w:t>
      </w:r>
    </w:p>
    <w:p w14:paraId="72310488" w14:textId="2DF7405C" w:rsidR="004A2E87" w:rsidRPr="00EC4CF5" w:rsidRDefault="00FB3477" w:rsidP="00D6329E">
      <w:pPr>
        <w:spacing w:line="276" w:lineRule="auto"/>
        <w:ind w:left="567" w:right="521"/>
        <w:jc w:val="both"/>
        <w:rPr>
          <w:rFonts w:ascii="Times New Roman" w:hAnsi="Times New Roman" w:cs="Times New Roman"/>
          <w:sz w:val="24"/>
          <w:szCs w:val="24"/>
        </w:rPr>
      </w:pPr>
      <w:r w:rsidRPr="00EC4CF5">
        <w:rPr>
          <w:rFonts w:ascii="Times New Roman" w:hAnsi="Times New Roman" w:cs="Times New Roman"/>
          <w:sz w:val="24"/>
          <w:szCs w:val="24"/>
        </w:rPr>
        <w:lastRenderedPageBreak/>
        <w:t xml:space="preserve">The idea of upward only rent reviews </w:t>
      </w:r>
      <w:r w:rsidR="00235273" w:rsidRPr="00EC4CF5">
        <w:rPr>
          <w:rFonts w:ascii="Times New Roman" w:hAnsi="Times New Roman" w:cs="Times New Roman"/>
          <w:sz w:val="24"/>
          <w:szCs w:val="24"/>
        </w:rPr>
        <w:t>initially was because they just assumed rents would always go up and therefore by doing it in annual stages it was better than giving the tenant a shock in the fifth year of some massive increase. But of course times change and especially with pubs where they’re valued on profitability not on public demand, it’s not quite the same, it’s not like shops that are valued on square foot or zoned or whatever it is</w:t>
      </w:r>
      <w:r w:rsidR="009505DD">
        <w:rPr>
          <w:rFonts w:ascii="Times New Roman" w:hAnsi="Times New Roman" w:cs="Times New Roman"/>
          <w:sz w:val="24"/>
          <w:szCs w:val="24"/>
        </w:rPr>
        <w:t xml:space="preserve"> </w:t>
      </w:r>
      <w:r w:rsidR="009505DD" w:rsidRPr="009505DD">
        <w:rPr>
          <w:rFonts w:ascii="Times New Roman" w:hAnsi="Times New Roman" w:cs="Times New Roman"/>
          <w:i/>
          <w:sz w:val="24"/>
          <w:szCs w:val="24"/>
        </w:rPr>
        <w:t>(</w:t>
      </w:r>
      <w:r w:rsidR="009505DD">
        <w:rPr>
          <w:rFonts w:ascii="Times New Roman" w:hAnsi="Times New Roman" w:cs="Times New Roman"/>
          <w:i/>
          <w:sz w:val="24"/>
          <w:szCs w:val="24"/>
        </w:rPr>
        <w:t>The White Horse)</w:t>
      </w:r>
      <w:r w:rsidR="00235273" w:rsidRPr="00EC4CF5">
        <w:rPr>
          <w:rFonts w:ascii="Times New Roman" w:hAnsi="Times New Roman" w:cs="Times New Roman"/>
          <w:sz w:val="24"/>
          <w:szCs w:val="24"/>
        </w:rPr>
        <w:t>.</w:t>
      </w:r>
    </w:p>
    <w:p w14:paraId="3BDEB8AA" w14:textId="0D300CED" w:rsidR="00EC4CF5" w:rsidRPr="00C70C27" w:rsidRDefault="004E7920" w:rsidP="00310B2A">
      <w:pPr>
        <w:spacing w:line="276" w:lineRule="auto"/>
        <w:jc w:val="both"/>
        <w:rPr>
          <w:rFonts w:ascii="Times New Roman" w:hAnsi="Times New Roman" w:cs="Times New Roman"/>
          <w:sz w:val="24"/>
          <w:szCs w:val="24"/>
        </w:rPr>
      </w:pPr>
      <w:r>
        <w:rPr>
          <w:rFonts w:ascii="Times New Roman" w:hAnsi="Times New Roman" w:cs="Times New Roman"/>
          <w:sz w:val="24"/>
          <w:szCs w:val="24"/>
        </w:rPr>
        <w:t>The Red Lion’s</w:t>
      </w:r>
      <w:r w:rsidR="00C70C27">
        <w:rPr>
          <w:rFonts w:ascii="Times New Roman" w:hAnsi="Times New Roman" w:cs="Times New Roman"/>
          <w:sz w:val="24"/>
          <w:szCs w:val="24"/>
        </w:rPr>
        <w:t xml:space="preserve"> story of how their pub came to be completely unprofitable underscores that the “upward only rent” clause did not marry with the worsening market conditions they were facing – in this instance, a declining high street and increases to their running costs:</w:t>
      </w:r>
    </w:p>
    <w:p w14:paraId="6A5F2FB7" w14:textId="4AA45A32" w:rsidR="00BB6E58" w:rsidRPr="00C70C27" w:rsidRDefault="0099570C" w:rsidP="001E5643">
      <w:pPr>
        <w:spacing w:line="276" w:lineRule="auto"/>
        <w:ind w:left="567" w:right="521"/>
        <w:jc w:val="both"/>
        <w:rPr>
          <w:rFonts w:ascii="Times New Roman" w:hAnsi="Times New Roman" w:cs="Times New Roman"/>
          <w:sz w:val="24"/>
          <w:szCs w:val="24"/>
        </w:rPr>
      </w:pPr>
      <w:r w:rsidRPr="00C70C27">
        <w:rPr>
          <w:rFonts w:ascii="Times New Roman" w:hAnsi="Times New Roman" w:cs="Times New Roman"/>
          <w:sz w:val="24"/>
          <w:szCs w:val="24"/>
        </w:rPr>
        <w:t>So that business did well, and just through a combination of upward only rent reviews and obviously increase in cost base, and its location was in a town that was in fairly big decline because it was a high street, commercially, something had to change on that lease in order for it to be sustainable going forward</w:t>
      </w:r>
      <w:r w:rsidR="001E5643">
        <w:rPr>
          <w:rFonts w:ascii="Times New Roman" w:hAnsi="Times New Roman" w:cs="Times New Roman"/>
          <w:sz w:val="24"/>
          <w:szCs w:val="24"/>
        </w:rPr>
        <w:t xml:space="preserve"> (</w:t>
      </w:r>
      <w:r w:rsidR="001E5643" w:rsidRPr="001E5643">
        <w:rPr>
          <w:rFonts w:ascii="Times New Roman" w:hAnsi="Times New Roman" w:cs="Times New Roman"/>
          <w:i/>
          <w:sz w:val="24"/>
          <w:szCs w:val="24"/>
        </w:rPr>
        <w:t>The Red Lion</w:t>
      </w:r>
      <w:r w:rsidR="001E5643">
        <w:rPr>
          <w:rFonts w:ascii="Times New Roman" w:hAnsi="Times New Roman" w:cs="Times New Roman"/>
          <w:sz w:val="24"/>
          <w:szCs w:val="24"/>
        </w:rPr>
        <w:t>).</w:t>
      </w:r>
    </w:p>
    <w:p w14:paraId="60B67724" w14:textId="3A027981" w:rsidR="00A03711" w:rsidRPr="00D62B88" w:rsidRDefault="00D62B88" w:rsidP="00394F91">
      <w:pPr>
        <w:spacing w:line="276" w:lineRule="auto"/>
        <w:jc w:val="both"/>
        <w:rPr>
          <w:rFonts w:ascii="Times New Roman" w:hAnsi="Times New Roman" w:cs="Times New Roman"/>
          <w:sz w:val="24"/>
          <w:szCs w:val="24"/>
        </w:rPr>
      </w:pPr>
      <w:r w:rsidRPr="00D62B88">
        <w:rPr>
          <w:rFonts w:ascii="Times New Roman" w:hAnsi="Times New Roman" w:cs="Times New Roman"/>
          <w:sz w:val="24"/>
          <w:szCs w:val="24"/>
        </w:rPr>
        <w:t xml:space="preserve">Rent, therefore, </w:t>
      </w:r>
      <w:r>
        <w:rPr>
          <w:rFonts w:ascii="Times New Roman" w:hAnsi="Times New Roman" w:cs="Times New Roman"/>
          <w:sz w:val="24"/>
          <w:szCs w:val="24"/>
        </w:rPr>
        <w:t xml:space="preserve">is more than just a headline figure. It is in many respects a proxy for the power-imbalances between tenants and landlords (which can, in areas with low demand for commercial property, cut the other way). </w:t>
      </w:r>
      <w:r w:rsidR="00335FD0">
        <w:rPr>
          <w:rFonts w:ascii="Times New Roman" w:hAnsi="Times New Roman" w:cs="Times New Roman"/>
          <w:sz w:val="24"/>
          <w:szCs w:val="24"/>
        </w:rPr>
        <w:t>The broader “rent processes”, covering both the determination of the initial rent, rent reviews, and so-called “upward only” clauses, in part dictate the viability of the lessee’s business.</w:t>
      </w:r>
    </w:p>
    <w:p w14:paraId="53057CFD" w14:textId="7FDCE097" w:rsidR="009212D0" w:rsidRDefault="009212D0" w:rsidP="007A68DF">
      <w:pPr>
        <w:pStyle w:val="Heading1"/>
        <w:numPr>
          <w:ilvl w:val="0"/>
          <w:numId w:val="17"/>
        </w:numPr>
      </w:pPr>
      <w:r>
        <w:t>Conclusion</w:t>
      </w:r>
    </w:p>
    <w:p w14:paraId="57A0EFC0" w14:textId="77777777" w:rsidR="007A68DF" w:rsidRPr="007A68DF" w:rsidRDefault="007A68DF" w:rsidP="007A68DF"/>
    <w:p w14:paraId="44720D81" w14:textId="0E6AC557" w:rsidR="009212D0" w:rsidRDefault="009212D0" w:rsidP="005222D7">
      <w:pPr>
        <w:spacing w:line="276" w:lineRule="auto"/>
        <w:jc w:val="both"/>
        <w:rPr>
          <w:rFonts w:ascii="Times New Roman" w:hAnsi="Times New Roman" w:cs="Times New Roman"/>
          <w:sz w:val="24"/>
          <w:szCs w:val="24"/>
        </w:rPr>
      </w:pPr>
    </w:p>
    <w:p w14:paraId="40C2338A" w14:textId="77777777" w:rsidR="00AC5C89" w:rsidRPr="00AC5C89" w:rsidRDefault="00AC5C89" w:rsidP="00AC5C89">
      <w:pPr>
        <w:spacing w:line="276" w:lineRule="auto"/>
        <w:jc w:val="both"/>
        <w:rPr>
          <w:rFonts w:ascii="Times New Roman" w:hAnsi="Times New Roman" w:cs="Times New Roman"/>
          <w:sz w:val="24"/>
          <w:szCs w:val="24"/>
        </w:rPr>
      </w:pPr>
      <w:r w:rsidRPr="00AC5C89">
        <w:rPr>
          <w:rFonts w:ascii="Times New Roman" w:hAnsi="Times New Roman" w:cs="Times New Roman"/>
          <w:sz w:val="24"/>
          <w:szCs w:val="24"/>
        </w:rPr>
        <w:t>This paper has been a detailed exploration of the much maligned “tied lease” in the UK pub sector. It was by no means inevitable that the lease would be the vehicle brewers chose for vertically integrating their businesses, but – much like Cowan, Carr and Wallace’s work on shared ownership – the lease can be a flexible tool. For the largest pub owning companies, the lease allows the operation of the business (including the beer offered on the taps) to be tied closely to the occupation of the property, all while offering controls over long-term rent, time of occupancy and providing an asset class to be leveraged via securitisation in its own right.</w:t>
      </w:r>
    </w:p>
    <w:p w14:paraId="753FFD10" w14:textId="22B3A5C3" w:rsidR="00AC5C89" w:rsidRPr="00AC5C89" w:rsidRDefault="00AC5C89" w:rsidP="00AC5C89">
      <w:pPr>
        <w:spacing w:line="276" w:lineRule="auto"/>
        <w:jc w:val="both"/>
        <w:rPr>
          <w:rFonts w:ascii="Times New Roman" w:hAnsi="Times New Roman" w:cs="Times New Roman"/>
          <w:sz w:val="24"/>
          <w:szCs w:val="24"/>
        </w:rPr>
      </w:pPr>
      <w:r w:rsidRPr="00AC5C89">
        <w:rPr>
          <w:rFonts w:ascii="Times New Roman" w:hAnsi="Times New Roman" w:cs="Times New Roman"/>
          <w:sz w:val="24"/>
          <w:szCs w:val="24"/>
        </w:rPr>
        <w:t>More fundamentally, the data illustrates that the lease is central to the day-to-day operation of tied pubs in the UK. In contrast to Hunter’s work on residential leases – where the lease was invoked rarely, only at points of conflict – in the pub sector, navigating tied clauses, constraints over lease time periods, and lease terms managing the rent (and in turn the viability of the business) where central to the operation of the pubs themselves.</w:t>
      </w:r>
      <w:r w:rsidR="001776CE">
        <w:rPr>
          <w:rFonts w:ascii="Times New Roman" w:hAnsi="Times New Roman" w:cs="Times New Roman"/>
          <w:sz w:val="24"/>
          <w:szCs w:val="24"/>
        </w:rPr>
        <w:t xml:space="preserve"> In the pub sector, this reveals </w:t>
      </w:r>
      <w:r w:rsidR="001776CE" w:rsidRPr="001776CE">
        <w:rPr>
          <w:rFonts w:ascii="Times New Roman" w:hAnsi="Times New Roman" w:cs="Times New Roman"/>
          <w:sz w:val="24"/>
          <w:szCs w:val="24"/>
        </w:rPr>
        <w:t xml:space="preserve">dynamics of power and resistance. The data illustrates a fundamental tension between the visions of the </w:t>
      </w:r>
      <w:r w:rsidR="006E69FC">
        <w:rPr>
          <w:rFonts w:ascii="Times New Roman" w:hAnsi="Times New Roman" w:cs="Times New Roman"/>
          <w:sz w:val="24"/>
          <w:szCs w:val="24"/>
        </w:rPr>
        <w:t>“good</w:t>
      </w:r>
      <w:r w:rsidR="001776CE" w:rsidRPr="001776CE">
        <w:rPr>
          <w:rFonts w:ascii="Times New Roman" w:hAnsi="Times New Roman" w:cs="Times New Roman"/>
          <w:sz w:val="24"/>
          <w:szCs w:val="24"/>
        </w:rPr>
        <w:t xml:space="preserve"> pub</w:t>
      </w:r>
      <w:r w:rsidR="006E69FC">
        <w:rPr>
          <w:rFonts w:ascii="Times New Roman" w:hAnsi="Times New Roman" w:cs="Times New Roman"/>
          <w:sz w:val="24"/>
          <w:szCs w:val="24"/>
        </w:rPr>
        <w:t>”</w:t>
      </w:r>
      <w:r w:rsidR="001776CE" w:rsidRPr="001776CE">
        <w:rPr>
          <w:rFonts w:ascii="Times New Roman" w:hAnsi="Times New Roman" w:cs="Times New Roman"/>
          <w:sz w:val="24"/>
          <w:szCs w:val="24"/>
        </w:rPr>
        <w:t xml:space="preserve"> held by</w:t>
      </w:r>
      <w:r w:rsidR="006E69FC">
        <w:rPr>
          <w:rFonts w:ascii="Times New Roman" w:hAnsi="Times New Roman" w:cs="Times New Roman"/>
          <w:sz w:val="24"/>
          <w:szCs w:val="24"/>
        </w:rPr>
        <w:t xml:space="preserve"> the</w:t>
      </w:r>
      <w:r w:rsidR="001776CE" w:rsidRPr="001776CE">
        <w:rPr>
          <w:rFonts w:ascii="Times New Roman" w:hAnsi="Times New Roman" w:cs="Times New Roman"/>
          <w:sz w:val="24"/>
          <w:szCs w:val="24"/>
        </w:rPr>
        <w:t xml:space="preserve"> PubCo landlords versus</w:t>
      </w:r>
      <w:r w:rsidR="006E69FC">
        <w:rPr>
          <w:rFonts w:ascii="Times New Roman" w:hAnsi="Times New Roman" w:cs="Times New Roman"/>
          <w:sz w:val="24"/>
          <w:szCs w:val="24"/>
        </w:rPr>
        <w:t xml:space="preserve"> their</w:t>
      </w:r>
      <w:r w:rsidR="001776CE" w:rsidRPr="001776CE">
        <w:rPr>
          <w:rFonts w:ascii="Times New Roman" w:hAnsi="Times New Roman" w:cs="Times New Roman"/>
          <w:sz w:val="24"/>
          <w:szCs w:val="24"/>
        </w:rPr>
        <w:t xml:space="preserve"> tied-tenants. For PubCos, the lease is a mechanism to maximi</w:t>
      </w:r>
      <w:r w:rsidR="006E69FC">
        <w:rPr>
          <w:rFonts w:ascii="Times New Roman" w:hAnsi="Times New Roman" w:cs="Times New Roman"/>
          <w:sz w:val="24"/>
          <w:szCs w:val="24"/>
        </w:rPr>
        <w:t>s</w:t>
      </w:r>
      <w:r w:rsidR="001776CE" w:rsidRPr="001776CE">
        <w:rPr>
          <w:rFonts w:ascii="Times New Roman" w:hAnsi="Times New Roman" w:cs="Times New Roman"/>
          <w:sz w:val="24"/>
          <w:szCs w:val="24"/>
        </w:rPr>
        <w:t>e control</w:t>
      </w:r>
      <w:r w:rsidR="006E69FC">
        <w:rPr>
          <w:rFonts w:ascii="Times New Roman" w:hAnsi="Times New Roman" w:cs="Times New Roman"/>
          <w:sz w:val="24"/>
          <w:szCs w:val="24"/>
        </w:rPr>
        <w:t>, secure vertical integration</w:t>
      </w:r>
      <w:r w:rsidR="001776CE" w:rsidRPr="001776CE">
        <w:rPr>
          <w:rFonts w:ascii="Times New Roman" w:hAnsi="Times New Roman" w:cs="Times New Roman"/>
          <w:sz w:val="24"/>
          <w:szCs w:val="24"/>
        </w:rPr>
        <w:t xml:space="preserve"> and extract financial value, evidenced by highly restrictive product ties</w:t>
      </w:r>
      <w:r w:rsidR="001776CE">
        <w:rPr>
          <w:rFonts w:ascii="Times New Roman" w:hAnsi="Times New Roman" w:cs="Times New Roman"/>
          <w:sz w:val="24"/>
          <w:szCs w:val="24"/>
        </w:rPr>
        <w:t xml:space="preserve"> and approaches to rent calculations</w:t>
      </w:r>
      <w:r w:rsidR="001776CE" w:rsidRPr="001776CE">
        <w:rPr>
          <w:rFonts w:ascii="Times New Roman" w:hAnsi="Times New Roman" w:cs="Times New Roman"/>
          <w:sz w:val="24"/>
          <w:szCs w:val="24"/>
        </w:rPr>
        <w:t>. For tied-tenants, th</w:t>
      </w:r>
      <w:r w:rsidR="001776CE">
        <w:rPr>
          <w:rFonts w:ascii="Times New Roman" w:hAnsi="Times New Roman" w:cs="Times New Roman"/>
          <w:sz w:val="24"/>
          <w:szCs w:val="24"/>
        </w:rPr>
        <w:t xml:space="preserve">eir vision of a </w:t>
      </w:r>
      <w:r w:rsidR="006E69FC">
        <w:rPr>
          <w:rFonts w:ascii="Times New Roman" w:hAnsi="Times New Roman" w:cs="Times New Roman"/>
          <w:sz w:val="24"/>
          <w:szCs w:val="24"/>
        </w:rPr>
        <w:t>“</w:t>
      </w:r>
      <w:r w:rsidR="001776CE">
        <w:rPr>
          <w:rFonts w:ascii="Times New Roman" w:hAnsi="Times New Roman" w:cs="Times New Roman"/>
          <w:sz w:val="24"/>
          <w:szCs w:val="24"/>
        </w:rPr>
        <w:t>good pub</w:t>
      </w:r>
      <w:r w:rsidR="006E69FC">
        <w:rPr>
          <w:rFonts w:ascii="Times New Roman" w:hAnsi="Times New Roman" w:cs="Times New Roman"/>
          <w:sz w:val="24"/>
          <w:szCs w:val="24"/>
        </w:rPr>
        <w:t>”</w:t>
      </w:r>
      <w:r w:rsidR="001776CE">
        <w:rPr>
          <w:rFonts w:ascii="Times New Roman" w:hAnsi="Times New Roman" w:cs="Times New Roman"/>
          <w:sz w:val="24"/>
          <w:szCs w:val="24"/>
        </w:rPr>
        <w:t xml:space="preserve"> cent</w:t>
      </w:r>
      <w:r w:rsidR="001776CE" w:rsidRPr="001776CE">
        <w:rPr>
          <w:rFonts w:ascii="Times New Roman" w:hAnsi="Times New Roman" w:cs="Times New Roman"/>
          <w:sz w:val="24"/>
          <w:szCs w:val="24"/>
        </w:rPr>
        <w:t>r</w:t>
      </w:r>
      <w:r w:rsidR="001776CE">
        <w:rPr>
          <w:rFonts w:ascii="Times New Roman" w:hAnsi="Times New Roman" w:cs="Times New Roman"/>
          <w:sz w:val="24"/>
          <w:szCs w:val="24"/>
        </w:rPr>
        <w:t>e</w:t>
      </w:r>
      <w:r w:rsidR="001776CE" w:rsidRPr="001776CE">
        <w:rPr>
          <w:rFonts w:ascii="Times New Roman" w:hAnsi="Times New Roman" w:cs="Times New Roman"/>
          <w:sz w:val="24"/>
          <w:szCs w:val="24"/>
        </w:rPr>
        <w:t>s on providing a tailored pub environment</w:t>
      </w:r>
      <w:r w:rsidR="001776CE">
        <w:rPr>
          <w:rFonts w:ascii="Times New Roman" w:hAnsi="Times New Roman" w:cs="Times New Roman"/>
          <w:sz w:val="24"/>
          <w:szCs w:val="24"/>
        </w:rPr>
        <w:t xml:space="preserve"> that </w:t>
      </w:r>
      <w:r w:rsidR="006E69FC">
        <w:rPr>
          <w:rFonts w:ascii="Times New Roman" w:hAnsi="Times New Roman" w:cs="Times New Roman"/>
          <w:sz w:val="24"/>
          <w:szCs w:val="24"/>
        </w:rPr>
        <w:t>fulfils</w:t>
      </w:r>
      <w:r w:rsidR="001776CE">
        <w:rPr>
          <w:rFonts w:ascii="Times New Roman" w:hAnsi="Times New Roman" w:cs="Times New Roman"/>
          <w:sz w:val="24"/>
          <w:szCs w:val="24"/>
        </w:rPr>
        <w:t xml:space="preserve"> their community and customers</w:t>
      </w:r>
      <w:r w:rsidR="001776CE" w:rsidRPr="001776CE">
        <w:rPr>
          <w:rFonts w:ascii="Times New Roman" w:hAnsi="Times New Roman" w:cs="Times New Roman"/>
          <w:sz w:val="24"/>
          <w:szCs w:val="24"/>
        </w:rPr>
        <w:t xml:space="preserve"> - goals that</w:t>
      </w:r>
      <w:r w:rsidR="002B5A16">
        <w:rPr>
          <w:rFonts w:ascii="Times New Roman" w:hAnsi="Times New Roman" w:cs="Times New Roman"/>
          <w:sz w:val="24"/>
          <w:szCs w:val="24"/>
        </w:rPr>
        <w:t xml:space="preserve"> can</w:t>
      </w:r>
      <w:r w:rsidR="001776CE" w:rsidRPr="001776CE">
        <w:rPr>
          <w:rFonts w:ascii="Times New Roman" w:hAnsi="Times New Roman" w:cs="Times New Roman"/>
          <w:sz w:val="24"/>
          <w:szCs w:val="24"/>
        </w:rPr>
        <w:t xml:space="preserve"> clash with the confines of the tied lease.</w:t>
      </w:r>
    </w:p>
    <w:p w14:paraId="32DC370A" w14:textId="52E4BB05" w:rsidR="00AC5C89" w:rsidRPr="00AC5C89" w:rsidRDefault="00AC5C89" w:rsidP="00AC5C89">
      <w:pPr>
        <w:spacing w:line="276" w:lineRule="auto"/>
        <w:jc w:val="both"/>
        <w:rPr>
          <w:rFonts w:ascii="Times New Roman" w:hAnsi="Times New Roman" w:cs="Times New Roman"/>
          <w:sz w:val="24"/>
          <w:szCs w:val="24"/>
        </w:rPr>
      </w:pPr>
      <w:r w:rsidRPr="00AC5C89">
        <w:rPr>
          <w:rFonts w:ascii="Times New Roman" w:hAnsi="Times New Roman" w:cs="Times New Roman"/>
          <w:sz w:val="24"/>
          <w:szCs w:val="24"/>
        </w:rPr>
        <w:lastRenderedPageBreak/>
        <w:t>The findings suggest that the voluminous literature on consumer behaviour and venue management in the pub sector should recognise that the details of the lease are central to constitution of pub houses. A turn in consumer preferences to craft products and/or regional beers are only under the control of premises if their lease permits: the environment can otherwise be as much as product of the tie as of the publican. Studies that focus on how “context and environment” influence beer choice and consumption (on which there is a voluminou</w:t>
      </w:r>
      <w:r>
        <w:rPr>
          <w:rFonts w:ascii="Times New Roman" w:hAnsi="Times New Roman" w:cs="Times New Roman"/>
          <w:sz w:val="24"/>
          <w:szCs w:val="24"/>
        </w:rPr>
        <w:t>s literature in its own right)</w:t>
      </w:r>
      <w:r w:rsidR="006E69FC">
        <w:rPr>
          <w:rStyle w:val="FootnoteReference"/>
          <w:rFonts w:asciiTheme="majorBidi" w:hAnsiTheme="majorBidi" w:cstheme="majorBidi"/>
          <w:sz w:val="24"/>
          <w:szCs w:val="24"/>
        </w:rPr>
        <w:footnoteReference w:id="121"/>
      </w:r>
      <w:r>
        <w:rPr>
          <w:rFonts w:ascii="Times New Roman" w:hAnsi="Times New Roman" w:cs="Times New Roman"/>
          <w:sz w:val="24"/>
          <w:szCs w:val="24"/>
        </w:rPr>
        <w:t xml:space="preserve"> </w:t>
      </w:r>
      <w:r w:rsidRPr="00AC5C89">
        <w:rPr>
          <w:rFonts w:ascii="Times New Roman" w:hAnsi="Times New Roman" w:cs="Times New Roman"/>
          <w:sz w:val="24"/>
          <w:szCs w:val="24"/>
        </w:rPr>
        <w:t>should therefore recognise that the lease is a central factor in shaping the UK pub sector.</w:t>
      </w:r>
    </w:p>
    <w:p w14:paraId="1FF24352" w14:textId="60EB015B" w:rsidR="00AC5C89" w:rsidRPr="005222D7" w:rsidRDefault="00AC5C89" w:rsidP="00AC5C89">
      <w:pPr>
        <w:spacing w:line="276" w:lineRule="auto"/>
        <w:jc w:val="both"/>
        <w:rPr>
          <w:rFonts w:ascii="Times New Roman" w:hAnsi="Times New Roman" w:cs="Times New Roman"/>
          <w:sz w:val="24"/>
          <w:szCs w:val="24"/>
        </w:rPr>
      </w:pPr>
      <w:r w:rsidRPr="00AC5C89">
        <w:rPr>
          <w:rFonts w:ascii="Times New Roman" w:hAnsi="Times New Roman" w:cs="Times New Roman"/>
          <w:sz w:val="24"/>
          <w:szCs w:val="24"/>
        </w:rPr>
        <w:t>More broadly, the findings suggest that Hunter’s analysis of how residential leases affect both “both physical space and social relations” also bite on commercial leases and the pub sector specifically. As in the example of the Blue Bell at the start of this paper, the lease can become an important actor in shaping the power-balance in the business-to-business relationship and can define the ongoing viability of a business. This is not always in the landlord’s favour – in areas with low-demand for commercial property (particularly after the COVID-19 crisis), the balance may shift the other way. At a time of significant changes to our high streets and continuing extreme pressures on small businesses, commercial leases warrant far greater socio-legal scholarly attention.</w:t>
      </w:r>
    </w:p>
    <w:sectPr w:rsidR="00AC5C89" w:rsidRPr="005222D7" w:rsidSect="006D5D24">
      <w:headerReference w:type="default" r:id="rId8"/>
      <w:footerReference w:type="default" r:id="rId9"/>
      <w:pgSz w:w="11906" w:h="16838"/>
      <w:pgMar w:top="1440" w:right="1440" w:bottom="1440" w:left="1440" w:header="0" w:footer="4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BC06" w14:textId="77777777" w:rsidR="00A63C63" w:rsidRDefault="00A63C63">
      <w:pPr>
        <w:spacing w:after="0" w:line="240" w:lineRule="auto"/>
      </w:pPr>
      <w:r>
        <w:separator/>
      </w:r>
    </w:p>
  </w:endnote>
  <w:endnote w:type="continuationSeparator" w:id="0">
    <w:p w14:paraId="6B8D6E01" w14:textId="77777777" w:rsidR="00A63C63" w:rsidRDefault="00A6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46217892"/>
      <w:docPartObj>
        <w:docPartGallery w:val="Page Numbers (Bottom of Page)"/>
        <w:docPartUnique/>
      </w:docPartObj>
    </w:sdtPr>
    <w:sdtEndPr>
      <w:rPr>
        <w:noProof/>
      </w:rPr>
    </w:sdtEndPr>
    <w:sdtContent>
      <w:p w14:paraId="17EC06DD" w14:textId="0956E163" w:rsidR="003149DF" w:rsidRPr="006D5D24" w:rsidRDefault="003149DF">
        <w:pPr>
          <w:pStyle w:val="Footer"/>
          <w:jc w:val="center"/>
          <w:rPr>
            <w:rFonts w:ascii="Times New Roman" w:hAnsi="Times New Roman" w:cs="Times New Roman"/>
          </w:rPr>
        </w:pPr>
        <w:r w:rsidRPr="006D5D24">
          <w:rPr>
            <w:rFonts w:ascii="Times New Roman" w:hAnsi="Times New Roman" w:cs="Times New Roman"/>
          </w:rPr>
          <w:fldChar w:fldCharType="begin"/>
        </w:r>
        <w:r w:rsidRPr="006D5D24">
          <w:rPr>
            <w:rFonts w:ascii="Times New Roman" w:hAnsi="Times New Roman" w:cs="Times New Roman"/>
          </w:rPr>
          <w:instrText xml:space="preserve"> PAGE   \* MERGEFORMAT </w:instrText>
        </w:r>
        <w:r w:rsidRPr="006D5D24">
          <w:rPr>
            <w:rFonts w:ascii="Times New Roman" w:hAnsi="Times New Roman" w:cs="Times New Roman"/>
          </w:rPr>
          <w:fldChar w:fldCharType="separate"/>
        </w:r>
        <w:r w:rsidR="00FD0EFE">
          <w:rPr>
            <w:rFonts w:ascii="Times New Roman" w:hAnsi="Times New Roman" w:cs="Times New Roman"/>
            <w:noProof/>
          </w:rPr>
          <w:t>1</w:t>
        </w:r>
        <w:r w:rsidRPr="006D5D24">
          <w:rPr>
            <w:rFonts w:ascii="Times New Roman" w:hAnsi="Times New Roman" w:cs="Times New Roman"/>
            <w:noProof/>
          </w:rPr>
          <w:fldChar w:fldCharType="end"/>
        </w:r>
      </w:p>
    </w:sdtContent>
  </w:sdt>
  <w:p w14:paraId="68A1B5C3" w14:textId="77777777" w:rsidR="003149DF" w:rsidRDefault="0031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DC16" w14:textId="77777777" w:rsidR="00A63C63" w:rsidRDefault="00A63C63">
      <w:pPr>
        <w:rPr>
          <w:sz w:val="12"/>
        </w:rPr>
      </w:pPr>
      <w:r>
        <w:separator/>
      </w:r>
    </w:p>
  </w:footnote>
  <w:footnote w:type="continuationSeparator" w:id="0">
    <w:p w14:paraId="410AC1B4" w14:textId="77777777" w:rsidR="00A63C63" w:rsidRDefault="00A63C63">
      <w:pPr>
        <w:rPr>
          <w:sz w:val="12"/>
        </w:rPr>
      </w:pPr>
      <w:r>
        <w:continuationSeparator/>
      </w:r>
    </w:p>
  </w:footnote>
  <w:footnote w:id="1">
    <w:p w14:paraId="74A63AC1" w14:textId="2D085BC9" w:rsidR="003149DF" w:rsidRPr="004117F7" w:rsidRDefault="003149DF" w:rsidP="00972C27">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The term “public house” (shortened to “pub”) is used to describe a particular kind of retail outlet for on-sales of alcohol in the UK and in some other western countries. Although definition of the term is contested, pubs serve draught drinks (particularly beer and cider), operate bar service, and have at least some indoor space solely for the consumption of drink, rather than food. For a more detailed discussion, see: J. Pratten, ‘The development of the modern UK public house: Part 1: The traditional British public house of the twentieth century’ (2007) 19(4) </w:t>
      </w:r>
      <w:r w:rsidRPr="004117F7">
        <w:rPr>
          <w:rFonts w:ascii="Times New Roman" w:hAnsi="Times New Roman" w:cs="Times New Roman"/>
          <w:i/>
        </w:rPr>
        <w:t xml:space="preserve">International Journal of Contemporary Hospitality Management </w:t>
      </w:r>
      <w:r w:rsidRPr="004117F7">
        <w:rPr>
          <w:rFonts w:ascii="Times New Roman" w:hAnsi="Times New Roman" w:cs="Times New Roman"/>
        </w:rPr>
        <w:t>335.</w:t>
      </w:r>
    </w:p>
  </w:footnote>
  <w:footnote w:id="2">
    <w:p w14:paraId="61086524" w14:textId="5FE41043" w:rsidR="003149DF" w:rsidRPr="004117F7" w:rsidRDefault="003149DF" w:rsidP="000B430A">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color w:val="000000" w:themeColor="text1"/>
        </w:rPr>
        <w:t>R. Davies, ‘Tied up: pub landlords battle law that was meant to help them’ (</w:t>
      </w:r>
      <w:r w:rsidRPr="004117F7">
        <w:rPr>
          <w:rFonts w:ascii="Times New Roman" w:hAnsi="Times New Roman" w:cs="Times New Roman"/>
          <w:i/>
          <w:iCs/>
          <w:color w:val="000000" w:themeColor="text1"/>
        </w:rPr>
        <w:t xml:space="preserve">The Guardian </w:t>
      </w:r>
      <w:r w:rsidRPr="004117F7">
        <w:rPr>
          <w:rFonts w:ascii="Times New Roman" w:hAnsi="Times New Roman" w:cs="Times New Roman"/>
          <w:color w:val="000000" w:themeColor="text1"/>
        </w:rPr>
        <w:t>2019) &lt;</w:t>
      </w:r>
      <w:hyperlink r:id="rId1" w:history="1">
        <w:r w:rsidRPr="004117F7">
          <w:rPr>
            <w:rStyle w:val="Hyperlink"/>
            <w:rFonts w:ascii="Times New Roman" w:hAnsi="Times New Roman" w:cs="Times New Roman"/>
            <w:color w:val="000000" w:themeColor="text1"/>
          </w:rPr>
          <w:t>https://www.theguardian.com/business/2019/may/31/tied-up-pub-landlords-battle-law-that-was-meant-to-help-them</w:t>
        </w:r>
      </w:hyperlink>
      <w:r w:rsidRPr="004117F7">
        <w:rPr>
          <w:rFonts w:ascii="Times New Roman" w:hAnsi="Times New Roman" w:cs="Times New Roman"/>
          <w:color w:val="000000" w:themeColor="text1"/>
        </w:rPr>
        <w:t>&gt;</w:t>
      </w:r>
    </w:p>
  </w:footnote>
  <w:footnote w:id="3">
    <w:p w14:paraId="66C21280" w14:textId="4B50BD05"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York CAMRA, ‘We call on Punch Taverns to offer John Pybus at The Blue Bell,York a new tenancy agreement’ (</w:t>
      </w:r>
      <w:r w:rsidRPr="004117F7">
        <w:rPr>
          <w:rFonts w:ascii="Times New Roman" w:hAnsi="Times New Roman" w:cs="Times New Roman"/>
          <w:i/>
          <w:iCs/>
          <w:color w:val="000000" w:themeColor="text1"/>
        </w:rPr>
        <w:t>Change.org</w:t>
      </w:r>
      <w:r w:rsidRPr="004117F7">
        <w:rPr>
          <w:rFonts w:ascii="Times New Roman" w:hAnsi="Times New Roman" w:cs="Times New Roman"/>
          <w:color w:val="000000" w:themeColor="text1"/>
        </w:rPr>
        <w:t xml:space="preserve"> 2018) &lt;</w:t>
      </w:r>
      <w:hyperlink r:id="rId2" w:history="1">
        <w:r w:rsidRPr="004117F7">
          <w:rPr>
            <w:rStyle w:val="Hyperlink"/>
            <w:rFonts w:ascii="Times New Roman" w:hAnsi="Times New Roman" w:cs="Times New Roman"/>
            <w:color w:val="000000" w:themeColor="text1"/>
          </w:rPr>
          <w:t>https://www.change.org/p/punch-taverns-we-call-on-punch-taverns-to-offer-john-pybus-at-the-bluebell-york-a-new-tenancy-agreement</w:t>
        </w:r>
      </w:hyperlink>
      <w:r w:rsidRPr="004117F7">
        <w:rPr>
          <w:rFonts w:ascii="Times New Roman" w:hAnsi="Times New Roman" w:cs="Times New Roman"/>
          <w:color w:val="000000" w:themeColor="text1"/>
        </w:rPr>
        <w:t>&gt;</w:t>
      </w:r>
    </w:p>
  </w:footnote>
  <w:footnote w:id="4">
    <w:p w14:paraId="3E4CAA64" w14:textId="73704B1F"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For a (at the time of writing) ongoing example of an almost identical case, see the petition to save The Britons Protection pub in Manchester: A. Hudd, ‘Save our pub: The Britons Protection’ (</w:t>
      </w:r>
      <w:r w:rsidRPr="004117F7">
        <w:rPr>
          <w:rFonts w:ascii="Times New Roman" w:hAnsi="Times New Roman" w:cs="Times New Roman"/>
          <w:i/>
          <w:iCs/>
          <w:color w:val="000000" w:themeColor="text1"/>
        </w:rPr>
        <w:t>Change.org</w:t>
      </w:r>
      <w:r w:rsidRPr="004117F7">
        <w:rPr>
          <w:rFonts w:ascii="Times New Roman" w:hAnsi="Times New Roman" w:cs="Times New Roman"/>
          <w:color w:val="000000" w:themeColor="text1"/>
        </w:rPr>
        <w:t xml:space="preserve"> 2022) &lt;</w:t>
      </w:r>
      <w:hyperlink r:id="rId3">
        <w:r w:rsidRPr="004117F7">
          <w:rPr>
            <w:rStyle w:val="Hyperlink"/>
            <w:rFonts w:ascii="Times New Roman" w:hAnsi="Times New Roman" w:cs="Times New Roman"/>
            <w:color w:val="000000" w:themeColor="text1"/>
          </w:rPr>
          <w:t>https://www.change.org/p/save-our-pub-the-britons-protection</w:t>
        </w:r>
      </w:hyperlink>
      <w:r w:rsidRPr="004117F7">
        <w:rPr>
          <w:rStyle w:val="Hyperlink"/>
          <w:rFonts w:ascii="Times New Roman" w:hAnsi="Times New Roman" w:cs="Times New Roman"/>
          <w:color w:val="000000" w:themeColor="text1"/>
          <w:u w:val="none"/>
        </w:rPr>
        <w:t>&gt;</w:t>
      </w:r>
      <w:r w:rsidRPr="004117F7">
        <w:rPr>
          <w:rFonts w:ascii="Times New Roman" w:hAnsi="Times New Roman" w:cs="Times New Roman"/>
          <w:color w:val="000000" w:themeColor="text1"/>
        </w:rPr>
        <w:t xml:space="preserve"> </w:t>
      </w:r>
    </w:p>
  </w:footnote>
  <w:footnote w:id="5">
    <w:p w14:paraId="0CEE3F32" w14:textId="6C2CA5F0" w:rsidR="003149DF" w:rsidRDefault="003149DF">
      <w:pPr>
        <w:pStyle w:val="FootnoteText"/>
      </w:pPr>
      <w:r>
        <w:rPr>
          <w:rStyle w:val="FootnoteReference"/>
        </w:rPr>
        <w:footnoteRef/>
      </w:r>
      <w:r>
        <w:t xml:space="preserve"> Davies (n </w:t>
      </w:r>
      <w:r>
        <w:fldChar w:fldCharType="begin"/>
      </w:r>
      <w:r>
        <w:instrText xml:space="preserve"> NOTEREF _Ref104975790 \h </w:instrText>
      </w:r>
      <w:r>
        <w:fldChar w:fldCharType="separate"/>
      </w:r>
      <w:r>
        <w:t>2</w:t>
      </w:r>
      <w:r>
        <w:fldChar w:fldCharType="end"/>
      </w:r>
      <w:r>
        <w:t>).</w:t>
      </w:r>
    </w:p>
  </w:footnote>
  <w:footnote w:id="6">
    <w:p w14:paraId="4AB4F79C" w14:textId="631BE9BA" w:rsidR="003149DF" w:rsidRPr="004117F7" w:rsidRDefault="003149DF" w:rsidP="000B430A">
      <w:pPr>
        <w:pStyle w:val="FootnoteText"/>
        <w:jc w:val="both"/>
        <w:rPr>
          <w:rFonts w:ascii="Times New Roman" w:hAnsi="Times New Roman" w:cs="Times New Roman"/>
          <w:i/>
          <w:iCs/>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t>
      </w:r>
      <w:r w:rsidRPr="004117F7">
        <w:rPr>
          <w:rFonts w:ascii="Times New Roman" w:hAnsi="Times New Roman" w:cs="Times New Roman"/>
          <w:color w:val="000000" w:themeColor="text1"/>
          <w:lang w:val="en-US"/>
        </w:rPr>
        <w:t xml:space="preserve">Deconinck and Swinnen identify the importance of tied pubs in Belgium, Germany, France, the Netherlands, and Mexico, in particular. K. Deconinck and J. Swinnen, ‘Tied Houses: Why they are so common and why breweries charge them high prices for their beer’ in </w:t>
      </w:r>
      <w:r w:rsidRPr="004117F7">
        <w:rPr>
          <w:rFonts w:ascii="Times New Roman" w:hAnsi="Times New Roman" w:cs="Times New Roman"/>
          <w:i/>
          <w:iCs/>
          <w:color w:val="000000" w:themeColor="text1"/>
          <w:lang w:val="en-US"/>
        </w:rPr>
        <w:t>Brewing, Beer and Pubs:</w:t>
      </w:r>
    </w:p>
    <w:p w14:paraId="70317515" w14:textId="5675D197" w:rsidR="003149DF" w:rsidRPr="004117F7" w:rsidRDefault="003149DF" w:rsidP="000B430A">
      <w:pPr>
        <w:pStyle w:val="FootnoteText"/>
        <w:jc w:val="both"/>
        <w:rPr>
          <w:rFonts w:ascii="Times New Roman" w:hAnsi="Times New Roman" w:cs="Times New Roman"/>
          <w:color w:val="000000" w:themeColor="text1"/>
          <w:lang w:val="en-US"/>
        </w:rPr>
      </w:pPr>
      <w:r w:rsidRPr="004117F7">
        <w:rPr>
          <w:rFonts w:ascii="Times New Roman" w:hAnsi="Times New Roman" w:cs="Times New Roman"/>
          <w:i/>
          <w:iCs/>
          <w:color w:val="000000" w:themeColor="text1"/>
          <w:lang w:val="en-US"/>
        </w:rPr>
        <w:t xml:space="preserve">A Global Perspective, </w:t>
      </w:r>
      <w:r w:rsidRPr="004117F7">
        <w:rPr>
          <w:rFonts w:ascii="Times New Roman" w:hAnsi="Times New Roman" w:cs="Times New Roman"/>
          <w:color w:val="000000" w:themeColor="text1"/>
          <w:lang w:val="en-US"/>
        </w:rPr>
        <w:t>ed. I. Cabras, D. Higgins and D. Preece (2016)</w:t>
      </w:r>
      <w:r w:rsidRPr="004117F7">
        <w:rPr>
          <w:rFonts w:ascii="Times New Roman" w:hAnsi="Times New Roman" w:cs="Times New Roman"/>
          <w:i/>
          <w:iCs/>
          <w:color w:val="000000" w:themeColor="text1"/>
          <w:lang w:val="en-US"/>
        </w:rPr>
        <w:t xml:space="preserve"> </w:t>
      </w:r>
      <w:r w:rsidRPr="004117F7">
        <w:rPr>
          <w:rFonts w:ascii="Times New Roman" w:hAnsi="Times New Roman" w:cs="Times New Roman"/>
          <w:color w:val="000000" w:themeColor="text1"/>
          <w:lang w:val="en-US"/>
        </w:rPr>
        <w:t>231.</w:t>
      </w:r>
    </w:p>
  </w:footnote>
  <w:footnote w:id="7">
    <w:p w14:paraId="3465A063" w14:textId="2091BE24" w:rsidR="003149DF" w:rsidRPr="004117F7" w:rsidRDefault="003149DF" w:rsidP="000B430A">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t>
      </w:r>
      <w:r w:rsidRPr="004117F7">
        <w:rPr>
          <w:rFonts w:ascii="Times New Roman" w:hAnsi="Times New Roman" w:cs="Times New Roman"/>
          <w:color w:val="000000" w:themeColor="text1"/>
          <w:lang w:val="en-US"/>
        </w:rPr>
        <w:t xml:space="preserve">C. Hunter, ‘Solar Panels, ‘Homeowners and Leases: The Lease as a Socio-Legal Object’ in </w:t>
      </w:r>
      <w:r w:rsidRPr="004117F7">
        <w:rPr>
          <w:rFonts w:ascii="Times New Roman" w:hAnsi="Times New Roman" w:cs="Times New Roman"/>
          <w:i/>
          <w:iCs/>
          <w:color w:val="000000" w:themeColor="text1"/>
          <w:lang w:val="en-US"/>
        </w:rPr>
        <w:t xml:space="preserve">Exploring the 'Legal' in Socio-Legal Studies, </w:t>
      </w:r>
      <w:r w:rsidRPr="004117F7">
        <w:rPr>
          <w:rFonts w:ascii="Times New Roman" w:hAnsi="Times New Roman" w:cs="Times New Roman"/>
          <w:color w:val="000000" w:themeColor="text1"/>
          <w:lang w:val="en-US"/>
        </w:rPr>
        <w:t>ed. D. Cowan and D. Wincott (2015) 137.</w:t>
      </w:r>
    </w:p>
  </w:footnote>
  <w:footnote w:id="8">
    <w:p w14:paraId="59D11AE8" w14:textId="4D5DC102" w:rsidR="003149DF" w:rsidRPr="004117F7" w:rsidRDefault="003149DF" w:rsidP="000B430A">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D. Hoffman and A. Strezhnev, ‘Leases as Forms’ (2022) 19(1) </w:t>
      </w:r>
      <w:r w:rsidRPr="004117F7">
        <w:rPr>
          <w:rFonts w:ascii="Times New Roman" w:hAnsi="Times New Roman" w:cs="Times New Roman"/>
          <w:i/>
        </w:rPr>
        <w:t>Journal of Empirical Legal Studies</w:t>
      </w:r>
      <w:r w:rsidRPr="004117F7">
        <w:rPr>
          <w:rFonts w:ascii="Times New Roman" w:hAnsi="Times New Roman" w:cs="Times New Roman"/>
        </w:rPr>
        <w:t xml:space="preserve"> 90.</w:t>
      </w:r>
    </w:p>
  </w:footnote>
  <w:footnote w:id="9">
    <w:p w14:paraId="39C6D640" w14:textId="14DDCEA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 137.</w:t>
      </w:r>
    </w:p>
  </w:footnote>
  <w:footnote w:id="10">
    <w:p w14:paraId="1C161863" w14:textId="649304EE"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See D. Cowan, H. Carr, and A. Wallace, </w:t>
      </w:r>
      <w:r w:rsidRPr="004117F7">
        <w:rPr>
          <w:rFonts w:ascii="Times New Roman" w:hAnsi="Times New Roman" w:cs="Times New Roman"/>
          <w:i/>
          <w:iCs/>
          <w:color w:val="000000" w:themeColor="text1"/>
        </w:rPr>
        <w:t xml:space="preserve">Ownership, Narrative, Things </w:t>
      </w:r>
      <w:r w:rsidRPr="004117F7">
        <w:rPr>
          <w:rFonts w:ascii="Times New Roman" w:hAnsi="Times New Roman" w:cs="Times New Roman"/>
          <w:color w:val="000000" w:themeColor="text1"/>
        </w:rPr>
        <w:t xml:space="preserve">(2018) 74; and H. Ronan, </w:t>
      </w:r>
      <w:r w:rsidRPr="004117F7">
        <w:rPr>
          <w:rFonts w:ascii="Times New Roman" w:hAnsi="Times New Roman" w:cs="Times New Roman"/>
          <w:i/>
          <w:iCs/>
          <w:color w:val="000000" w:themeColor="text1"/>
        </w:rPr>
        <w:t>The socio-spatial composition of property relationships</w:t>
      </w:r>
      <w:r w:rsidRPr="004117F7">
        <w:rPr>
          <w:rFonts w:ascii="Times New Roman" w:hAnsi="Times New Roman" w:cs="Times New Roman"/>
          <w:color w:val="000000" w:themeColor="text1"/>
        </w:rPr>
        <w:t>. PhD thesis (Birkbeck, University of London, 2022).</w:t>
      </w:r>
    </w:p>
  </w:footnote>
  <w:footnote w:id="11">
    <w:p w14:paraId="16B25E37" w14:textId="6B9A20E2"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N. Jacobs, ‘The Concept of the Commercial Lease’ (1984) 9(4) </w:t>
      </w:r>
      <w:r w:rsidRPr="004117F7">
        <w:rPr>
          <w:rFonts w:ascii="Times New Roman" w:hAnsi="Times New Roman" w:cs="Times New Roman"/>
          <w:i/>
          <w:iCs/>
          <w:color w:val="000000" w:themeColor="text1"/>
        </w:rPr>
        <w:t>Int'l Legal Prac.</w:t>
      </w:r>
      <w:r w:rsidRPr="004117F7">
        <w:rPr>
          <w:rFonts w:ascii="Times New Roman" w:hAnsi="Times New Roman" w:cs="Times New Roman"/>
          <w:color w:val="000000" w:themeColor="text1"/>
        </w:rPr>
        <w:t xml:space="preserve"> 128-131, 128.</w:t>
      </w:r>
    </w:p>
  </w:footnote>
  <w:footnote w:id="12">
    <w:p w14:paraId="3386ABBF" w14:textId="2C5CA4B8" w:rsidR="003149DF" w:rsidRPr="004117F7" w:rsidRDefault="003149DF" w:rsidP="004117F7">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See E. Carroll, ‘Raising the Rent Acts: Market Disruption &amp; The Landlord and Tenant Act 1954’ (SLSA, University of York, 7</w:t>
      </w:r>
      <w:r w:rsidRPr="004117F7">
        <w:rPr>
          <w:rFonts w:ascii="Times New Roman" w:hAnsi="Times New Roman" w:cs="Times New Roman"/>
          <w:vertAlign w:val="superscript"/>
        </w:rPr>
        <w:t>th</w:t>
      </w:r>
      <w:r w:rsidRPr="004117F7">
        <w:rPr>
          <w:rFonts w:ascii="Times New Roman" w:hAnsi="Times New Roman" w:cs="Times New Roman"/>
        </w:rPr>
        <w:t xml:space="preserve"> April 2022).</w:t>
      </w:r>
    </w:p>
  </w:footnote>
  <w:footnote w:id="13">
    <w:p w14:paraId="53D52C10" w14:textId="4E11CC71" w:rsidR="003149DF" w:rsidRPr="004117F7" w:rsidRDefault="003149DF" w:rsidP="00180491">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t>
      </w:r>
      <w:r w:rsidRPr="004117F7">
        <w:rPr>
          <w:rFonts w:ascii="Times New Roman" w:hAnsi="Times New Roman" w:cs="Times New Roman"/>
          <w:color w:val="000000" w:themeColor="text1"/>
          <w:lang w:val="en-US"/>
        </w:rPr>
        <w:t xml:space="preserve">Cowan et al (n </w:t>
      </w:r>
      <w:r w:rsidRPr="004117F7">
        <w:rPr>
          <w:rFonts w:ascii="Times New Roman" w:hAnsi="Times New Roman" w:cs="Times New Roman"/>
          <w:color w:val="000000" w:themeColor="text1"/>
          <w:lang w:val="en-US"/>
        </w:rPr>
        <w:fldChar w:fldCharType="begin"/>
      </w:r>
      <w:r w:rsidRPr="004117F7">
        <w:rPr>
          <w:rFonts w:ascii="Times New Roman" w:hAnsi="Times New Roman" w:cs="Times New Roman"/>
          <w:color w:val="000000" w:themeColor="text1"/>
          <w:lang w:val="en-US"/>
        </w:rPr>
        <w:instrText xml:space="preserve"> NOTEREF _Ref104121140 \h  \* MERGEFORMAT </w:instrText>
      </w:r>
      <w:r w:rsidRPr="004117F7">
        <w:rPr>
          <w:rFonts w:ascii="Times New Roman" w:hAnsi="Times New Roman" w:cs="Times New Roman"/>
          <w:color w:val="000000" w:themeColor="text1"/>
          <w:lang w:val="en-US"/>
        </w:rPr>
      </w:r>
      <w:r w:rsidRPr="004117F7">
        <w:rPr>
          <w:rFonts w:ascii="Times New Roman" w:hAnsi="Times New Roman" w:cs="Times New Roman"/>
          <w:color w:val="000000" w:themeColor="text1"/>
          <w:lang w:val="en-US"/>
        </w:rPr>
        <w:fldChar w:fldCharType="separate"/>
      </w:r>
      <w:r>
        <w:rPr>
          <w:rFonts w:ascii="Times New Roman" w:hAnsi="Times New Roman" w:cs="Times New Roman"/>
          <w:color w:val="000000" w:themeColor="text1"/>
          <w:lang w:val="en-US"/>
        </w:rPr>
        <w:t>10</w:t>
      </w:r>
      <w:r w:rsidRPr="004117F7">
        <w:rPr>
          <w:rFonts w:ascii="Times New Roman" w:hAnsi="Times New Roman" w:cs="Times New Roman"/>
          <w:color w:val="000000" w:themeColor="text1"/>
          <w:lang w:val="en-US"/>
        </w:rPr>
        <w:fldChar w:fldCharType="end"/>
      </w:r>
      <w:r w:rsidRPr="004117F7">
        <w:rPr>
          <w:rFonts w:ascii="Times New Roman" w:hAnsi="Times New Roman" w:cs="Times New Roman"/>
          <w:color w:val="000000" w:themeColor="text1"/>
          <w:lang w:val="en-US"/>
        </w:rPr>
        <w:t>) 73-97.</w:t>
      </w:r>
    </w:p>
  </w:footnote>
  <w:footnote w:id="14">
    <w:p w14:paraId="396418AC" w14:textId="0403B37A" w:rsidR="003149DF" w:rsidRPr="004117F7" w:rsidRDefault="003149DF" w:rsidP="00180491">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Hunter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_Ref104121311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7</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141.</w:t>
      </w:r>
    </w:p>
  </w:footnote>
  <w:footnote w:id="15">
    <w:p w14:paraId="501340A5" w14:textId="05DB8C12"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S. Webb and B. Webb, </w:t>
      </w:r>
      <w:r w:rsidRPr="004117F7">
        <w:rPr>
          <w:rFonts w:ascii="Times New Roman" w:hAnsi="Times New Roman" w:cs="Times New Roman"/>
          <w:i/>
          <w:iCs/>
          <w:color w:val="000000" w:themeColor="text1"/>
        </w:rPr>
        <w:t xml:space="preserve">History of liquor licensing in England principally from 1700 to 1830 </w:t>
      </w:r>
      <w:r w:rsidRPr="004117F7">
        <w:rPr>
          <w:rFonts w:ascii="Times New Roman" w:hAnsi="Times New Roman" w:cs="Times New Roman"/>
          <w:color w:val="000000" w:themeColor="text1"/>
        </w:rPr>
        <w:t>(1903) 88-89.</w:t>
      </w:r>
    </w:p>
  </w:footnote>
  <w:footnote w:id="16">
    <w:p w14:paraId="0DA3E2B2" w14:textId="54FFFEA4"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J Nicholls, </w:t>
      </w:r>
      <w:r w:rsidRPr="004117F7">
        <w:rPr>
          <w:rFonts w:ascii="Times New Roman" w:hAnsi="Times New Roman" w:cs="Times New Roman"/>
          <w:i/>
          <w:iCs/>
          <w:color w:val="000000" w:themeColor="text1"/>
        </w:rPr>
        <w:t>The Politics of Alcohol</w:t>
      </w:r>
      <w:r w:rsidRPr="004117F7">
        <w:rPr>
          <w:rFonts w:ascii="Times New Roman" w:hAnsi="Times New Roman" w:cs="Times New Roman"/>
          <w:color w:val="000000" w:themeColor="text1"/>
        </w:rPr>
        <w:t xml:space="preserve"> (2009) p 85.</w:t>
      </w:r>
    </w:p>
  </w:footnote>
  <w:footnote w:id="17">
    <w:p w14:paraId="633C7797" w14:textId="32269335"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J. Rowntree and A. Sherwell, </w:t>
      </w:r>
      <w:r w:rsidRPr="004117F7">
        <w:rPr>
          <w:rFonts w:ascii="Times New Roman" w:hAnsi="Times New Roman" w:cs="Times New Roman"/>
          <w:i/>
          <w:iCs/>
          <w:color w:val="000000" w:themeColor="text1"/>
        </w:rPr>
        <w:t>The temperance problem and social reform</w:t>
      </w:r>
      <w:r w:rsidRPr="004117F7">
        <w:rPr>
          <w:rFonts w:ascii="Times New Roman" w:hAnsi="Times New Roman" w:cs="Times New Roman"/>
          <w:color w:val="000000" w:themeColor="text1"/>
        </w:rPr>
        <w:t xml:space="preserve"> (1900) 538-539. </w:t>
      </w:r>
    </w:p>
  </w:footnote>
  <w:footnote w:id="18">
    <w:p w14:paraId="21C4CD26" w14:textId="5E3F1DAE"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Royal Commission on Licensing for England and Wales (1929-1931) (HO 73/125) 4.</w:t>
      </w:r>
    </w:p>
  </w:footnote>
  <w:footnote w:id="19">
    <w:p w14:paraId="15FEF6DC" w14:textId="7777777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 25.</w:t>
      </w:r>
    </w:p>
  </w:footnote>
  <w:footnote w:id="20">
    <w:p w14:paraId="71511768" w14:textId="7777777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 26.</w:t>
      </w:r>
    </w:p>
  </w:footnote>
  <w:footnote w:id="21">
    <w:p w14:paraId="4EFBE78B" w14:textId="00609F65" w:rsidR="003149DF" w:rsidRPr="004117F7" w:rsidRDefault="003149DF" w:rsidP="00180491">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Rowntree and Sherwell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_Ref104121643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17</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538-539.</w:t>
      </w:r>
    </w:p>
  </w:footnote>
  <w:footnote w:id="22">
    <w:p w14:paraId="779BC023" w14:textId="11605D09" w:rsidR="003149DF" w:rsidRPr="004117F7" w:rsidRDefault="003149DF" w:rsidP="000B430A">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t>
      </w:r>
      <w:r w:rsidRPr="004117F7">
        <w:rPr>
          <w:rFonts w:ascii="Times New Roman" w:hAnsi="Times New Roman" w:cs="Times New Roman"/>
          <w:color w:val="000000" w:themeColor="text1"/>
          <w:lang w:val="en-US"/>
        </w:rPr>
        <w:t xml:space="preserve">The Office for Fair Trading estimates </w:t>
      </w:r>
      <w:r w:rsidRPr="004117F7">
        <w:rPr>
          <w:rFonts w:ascii="Times New Roman" w:hAnsi="Times New Roman" w:cs="Times New Roman"/>
          <w:bCs/>
          <w:iCs/>
          <w:color w:val="000000" w:themeColor="text1"/>
        </w:rPr>
        <w:t>in the UK the price of beer is on average 30% higher under a tie (with other organisations arguing the differential is far higher). See Office of Fair Trading ‘CAMRA super-complaint – OFT final decision’ (2010) &lt;https://tinyurl.com/y8hvuwqg&gt; 120.</w:t>
      </w:r>
    </w:p>
  </w:footnote>
  <w:footnote w:id="23">
    <w:p w14:paraId="2D27079C" w14:textId="15CF8F5B" w:rsidR="003149DF" w:rsidRPr="004117F7" w:rsidRDefault="003149DF" w:rsidP="000B430A">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For a detailed overview of the methodology used by surveyors to calculate pub rents, see: The Royal Institute of Chartered Surveyors, ‘The capital and rental valuation of public houses, bars, restaurants and nightclubs in England and Wales’ (2010) at: </w:t>
      </w:r>
      <w:hyperlink r:id="rId4" w:history="1">
        <w:r w:rsidRPr="004117F7">
          <w:rPr>
            <w:rStyle w:val="Hyperlink"/>
            <w:rFonts w:ascii="Times New Roman" w:hAnsi="Times New Roman" w:cs="Times New Roman"/>
          </w:rPr>
          <w:t>https://www.rics.org/globalassets/rics-website/media/upholding-professional-standards/sector-standards/valuation/capital-and-rental-valuation-of-public-houses-bars-restaurants-and-nightclubs-in-england-and-wales-1st-edition-rics.pdf</w:t>
        </w:r>
      </w:hyperlink>
      <w:r w:rsidRPr="004117F7">
        <w:rPr>
          <w:rFonts w:ascii="Times New Roman" w:hAnsi="Times New Roman" w:cs="Times New Roman"/>
          <w:color w:val="000000" w:themeColor="text1"/>
        </w:rPr>
        <w:t xml:space="preserve"> [accessed 8th August 2022].This approach is not just used for pubs, but is also found in rent assessments for other commercial leisure properties. See C. Osmond, ‘Retail Properties’ in </w:t>
      </w:r>
      <w:r w:rsidRPr="004117F7">
        <w:rPr>
          <w:rFonts w:ascii="Times New Roman" w:hAnsi="Times New Roman" w:cs="Times New Roman"/>
          <w:i/>
          <w:iCs/>
          <w:color w:val="000000" w:themeColor="text1"/>
        </w:rPr>
        <w:t xml:space="preserve">Valuation: Principles into Practice, </w:t>
      </w:r>
      <w:r w:rsidRPr="004117F7">
        <w:rPr>
          <w:rFonts w:ascii="Times New Roman" w:hAnsi="Times New Roman" w:cs="Times New Roman"/>
          <w:color w:val="000000" w:themeColor="text1"/>
        </w:rPr>
        <w:t>ed. R. Hayward (2008) 123-136.</w:t>
      </w:r>
    </w:p>
  </w:footnote>
  <w:footnote w:id="24">
    <w:p w14:paraId="4D5BC01E" w14:textId="2F7C72A2" w:rsidR="003149DF" w:rsidRPr="004117F7" w:rsidRDefault="003149DF" w:rsidP="000B430A">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H. Day and R. Kelton, ‘The valuation of licensed premises’ (2007) 25(3) </w:t>
      </w:r>
      <w:r w:rsidRPr="004117F7">
        <w:rPr>
          <w:rFonts w:ascii="Times New Roman" w:hAnsi="Times New Roman" w:cs="Times New Roman"/>
          <w:i/>
          <w:iCs/>
          <w:color w:val="000000" w:themeColor="text1"/>
        </w:rPr>
        <w:t>Journal of Property Investment &amp; Finance</w:t>
      </w:r>
      <w:r w:rsidRPr="004117F7">
        <w:rPr>
          <w:rFonts w:ascii="Times New Roman" w:hAnsi="Times New Roman" w:cs="Times New Roman"/>
          <w:color w:val="000000" w:themeColor="text1"/>
        </w:rPr>
        <w:t xml:space="preserve"> 306, 313.</w:t>
      </w:r>
    </w:p>
  </w:footnote>
  <w:footnote w:id="25">
    <w:p w14:paraId="3BA38F9A" w14:textId="6A379C16" w:rsidR="003149DF" w:rsidRPr="004117F7" w:rsidRDefault="003149DF" w:rsidP="000B430A">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J. Spicer, C. Thurman, J. Walters and S. Ward, </w:t>
      </w:r>
      <w:r w:rsidRPr="004117F7">
        <w:rPr>
          <w:rFonts w:ascii="Times New Roman" w:hAnsi="Times New Roman" w:cs="Times New Roman"/>
          <w:i/>
          <w:iCs/>
          <w:color w:val="000000" w:themeColor="text1"/>
        </w:rPr>
        <w:t>Intervention in the Modern UK Brewing Industry</w:t>
      </w:r>
      <w:r w:rsidRPr="004117F7">
        <w:rPr>
          <w:rFonts w:ascii="Times New Roman" w:hAnsi="Times New Roman" w:cs="Times New Roman"/>
          <w:color w:val="000000" w:themeColor="text1"/>
        </w:rPr>
        <w:t xml:space="preserve"> (2011) 18-30, 210-212.</w:t>
      </w:r>
    </w:p>
  </w:footnote>
  <w:footnote w:id="26">
    <w:p w14:paraId="0F939729" w14:textId="69F56D53" w:rsidR="003149DF" w:rsidRPr="004117F7" w:rsidRDefault="003149D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Cowan et al (n </w:t>
      </w:r>
      <w:r w:rsidRPr="004117F7">
        <w:rPr>
          <w:rFonts w:ascii="Times New Roman" w:hAnsi="Times New Roman" w:cs="Times New Roman"/>
        </w:rPr>
        <w:fldChar w:fldCharType="begin"/>
      </w:r>
      <w:r w:rsidRPr="004117F7">
        <w:rPr>
          <w:rFonts w:ascii="Times New Roman" w:hAnsi="Times New Roman" w:cs="Times New Roman"/>
        </w:rPr>
        <w:instrText xml:space="preserve"> NOTEREF _Ref104121140 \h  \* MERGEFORMAT </w:instrText>
      </w:r>
      <w:r w:rsidRPr="004117F7">
        <w:rPr>
          <w:rFonts w:ascii="Times New Roman" w:hAnsi="Times New Roman" w:cs="Times New Roman"/>
        </w:rPr>
      </w:r>
      <w:r w:rsidRPr="004117F7">
        <w:rPr>
          <w:rFonts w:ascii="Times New Roman" w:hAnsi="Times New Roman" w:cs="Times New Roman"/>
        </w:rPr>
        <w:fldChar w:fldCharType="separate"/>
      </w:r>
      <w:r>
        <w:rPr>
          <w:rFonts w:ascii="Times New Roman" w:hAnsi="Times New Roman" w:cs="Times New Roman"/>
        </w:rPr>
        <w:t>10</w:t>
      </w:r>
      <w:r w:rsidRPr="004117F7">
        <w:rPr>
          <w:rFonts w:ascii="Times New Roman" w:hAnsi="Times New Roman" w:cs="Times New Roman"/>
        </w:rPr>
        <w:fldChar w:fldCharType="end"/>
      </w:r>
      <w:r w:rsidRPr="004117F7">
        <w:rPr>
          <w:rFonts w:ascii="Times New Roman" w:hAnsi="Times New Roman" w:cs="Times New Roman"/>
        </w:rPr>
        <w:t>) 73-94.</w:t>
      </w:r>
    </w:p>
  </w:footnote>
  <w:footnote w:id="27">
    <w:p w14:paraId="31A82F4E" w14:textId="77777777" w:rsidR="003149DF" w:rsidRPr="004117F7" w:rsidRDefault="003149DF" w:rsidP="00DA26BF">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If we “except the period” of the Beerhouse Act of 1830 deregulatory experiment, see: J. Eagles, ‘The Monopoly in Alcoholic Drink’ (1919) 29(114) 154.</w:t>
      </w:r>
    </w:p>
  </w:footnote>
  <w:footnote w:id="28">
    <w:p w14:paraId="1C2B8DBE" w14:textId="77777777" w:rsidR="003149DF" w:rsidRPr="004117F7" w:rsidRDefault="003149DF" w:rsidP="00DA26BF">
      <w:pPr>
        <w:pStyle w:val="FootnoteText"/>
        <w:jc w:val="both"/>
        <w:rPr>
          <w:rFonts w:ascii="Times New Roman" w:hAnsi="Times New Roman" w:cs="Times New Roman"/>
          <w:color w:val="000000" w:themeColor="text1"/>
          <w:lang w:val="en-US"/>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B. Gillham, ‘A review of the factors that affect the value of licensed premises’ (1998) 16(5) </w:t>
      </w:r>
      <w:r w:rsidRPr="004117F7">
        <w:rPr>
          <w:rFonts w:ascii="Times New Roman" w:hAnsi="Times New Roman" w:cs="Times New Roman"/>
          <w:i/>
          <w:iCs/>
          <w:color w:val="000000" w:themeColor="text1"/>
        </w:rPr>
        <w:t xml:space="preserve">Journal of Property Valuation and Investment </w:t>
      </w:r>
      <w:r w:rsidRPr="004117F7">
        <w:rPr>
          <w:rFonts w:ascii="Times New Roman" w:hAnsi="Times New Roman" w:cs="Times New Roman"/>
          <w:color w:val="000000" w:themeColor="text1"/>
        </w:rPr>
        <w:t>474.</w:t>
      </w:r>
    </w:p>
  </w:footnote>
  <w:footnote w:id="29">
    <w:p w14:paraId="4DE973A9" w14:textId="6D40FAF7" w:rsidR="003149DF" w:rsidRPr="004117F7" w:rsidRDefault="003149DF" w:rsidP="00DA26BF">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Webb and Webb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_Ref104123564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15</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88-89.</w:t>
      </w:r>
    </w:p>
  </w:footnote>
  <w:footnote w:id="30">
    <w:p w14:paraId="1006F8BC" w14:textId="77777777" w:rsidR="003149DF" w:rsidRPr="004117F7" w:rsidRDefault="003149DF" w:rsidP="00DA26BF">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D. Gutzke, </w:t>
      </w:r>
      <w:r w:rsidRPr="004117F7">
        <w:rPr>
          <w:rFonts w:ascii="Times New Roman" w:hAnsi="Times New Roman" w:cs="Times New Roman"/>
          <w:i/>
        </w:rPr>
        <w:t xml:space="preserve">Women drinking out in Britain since the early twentieth century </w:t>
      </w:r>
      <w:r w:rsidRPr="004117F7">
        <w:rPr>
          <w:rFonts w:ascii="Times New Roman" w:hAnsi="Times New Roman" w:cs="Times New Roman"/>
        </w:rPr>
        <w:t>(2014) 14-15.</w:t>
      </w:r>
    </w:p>
  </w:footnote>
  <w:footnote w:id="31">
    <w:p w14:paraId="7680EBB5" w14:textId="77777777" w:rsidR="003149DF" w:rsidRPr="004117F7" w:rsidRDefault="003149DF" w:rsidP="00DA26BF">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w:t>
      </w:r>
    </w:p>
  </w:footnote>
  <w:footnote w:id="32">
    <w:p w14:paraId="4ADF6D6C" w14:textId="2D10FE45" w:rsidR="003149DF" w:rsidRPr="004117F7" w:rsidRDefault="003149DF" w:rsidP="00DA26BF">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Webb and Webb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_Ref104123564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15</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88-89.</w:t>
      </w:r>
    </w:p>
  </w:footnote>
  <w:footnote w:id="33">
    <w:p w14:paraId="7875AD03" w14:textId="4F27272A" w:rsidR="003149DF" w:rsidRPr="004117F7" w:rsidRDefault="003149DF" w:rsidP="00DA26BF">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Deconinck and Swinnen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_Ref104123680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235.</w:t>
      </w:r>
    </w:p>
  </w:footnote>
  <w:footnote w:id="34">
    <w:p w14:paraId="59A57754"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See B. Bonsor and R. Heslewood, ‘The Public House in a Modern Society’ (1970) 118 </w:t>
      </w:r>
      <w:r w:rsidRPr="004117F7">
        <w:rPr>
          <w:rFonts w:ascii="Times New Roman" w:hAnsi="Times New Roman" w:cs="Times New Roman"/>
          <w:i/>
        </w:rPr>
        <w:t xml:space="preserve">Journal of the Royal Society of Arts </w:t>
      </w:r>
      <w:r w:rsidRPr="004117F7">
        <w:rPr>
          <w:rFonts w:ascii="Times New Roman" w:hAnsi="Times New Roman" w:cs="Times New Roman"/>
        </w:rPr>
        <w:t>449, 453.</w:t>
      </w:r>
    </w:p>
  </w:footnote>
  <w:footnote w:id="35">
    <w:p w14:paraId="3BDFABBB"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i/>
        </w:rPr>
        <w:t xml:space="preserve">Biggs v Hoddinott </w:t>
      </w:r>
      <w:r w:rsidRPr="004117F7">
        <w:rPr>
          <w:rFonts w:ascii="Times New Roman" w:hAnsi="Times New Roman" w:cs="Times New Roman"/>
        </w:rPr>
        <w:t>[1898] 2 Ch 307.</w:t>
      </w:r>
    </w:p>
  </w:footnote>
  <w:footnote w:id="36">
    <w:p w14:paraId="0ECBF316"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bCs/>
        </w:rPr>
        <w:t>[1904] AC 24.</w:t>
      </w:r>
    </w:p>
  </w:footnote>
  <w:footnote w:id="37">
    <w:p w14:paraId="413957C7"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bCs/>
          <w:i/>
        </w:rPr>
        <w:t xml:space="preserve">Noakes v Rice </w:t>
      </w:r>
      <w:r w:rsidRPr="004117F7">
        <w:rPr>
          <w:rFonts w:ascii="Times New Roman" w:hAnsi="Times New Roman" w:cs="Times New Roman"/>
          <w:bCs/>
        </w:rPr>
        <w:t>[1904] AC 24 at 29.</w:t>
      </w:r>
    </w:p>
  </w:footnote>
  <w:footnote w:id="38">
    <w:p w14:paraId="4FE93D64"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bCs/>
          <w:i/>
        </w:rPr>
        <w:t xml:space="preserve">Noakes v Rice </w:t>
      </w:r>
      <w:r w:rsidRPr="004117F7">
        <w:rPr>
          <w:rFonts w:ascii="Times New Roman" w:hAnsi="Times New Roman" w:cs="Times New Roman"/>
          <w:bCs/>
        </w:rPr>
        <w:t>[1904] AC 24 at 29-30.</w:t>
      </w:r>
    </w:p>
  </w:footnote>
  <w:footnote w:id="39">
    <w:p w14:paraId="41E505D6" w14:textId="725E14C4" w:rsidR="003149DF" w:rsidRPr="004117F7" w:rsidRDefault="003149DF" w:rsidP="00A52478">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 Rankin, ‘The Solus Agreement in English Law and in the Law of the European Economic Community’ in D. Gijlstra, H. Schermers and E. Völker (eds), </w:t>
      </w:r>
      <w:r w:rsidRPr="004117F7">
        <w:rPr>
          <w:rFonts w:ascii="Times New Roman" w:hAnsi="Times New Roman" w:cs="Times New Roman"/>
          <w:i/>
          <w:iCs/>
        </w:rPr>
        <w:t>Legal Issues of European Integration</w:t>
      </w:r>
      <w:r w:rsidRPr="004117F7">
        <w:rPr>
          <w:rFonts w:ascii="Times New Roman" w:hAnsi="Times New Roman" w:cs="Times New Roman"/>
        </w:rPr>
        <w:t xml:space="preserve"> (Springer 1974) 2. </w:t>
      </w:r>
    </w:p>
  </w:footnote>
  <w:footnote w:id="40">
    <w:p w14:paraId="0A1DBAC9" w14:textId="629B4925"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S.B.T., ’Petrol Solus Agreements: British Common Law of Restrain of Trade in a New Context’ (1966) 52(4)  </w:t>
      </w:r>
      <w:r w:rsidRPr="004117F7">
        <w:rPr>
          <w:rFonts w:ascii="Times New Roman" w:hAnsi="Times New Roman" w:cs="Times New Roman"/>
          <w:i/>
          <w:iCs/>
        </w:rPr>
        <w:t>Virginia Law Review</w:t>
      </w:r>
      <w:r w:rsidRPr="004117F7">
        <w:rPr>
          <w:rFonts w:ascii="Times New Roman" w:hAnsi="Times New Roman" w:cs="Times New Roman"/>
        </w:rPr>
        <w:t>.  690; and ibid 3. “The Solus Agreement in English Law and in the Law of the European Economic Community” by William Rankin. Pg. 3</w:t>
      </w:r>
    </w:p>
  </w:footnote>
  <w:footnote w:id="41">
    <w:p w14:paraId="00F8B17E" w14:textId="0917FF3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Rankin (n 65).</w:t>
      </w:r>
    </w:p>
  </w:footnote>
  <w:footnote w:id="42">
    <w:p w14:paraId="5FBDCDA4"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i/>
        </w:rPr>
        <w:t xml:space="preserve">Petrofina (GT. Britain) Ltd. v Martin and another </w:t>
      </w:r>
      <w:r w:rsidRPr="004117F7">
        <w:rPr>
          <w:rFonts w:ascii="Times New Roman" w:hAnsi="Times New Roman" w:cs="Times New Roman"/>
        </w:rPr>
        <w:t>[1966] 2 W.L.R. 318.</w:t>
      </w:r>
    </w:p>
  </w:footnote>
  <w:footnote w:id="43">
    <w:p w14:paraId="0F87067E"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i/>
        </w:rPr>
        <w:t xml:space="preserve">Petrofina (GT. Britain) Ltd. v Martin and another </w:t>
      </w:r>
      <w:r w:rsidRPr="004117F7">
        <w:rPr>
          <w:rFonts w:ascii="Times New Roman" w:hAnsi="Times New Roman" w:cs="Times New Roman"/>
        </w:rPr>
        <w:t>[1966] 2 W.L.R. 318.</w:t>
      </w:r>
    </w:p>
  </w:footnote>
  <w:footnote w:id="44">
    <w:p w14:paraId="4A10BCA8"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[1969] 1 W.L.R. 116.</w:t>
      </w:r>
    </w:p>
  </w:footnote>
  <w:footnote w:id="45">
    <w:p w14:paraId="7F224B4D"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[1969] 1 W.L.R. 116 [119].</w:t>
      </w:r>
    </w:p>
  </w:footnote>
  <w:footnote w:id="46">
    <w:p w14:paraId="61AFB3BE"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P. Robinson, P. Cox, S. Cooper and R. Rahimi, 'The Service Delivery Process' in A. Kenyon, P. Robinson, and J. Musgrave (eds) </w:t>
      </w:r>
      <w:r w:rsidRPr="004117F7">
        <w:rPr>
          <w:rFonts w:ascii="Times New Roman" w:hAnsi="Times New Roman" w:cs="Times New Roman"/>
          <w:i/>
        </w:rPr>
        <w:t>Managing Hospitality Experiences</w:t>
      </w:r>
      <w:r w:rsidRPr="004117F7">
        <w:rPr>
          <w:rFonts w:ascii="Times New Roman" w:hAnsi="Times New Roman" w:cs="Times New Roman"/>
        </w:rPr>
        <w:t xml:space="preserve"> 115-139.</w:t>
      </w:r>
    </w:p>
  </w:footnote>
  <w:footnote w:id="47">
    <w:p w14:paraId="2C8F7A15" w14:textId="2C16647B"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See, for instance, the relatively new “retail agreements” offered by the large PubCo, Marstons PLC: Marstons, ‘Our agreements’ (2022) at: </w:t>
      </w:r>
      <w:hyperlink r:id="rId5" w:history="1">
        <w:r w:rsidRPr="004117F7">
          <w:rPr>
            <w:rStyle w:val="Hyperlink"/>
            <w:rFonts w:ascii="Times New Roman" w:hAnsi="Times New Roman" w:cs="Times New Roman"/>
          </w:rPr>
          <w:t>https://runamarstonspub.co.uk/our-agreements/</w:t>
        </w:r>
      </w:hyperlink>
      <w:r w:rsidRPr="004117F7">
        <w:rPr>
          <w:rFonts w:ascii="Times New Roman" w:hAnsi="Times New Roman" w:cs="Times New Roman"/>
        </w:rPr>
        <w:t xml:space="preserve"> [accessed 14</w:t>
      </w:r>
      <w:r w:rsidRPr="004117F7">
        <w:rPr>
          <w:rFonts w:ascii="Times New Roman" w:hAnsi="Times New Roman" w:cs="Times New Roman"/>
          <w:vertAlign w:val="superscript"/>
        </w:rPr>
        <w:t>th</w:t>
      </w:r>
      <w:r w:rsidRPr="004117F7">
        <w:rPr>
          <w:rFonts w:ascii="Times New Roman" w:hAnsi="Times New Roman" w:cs="Times New Roman"/>
        </w:rPr>
        <w:t xml:space="preserve"> August 2022].</w:t>
      </w:r>
    </w:p>
  </w:footnote>
  <w:footnote w:id="48">
    <w:p w14:paraId="174B4D5A" w14:textId="77777777" w:rsidR="003149DF" w:rsidRPr="004117F7" w:rsidRDefault="003149DF" w:rsidP="00DA26B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Indeed, this has sometimes led large PubCos to run their own graduate schemes to increase the pool of management talent. See: G. Lincoln and A. Bradbury, ‘The Need for a New Breed of Licensed Retail Managers’ (1996) 8(1) </w:t>
      </w:r>
      <w:r w:rsidRPr="004117F7">
        <w:rPr>
          <w:rFonts w:ascii="Times New Roman" w:hAnsi="Times New Roman" w:cs="Times New Roman"/>
          <w:i/>
        </w:rPr>
        <w:t xml:space="preserve">International Journal of Wine Marketing </w:t>
      </w:r>
      <w:r w:rsidRPr="004117F7">
        <w:rPr>
          <w:rFonts w:ascii="Times New Roman" w:hAnsi="Times New Roman" w:cs="Times New Roman"/>
        </w:rPr>
        <w:t>19, 20-21.</w:t>
      </w:r>
    </w:p>
  </w:footnote>
  <w:footnote w:id="49">
    <w:p w14:paraId="4262BBAD" w14:textId="1BC9D17D" w:rsidR="003149DF" w:rsidRPr="00572134"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572134">
        <w:rPr>
          <w:rFonts w:ascii="Times New Roman" w:hAnsi="Times New Roman" w:cs="Times New Roman"/>
          <w:color w:val="000000" w:themeColor="text1"/>
        </w:rPr>
        <w:t xml:space="preserve"> Ibid.</w:t>
      </w:r>
    </w:p>
  </w:footnote>
  <w:footnote w:id="50">
    <w:p w14:paraId="60C6C592" w14:textId="0ECDC7C8"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P. Sandiford and D. Seymour, ‘Serving and consuming: drink, work and leisure in public houses’ (2013) 27(1) Work, Employment and Society 122; P. Sandiford and D. Seymour, ‘Emotional Labor in Public Houses: Reflections on a Pilot Study’ (2002) 26(1) </w:t>
      </w:r>
      <w:r w:rsidRPr="004117F7">
        <w:rPr>
          <w:rFonts w:ascii="Times New Roman" w:hAnsi="Times New Roman" w:cs="Times New Roman"/>
          <w:i/>
          <w:iCs/>
          <w:color w:val="000000" w:themeColor="text1"/>
        </w:rPr>
        <w:t xml:space="preserve">Journal of Hospitality &amp; Tourism Research </w:t>
      </w:r>
      <w:r w:rsidRPr="004117F7">
        <w:rPr>
          <w:rFonts w:ascii="Times New Roman" w:hAnsi="Times New Roman" w:cs="Times New Roman"/>
          <w:color w:val="000000" w:themeColor="text1"/>
        </w:rPr>
        <w:t>54.</w:t>
      </w:r>
    </w:p>
  </w:footnote>
  <w:footnote w:id="51">
    <w:p w14:paraId="44965731" w14:textId="525949E6"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 62.</w:t>
      </w:r>
    </w:p>
  </w:footnote>
  <w:footnote w:id="52">
    <w:p w14:paraId="569BD4E2" w14:textId="78D01C83"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M. Smith, ‘The Publican: Role Conflict and Aspects of Social Control’ (1985) 5(1) </w:t>
      </w:r>
      <w:r w:rsidRPr="004117F7">
        <w:rPr>
          <w:rFonts w:ascii="Times New Roman" w:hAnsi="Times New Roman" w:cs="Times New Roman"/>
          <w:i/>
          <w:iCs/>
          <w:color w:val="000000" w:themeColor="text1"/>
        </w:rPr>
        <w:t xml:space="preserve">The Service Industries Journal </w:t>
      </w:r>
      <w:r w:rsidRPr="004117F7">
        <w:rPr>
          <w:rFonts w:ascii="Times New Roman" w:hAnsi="Times New Roman" w:cs="Times New Roman"/>
          <w:color w:val="000000" w:themeColor="text1"/>
        </w:rPr>
        <w:t>23, 24.</w:t>
      </w:r>
    </w:p>
  </w:footnote>
  <w:footnote w:id="53">
    <w:p w14:paraId="3342B306" w14:textId="638498CA"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w:t>
      </w:r>
    </w:p>
  </w:footnote>
  <w:footnote w:id="54">
    <w:p w14:paraId="20DACD9D" w14:textId="0AAAB176"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w:t>
      </w:r>
    </w:p>
  </w:footnote>
  <w:footnote w:id="55">
    <w:p w14:paraId="050ED11D" w14:textId="4B661194"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P. Talbot, ‘Disinterested Management: An Early Example of Corporate Social Responsibility’ (2015) 3(5) </w:t>
      </w:r>
      <w:r w:rsidRPr="004117F7">
        <w:rPr>
          <w:rFonts w:ascii="Times New Roman" w:hAnsi="Times New Roman" w:cs="Times New Roman"/>
          <w:i/>
          <w:iCs/>
          <w:color w:val="000000" w:themeColor="text1"/>
        </w:rPr>
        <w:t>International Journal of Social Science Studies</w:t>
      </w:r>
      <w:r w:rsidRPr="004117F7">
        <w:rPr>
          <w:rFonts w:ascii="Times New Roman" w:hAnsi="Times New Roman" w:cs="Times New Roman"/>
          <w:color w:val="000000" w:themeColor="text1"/>
        </w:rPr>
        <w:t xml:space="preserve"> 26.</w:t>
      </w:r>
    </w:p>
  </w:footnote>
  <w:footnote w:id="56">
    <w:p w14:paraId="2478E72E" w14:textId="4C256F2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J. Pratten, ‘Rent and the lessee’ (2005) 17(2) </w:t>
      </w:r>
      <w:r w:rsidRPr="004117F7">
        <w:rPr>
          <w:rFonts w:ascii="Times New Roman" w:hAnsi="Times New Roman" w:cs="Times New Roman"/>
          <w:i/>
          <w:iCs/>
          <w:color w:val="000000" w:themeColor="text1"/>
        </w:rPr>
        <w:t xml:space="preserve">International Journal of Contemporary Hospitality Management </w:t>
      </w:r>
      <w:r w:rsidRPr="004117F7">
        <w:rPr>
          <w:rFonts w:ascii="Times New Roman" w:hAnsi="Times New Roman" w:cs="Times New Roman"/>
          <w:color w:val="000000" w:themeColor="text1"/>
        </w:rPr>
        <w:t>157.</w:t>
      </w:r>
    </w:p>
  </w:footnote>
  <w:footnote w:id="57">
    <w:p w14:paraId="4D49988A" w14:textId="5C4D5179"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w:t>
      </w:r>
    </w:p>
  </w:footnote>
  <w:footnote w:id="58">
    <w:p w14:paraId="5E1B4346" w14:textId="3F9ADD43" w:rsidR="00097BB5" w:rsidRPr="00097BB5" w:rsidRDefault="00097BB5">
      <w:pPr>
        <w:pStyle w:val="FootnoteText"/>
      </w:pPr>
      <w:r>
        <w:rPr>
          <w:rStyle w:val="FootnoteReference"/>
        </w:rPr>
        <w:footnoteRef/>
      </w:r>
      <w:r w:rsidRPr="00097BB5">
        <w:t xml:space="preserve"> J</w:t>
      </w:r>
      <w:r w:rsidRPr="00FD0EFE">
        <w:t>. Meers and L. H</w:t>
      </w:r>
      <w:r>
        <w:t>ind, ‘</w:t>
      </w:r>
      <w:r w:rsidRPr="00097BB5">
        <w:t>The ‘code adjudicator’ model: the Pubs Code, statutory arbitration and the tied lease</w:t>
      </w:r>
      <w:r>
        <w:t xml:space="preserve">’ (2021) 42(2) </w:t>
      </w:r>
      <w:r>
        <w:rPr>
          <w:i/>
          <w:iCs/>
        </w:rPr>
        <w:t xml:space="preserve">Legal Studies </w:t>
      </w:r>
      <w:r w:rsidRPr="00FD0EFE">
        <w:t>296</w:t>
      </w:r>
      <w:r>
        <w:t>–</w:t>
      </w:r>
      <w:r w:rsidRPr="00FD0EFE">
        <w:t>314</w:t>
      </w:r>
      <w:r>
        <w:t>.</w:t>
      </w:r>
    </w:p>
  </w:footnote>
  <w:footnote w:id="59">
    <w:p w14:paraId="31B31F3A" w14:textId="77777777" w:rsidR="005B12A3" w:rsidRPr="00572134" w:rsidRDefault="005B12A3" w:rsidP="005B12A3">
      <w:pPr>
        <w:pStyle w:val="FootnoteText"/>
      </w:pPr>
      <w:r>
        <w:rPr>
          <w:rStyle w:val="FootnoteReference"/>
        </w:rPr>
        <w:footnoteRef/>
      </w:r>
      <w:r w:rsidRPr="00572134">
        <w:t xml:space="preserve"> </w:t>
      </w:r>
      <w:r w:rsidRPr="00572134">
        <w:rPr>
          <w:rFonts w:ascii="Times New Roman" w:hAnsi="Times New Roman" w:cs="Times New Roman"/>
        </w:rPr>
        <w:t xml:space="preserve">Cowan et al (n </w:t>
      </w:r>
      <w:r w:rsidRPr="004117F7">
        <w:rPr>
          <w:rFonts w:ascii="Times New Roman" w:hAnsi="Times New Roman" w:cs="Times New Roman"/>
        </w:rPr>
        <w:fldChar w:fldCharType="begin"/>
      </w:r>
      <w:r w:rsidRPr="00572134">
        <w:rPr>
          <w:rFonts w:ascii="Times New Roman" w:hAnsi="Times New Roman" w:cs="Times New Roman"/>
        </w:rPr>
        <w:instrText xml:space="preserve"> NOTEREF _Ref104121140 \h  \* MERGEFORMAT </w:instrText>
      </w:r>
      <w:r w:rsidRPr="004117F7">
        <w:rPr>
          <w:rFonts w:ascii="Times New Roman" w:hAnsi="Times New Roman" w:cs="Times New Roman"/>
        </w:rPr>
      </w:r>
      <w:r w:rsidRPr="004117F7">
        <w:rPr>
          <w:rFonts w:ascii="Times New Roman" w:hAnsi="Times New Roman" w:cs="Times New Roman"/>
        </w:rPr>
        <w:fldChar w:fldCharType="separate"/>
      </w:r>
      <w:r w:rsidRPr="00572134">
        <w:rPr>
          <w:rFonts w:ascii="Times New Roman" w:hAnsi="Times New Roman" w:cs="Times New Roman"/>
        </w:rPr>
        <w:t>10</w:t>
      </w:r>
      <w:r w:rsidRPr="004117F7">
        <w:rPr>
          <w:rFonts w:ascii="Times New Roman" w:hAnsi="Times New Roman" w:cs="Times New Roman"/>
        </w:rPr>
        <w:fldChar w:fldCharType="end"/>
      </w:r>
      <w:r w:rsidRPr="00572134">
        <w:rPr>
          <w:rFonts w:ascii="Times New Roman" w:hAnsi="Times New Roman" w:cs="Times New Roman"/>
        </w:rPr>
        <w:t>) 24, 50, 213.</w:t>
      </w:r>
    </w:p>
  </w:footnote>
  <w:footnote w:id="60">
    <w:p w14:paraId="5F9AE066" w14:textId="0C2A797A"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B. Gillham, ‘How should pubs be valued?’ (1993) 11(3) </w:t>
      </w:r>
      <w:r w:rsidRPr="004117F7">
        <w:rPr>
          <w:rFonts w:ascii="Times New Roman" w:hAnsi="Times New Roman" w:cs="Times New Roman"/>
          <w:i/>
          <w:iCs/>
          <w:color w:val="000000" w:themeColor="text1"/>
        </w:rPr>
        <w:t xml:space="preserve">Journal of Property Valuation and Investment </w:t>
      </w:r>
      <w:r w:rsidRPr="004117F7">
        <w:rPr>
          <w:rFonts w:ascii="Times New Roman" w:hAnsi="Times New Roman" w:cs="Times New Roman"/>
          <w:color w:val="000000" w:themeColor="text1"/>
        </w:rPr>
        <w:t>217.</w:t>
      </w:r>
    </w:p>
  </w:footnote>
  <w:footnote w:id="61">
    <w:p w14:paraId="539F9553" w14:textId="0CED72F8"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K. Chapman and V. Edwards, ‘Structural surveys of public houses’ (1993) 11(3) </w:t>
      </w:r>
      <w:r w:rsidRPr="004117F7">
        <w:rPr>
          <w:rFonts w:ascii="Times New Roman" w:hAnsi="Times New Roman" w:cs="Times New Roman"/>
          <w:i/>
          <w:iCs/>
          <w:color w:val="000000" w:themeColor="text1"/>
        </w:rPr>
        <w:t>Structural Survey</w:t>
      </w:r>
      <w:r w:rsidRPr="004117F7">
        <w:rPr>
          <w:rFonts w:ascii="Times New Roman" w:hAnsi="Times New Roman" w:cs="Times New Roman"/>
          <w:color w:val="000000" w:themeColor="text1"/>
        </w:rPr>
        <w:t xml:space="preserve"> 227.</w:t>
      </w:r>
    </w:p>
  </w:footnote>
  <w:footnote w:id="62">
    <w:p w14:paraId="2C307D0D" w14:textId="6B06B4B0"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w:t>
      </w:r>
    </w:p>
  </w:footnote>
  <w:footnote w:id="63">
    <w:p w14:paraId="5B3A24C7" w14:textId="305A1018"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N. Crosby, C. Hughes and S. Murdoch, ‘Flexible Property Leasing and the Small Business Tenant’ (2007) 23(2) </w:t>
      </w:r>
      <w:r w:rsidRPr="004117F7">
        <w:rPr>
          <w:rFonts w:ascii="Times New Roman" w:hAnsi="Times New Roman" w:cs="Times New Roman"/>
          <w:i/>
          <w:iCs/>
          <w:color w:val="000000" w:themeColor="text1"/>
        </w:rPr>
        <w:t xml:space="preserve">Journal of Property Research </w:t>
      </w:r>
      <w:r w:rsidRPr="004117F7">
        <w:rPr>
          <w:rFonts w:ascii="Times New Roman" w:hAnsi="Times New Roman" w:cs="Times New Roman"/>
          <w:color w:val="000000" w:themeColor="text1"/>
        </w:rPr>
        <w:t>163, 164-165.</w:t>
      </w:r>
    </w:p>
  </w:footnote>
  <w:footnote w:id="64">
    <w:p w14:paraId="22C7E301" w14:textId="7DE19038" w:rsidR="003149DF" w:rsidRPr="001A0ADB" w:rsidRDefault="003149DF">
      <w:pPr>
        <w:pStyle w:val="FootnoteText"/>
      </w:pPr>
      <w:r>
        <w:rPr>
          <w:rStyle w:val="FootnoteReference"/>
        </w:rPr>
        <w:footnoteRef/>
      </w:r>
      <w:r>
        <w:t xml:space="preserve"> D. Harris, ‘</w:t>
      </w:r>
      <w:r w:rsidRPr="001A0ADB">
        <w:t>Condominium and the City: The Rise of Property in Vancouver</w:t>
      </w:r>
      <w:r>
        <w:t xml:space="preserve">’ (2011) 36(3) </w:t>
      </w:r>
      <w:r>
        <w:rPr>
          <w:i/>
        </w:rPr>
        <w:t xml:space="preserve">Law &amp; Social Inquiry, </w:t>
      </w:r>
      <w:r w:rsidRPr="00FD0EFE">
        <w:t>694-726</w:t>
      </w:r>
      <w:r>
        <w:t>.</w:t>
      </w:r>
    </w:p>
  </w:footnote>
  <w:footnote w:id="65">
    <w:p w14:paraId="60A1C3F4" w14:textId="52E08B51"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A. Orr, A. Gardner, C. Jackson and J. White, ‘Changing tenant covenant perceptions and flexibility in the lease model in UK city centres’ (Forthcoming) </w:t>
      </w:r>
      <w:r w:rsidRPr="004117F7">
        <w:rPr>
          <w:rFonts w:ascii="Times New Roman" w:hAnsi="Times New Roman" w:cs="Times New Roman"/>
          <w:i/>
          <w:iCs/>
          <w:color w:val="000000" w:themeColor="text1"/>
        </w:rPr>
        <w:t xml:space="preserve">Journal of Property Research </w:t>
      </w:r>
      <w:r w:rsidRPr="004117F7">
        <w:rPr>
          <w:rFonts w:ascii="Times New Roman" w:hAnsi="Times New Roman" w:cs="Times New Roman"/>
          <w:color w:val="000000" w:themeColor="text1"/>
        </w:rPr>
        <w:t xml:space="preserve">DOI: </w:t>
      </w:r>
      <w:hyperlink r:id="rId6" w:history="1">
        <w:r w:rsidRPr="004117F7">
          <w:rPr>
            <w:rStyle w:val="Hyperlink"/>
            <w:rFonts w:ascii="Times New Roman" w:hAnsi="Times New Roman" w:cs="Times New Roman"/>
            <w:color w:val="000000" w:themeColor="text1"/>
          </w:rPr>
          <w:t>https://doi.org/10.1080/09599916.2022.2057866</w:t>
        </w:r>
      </w:hyperlink>
      <w:r w:rsidRPr="004117F7">
        <w:rPr>
          <w:rFonts w:ascii="Times New Roman" w:hAnsi="Times New Roman" w:cs="Times New Roman"/>
          <w:color w:val="000000" w:themeColor="text1"/>
        </w:rPr>
        <w:t xml:space="preserve"> </w:t>
      </w:r>
    </w:p>
  </w:footnote>
  <w:footnote w:id="66">
    <w:p w14:paraId="38E7436E" w14:textId="6295C313"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w:t>
      </w:r>
    </w:p>
  </w:footnote>
  <w:footnote w:id="67">
    <w:p w14:paraId="2FFAC047" w14:textId="1FD087B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w:t>
      </w:r>
      <w:r w:rsidRPr="004E4293">
        <w:rPr>
          <w:rFonts w:ascii="Times New Roman" w:hAnsi="Times New Roman" w:cs="Times New Roman"/>
          <w:color w:val="000000" w:themeColor="text1"/>
        </w:rPr>
        <w:t>S. Martins and T. Williamson, ‘The Development of the Lease and Its Role in Agricultural Improvement in East Anglia, 1660–1870’ (1998) 46(2) The Agricultural History Review 127</w:t>
      </w:r>
      <w:r>
        <w:rPr>
          <w:rFonts w:ascii="Times New Roman" w:hAnsi="Times New Roman" w:cs="Times New Roman"/>
          <w:color w:val="000000" w:themeColor="text1"/>
        </w:rPr>
        <w:t>,</w:t>
      </w:r>
      <w:r w:rsidRPr="004117F7">
        <w:rPr>
          <w:rFonts w:ascii="Times New Roman" w:hAnsi="Times New Roman" w:cs="Times New Roman"/>
          <w:color w:val="000000" w:themeColor="text1"/>
        </w:rPr>
        <w:t>141.</w:t>
      </w:r>
    </w:p>
  </w:footnote>
  <w:footnote w:id="68">
    <w:p w14:paraId="289EE146" w14:textId="56D95CBD"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M. Hamilton, B. Kirkman, L. Lim and W. McCluskey, ‘The changing pattern of commercial lease terms: Evidence from Birmingham, London, Manchester and Belfast’ (2006) 24(1) </w:t>
      </w:r>
      <w:r w:rsidRPr="004117F7">
        <w:rPr>
          <w:rFonts w:ascii="Times New Roman" w:hAnsi="Times New Roman" w:cs="Times New Roman"/>
          <w:i/>
          <w:color w:val="000000" w:themeColor="text1"/>
        </w:rPr>
        <w:t>Property Management</w:t>
      </w:r>
      <w:r w:rsidRPr="004117F7">
        <w:rPr>
          <w:rFonts w:ascii="Times New Roman" w:hAnsi="Times New Roman" w:cs="Times New Roman"/>
          <w:color w:val="000000" w:themeColor="text1"/>
        </w:rPr>
        <w:t xml:space="preserve"> 31.</w:t>
      </w:r>
    </w:p>
  </w:footnote>
  <w:footnote w:id="69">
    <w:p w14:paraId="515CB615" w14:textId="77777777" w:rsidR="003149DF" w:rsidRPr="004117F7" w:rsidRDefault="003149DF" w:rsidP="000B430A">
      <w:pPr>
        <w:pStyle w:val="FootnoteText"/>
        <w:jc w:val="both"/>
        <w:rPr>
          <w:rFonts w:ascii="Times New Roman" w:hAnsi="Times New Roman" w:cs="Times New Roman"/>
          <w:i/>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E. Clapham, ‘Leases with upward-only characteristics’ (2004) 21(1) </w:t>
      </w:r>
      <w:r w:rsidRPr="004117F7">
        <w:rPr>
          <w:rFonts w:ascii="Times New Roman" w:hAnsi="Times New Roman" w:cs="Times New Roman"/>
          <w:i/>
          <w:color w:val="000000" w:themeColor="text1"/>
        </w:rPr>
        <w:t>Journal of</w:t>
      </w:r>
    </w:p>
    <w:p w14:paraId="72351192" w14:textId="6B6E77D5" w:rsidR="003149DF" w:rsidRPr="004117F7" w:rsidRDefault="003149DF" w:rsidP="000B430A">
      <w:pPr>
        <w:pStyle w:val="FootnoteText"/>
        <w:jc w:val="both"/>
        <w:rPr>
          <w:rFonts w:ascii="Times New Roman" w:hAnsi="Times New Roman" w:cs="Times New Roman"/>
          <w:color w:val="000000" w:themeColor="text1"/>
        </w:rPr>
      </w:pPr>
      <w:r w:rsidRPr="004117F7">
        <w:rPr>
          <w:rFonts w:ascii="Times New Roman" w:hAnsi="Times New Roman" w:cs="Times New Roman"/>
          <w:i/>
          <w:color w:val="000000" w:themeColor="text1"/>
        </w:rPr>
        <w:t xml:space="preserve">Property Research </w:t>
      </w:r>
      <w:r w:rsidRPr="004117F7">
        <w:rPr>
          <w:rFonts w:ascii="Times New Roman" w:hAnsi="Times New Roman" w:cs="Times New Roman"/>
          <w:color w:val="000000" w:themeColor="text1"/>
        </w:rPr>
        <w:t>31, 31-32.</w:t>
      </w:r>
    </w:p>
  </w:footnote>
  <w:footnote w:id="70">
    <w:p w14:paraId="78EFF164" w14:textId="1E062A39"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Orr et al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_Ref104207535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63</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w:t>
      </w:r>
    </w:p>
  </w:footnote>
  <w:footnote w:id="71">
    <w:p w14:paraId="280C8423" w14:textId="0A22096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S. Bond, P. Loizou and P. McAllister, ‘Lease Maturity and Initial Rent: Is There a Term Structure for UK Commercial Property Leases?’(2008) 36 </w:t>
      </w:r>
      <w:r w:rsidRPr="004117F7">
        <w:rPr>
          <w:rFonts w:ascii="Times New Roman" w:hAnsi="Times New Roman" w:cs="Times New Roman"/>
          <w:i/>
          <w:color w:val="000000" w:themeColor="text1"/>
        </w:rPr>
        <w:t>J Real Estate Finan Econ</w:t>
      </w:r>
      <w:r w:rsidRPr="004117F7">
        <w:rPr>
          <w:rFonts w:ascii="Times New Roman" w:hAnsi="Times New Roman" w:cs="Times New Roman"/>
          <w:color w:val="000000" w:themeColor="text1"/>
        </w:rPr>
        <w:t xml:space="preserve"> 451.</w:t>
      </w:r>
    </w:p>
  </w:footnote>
  <w:footnote w:id="72">
    <w:p w14:paraId="03360178" w14:textId="101A4E44"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Hamilton et al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_Ref104207681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66</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w:t>
      </w:r>
    </w:p>
  </w:footnote>
  <w:footnote w:id="73">
    <w:p w14:paraId="49E30866" w14:textId="1A404AF9" w:rsidR="003149DF" w:rsidRPr="004117F7" w:rsidRDefault="003149DF" w:rsidP="00180491">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Day and Kelton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_Ref104207767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24</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).I return to this in more detail below.</w:t>
      </w:r>
    </w:p>
  </w:footnote>
  <w:footnote w:id="74">
    <w:p w14:paraId="25C6068D" w14:textId="2F88EB2E"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House of Commons Library, ‘Last orders? The decline of pubs around the UK’ (2019) at: </w:t>
      </w:r>
      <w:hyperlink r:id="rId7">
        <w:r w:rsidRPr="004117F7">
          <w:rPr>
            <w:rStyle w:val="Hyperlink"/>
            <w:rFonts w:ascii="Times New Roman" w:hAnsi="Times New Roman" w:cs="Times New Roman"/>
            <w:color w:val="000000" w:themeColor="text1"/>
          </w:rPr>
          <w:t>https://commonslibrary.parliament.uk/last-orders-the-decline-of-pubs-around-the-uk/</w:t>
        </w:r>
      </w:hyperlink>
      <w:r w:rsidRPr="004117F7">
        <w:rPr>
          <w:rFonts w:ascii="Times New Roman" w:hAnsi="Times New Roman" w:cs="Times New Roman"/>
          <w:color w:val="000000" w:themeColor="text1"/>
        </w:rPr>
        <w:t xml:space="preserve"> </w:t>
      </w:r>
    </w:p>
  </w:footnote>
  <w:footnote w:id="75">
    <w:p w14:paraId="38F6235E" w14:textId="19A47CE0" w:rsidR="003149DF" w:rsidRPr="004117F7" w:rsidRDefault="003149DF" w:rsidP="00180491">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Day and Kelton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_Ref104207767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24</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314.</w:t>
      </w:r>
    </w:p>
  </w:footnote>
  <w:footnote w:id="76">
    <w:p w14:paraId="55B7A650" w14:textId="5C178BD9"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L. Keenan, ‘Financialization, securitization and the decline of pubs in Britain’ (2020) 20(6) </w:t>
      </w:r>
      <w:r w:rsidRPr="004117F7">
        <w:rPr>
          <w:rFonts w:ascii="Times New Roman" w:hAnsi="Times New Roman" w:cs="Times New Roman"/>
          <w:i/>
          <w:color w:val="000000" w:themeColor="text1"/>
        </w:rPr>
        <w:t xml:space="preserve">Journal of Economic Geography </w:t>
      </w:r>
      <w:r w:rsidRPr="004117F7">
        <w:rPr>
          <w:rFonts w:ascii="Times New Roman" w:hAnsi="Times New Roman" w:cs="Times New Roman"/>
          <w:color w:val="000000" w:themeColor="text1"/>
        </w:rPr>
        <w:t>1293.</w:t>
      </w:r>
    </w:p>
  </w:footnote>
  <w:footnote w:id="77">
    <w:p w14:paraId="01742AC0" w14:textId="1BC7AAF2"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S. Blandy, S. Nield and S. Bright, ‘Real property on the ground: the law of people and place’ in </w:t>
      </w:r>
      <w:r w:rsidRPr="004117F7">
        <w:rPr>
          <w:rFonts w:ascii="Times New Roman" w:hAnsi="Times New Roman" w:cs="Times New Roman"/>
          <w:i/>
          <w:color w:val="000000" w:themeColor="text1"/>
        </w:rPr>
        <w:t xml:space="preserve">Research Handbook on Private Law Theory, </w:t>
      </w:r>
      <w:r w:rsidRPr="004117F7">
        <w:rPr>
          <w:rFonts w:ascii="Times New Roman" w:hAnsi="Times New Roman" w:cs="Times New Roman"/>
          <w:color w:val="000000" w:themeColor="text1"/>
        </w:rPr>
        <w:t>eds. H. Dagan and B. Zipursky (2020) 237.</w:t>
      </w:r>
    </w:p>
  </w:footnote>
  <w:footnote w:id="78">
    <w:p w14:paraId="6098B980" w14:textId="0438A254"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M. Cox, ‘Pub securitisation: What next?’ (2003) 3(2) </w:t>
      </w:r>
      <w:r w:rsidRPr="004117F7">
        <w:rPr>
          <w:rFonts w:ascii="Times New Roman" w:hAnsi="Times New Roman" w:cs="Times New Roman"/>
          <w:i/>
          <w:color w:val="000000" w:themeColor="text1"/>
        </w:rPr>
        <w:t xml:space="preserve">Journal of Retail &amp; Leisure Property </w:t>
      </w:r>
      <w:r w:rsidRPr="004117F7">
        <w:rPr>
          <w:rFonts w:ascii="Times New Roman" w:hAnsi="Times New Roman" w:cs="Times New Roman"/>
          <w:color w:val="000000" w:themeColor="text1"/>
        </w:rPr>
        <w:t>130.</w:t>
      </w:r>
    </w:p>
  </w:footnote>
  <w:footnote w:id="79">
    <w:p w14:paraId="5E1154B7" w14:textId="012F33FF"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 136.</w:t>
      </w:r>
    </w:p>
  </w:footnote>
  <w:footnote w:id="80">
    <w:p w14:paraId="59EBE764" w14:textId="70F613A5"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Keenan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_Ref104208938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74</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xml:space="preserve">). </w:t>
      </w:r>
    </w:p>
  </w:footnote>
  <w:footnote w:id="81">
    <w:p w14:paraId="28A79F65" w14:textId="1BDB3766" w:rsidR="003149DF" w:rsidRPr="004117F7" w:rsidRDefault="003149DF" w:rsidP="0058622C">
      <w:pPr>
        <w:pStyle w:val="FootnoteText"/>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FD0EFE">
        <w:rPr>
          <w:rFonts w:ascii="Times New Roman" w:hAnsi="Times New Roman" w:cs="Times New Roman"/>
          <w:color w:val="000000" w:themeColor="text1"/>
        </w:rPr>
        <w:t xml:space="preserve">Cowan et al (n </w:t>
      </w:r>
      <w:r w:rsidRPr="004117F7">
        <w:rPr>
          <w:rFonts w:ascii="Times New Roman" w:hAnsi="Times New Roman" w:cs="Times New Roman"/>
          <w:color w:val="000000" w:themeColor="text1"/>
        </w:rPr>
        <w:fldChar w:fldCharType="begin"/>
      </w:r>
      <w:r w:rsidRPr="00FD0EFE">
        <w:rPr>
          <w:rFonts w:ascii="Times New Roman" w:hAnsi="Times New Roman" w:cs="Times New Roman"/>
          <w:color w:val="000000" w:themeColor="text1"/>
        </w:rPr>
        <w:instrText xml:space="preserve"> NOTEREF _Ref104121140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sidRPr="00FD0EFE">
        <w:rPr>
          <w:rFonts w:ascii="Times New Roman" w:hAnsi="Times New Roman" w:cs="Times New Roman"/>
          <w:color w:val="000000" w:themeColor="text1"/>
        </w:rPr>
        <w:t>10</w:t>
      </w:r>
      <w:r w:rsidRPr="004117F7">
        <w:rPr>
          <w:rFonts w:ascii="Times New Roman" w:hAnsi="Times New Roman" w:cs="Times New Roman"/>
          <w:color w:val="000000" w:themeColor="text1"/>
        </w:rPr>
        <w:fldChar w:fldCharType="end"/>
      </w:r>
      <w:r w:rsidRPr="00FD0EFE">
        <w:rPr>
          <w:rFonts w:ascii="Times New Roman" w:hAnsi="Times New Roman" w:cs="Times New Roman"/>
          <w:color w:val="000000" w:themeColor="text1"/>
        </w:rPr>
        <w:t>) 74.</w:t>
      </w:r>
    </w:p>
  </w:footnote>
  <w:footnote w:id="82">
    <w:p w14:paraId="1C05B34D" w14:textId="44644274" w:rsidR="003149DF" w:rsidRPr="004117F7" w:rsidRDefault="003149DF" w:rsidP="000B430A">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Greene King, Marston's, Star Pubs &amp; Bars, Admiral Taverns, Punch Taverns, and Enterprise Inns.</w:t>
      </w:r>
    </w:p>
  </w:footnote>
  <w:footnote w:id="83">
    <w:p w14:paraId="4882E939" w14:textId="2B377B5D" w:rsidR="003149DF" w:rsidRPr="004117F7" w:rsidRDefault="003149DF" w:rsidP="000B430A">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00FD0EFE">
        <w:rPr>
          <w:rFonts w:ascii="Times New Roman" w:hAnsi="Times New Roman" w:cs="Times New Roman"/>
        </w:rPr>
        <w:t>Meers and Hind (n 58 above).</w:t>
      </w:r>
    </w:p>
  </w:footnote>
  <w:footnote w:id="84">
    <w:p w14:paraId="7CEF325B" w14:textId="43E913A1" w:rsidR="003149DF" w:rsidRPr="004117F7" w:rsidRDefault="003149DF">
      <w:pPr>
        <w:pStyle w:val="FootnoteText"/>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 xml:space="preserve">This lease can be accessed in full at: </w:t>
      </w:r>
      <w:hyperlink r:id="rId8" w:history="1">
        <w:r w:rsidRPr="004117F7">
          <w:rPr>
            <w:rStyle w:val="Hyperlink"/>
            <w:rFonts w:ascii="Times New Roman" w:hAnsi="Times New Roman" w:cs="Times New Roman"/>
            <w:lang w:val="en-US"/>
          </w:rPr>
          <w:t>https://www.starpubs.co.uk/-/media/project/starpubs/general/pdfs/agreements/20211014--pdf-copy--investment-tenancy-precedent.pdf</w:t>
        </w:r>
      </w:hyperlink>
      <w:r w:rsidRPr="004117F7">
        <w:rPr>
          <w:rFonts w:ascii="Times New Roman" w:hAnsi="Times New Roman" w:cs="Times New Roman"/>
          <w:lang w:val="en-US"/>
        </w:rPr>
        <w:t xml:space="preserve"> [accessed 19th August 2022].</w:t>
      </w:r>
    </w:p>
  </w:footnote>
  <w:footnote w:id="85">
    <w:p w14:paraId="3863B3DA" w14:textId="039C1C5E" w:rsidR="003149DF" w:rsidRPr="00FD0EFE" w:rsidRDefault="003149DF" w:rsidP="00FD0EFE">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 xml:space="preserve">For analysis of this elsewhere, see: </w:t>
      </w:r>
      <w:r w:rsidR="00FD0EFE">
        <w:rPr>
          <w:rFonts w:ascii="Times New Roman" w:hAnsi="Times New Roman" w:cs="Times New Roman"/>
        </w:rPr>
        <w:t>Meers and Hind (n 58 above).</w:t>
      </w:r>
    </w:p>
  </w:footnote>
  <w:footnote w:id="86">
    <w:p w14:paraId="6693E9C0" w14:textId="3FA67F73" w:rsidR="003149DF" w:rsidRPr="004117F7" w:rsidRDefault="003149DF" w:rsidP="00165A2A">
      <w:pPr>
        <w:pStyle w:val="FootnoteText"/>
        <w:jc w:val="both"/>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83380">
        <w:rPr>
          <w:rFonts w:ascii="Times New Roman" w:hAnsi="Times New Roman" w:cs="Times New Roman"/>
        </w:rPr>
        <w:t>J. Patrick and S. Bright, ‘WICKED insights into the role of green leases’ (2016) (4) Conv. 264-285.</w:t>
      </w:r>
    </w:p>
  </w:footnote>
  <w:footnote w:id="87">
    <w:p w14:paraId="537B62DC" w14:textId="77777777"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J. Mant, ‘Working Politically: Combining Socio-Legal Tools to Study Experiences of Law’ (2020) 21(7) </w:t>
      </w:r>
      <w:r w:rsidRPr="004117F7">
        <w:rPr>
          <w:rFonts w:ascii="Times New Roman" w:hAnsi="Times New Roman" w:cs="Times New Roman"/>
          <w:i/>
        </w:rPr>
        <w:t xml:space="preserve">German Law Journal </w:t>
      </w:r>
      <w:r w:rsidRPr="004117F7">
        <w:rPr>
          <w:rFonts w:ascii="Times New Roman" w:hAnsi="Times New Roman" w:cs="Times New Roman"/>
        </w:rPr>
        <w:t>1464, 1472.</w:t>
      </w:r>
    </w:p>
  </w:footnote>
  <w:footnote w:id="88">
    <w:p w14:paraId="3F8C7248" w14:textId="77777777"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D. Cowan and H. Carr, ‘Actor-network Theory, Implementation, and the Private Landlord’ (2008) 35(1) </w:t>
      </w:r>
      <w:r w:rsidRPr="004117F7">
        <w:rPr>
          <w:rFonts w:ascii="Times New Roman" w:hAnsi="Times New Roman" w:cs="Times New Roman"/>
          <w:i/>
        </w:rPr>
        <w:t xml:space="preserve">J. of Law and Society </w:t>
      </w:r>
      <w:r w:rsidRPr="004117F7">
        <w:rPr>
          <w:rFonts w:ascii="Times New Roman" w:hAnsi="Times New Roman" w:cs="Times New Roman"/>
        </w:rPr>
        <w:t>149, 151.</w:t>
      </w:r>
    </w:p>
  </w:footnote>
  <w:footnote w:id="89">
    <w:p w14:paraId="0A08FE44" w14:textId="77777777"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Emilie Cloatre, ‘Law and ANT (and its Kin): Possibilities, Challenges, and Ways Forward’ (2018) 45(4) J.L.S 646, 650.</w:t>
      </w:r>
    </w:p>
  </w:footnote>
  <w:footnote w:id="90">
    <w:p w14:paraId="160F1C78" w14:textId="61501F04"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Ibid 656.</w:t>
      </w:r>
    </w:p>
  </w:footnote>
  <w:footnote w:id="91">
    <w:p w14:paraId="5CC3F00C" w14:textId="77777777"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L. Barrera and S. Latorre, ‘Actor-Network Theory and Socio-Legal Analysis’ in M. Valverde, K. Clarke, E. Darian-Smith, and P. Kotiswaran (eds), </w:t>
      </w:r>
      <w:r w:rsidRPr="004117F7">
        <w:rPr>
          <w:rFonts w:ascii="Times New Roman" w:hAnsi="Times New Roman" w:cs="Times New Roman"/>
          <w:i/>
        </w:rPr>
        <w:t xml:space="preserve">Routledge Handbook of Law and Society </w:t>
      </w:r>
      <w:r w:rsidRPr="004117F7">
        <w:rPr>
          <w:rFonts w:ascii="Times New Roman" w:hAnsi="Times New Roman" w:cs="Times New Roman"/>
        </w:rPr>
        <w:t>(Routledge 2021) 9-14.</w:t>
      </w:r>
    </w:p>
  </w:footnote>
  <w:footnote w:id="92">
    <w:p w14:paraId="63DCEEFF" w14:textId="77777777"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For a range of ANT-informed work examining documentation, see: A. Riles (ed)¸ </w:t>
      </w:r>
      <w:r w:rsidRPr="004117F7">
        <w:rPr>
          <w:rFonts w:ascii="Times New Roman" w:hAnsi="Times New Roman" w:cs="Times New Roman"/>
          <w:i/>
        </w:rPr>
        <w:t xml:space="preserve">Documents: Artefacts of Modern Knowledge </w:t>
      </w:r>
      <w:r w:rsidRPr="004117F7">
        <w:rPr>
          <w:rFonts w:ascii="Times New Roman" w:hAnsi="Times New Roman" w:cs="Times New Roman"/>
        </w:rPr>
        <w:t>(University of Michigan Press 2006).</w:t>
      </w:r>
    </w:p>
  </w:footnote>
  <w:footnote w:id="93">
    <w:p w14:paraId="2DC9A965" w14:textId="3864BE1F"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Barrera and Latorre</w:t>
      </w:r>
      <w:r w:rsidRPr="004117F7" w:rsidDel="00520DA9">
        <w:rPr>
          <w:rFonts w:ascii="Times New Roman" w:hAnsi="Times New Roman" w:cs="Times New Roman"/>
        </w:rPr>
        <w:t xml:space="preserve"> </w:t>
      </w:r>
      <w:r w:rsidRPr="004117F7">
        <w:rPr>
          <w:rFonts w:ascii="Times New Roman" w:hAnsi="Times New Roman" w:cs="Times New Roman"/>
        </w:rPr>
        <w:t>(n 115).</w:t>
      </w:r>
    </w:p>
  </w:footnote>
  <w:footnote w:id="94">
    <w:p w14:paraId="7A9FAF38" w14:textId="2014B0FA" w:rsidR="003149DF" w:rsidRPr="004117F7" w:rsidRDefault="003149DF">
      <w:pPr>
        <w:pStyle w:val="FootnoteText"/>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 xml:space="preserve">E. Cloatre, ‘Trips and Pharmaceutical Patents in Djibouti: An ANT Analysis of Socio-Legal Objects’ (2008) 17(2) </w:t>
      </w:r>
      <w:r w:rsidRPr="004117F7">
        <w:rPr>
          <w:rFonts w:ascii="Times New Roman" w:hAnsi="Times New Roman" w:cs="Times New Roman"/>
          <w:i/>
          <w:iCs/>
          <w:lang w:val="en-US"/>
        </w:rPr>
        <w:t xml:space="preserve">Social and Legal Studies </w:t>
      </w:r>
      <w:r w:rsidRPr="004117F7">
        <w:rPr>
          <w:rFonts w:ascii="Times New Roman" w:hAnsi="Times New Roman" w:cs="Times New Roman"/>
          <w:lang w:val="en-US"/>
        </w:rPr>
        <w:t>263.</w:t>
      </w:r>
    </w:p>
  </w:footnote>
  <w:footnote w:id="95">
    <w:p w14:paraId="2C744BBA" w14:textId="77777777" w:rsidR="003149DF" w:rsidRPr="004117F7" w:rsidRDefault="003149DF" w:rsidP="00165A2A">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In particular, S. Blandy, ‘Legal Frameworks for Multi-Owned Housing in England and Wales: Owners’ Experiences’ in S. Blandy, A. Dupuis and J. Dixon (eds), </w:t>
      </w:r>
      <w:r w:rsidRPr="004117F7">
        <w:rPr>
          <w:rFonts w:ascii="Times New Roman" w:hAnsi="Times New Roman" w:cs="Times New Roman"/>
          <w:i/>
        </w:rPr>
        <w:t>Multi-Owned Housing: Law, Power and Practice</w:t>
      </w:r>
      <w:r w:rsidRPr="004117F7">
        <w:rPr>
          <w:rFonts w:ascii="Times New Roman" w:hAnsi="Times New Roman" w:cs="Times New Roman"/>
        </w:rPr>
        <w:t xml:space="preserve"> (Ashgate 2013) 13-34; and S. Blandy, ‘Collective Property: Owning and Sharing Residential Space’ in N. Hopkins (ed), </w:t>
      </w:r>
      <w:r w:rsidRPr="004117F7">
        <w:rPr>
          <w:rFonts w:ascii="Times New Roman" w:hAnsi="Times New Roman" w:cs="Times New Roman"/>
          <w:i/>
        </w:rPr>
        <w:t xml:space="preserve">Modern Studies in Property Law </w:t>
      </w:r>
      <w:r w:rsidRPr="004117F7">
        <w:rPr>
          <w:rFonts w:ascii="Times New Roman" w:hAnsi="Times New Roman" w:cs="Times New Roman"/>
        </w:rPr>
        <w:t>(7</w:t>
      </w:r>
      <w:r w:rsidRPr="004117F7">
        <w:rPr>
          <w:rFonts w:ascii="Times New Roman" w:hAnsi="Times New Roman" w:cs="Times New Roman"/>
          <w:vertAlign w:val="superscript"/>
        </w:rPr>
        <w:t>th</w:t>
      </w:r>
      <w:r w:rsidRPr="004117F7">
        <w:rPr>
          <w:rFonts w:ascii="Times New Roman" w:hAnsi="Times New Roman" w:cs="Times New Roman"/>
        </w:rPr>
        <w:t xml:space="preserve"> Edn, Hart 2013) 151-172.</w:t>
      </w:r>
    </w:p>
  </w:footnote>
  <w:footnote w:id="96">
    <w:p w14:paraId="0489F5B7" w14:textId="5BBF2E86" w:rsidR="003149DF" w:rsidRPr="004117F7" w:rsidRDefault="003149DF" w:rsidP="00165A2A">
      <w:pPr>
        <w:pStyle w:val="FootnoteText"/>
        <w:jc w:val="both"/>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 xml:space="preserve">Hunter (n </w:t>
      </w:r>
      <w:r w:rsidRPr="004117F7">
        <w:rPr>
          <w:rFonts w:ascii="Times New Roman" w:hAnsi="Times New Roman" w:cs="Times New Roman"/>
          <w:lang w:val="en-US"/>
        </w:rPr>
        <w:fldChar w:fldCharType="begin"/>
      </w:r>
      <w:r w:rsidRPr="004117F7">
        <w:rPr>
          <w:rFonts w:ascii="Times New Roman" w:hAnsi="Times New Roman" w:cs="Times New Roman"/>
          <w:lang w:val="en-US"/>
        </w:rPr>
        <w:instrText xml:space="preserve"> NOTEREF _Ref104121311 \h  \* MERGEFORMAT </w:instrText>
      </w:r>
      <w:r w:rsidRPr="004117F7">
        <w:rPr>
          <w:rFonts w:ascii="Times New Roman" w:hAnsi="Times New Roman" w:cs="Times New Roman"/>
          <w:lang w:val="en-US"/>
        </w:rPr>
      </w:r>
      <w:r w:rsidRPr="004117F7">
        <w:rPr>
          <w:rFonts w:ascii="Times New Roman" w:hAnsi="Times New Roman" w:cs="Times New Roman"/>
          <w:lang w:val="en-US"/>
        </w:rPr>
        <w:fldChar w:fldCharType="separate"/>
      </w:r>
      <w:r>
        <w:rPr>
          <w:rFonts w:ascii="Times New Roman" w:hAnsi="Times New Roman" w:cs="Times New Roman"/>
          <w:lang w:val="en-US"/>
        </w:rPr>
        <w:t>7</w:t>
      </w:r>
      <w:r w:rsidRPr="004117F7">
        <w:rPr>
          <w:rFonts w:ascii="Times New Roman" w:hAnsi="Times New Roman" w:cs="Times New Roman"/>
          <w:lang w:val="en-US"/>
        </w:rPr>
        <w:fldChar w:fldCharType="end"/>
      </w:r>
      <w:r w:rsidRPr="004117F7">
        <w:rPr>
          <w:rFonts w:ascii="Times New Roman" w:hAnsi="Times New Roman" w:cs="Times New Roman"/>
          <w:lang w:val="en-US"/>
        </w:rPr>
        <w:t>) 153.</w:t>
      </w:r>
    </w:p>
  </w:footnote>
  <w:footnote w:id="97">
    <w:p w14:paraId="65706B5F" w14:textId="77777777" w:rsidR="003149DF" w:rsidRPr="004117F7" w:rsidRDefault="003149DF" w:rsidP="006E7825">
      <w:pPr>
        <w:pStyle w:val="FootnoteText"/>
        <w:jc w:val="both"/>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Ibid 152.</w:t>
      </w:r>
    </w:p>
  </w:footnote>
  <w:footnote w:id="98">
    <w:p w14:paraId="23FE3841" w14:textId="77777777" w:rsidR="003149DF" w:rsidRPr="004117F7" w:rsidRDefault="003149DF" w:rsidP="00165A2A">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J. Patrick and S. Bright, ‘WICKED insights into the role of green leases’ (2016) (4) Conv. 264-285.</w:t>
      </w:r>
    </w:p>
  </w:footnote>
  <w:footnote w:id="99">
    <w:p w14:paraId="6AC0D659" w14:textId="77777777" w:rsidR="003149DF" w:rsidRPr="004117F7" w:rsidRDefault="003149DF" w:rsidP="00165A2A">
      <w:pPr>
        <w:pStyle w:val="FootnoteText"/>
        <w:jc w:val="both"/>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t>
      </w:r>
      <w:r w:rsidRPr="004117F7">
        <w:rPr>
          <w:rFonts w:ascii="Times New Roman" w:hAnsi="Times New Roman" w:cs="Times New Roman"/>
          <w:lang w:val="en-US"/>
        </w:rPr>
        <w:t>Ibid 143.</w:t>
      </w:r>
    </w:p>
  </w:footnote>
  <w:footnote w:id="100">
    <w:p w14:paraId="15565FC8" w14:textId="590C3908" w:rsidR="003149DF" w:rsidRPr="004117F7" w:rsidRDefault="003149DF" w:rsidP="00180491">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Deconinck and Swinnen,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_Ref104123680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239.</w:t>
      </w:r>
    </w:p>
  </w:footnote>
  <w:footnote w:id="101">
    <w:p w14:paraId="726C6D2F" w14:textId="44F4C890"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G. Gottfried and R. Muir, ‘Tied Down: The Beer Tie and Its Impact on Britain’s Pubs’ (2011) at: </w:t>
      </w:r>
      <w:hyperlink r:id="rId9">
        <w:r w:rsidRPr="004117F7">
          <w:rPr>
            <w:rStyle w:val="Hyperlink"/>
            <w:rFonts w:ascii="Times New Roman" w:hAnsi="Times New Roman" w:cs="Times New Roman"/>
            <w:color w:val="000000" w:themeColor="text1"/>
          </w:rPr>
          <w:t>https://www.ippr.org/files/images/media/files/publication/2011/08/tieddown_Aug2011_7878.pdf?noredirect=1</w:t>
        </w:r>
      </w:hyperlink>
      <w:r w:rsidRPr="004117F7">
        <w:rPr>
          <w:rFonts w:ascii="Times New Roman" w:hAnsi="Times New Roman" w:cs="Times New Roman"/>
          <w:color w:val="000000" w:themeColor="text1"/>
        </w:rPr>
        <w:t xml:space="preserve"> 2.</w:t>
      </w:r>
    </w:p>
  </w:footnote>
  <w:footnote w:id="102">
    <w:p w14:paraId="6CB135C7" w14:textId="77777777" w:rsidR="003149DF" w:rsidRPr="004117F7" w:rsidRDefault="003149DF" w:rsidP="00542E50">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The best-known example is the “Irish Pub Concept”, see: B. Grantham, ‘Craic in a box: Commodifying and exporting the Irish pub’ (2009) 23(2) </w:t>
      </w:r>
      <w:r w:rsidRPr="004117F7">
        <w:rPr>
          <w:rFonts w:ascii="Times New Roman" w:hAnsi="Times New Roman" w:cs="Times New Roman"/>
          <w:i/>
          <w:color w:val="000000" w:themeColor="text1"/>
        </w:rPr>
        <w:t xml:space="preserve">Journal of Media &amp; Cultural Studies </w:t>
      </w:r>
      <w:r w:rsidRPr="004117F7">
        <w:rPr>
          <w:rFonts w:ascii="Times New Roman" w:hAnsi="Times New Roman" w:cs="Times New Roman"/>
          <w:color w:val="000000" w:themeColor="text1"/>
        </w:rPr>
        <w:t xml:space="preserve">20(6) 1293. For a detailed assessment of pub branding, see: T. Knowles and M. Howley, 'Branding in the UK public house sector: recent developments' (2000) 12(6) </w:t>
      </w:r>
      <w:r w:rsidRPr="004117F7">
        <w:rPr>
          <w:rFonts w:ascii="Times New Roman" w:hAnsi="Times New Roman" w:cs="Times New Roman"/>
          <w:i/>
          <w:color w:val="000000" w:themeColor="text1"/>
        </w:rPr>
        <w:t>International Journal of Contemporary Hospitality Management</w:t>
      </w:r>
      <w:r w:rsidRPr="004117F7">
        <w:rPr>
          <w:rFonts w:ascii="Times New Roman" w:hAnsi="Times New Roman" w:cs="Times New Roman"/>
          <w:color w:val="000000" w:themeColor="text1"/>
        </w:rPr>
        <w:t xml:space="preserve"> 366. For an analysis of the business importance of the “pubscape”, see: L. Martin, B. Jerrard and L. Wright, 'Pubscape: innovation by design in the British pub' (2019) 31(8) </w:t>
      </w:r>
      <w:r w:rsidRPr="004117F7">
        <w:rPr>
          <w:rFonts w:ascii="Times New Roman" w:hAnsi="Times New Roman" w:cs="Times New Roman"/>
          <w:i/>
          <w:color w:val="000000" w:themeColor="text1"/>
        </w:rPr>
        <w:t>International Journal of Contemporary Hospitality Management</w:t>
      </w:r>
      <w:r w:rsidRPr="004117F7">
        <w:rPr>
          <w:rFonts w:ascii="Times New Roman" w:hAnsi="Times New Roman" w:cs="Times New Roman"/>
          <w:color w:val="000000" w:themeColor="text1"/>
        </w:rPr>
        <w:t xml:space="preserve"> 3018.</w:t>
      </w:r>
    </w:p>
  </w:footnote>
  <w:footnote w:id="103">
    <w:p w14:paraId="49CE524C" w14:textId="7C1B5932" w:rsidR="003149DF" w:rsidRPr="004117F7" w:rsidRDefault="003149DF" w:rsidP="000B430A">
      <w:pPr>
        <w:pStyle w:val="FootnoteText"/>
        <w:jc w:val="both"/>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T. Thurnell-Read, ‘The embourgeoisement of beer: Changing practices of ‘Real Ale’ consumption’ (2018) 18(4) </w:t>
      </w:r>
      <w:r w:rsidRPr="004117F7">
        <w:rPr>
          <w:rFonts w:ascii="Times New Roman" w:hAnsi="Times New Roman" w:cs="Times New Roman"/>
          <w:i/>
          <w:iCs/>
        </w:rPr>
        <w:t xml:space="preserve">Journal of Consumer Culture </w:t>
      </w:r>
      <w:r w:rsidRPr="004117F7">
        <w:rPr>
          <w:rFonts w:ascii="Times New Roman" w:hAnsi="Times New Roman" w:cs="Times New Roman"/>
        </w:rPr>
        <w:t>539.</w:t>
      </w:r>
    </w:p>
  </w:footnote>
  <w:footnote w:id="104">
    <w:p w14:paraId="3603D823" w14:textId="77777777" w:rsidR="003149DF" w:rsidRPr="004117F7" w:rsidRDefault="003149DF" w:rsidP="00FD0F3E">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See the Landlord and Tenant 1954, s 30(1), which outlines these reasons, including the state of repair of the building, persistent rent arrears, substantial breaches of the tenancy, and to occupy the property themselves, either for a business or residential purpose.</w:t>
      </w:r>
    </w:p>
  </w:footnote>
  <w:footnote w:id="105">
    <w:p w14:paraId="4C878072" w14:textId="77777777" w:rsidR="003149DF" w:rsidRPr="004117F7" w:rsidRDefault="003149DF" w:rsidP="00FD0F3E">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British Beer and Pub Association ‘Submission to the Pubs Code and Pubs Code Adjudicator Statutory Review: 2019 the statutory review’ (2019), available at http://beerandpub.com/wp-content/uploads/2019/07/Pubs-Code-review-BBPA-response-final-version.pdf (accessed 18 August 2022) p 15.</w:t>
      </w:r>
    </w:p>
  </w:footnote>
  <w:footnote w:id="106">
    <w:p w14:paraId="05576511" w14:textId="54B97F28" w:rsidR="003149DF" w:rsidRPr="004117F7" w:rsidRDefault="003149DF" w:rsidP="00FD0F3E">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S.30(1)(g) Landlord and Tenant Act 1954.</w:t>
      </w:r>
    </w:p>
  </w:footnote>
  <w:footnote w:id="107">
    <w:p w14:paraId="38A96074" w14:textId="289352E4"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Hamilton et al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_Ref104207681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66</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xml:space="preserve">) 35; and N. Crosby, V. Gibson and S. Murdoch, ‘UK Commercial Property Lease Structures: Landlord and Tenant Mismatch’ (2003) 40(8) </w:t>
      </w:r>
      <w:r w:rsidRPr="004117F7">
        <w:rPr>
          <w:rFonts w:ascii="Times New Roman" w:hAnsi="Times New Roman" w:cs="Times New Roman"/>
          <w:i/>
          <w:color w:val="000000" w:themeColor="text1"/>
        </w:rPr>
        <w:t xml:space="preserve">Urban Studies </w:t>
      </w:r>
      <w:r w:rsidRPr="004117F7">
        <w:rPr>
          <w:rFonts w:ascii="Times New Roman" w:hAnsi="Times New Roman" w:cs="Times New Roman"/>
          <w:color w:val="000000" w:themeColor="text1"/>
        </w:rPr>
        <w:t>1487.</w:t>
      </w:r>
    </w:p>
  </w:footnote>
  <w:footnote w:id="108">
    <w:p w14:paraId="54E61AEE" w14:textId="4D7CDC75"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Ibid.  </w:t>
      </w:r>
    </w:p>
  </w:footnote>
  <w:footnote w:id="109">
    <w:p w14:paraId="65B99732" w14:textId="5740BB42" w:rsidR="003149DF" w:rsidRPr="004117F7" w:rsidRDefault="003149DF">
      <w:pPr>
        <w:pStyle w:val="FootnoteText"/>
        <w:rPr>
          <w:rFonts w:ascii="Times New Roman" w:hAnsi="Times New Roman" w:cs="Times New Roman"/>
          <w:lang w:val="en-US"/>
        </w:rPr>
      </w:pPr>
      <w:r w:rsidRPr="004117F7">
        <w:rPr>
          <w:rStyle w:val="FootnoteReference"/>
          <w:rFonts w:ascii="Times New Roman" w:hAnsi="Times New Roman" w:cs="Times New Roman"/>
        </w:rPr>
        <w:footnoteRef/>
      </w:r>
      <w:r w:rsidRPr="004117F7">
        <w:rPr>
          <w:rFonts w:ascii="Times New Roman" w:hAnsi="Times New Roman" w:cs="Times New Roman"/>
        </w:rPr>
        <w:t xml:space="preserve"> S. Blandy, S. Bright and S. Nield, ‘The Dynamics of Enduring Property Relationships in Land’ (2018) 81(1) M.L.R 85, 104.</w:t>
      </w:r>
    </w:p>
  </w:footnote>
  <w:footnote w:id="110">
    <w:p w14:paraId="13AC7086" w14:textId="36DFBEC9" w:rsidR="003149DF" w:rsidRPr="004117F7" w:rsidRDefault="003149D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Where the publican uses the leased premises for living accommodation, this is subject to the same renewal protections under s.25 Landlord and Tenant Act 1954 – the PubCo cannot carve-out the pub from the accommodation at the point of renewal. See Ministry of Housing, Communities and Local Government, ‘Renewing and ending business leases: a guide for tenants and landlords’ (2004) at: </w:t>
      </w:r>
      <w:hyperlink r:id="rId10" w:history="1">
        <w:r w:rsidRPr="004117F7">
          <w:rPr>
            <w:rStyle w:val="Hyperlink"/>
            <w:rFonts w:ascii="Times New Roman" w:hAnsi="Times New Roman" w:cs="Times New Roman"/>
          </w:rPr>
          <w:t>https://www.gov.uk/government/publications/renewing-and-ending-business-leases-a-guide-for-tenants-and-landlords</w:t>
        </w:r>
      </w:hyperlink>
      <w:r w:rsidRPr="004117F7">
        <w:rPr>
          <w:rFonts w:ascii="Times New Roman" w:hAnsi="Times New Roman" w:cs="Times New Roman"/>
        </w:rPr>
        <w:t xml:space="preserve"> </w:t>
      </w:r>
    </w:p>
  </w:footnote>
  <w:footnote w:id="111">
    <w:p w14:paraId="1AA3FFAB" w14:textId="40A6E336"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S. Rolfe, K. McKee, J. Feather, T. Simcock &amp; J. Hoolachan, ‘The role of private landlords in making a rented house a home’ (Forthcoming) DOI: </w:t>
      </w:r>
      <w:hyperlink r:id="rId11" w:history="1">
        <w:r w:rsidRPr="004117F7">
          <w:rPr>
            <w:rStyle w:val="Hyperlink"/>
            <w:rFonts w:ascii="Times New Roman" w:hAnsi="Times New Roman" w:cs="Times New Roman"/>
            <w:color w:val="000000" w:themeColor="text1"/>
          </w:rPr>
          <w:t>https://doi.org/10.1080/19491247.2021.2019882</w:t>
        </w:r>
      </w:hyperlink>
      <w:r w:rsidRPr="004117F7">
        <w:rPr>
          <w:rFonts w:ascii="Times New Roman" w:hAnsi="Times New Roman" w:cs="Times New Roman"/>
          <w:color w:val="000000" w:themeColor="text1"/>
        </w:rPr>
        <w:t xml:space="preserve"> 16.</w:t>
      </w:r>
    </w:p>
  </w:footnote>
  <w:footnote w:id="112">
    <w:p w14:paraId="2094097B" w14:textId="3F5045FC"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Style w:val="Hyperlink"/>
          <w:rFonts w:ascii="Times New Roman" w:hAnsi="Times New Roman" w:cs="Times New Roman"/>
          <w:color w:val="000000" w:themeColor="text1"/>
          <w:u w:val="none"/>
        </w:rPr>
        <w:t xml:space="preserve"> Ibid </w:t>
      </w:r>
      <w:r w:rsidRPr="004117F7">
        <w:rPr>
          <w:rFonts w:ascii="Times New Roman" w:hAnsi="Times New Roman" w:cs="Times New Roman"/>
          <w:color w:val="000000" w:themeColor="text1"/>
        </w:rPr>
        <w:t>16.</w:t>
      </w:r>
    </w:p>
  </w:footnote>
  <w:footnote w:id="113">
    <w:p w14:paraId="448C941C" w14:textId="61C071F4" w:rsidR="003149DF" w:rsidRPr="004117F7" w:rsidRDefault="003149DF" w:rsidP="000B430A">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Pratten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_Ref104213947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57</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151.</w:t>
      </w:r>
    </w:p>
  </w:footnote>
  <w:footnote w:id="114">
    <w:p w14:paraId="601AD794" w14:textId="53F11C3C" w:rsidR="003149DF" w:rsidRPr="004117F7" w:rsidRDefault="003149DF" w:rsidP="000B430A">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J. Robinson, ‘Commercial lease terms and the property cycle’ (1999) 17(6) </w:t>
      </w:r>
      <w:r w:rsidRPr="004117F7">
        <w:rPr>
          <w:rFonts w:ascii="Times New Roman" w:hAnsi="Times New Roman" w:cs="Times New Roman"/>
          <w:i/>
          <w:color w:val="000000" w:themeColor="text1"/>
        </w:rPr>
        <w:t xml:space="preserve">Facilities </w:t>
      </w:r>
      <w:r w:rsidRPr="004117F7">
        <w:rPr>
          <w:rFonts w:ascii="Times New Roman" w:hAnsi="Times New Roman" w:cs="Times New Roman"/>
          <w:color w:val="000000" w:themeColor="text1"/>
        </w:rPr>
        <w:t>177.</w:t>
      </w:r>
    </w:p>
  </w:footnote>
  <w:footnote w:id="115">
    <w:p w14:paraId="00CD27B4" w14:textId="74DE7525"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Orr et al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_Ref104207535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63</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w:t>
      </w:r>
    </w:p>
  </w:footnote>
  <w:footnote w:id="116">
    <w:p w14:paraId="5978DD2F" w14:textId="7A97B2CF" w:rsidR="003149DF" w:rsidRPr="004117F7" w:rsidRDefault="003149DF" w:rsidP="00180491">
      <w:pPr>
        <w:pStyle w:val="FootnoteText"/>
        <w:jc w:val="both"/>
        <w:rPr>
          <w:rFonts w:ascii="Times New Roman" w:hAnsi="Times New Roman" w:cs="Times New Roman"/>
          <w:color w:val="000000" w:themeColor="text1"/>
          <w:lang w:val="en-US"/>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Day and Kelton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_Ref104207767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24</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313.</w:t>
      </w:r>
    </w:p>
  </w:footnote>
  <w:footnote w:id="117">
    <w:p w14:paraId="7952A7BE" w14:textId="2D947C61" w:rsidR="003149DF" w:rsidRPr="004117F7" w:rsidRDefault="003149DF">
      <w:pPr>
        <w:pStyle w:val="FootnoteText"/>
        <w:rPr>
          <w:rFonts w:ascii="Times New Roman" w:hAnsi="Times New Roman" w:cs="Times New Roman"/>
        </w:rPr>
      </w:pPr>
      <w:r w:rsidRPr="004117F7">
        <w:rPr>
          <w:rStyle w:val="FootnoteReference"/>
          <w:rFonts w:ascii="Times New Roman" w:hAnsi="Times New Roman" w:cs="Times New Roman"/>
        </w:rPr>
        <w:footnoteRef/>
      </w:r>
      <w:r w:rsidRPr="004117F7">
        <w:rPr>
          <w:rFonts w:ascii="Times New Roman" w:hAnsi="Times New Roman" w:cs="Times New Roman"/>
        </w:rPr>
        <w:t xml:space="preserve"> The dispute resolution scheme specified is the “Pubs Independent Rent Review Scheme", which provides a costs-capped dispute resolution service for resolving disputes over rents and renewal in the pubs sector. For a detailed outline of the scheme, see: Business, Innovation and Skills Committee, ‘Pubs Companies: Follow-up’ (House of Commons, 2010) 42-45. As outlined above, those tied tenants with protections under the Pubs Code Regulations 2016 receive additional protections at the rent review and proposal stage. For more information, see: [REMOVED FOR ANONMYITY].</w:t>
      </w:r>
    </w:p>
  </w:footnote>
  <w:footnote w:id="118">
    <w:p w14:paraId="3E0AED8C" w14:textId="0CF5DB47" w:rsidR="003149DF" w:rsidRPr="004117F7" w:rsidRDefault="003149DF" w:rsidP="000B430A">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Pratten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_Ref104213947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57</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w:t>
      </w:r>
    </w:p>
  </w:footnote>
  <w:footnote w:id="119">
    <w:p w14:paraId="149F52E9" w14:textId="014A332E" w:rsidR="003149DF" w:rsidRPr="004117F7" w:rsidRDefault="003149DF" w:rsidP="000B430A">
      <w:pPr>
        <w:pStyle w:val="FootnoteText"/>
        <w:jc w:val="both"/>
        <w:rPr>
          <w:rFonts w:ascii="Times New Roman" w:hAnsi="Times New Roman" w:cs="Times New Roman"/>
          <w:color w:val="000000" w:themeColor="text1"/>
        </w:rPr>
      </w:pPr>
      <w:r w:rsidRPr="004117F7">
        <w:rPr>
          <w:rStyle w:val="FootnoteCharacters"/>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Clapham (n </w:t>
      </w:r>
      <w:r w:rsidRPr="004117F7">
        <w:rPr>
          <w:rFonts w:ascii="Times New Roman" w:hAnsi="Times New Roman" w:cs="Times New Roman"/>
          <w:color w:val="000000" w:themeColor="text1"/>
        </w:rPr>
        <w:fldChar w:fldCharType="begin"/>
      </w:r>
      <w:r w:rsidRPr="004117F7">
        <w:rPr>
          <w:rFonts w:ascii="Times New Roman" w:hAnsi="Times New Roman" w:cs="Times New Roman"/>
          <w:color w:val="000000" w:themeColor="text1"/>
        </w:rPr>
        <w:instrText xml:space="preserve"> NOTEREF _Ref104214199 \h  \* MERGEFORMAT </w:instrText>
      </w:r>
      <w:r w:rsidRPr="004117F7">
        <w:rPr>
          <w:rFonts w:ascii="Times New Roman" w:hAnsi="Times New Roman" w:cs="Times New Roman"/>
          <w:color w:val="000000" w:themeColor="text1"/>
        </w:rPr>
      </w:r>
      <w:r w:rsidRPr="004117F7">
        <w:rPr>
          <w:rFonts w:ascii="Times New Roman" w:hAnsi="Times New Roman" w:cs="Times New Roman"/>
          <w:color w:val="000000" w:themeColor="text1"/>
        </w:rPr>
        <w:fldChar w:fldCharType="separate"/>
      </w:r>
      <w:r>
        <w:rPr>
          <w:rFonts w:ascii="Times New Roman" w:hAnsi="Times New Roman" w:cs="Times New Roman"/>
          <w:color w:val="000000" w:themeColor="text1"/>
        </w:rPr>
        <w:t>67</w:t>
      </w:r>
      <w:r w:rsidRPr="004117F7">
        <w:rPr>
          <w:rFonts w:ascii="Times New Roman" w:hAnsi="Times New Roman" w:cs="Times New Roman"/>
          <w:color w:val="000000" w:themeColor="text1"/>
        </w:rPr>
        <w:fldChar w:fldCharType="end"/>
      </w:r>
      <w:r w:rsidRPr="004117F7">
        <w:rPr>
          <w:rFonts w:ascii="Times New Roman" w:hAnsi="Times New Roman" w:cs="Times New Roman"/>
          <w:color w:val="000000" w:themeColor="text1"/>
        </w:rPr>
        <w:t>) 31-32.</w:t>
      </w:r>
    </w:p>
  </w:footnote>
  <w:footnote w:id="120">
    <w:p w14:paraId="3F3C7F59" w14:textId="7921A5BF" w:rsidR="003149DF" w:rsidRPr="004117F7" w:rsidRDefault="003149DF" w:rsidP="000B430A">
      <w:pPr>
        <w:pStyle w:val="FootnoteText"/>
        <w:jc w:val="both"/>
        <w:rPr>
          <w:rFonts w:ascii="Times New Roman" w:hAnsi="Times New Roman" w:cs="Times New Roman"/>
          <w:color w:val="000000" w:themeColor="text1"/>
        </w:rPr>
      </w:pPr>
      <w:r w:rsidRPr="004117F7">
        <w:rPr>
          <w:rStyle w:val="FootnoteReference"/>
          <w:rFonts w:ascii="Times New Roman" w:hAnsi="Times New Roman" w:cs="Times New Roman"/>
          <w:color w:val="000000" w:themeColor="text1"/>
        </w:rPr>
        <w:footnoteRef/>
      </w:r>
      <w:r w:rsidRPr="004117F7">
        <w:rPr>
          <w:rFonts w:ascii="Times New Roman" w:hAnsi="Times New Roman" w:cs="Times New Roman"/>
          <w:color w:val="000000" w:themeColor="text1"/>
        </w:rPr>
        <w:t xml:space="preserve"> M. Scrimshaw, ‘The effect of upward‐only rent reviews on UK prime retail property capital values’ (2007) 25(6) </w:t>
      </w:r>
      <w:r w:rsidRPr="004117F7">
        <w:rPr>
          <w:rFonts w:ascii="Times New Roman" w:hAnsi="Times New Roman" w:cs="Times New Roman"/>
          <w:i/>
          <w:color w:val="000000" w:themeColor="text1"/>
        </w:rPr>
        <w:t xml:space="preserve">Journal of Property Investment &amp; Finance </w:t>
      </w:r>
      <w:r w:rsidRPr="004117F7">
        <w:rPr>
          <w:rFonts w:ascii="Times New Roman" w:hAnsi="Times New Roman" w:cs="Times New Roman"/>
          <w:color w:val="000000" w:themeColor="text1"/>
        </w:rPr>
        <w:t>652. Currently, there is a Private Members Bill progressing (slowly) through Parliament to ban Upward Only Rent Reviews in commercial rent agreements: the Commercial Rent (Prohibition of Upward-Only Reviews) Bill.</w:t>
      </w:r>
    </w:p>
  </w:footnote>
  <w:footnote w:id="121">
    <w:p w14:paraId="004B2DE7" w14:textId="0AB175F1" w:rsidR="006E69FC" w:rsidRPr="006E69FC" w:rsidRDefault="006E69FC" w:rsidP="006E69FC">
      <w:pPr>
        <w:pStyle w:val="FootnoteText"/>
        <w:rPr>
          <w:rFonts w:asciiTheme="majorBidi" w:hAnsiTheme="majorBidi" w:cstheme="majorBidi"/>
        </w:rPr>
      </w:pPr>
      <w:r w:rsidRPr="00745B6A">
        <w:rPr>
          <w:rStyle w:val="FootnoteReference"/>
          <w:rFonts w:asciiTheme="majorBidi" w:hAnsiTheme="majorBidi" w:cstheme="majorBidi"/>
        </w:rPr>
        <w:footnoteRef/>
      </w:r>
      <w:r w:rsidRPr="006E69FC">
        <w:rPr>
          <w:rFonts w:asciiTheme="majorBidi" w:hAnsiTheme="majorBidi" w:cstheme="majorBidi"/>
        </w:rPr>
        <w:t xml:space="preserve"> M</w:t>
      </w:r>
      <w:r w:rsidRPr="00FD0EFE">
        <w:rPr>
          <w:rFonts w:asciiTheme="majorBidi" w:hAnsiTheme="majorBidi" w:cstheme="majorBidi"/>
        </w:rPr>
        <w:t>.</w:t>
      </w:r>
      <w:r w:rsidRPr="006E69FC">
        <w:rPr>
          <w:rFonts w:asciiTheme="majorBidi" w:hAnsiTheme="majorBidi" w:cstheme="majorBidi"/>
        </w:rPr>
        <w:t xml:space="preserve"> Betancur, K. Motoki, C</w:t>
      </w:r>
      <w:r w:rsidRPr="00FD0EFE">
        <w:rPr>
          <w:rFonts w:asciiTheme="majorBidi" w:hAnsiTheme="majorBidi" w:cstheme="majorBidi"/>
        </w:rPr>
        <w:t xml:space="preserve">. </w:t>
      </w:r>
      <w:r w:rsidRPr="006E69FC">
        <w:rPr>
          <w:rFonts w:asciiTheme="majorBidi" w:hAnsiTheme="majorBidi" w:cstheme="majorBidi"/>
        </w:rPr>
        <w:t>Spence</w:t>
      </w:r>
      <w:r w:rsidRPr="00FD0EFE">
        <w:rPr>
          <w:rFonts w:asciiTheme="majorBidi" w:hAnsiTheme="majorBidi" w:cstheme="majorBidi"/>
        </w:rPr>
        <w:t xml:space="preserve"> &amp;</w:t>
      </w:r>
      <w:r w:rsidRPr="006E69FC">
        <w:rPr>
          <w:rFonts w:asciiTheme="majorBidi" w:hAnsiTheme="majorBidi" w:cstheme="majorBidi"/>
        </w:rPr>
        <w:t xml:space="preserve"> C Velasco</w:t>
      </w:r>
      <w:r w:rsidRPr="00FD0EFE">
        <w:rPr>
          <w:rFonts w:asciiTheme="majorBidi" w:hAnsiTheme="majorBidi" w:cstheme="majorBidi"/>
        </w:rPr>
        <w:t>,</w:t>
      </w:r>
      <w:r>
        <w:rPr>
          <w:rFonts w:asciiTheme="majorBidi" w:hAnsiTheme="majorBidi" w:cstheme="majorBidi"/>
        </w:rPr>
        <w:t xml:space="preserve"> ‘</w:t>
      </w:r>
      <w:r w:rsidRPr="006E69FC">
        <w:rPr>
          <w:rFonts w:asciiTheme="majorBidi" w:hAnsiTheme="majorBidi" w:cstheme="majorBidi"/>
        </w:rPr>
        <w:t>Factors influencing the choice of beer: A review</w:t>
      </w:r>
      <w:r>
        <w:rPr>
          <w:rFonts w:asciiTheme="majorBidi" w:hAnsiTheme="majorBidi" w:cstheme="majorBidi"/>
        </w:rPr>
        <w:t xml:space="preserve">’ (2020) 137 </w:t>
      </w:r>
      <w:r w:rsidRPr="006E69FC">
        <w:rPr>
          <w:rFonts w:asciiTheme="majorBidi" w:hAnsiTheme="majorBidi" w:cstheme="majorBidi"/>
        </w:rPr>
        <w:t>Food Research International</w:t>
      </w:r>
      <w:r>
        <w:rPr>
          <w:rFonts w:asciiTheme="majorBidi" w:hAnsiTheme="majorBidi" w:cstheme="majorBidi"/>
        </w:rPr>
        <w:t>,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5FA3" w14:textId="45A508C3" w:rsidR="003149DF" w:rsidRDefault="003149DF">
    <w:pPr>
      <w:pStyle w:val="Header"/>
    </w:pPr>
  </w:p>
  <w:p w14:paraId="674DFCC6" w14:textId="684DD6AD" w:rsidR="003149DF" w:rsidRDefault="003149DF">
    <w:pPr>
      <w:pStyle w:val="Header"/>
    </w:pPr>
  </w:p>
  <w:p w14:paraId="7A80B3C6" w14:textId="3AC1E9B7" w:rsidR="003149DF" w:rsidRPr="00CF76D1" w:rsidRDefault="003149DF" w:rsidP="00CF76D1">
    <w:pPr>
      <w:pStyle w:val="Header"/>
      <w:jc w:val="center"/>
      <w:rPr>
        <w:rFonts w:ascii="Times New Roman" w:hAnsi="Times New Roman" w:cs="Times New Roman"/>
        <w:sz w:val="20"/>
        <w:szCs w:val="20"/>
      </w:rPr>
    </w:pPr>
    <w:r>
      <w:rPr>
        <w:rFonts w:ascii="Times New Roman" w:hAnsi="Times New Roman" w:cs="Times New Roman"/>
        <w:sz w:val="20"/>
        <w:szCs w:val="20"/>
      </w:rPr>
      <w:t>Journal of Property, Planning and Environmental Law</w:t>
    </w:r>
  </w:p>
  <w:p w14:paraId="01ED0E05" w14:textId="77777777" w:rsidR="003149DF" w:rsidRDefault="003149DF" w:rsidP="00CF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FEB"/>
    <w:multiLevelType w:val="multilevel"/>
    <w:tmpl w:val="7B12BC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60FB0"/>
    <w:multiLevelType w:val="multilevel"/>
    <w:tmpl w:val="FD26547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F870C8"/>
    <w:multiLevelType w:val="hybridMultilevel"/>
    <w:tmpl w:val="FCEC8280"/>
    <w:lvl w:ilvl="0" w:tplc="6EF6376E">
      <w:start w:val="5"/>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31661"/>
    <w:multiLevelType w:val="multilevel"/>
    <w:tmpl w:val="6CD83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01D53"/>
    <w:multiLevelType w:val="hybridMultilevel"/>
    <w:tmpl w:val="DA36F8F0"/>
    <w:lvl w:ilvl="0" w:tplc="7F4AAA8A">
      <w:start w:val="1"/>
      <w:numFmt w:val="decimal"/>
      <w:lvlText w:val="%1 |"/>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D7DD3"/>
    <w:multiLevelType w:val="multilevel"/>
    <w:tmpl w:val="6BCA97B8"/>
    <w:lvl w:ilvl="0">
      <w:start w:val="3"/>
      <w:numFmt w:val="decimal"/>
      <w:lvlText w:val="%1"/>
      <w:lvlJc w:val="left"/>
      <w:pPr>
        <w:ind w:left="360" w:hanging="360"/>
      </w:pPr>
      <w:rPr>
        <w:rFonts w:hint="default"/>
      </w:rPr>
    </w:lvl>
    <w:lvl w:ilvl="1">
      <w:start w:val="1"/>
      <w:numFmt w:val="decimal"/>
      <w:lvlText w:val="%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57DE1"/>
    <w:multiLevelType w:val="multilevel"/>
    <w:tmpl w:val="ACA23D2E"/>
    <w:lvl w:ilvl="0">
      <w:start w:val="1"/>
      <w:numFmt w:val="decimal"/>
      <w:lvlText w:val="%1 |"/>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D05E22"/>
    <w:multiLevelType w:val="multilevel"/>
    <w:tmpl w:val="150A755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3A1CEA"/>
    <w:multiLevelType w:val="multilevel"/>
    <w:tmpl w:val="0B5AE8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11713"/>
    <w:multiLevelType w:val="multilevel"/>
    <w:tmpl w:val="AF22332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8510B86"/>
    <w:multiLevelType w:val="hybridMultilevel"/>
    <w:tmpl w:val="3198096A"/>
    <w:lvl w:ilvl="0" w:tplc="52E2155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51455"/>
    <w:multiLevelType w:val="hybridMultilevel"/>
    <w:tmpl w:val="77B4D0CA"/>
    <w:lvl w:ilvl="0" w:tplc="ABFEC7F4">
      <w:start w:val="6"/>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C0115"/>
    <w:multiLevelType w:val="multilevel"/>
    <w:tmpl w:val="6BCA97B8"/>
    <w:lvl w:ilvl="0">
      <w:start w:val="3"/>
      <w:numFmt w:val="decimal"/>
      <w:lvlText w:val="%1"/>
      <w:lvlJc w:val="left"/>
      <w:pPr>
        <w:ind w:left="360" w:hanging="360"/>
      </w:pPr>
      <w:rPr>
        <w:rFonts w:hint="default"/>
      </w:rPr>
    </w:lvl>
    <w:lvl w:ilvl="1">
      <w:start w:val="1"/>
      <w:numFmt w:val="decimal"/>
      <w:lvlText w:val="%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E8659B"/>
    <w:multiLevelType w:val="hybridMultilevel"/>
    <w:tmpl w:val="EEEA2E8A"/>
    <w:lvl w:ilvl="0" w:tplc="BBD695D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87C8C"/>
    <w:multiLevelType w:val="hybridMultilevel"/>
    <w:tmpl w:val="DABCF88A"/>
    <w:lvl w:ilvl="0" w:tplc="45285C0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01BFC"/>
    <w:multiLevelType w:val="multilevel"/>
    <w:tmpl w:val="6BCA97B8"/>
    <w:lvl w:ilvl="0">
      <w:start w:val="3"/>
      <w:numFmt w:val="decimal"/>
      <w:lvlText w:val="%1"/>
      <w:lvlJc w:val="left"/>
      <w:pPr>
        <w:ind w:left="360" w:hanging="360"/>
      </w:pPr>
      <w:rPr>
        <w:rFonts w:hint="default"/>
      </w:rPr>
    </w:lvl>
    <w:lvl w:ilvl="1">
      <w:start w:val="1"/>
      <w:numFmt w:val="decimal"/>
      <w:lvlText w:val="%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87674C"/>
    <w:multiLevelType w:val="multilevel"/>
    <w:tmpl w:val="566A756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5B17879"/>
    <w:multiLevelType w:val="multilevel"/>
    <w:tmpl w:val="8D8E2D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bCs/>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403CAC"/>
    <w:multiLevelType w:val="hybridMultilevel"/>
    <w:tmpl w:val="8B048D24"/>
    <w:lvl w:ilvl="0" w:tplc="7F4AAA8A">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25E27"/>
    <w:multiLevelType w:val="multilevel"/>
    <w:tmpl w:val="44D4E126"/>
    <w:lvl w:ilvl="0">
      <w:start w:val="3"/>
      <w:numFmt w:val="decimal"/>
      <w:lvlText w:val="%1 |"/>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730687"/>
    <w:multiLevelType w:val="hybridMultilevel"/>
    <w:tmpl w:val="37D2CDDA"/>
    <w:lvl w:ilvl="0" w:tplc="33B62BD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928E9"/>
    <w:multiLevelType w:val="multilevel"/>
    <w:tmpl w:val="50727CE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9"/>
  </w:num>
  <w:num w:numId="3">
    <w:abstractNumId w:val="7"/>
  </w:num>
  <w:num w:numId="4">
    <w:abstractNumId w:val="21"/>
  </w:num>
  <w:num w:numId="5">
    <w:abstractNumId w:val="1"/>
  </w:num>
  <w:num w:numId="6">
    <w:abstractNumId w:val="0"/>
  </w:num>
  <w:num w:numId="7">
    <w:abstractNumId w:val="4"/>
  </w:num>
  <w:num w:numId="8">
    <w:abstractNumId w:val="3"/>
  </w:num>
  <w:num w:numId="9">
    <w:abstractNumId w:val="12"/>
  </w:num>
  <w:num w:numId="10">
    <w:abstractNumId w:val="5"/>
  </w:num>
  <w:num w:numId="11">
    <w:abstractNumId w:val="15"/>
  </w:num>
  <w:num w:numId="12">
    <w:abstractNumId w:val="8"/>
  </w:num>
  <w:num w:numId="13">
    <w:abstractNumId w:val="6"/>
  </w:num>
  <w:num w:numId="14">
    <w:abstractNumId w:val="19"/>
  </w:num>
  <w:num w:numId="15">
    <w:abstractNumId w:val="18"/>
  </w:num>
  <w:num w:numId="16">
    <w:abstractNumId w:val="2"/>
  </w:num>
  <w:num w:numId="17">
    <w:abstractNumId w:val="11"/>
  </w:num>
  <w:num w:numId="18">
    <w:abstractNumId w:val="17"/>
  </w:num>
  <w:num w:numId="19">
    <w:abstractNumId w:val="14"/>
  </w:num>
  <w:num w:numId="20">
    <w:abstractNumId w:val="13"/>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CE"/>
    <w:rsid w:val="00000845"/>
    <w:rsid w:val="00000BE0"/>
    <w:rsid w:val="000027D8"/>
    <w:rsid w:val="00003E68"/>
    <w:rsid w:val="00004143"/>
    <w:rsid w:val="00006070"/>
    <w:rsid w:val="0000692F"/>
    <w:rsid w:val="00007619"/>
    <w:rsid w:val="00012157"/>
    <w:rsid w:val="000123AF"/>
    <w:rsid w:val="0002112E"/>
    <w:rsid w:val="0002198F"/>
    <w:rsid w:val="000232FF"/>
    <w:rsid w:val="00023AC8"/>
    <w:rsid w:val="000255BA"/>
    <w:rsid w:val="000306CB"/>
    <w:rsid w:val="00031260"/>
    <w:rsid w:val="00031885"/>
    <w:rsid w:val="00031CDD"/>
    <w:rsid w:val="0003332B"/>
    <w:rsid w:val="000362E2"/>
    <w:rsid w:val="000367BA"/>
    <w:rsid w:val="00044B53"/>
    <w:rsid w:val="00046AE8"/>
    <w:rsid w:val="00047383"/>
    <w:rsid w:val="00047FDC"/>
    <w:rsid w:val="00052E00"/>
    <w:rsid w:val="00053210"/>
    <w:rsid w:val="00055A10"/>
    <w:rsid w:val="00055A2A"/>
    <w:rsid w:val="000614F8"/>
    <w:rsid w:val="0006311F"/>
    <w:rsid w:val="000634B3"/>
    <w:rsid w:val="00063C12"/>
    <w:rsid w:val="00065533"/>
    <w:rsid w:val="0006624E"/>
    <w:rsid w:val="00066E69"/>
    <w:rsid w:val="0006764A"/>
    <w:rsid w:val="0007010A"/>
    <w:rsid w:val="0007075B"/>
    <w:rsid w:val="00075582"/>
    <w:rsid w:val="000776AB"/>
    <w:rsid w:val="00080334"/>
    <w:rsid w:val="0008432B"/>
    <w:rsid w:val="00086F54"/>
    <w:rsid w:val="00087D7D"/>
    <w:rsid w:val="00091C60"/>
    <w:rsid w:val="00091DC9"/>
    <w:rsid w:val="00092E2C"/>
    <w:rsid w:val="00096163"/>
    <w:rsid w:val="00096186"/>
    <w:rsid w:val="000972D9"/>
    <w:rsid w:val="00097A69"/>
    <w:rsid w:val="00097BB5"/>
    <w:rsid w:val="000A0540"/>
    <w:rsid w:val="000A1DD6"/>
    <w:rsid w:val="000A6B00"/>
    <w:rsid w:val="000A6D3A"/>
    <w:rsid w:val="000A7689"/>
    <w:rsid w:val="000B29AA"/>
    <w:rsid w:val="000B35E3"/>
    <w:rsid w:val="000B4031"/>
    <w:rsid w:val="000B430A"/>
    <w:rsid w:val="000B45D2"/>
    <w:rsid w:val="000B6336"/>
    <w:rsid w:val="000C08FF"/>
    <w:rsid w:val="000C3FFD"/>
    <w:rsid w:val="000C4316"/>
    <w:rsid w:val="000C5A42"/>
    <w:rsid w:val="000C6567"/>
    <w:rsid w:val="000C761D"/>
    <w:rsid w:val="000D28E8"/>
    <w:rsid w:val="000D2D80"/>
    <w:rsid w:val="000D3EFE"/>
    <w:rsid w:val="000D54D5"/>
    <w:rsid w:val="000D7612"/>
    <w:rsid w:val="000E0F92"/>
    <w:rsid w:val="000E15D0"/>
    <w:rsid w:val="000E3A65"/>
    <w:rsid w:val="000E515E"/>
    <w:rsid w:val="000E7825"/>
    <w:rsid w:val="000E7933"/>
    <w:rsid w:val="000F1AA0"/>
    <w:rsid w:val="000F2BAC"/>
    <w:rsid w:val="000F5B98"/>
    <w:rsid w:val="00103A33"/>
    <w:rsid w:val="00110710"/>
    <w:rsid w:val="001117C2"/>
    <w:rsid w:val="00114313"/>
    <w:rsid w:val="00116166"/>
    <w:rsid w:val="00116399"/>
    <w:rsid w:val="00120292"/>
    <w:rsid w:val="00122759"/>
    <w:rsid w:val="00123EF0"/>
    <w:rsid w:val="00124E8D"/>
    <w:rsid w:val="001255DE"/>
    <w:rsid w:val="00125A35"/>
    <w:rsid w:val="0013454D"/>
    <w:rsid w:val="0013548E"/>
    <w:rsid w:val="0013585B"/>
    <w:rsid w:val="00137991"/>
    <w:rsid w:val="0014073E"/>
    <w:rsid w:val="001414B1"/>
    <w:rsid w:val="00147330"/>
    <w:rsid w:val="00150783"/>
    <w:rsid w:val="00151E74"/>
    <w:rsid w:val="0015625A"/>
    <w:rsid w:val="00161B1B"/>
    <w:rsid w:val="001620EC"/>
    <w:rsid w:val="001633E9"/>
    <w:rsid w:val="00165A2A"/>
    <w:rsid w:val="00166C8E"/>
    <w:rsid w:val="00167655"/>
    <w:rsid w:val="00170DE5"/>
    <w:rsid w:val="00171D39"/>
    <w:rsid w:val="001732F2"/>
    <w:rsid w:val="00176691"/>
    <w:rsid w:val="00176BBC"/>
    <w:rsid w:val="001776CE"/>
    <w:rsid w:val="00177B06"/>
    <w:rsid w:val="00180491"/>
    <w:rsid w:val="001806FA"/>
    <w:rsid w:val="00184345"/>
    <w:rsid w:val="0018533D"/>
    <w:rsid w:val="00185F67"/>
    <w:rsid w:val="0018717A"/>
    <w:rsid w:val="001A025D"/>
    <w:rsid w:val="001A077A"/>
    <w:rsid w:val="001A0ADB"/>
    <w:rsid w:val="001A35CE"/>
    <w:rsid w:val="001A481C"/>
    <w:rsid w:val="001A6662"/>
    <w:rsid w:val="001A6CE0"/>
    <w:rsid w:val="001A74CD"/>
    <w:rsid w:val="001B2A10"/>
    <w:rsid w:val="001B3C5A"/>
    <w:rsid w:val="001B564B"/>
    <w:rsid w:val="001B6087"/>
    <w:rsid w:val="001C423D"/>
    <w:rsid w:val="001C7361"/>
    <w:rsid w:val="001D3B4E"/>
    <w:rsid w:val="001D4153"/>
    <w:rsid w:val="001D596C"/>
    <w:rsid w:val="001D5F49"/>
    <w:rsid w:val="001E3F0A"/>
    <w:rsid w:val="001E3FD8"/>
    <w:rsid w:val="001E441A"/>
    <w:rsid w:val="001E5643"/>
    <w:rsid w:val="001F13AF"/>
    <w:rsid w:val="001F4B54"/>
    <w:rsid w:val="001F4EDE"/>
    <w:rsid w:val="001F5E3E"/>
    <w:rsid w:val="001F5EDA"/>
    <w:rsid w:val="001F6406"/>
    <w:rsid w:val="00201068"/>
    <w:rsid w:val="00201AA8"/>
    <w:rsid w:val="0020256D"/>
    <w:rsid w:val="002101D6"/>
    <w:rsid w:val="00211BB9"/>
    <w:rsid w:val="002145B5"/>
    <w:rsid w:val="0021472B"/>
    <w:rsid w:val="00214DDB"/>
    <w:rsid w:val="00217680"/>
    <w:rsid w:val="002214CA"/>
    <w:rsid w:val="00221C9E"/>
    <w:rsid w:val="002225AF"/>
    <w:rsid w:val="00223601"/>
    <w:rsid w:val="00223D09"/>
    <w:rsid w:val="00226916"/>
    <w:rsid w:val="002275F0"/>
    <w:rsid w:val="00231171"/>
    <w:rsid w:val="00231D4C"/>
    <w:rsid w:val="002339CF"/>
    <w:rsid w:val="00234834"/>
    <w:rsid w:val="00235273"/>
    <w:rsid w:val="00242723"/>
    <w:rsid w:val="002428B1"/>
    <w:rsid w:val="00244691"/>
    <w:rsid w:val="00250DE9"/>
    <w:rsid w:val="00251ABC"/>
    <w:rsid w:val="0025234B"/>
    <w:rsid w:val="0025600D"/>
    <w:rsid w:val="00256FD9"/>
    <w:rsid w:val="00261A3E"/>
    <w:rsid w:val="00261E9E"/>
    <w:rsid w:val="0026252E"/>
    <w:rsid w:val="00262781"/>
    <w:rsid w:val="00263E64"/>
    <w:rsid w:val="00266E46"/>
    <w:rsid w:val="002675FA"/>
    <w:rsid w:val="00270947"/>
    <w:rsid w:val="00270BDB"/>
    <w:rsid w:val="00272DB6"/>
    <w:rsid w:val="002747EE"/>
    <w:rsid w:val="00275E6E"/>
    <w:rsid w:val="00277E16"/>
    <w:rsid w:val="002839DF"/>
    <w:rsid w:val="00285EF4"/>
    <w:rsid w:val="00290338"/>
    <w:rsid w:val="00291214"/>
    <w:rsid w:val="00292817"/>
    <w:rsid w:val="00294452"/>
    <w:rsid w:val="002947ED"/>
    <w:rsid w:val="00294A52"/>
    <w:rsid w:val="0029683E"/>
    <w:rsid w:val="00297772"/>
    <w:rsid w:val="002A05B7"/>
    <w:rsid w:val="002A07EB"/>
    <w:rsid w:val="002A2F86"/>
    <w:rsid w:val="002A4AD1"/>
    <w:rsid w:val="002A58D3"/>
    <w:rsid w:val="002A6988"/>
    <w:rsid w:val="002A7F84"/>
    <w:rsid w:val="002B12AF"/>
    <w:rsid w:val="002B29A9"/>
    <w:rsid w:val="002B3A2A"/>
    <w:rsid w:val="002B3A5F"/>
    <w:rsid w:val="002B5A16"/>
    <w:rsid w:val="002B6CCB"/>
    <w:rsid w:val="002C1F39"/>
    <w:rsid w:val="002C4644"/>
    <w:rsid w:val="002C73A2"/>
    <w:rsid w:val="002D6882"/>
    <w:rsid w:val="002D7535"/>
    <w:rsid w:val="002E34EE"/>
    <w:rsid w:val="002E37F5"/>
    <w:rsid w:val="002E3855"/>
    <w:rsid w:val="002E4CBF"/>
    <w:rsid w:val="002E6F4E"/>
    <w:rsid w:val="002E7ED5"/>
    <w:rsid w:val="002F22D2"/>
    <w:rsid w:val="002F385D"/>
    <w:rsid w:val="002F402C"/>
    <w:rsid w:val="002F49FC"/>
    <w:rsid w:val="002F758A"/>
    <w:rsid w:val="002F7917"/>
    <w:rsid w:val="0030182B"/>
    <w:rsid w:val="003029A3"/>
    <w:rsid w:val="003032AE"/>
    <w:rsid w:val="003049AA"/>
    <w:rsid w:val="0031068E"/>
    <w:rsid w:val="00310B2A"/>
    <w:rsid w:val="00310EFF"/>
    <w:rsid w:val="00312059"/>
    <w:rsid w:val="003130BC"/>
    <w:rsid w:val="003147CD"/>
    <w:rsid w:val="003149DF"/>
    <w:rsid w:val="00315469"/>
    <w:rsid w:val="00316025"/>
    <w:rsid w:val="003203B4"/>
    <w:rsid w:val="00322E9A"/>
    <w:rsid w:val="003232C0"/>
    <w:rsid w:val="00324237"/>
    <w:rsid w:val="003258D9"/>
    <w:rsid w:val="00325BCE"/>
    <w:rsid w:val="003300BE"/>
    <w:rsid w:val="00335FD0"/>
    <w:rsid w:val="0033736F"/>
    <w:rsid w:val="00337963"/>
    <w:rsid w:val="00347824"/>
    <w:rsid w:val="0034784C"/>
    <w:rsid w:val="003509F1"/>
    <w:rsid w:val="00350E37"/>
    <w:rsid w:val="003537EA"/>
    <w:rsid w:val="0035428F"/>
    <w:rsid w:val="00356382"/>
    <w:rsid w:val="003613E6"/>
    <w:rsid w:val="00361F0F"/>
    <w:rsid w:val="00362086"/>
    <w:rsid w:val="0036231A"/>
    <w:rsid w:val="003627F3"/>
    <w:rsid w:val="00363668"/>
    <w:rsid w:val="003705BE"/>
    <w:rsid w:val="003722C9"/>
    <w:rsid w:val="003743F7"/>
    <w:rsid w:val="00375377"/>
    <w:rsid w:val="0038769E"/>
    <w:rsid w:val="0039244F"/>
    <w:rsid w:val="0039251A"/>
    <w:rsid w:val="003942C0"/>
    <w:rsid w:val="00394571"/>
    <w:rsid w:val="00394606"/>
    <w:rsid w:val="00394F91"/>
    <w:rsid w:val="003951A1"/>
    <w:rsid w:val="003A1751"/>
    <w:rsid w:val="003A1983"/>
    <w:rsid w:val="003A6BA4"/>
    <w:rsid w:val="003B0847"/>
    <w:rsid w:val="003B0ED9"/>
    <w:rsid w:val="003B2176"/>
    <w:rsid w:val="003B2AD1"/>
    <w:rsid w:val="003B5FB8"/>
    <w:rsid w:val="003B7F54"/>
    <w:rsid w:val="003C0669"/>
    <w:rsid w:val="003C1020"/>
    <w:rsid w:val="003C18E9"/>
    <w:rsid w:val="003C28A0"/>
    <w:rsid w:val="003C46AA"/>
    <w:rsid w:val="003C4EFE"/>
    <w:rsid w:val="003D3614"/>
    <w:rsid w:val="003D51AE"/>
    <w:rsid w:val="003D5B8B"/>
    <w:rsid w:val="003D6FE2"/>
    <w:rsid w:val="003E0B99"/>
    <w:rsid w:val="003F2511"/>
    <w:rsid w:val="003F660A"/>
    <w:rsid w:val="00400835"/>
    <w:rsid w:val="0040309B"/>
    <w:rsid w:val="00405EE3"/>
    <w:rsid w:val="004117F7"/>
    <w:rsid w:val="00416563"/>
    <w:rsid w:val="0042346C"/>
    <w:rsid w:val="00426048"/>
    <w:rsid w:val="0043101E"/>
    <w:rsid w:val="00432EC0"/>
    <w:rsid w:val="00434971"/>
    <w:rsid w:val="004355A6"/>
    <w:rsid w:val="0044019A"/>
    <w:rsid w:val="004413FC"/>
    <w:rsid w:val="00441479"/>
    <w:rsid w:val="00442C54"/>
    <w:rsid w:val="004466B8"/>
    <w:rsid w:val="00446814"/>
    <w:rsid w:val="00451566"/>
    <w:rsid w:val="00452DDE"/>
    <w:rsid w:val="00453B00"/>
    <w:rsid w:val="00454D30"/>
    <w:rsid w:val="004559F5"/>
    <w:rsid w:val="0046342F"/>
    <w:rsid w:val="00463CCD"/>
    <w:rsid w:val="004645B6"/>
    <w:rsid w:val="00464A2D"/>
    <w:rsid w:val="0046516F"/>
    <w:rsid w:val="00465B5B"/>
    <w:rsid w:val="00472FD2"/>
    <w:rsid w:val="00473A3A"/>
    <w:rsid w:val="00474662"/>
    <w:rsid w:val="00477266"/>
    <w:rsid w:val="00480D5B"/>
    <w:rsid w:val="004824E2"/>
    <w:rsid w:val="00483380"/>
    <w:rsid w:val="00487544"/>
    <w:rsid w:val="00487CD5"/>
    <w:rsid w:val="004930AB"/>
    <w:rsid w:val="00495A52"/>
    <w:rsid w:val="004A003D"/>
    <w:rsid w:val="004A097C"/>
    <w:rsid w:val="004A10DB"/>
    <w:rsid w:val="004A214D"/>
    <w:rsid w:val="004A2E87"/>
    <w:rsid w:val="004A5C7F"/>
    <w:rsid w:val="004B0288"/>
    <w:rsid w:val="004B2C52"/>
    <w:rsid w:val="004B5978"/>
    <w:rsid w:val="004B7211"/>
    <w:rsid w:val="004C227C"/>
    <w:rsid w:val="004C6D48"/>
    <w:rsid w:val="004D57A4"/>
    <w:rsid w:val="004D6832"/>
    <w:rsid w:val="004D728E"/>
    <w:rsid w:val="004E0611"/>
    <w:rsid w:val="004E424D"/>
    <w:rsid w:val="004E4293"/>
    <w:rsid w:val="004E719B"/>
    <w:rsid w:val="004E7920"/>
    <w:rsid w:val="004F64A7"/>
    <w:rsid w:val="005041F1"/>
    <w:rsid w:val="005061DE"/>
    <w:rsid w:val="005065FF"/>
    <w:rsid w:val="00507DBD"/>
    <w:rsid w:val="005129FC"/>
    <w:rsid w:val="00512AE6"/>
    <w:rsid w:val="00514908"/>
    <w:rsid w:val="00515FBF"/>
    <w:rsid w:val="005164D2"/>
    <w:rsid w:val="00520DA9"/>
    <w:rsid w:val="005222D7"/>
    <w:rsid w:val="005238AC"/>
    <w:rsid w:val="00527752"/>
    <w:rsid w:val="00530135"/>
    <w:rsid w:val="00530826"/>
    <w:rsid w:val="0053467B"/>
    <w:rsid w:val="005352BD"/>
    <w:rsid w:val="0053756B"/>
    <w:rsid w:val="005379ED"/>
    <w:rsid w:val="00540521"/>
    <w:rsid w:val="00540978"/>
    <w:rsid w:val="0054289C"/>
    <w:rsid w:val="00542913"/>
    <w:rsid w:val="00542E50"/>
    <w:rsid w:val="00543550"/>
    <w:rsid w:val="00543700"/>
    <w:rsid w:val="0054402B"/>
    <w:rsid w:val="00544894"/>
    <w:rsid w:val="00545643"/>
    <w:rsid w:val="0054602C"/>
    <w:rsid w:val="00546658"/>
    <w:rsid w:val="00551AB4"/>
    <w:rsid w:val="00553D33"/>
    <w:rsid w:val="005543F9"/>
    <w:rsid w:val="00554964"/>
    <w:rsid w:val="00555D5D"/>
    <w:rsid w:val="005611DD"/>
    <w:rsid w:val="005615AE"/>
    <w:rsid w:val="005625B5"/>
    <w:rsid w:val="0056348A"/>
    <w:rsid w:val="0056426E"/>
    <w:rsid w:val="00564B8F"/>
    <w:rsid w:val="00565FE8"/>
    <w:rsid w:val="00567032"/>
    <w:rsid w:val="0057009B"/>
    <w:rsid w:val="00571504"/>
    <w:rsid w:val="00572134"/>
    <w:rsid w:val="005724E5"/>
    <w:rsid w:val="00573608"/>
    <w:rsid w:val="005764D0"/>
    <w:rsid w:val="00576EC3"/>
    <w:rsid w:val="00577B39"/>
    <w:rsid w:val="0058176B"/>
    <w:rsid w:val="00584243"/>
    <w:rsid w:val="00584C6E"/>
    <w:rsid w:val="0058622C"/>
    <w:rsid w:val="005937D4"/>
    <w:rsid w:val="00595369"/>
    <w:rsid w:val="00595AAD"/>
    <w:rsid w:val="00596A91"/>
    <w:rsid w:val="005970B4"/>
    <w:rsid w:val="005A1C07"/>
    <w:rsid w:val="005A22BC"/>
    <w:rsid w:val="005A4852"/>
    <w:rsid w:val="005A5CC0"/>
    <w:rsid w:val="005A6A03"/>
    <w:rsid w:val="005B0F59"/>
    <w:rsid w:val="005B12A3"/>
    <w:rsid w:val="005B24E7"/>
    <w:rsid w:val="005B50D0"/>
    <w:rsid w:val="005C04EC"/>
    <w:rsid w:val="005D065D"/>
    <w:rsid w:val="005D47E3"/>
    <w:rsid w:val="005D4EE0"/>
    <w:rsid w:val="005D5600"/>
    <w:rsid w:val="005D7B26"/>
    <w:rsid w:val="005E3C29"/>
    <w:rsid w:val="005E5912"/>
    <w:rsid w:val="005E6A3A"/>
    <w:rsid w:val="005F174C"/>
    <w:rsid w:val="005F5355"/>
    <w:rsid w:val="005F701B"/>
    <w:rsid w:val="005F7E22"/>
    <w:rsid w:val="00602499"/>
    <w:rsid w:val="00602674"/>
    <w:rsid w:val="00602B9B"/>
    <w:rsid w:val="00605B11"/>
    <w:rsid w:val="00605DEE"/>
    <w:rsid w:val="00606DB7"/>
    <w:rsid w:val="006070BD"/>
    <w:rsid w:val="006103DC"/>
    <w:rsid w:val="006133D4"/>
    <w:rsid w:val="0061347E"/>
    <w:rsid w:val="0061367C"/>
    <w:rsid w:val="00614777"/>
    <w:rsid w:val="00616800"/>
    <w:rsid w:val="00620ED6"/>
    <w:rsid w:val="00621FA7"/>
    <w:rsid w:val="0062551D"/>
    <w:rsid w:val="006323F5"/>
    <w:rsid w:val="00641923"/>
    <w:rsid w:val="006502CD"/>
    <w:rsid w:val="0065149B"/>
    <w:rsid w:val="00653429"/>
    <w:rsid w:val="00655F18"/>
    <w:rsid w:val="006576AE"/>
    <w:rsid w:val="00660340"/>
    <w:rsid w:val="0066036D"/>
    <w:rsid w:val="00661416"/>
    <w:rsid w:val="00662777"/>
    <w:rsid w:val="006711AA"/>
    <w:rsid w:val="00672FAC"/>
    <w:rsid w:val="00674332"/>
    <w:rsid w:val="006762C8"/>
    <w:rsid w:val="00680234"/>
    <w:rsid w:val="0068612C"/>
    <w:rsid w:val="00687143"/>
    <w:rsid w:val="00687D0B"/>
    <w:rsid w:val="00690E1F"/>
    <w:rsid w:val="006962A1"/>
    <w:rsid w:val="006A1FDA"/>
    <w:rsid w:val="006A266E"/>
    <w:rsid w:val="006A30F3"/>
    <w:rsid w:val="006A3523"/>
    <w:rsid w:val="006A55E6"/>
    <w:rsid w:val="006A63C3"/>
    <w:rsid w:val="006B05BB"/>
    <w:rsid w:val="006B177E"/>
    <w:rsid w:val="006B2501"/>
    <w:rsid w:val="006B334E"/>
    <w:rsid w:val="006B6655"/>
    <w:rsid w:val="006B68EF"/>
    <w:rsid w:val="006B7151"/>
    <w:rsid w:val="006B7500"/>
    <w:rsid w:val="006C24A9"/>
    <w:rsid w:val="006C2BAC"/>
    <w:rsid w:val="006C3992"/>
    <w:rsid w:val="006C6A78"/>
    <w:rsid w:val="006D1ADA"/>
    <w:rsid w:val="006D5D24"/>
    <w:rsid w:val="006D64AE"/>
    <w:rsid w:val="006D6604"/>
    <w:rsid w:val="006E1C9E"/>
    <w:rsid w:val="006E2FD3"/>
    <w:rsid w:val="006E69FC"/>
    <w:rsid w:val="006E6AEF"/>
    <w:rsid w:val="006E7825"/>
    <w:rsid w:val="006F042E"/>
    <w:rsid w:val="006F2678"/>
    <w:rsid w:val="007008B4"/>
    <w:rsid w:val="00702FC9"/>
    <w:rsid w:val="00703142"/>
    <w:rsid w:val="007033E6"/>
    <w:rsid w:val="007068BB"/>
    <w:rsid w:val="007106C4"/>
    <w:rsid w:val="007122D7"/>
    <w:rsid w:val="0071345F"/>
    <w:rsid w:val="0071612B"/>
    <w:rsid w:val="00716CD6"/>
    <w:rsid w:val="00717FDC"/>
    <w:rsid w:val="00720464"/>
    <w:rsid w:val="00720601"/>
    <w:rsid w:val="00720BC3"/>
    <w:rsid w:val="00721ADC"/>
    <w:rsid w:val="00724578"/>
    <w:rsid w:val="0072590E"/>
    <w:rsid w:val="00731287"/>
    <w:rsid w:val="00733F05"/>
    <w:rsid w:val="00734EC8"/>
    <w:rsid w:val="007352CE"/>
    <w:rsid w:val="007378D3"/>
    <w:rsid w:val="00741F43"/>
    <w:rsid w:val="00743402"/>
    <w:rsid w:val="00747AED"/>
    <w:rsid w:val="007521EB"/>
    <w:rsid w:val="00752CEA"/>
    <w:rsid w:val="007549BC"/>
    <w:rsid w:val="00756422"/>
    <w:rsid w:val="00765C6E"/>
    <w:rsid w:val="0076690F"/>
    <w:rsid w:val="00767546"/>
    <w:rsid w:val="00770A02"/>
    <w:rsid w:val="00770CAF"/>
    <w:rsid w:val="0077271F"/>
    <w:rsid w:val="0077477C"/>
    <w:rsid w:val="0077497F"/>
    <w:rsid w:val="00774F8C"/>
    <w:rsid w:val="00776265"/>
    <w:rsid w:val="00785C92"/>
    <w:rsid w:val="00786596"/>
    <w:rsid w:val="007870FB"/>
    <w:rsid w:val="00791C71"/>
    <w:rsid w:val="0079286E"/>
    <w:rsid w:val="00796ED0"/>
    <w:rsid w:val="00797484"/>
    <w:rsid w:val="007979A9"/>
    <w:rsid w:val="007A1062"/>
    <w:rsid w:val="007A17CF"/>
    <w:rsid w:val="007A21BE"/>
    <w:rsid w:val="007A2689"/>
    <w:rsid w:val="007A4BB1"/>
    <w:rsid w:val="007A68DF"/>
    <w:rsid w:val="007B25F2"/>
    <w:rsid w:val="007B2AA8"/>
    <w:rsid w:val="007B321F"/>
    <w:rsid w:val="007B47AD"/>
    <w:rsid w:val="007B6DCD"/>
    <w:rsid w:val="007B757F"/>
    <w:rsid w:val="007C1143"/>
    <w:rsid w:val="007C48D3"/>
    <w:rsid w:val="007C6055"/>
    <w:rsid w:val="007C725F"/>
    <w:rsid w:val="007C7615"/>
    <w:rsid w:val="007D1353"/>
    <w:rsid w:val="007D183E"/>
    <w:rsid w:val="007D3ED0"/>
    <w:rsid w:val="007D40DF"/>
    <w:rsid w:val="007D6840"/>
    <w:rsid w:val="007D7F26"/>
    <w:rsid w:val="007E2346"/>
    <w:rsid w:val="007E7C0D"/>
    <w:rsid w:val="007F1316"/>
    <w:rsid w:val="007F161F"/>
    <w:rsid w:val="007F502E"/>
    <w:rsid w:val="007F6F89"/>
    <w:rsid w:val="007F7921"/>
    <w:rsid w:val="00804360"/>
    <w:rsid w:val="00804382"/>
    <w:rsid w:val="008121FB"/>
    <w:rsid w:val="00820048"/>
    <w:rsid w:val="00823BB0"/>
    <w:rsid w:val="00826291"/>
    <w:rsid w:val="00827AE1"/>
    <w:rsid w:val="00831B8F"/>
    <w:rsid w:val="00831D33"/>
    <w:rsid w:val="00834B39"/>
    <w:rsid w:val="00842065"/>
    <w:rsid w:val="0084281D"/>
    <w:rsid w:val="00842AC2"/>
    <w:rsid w:val="00843DF0"/>
    <w:rsid w:val="008468FC"/>
    <w:rsid w:val="00846B94"/>
    <w:rsid w:val="00847194"/>
    <w:rsid w:val="00847DF6"/>
    <w:rsid w:val="00847F9A"/>
    <w:rsid w:val="00852BFD"/>
    <w:rsid w:val="00852E22"/>
    <w:rsid w:val="00853A59"/>
    <w:rsid w:val="0085483C"/>
    <w:rsid w:val="00855C30"/>
    <w:rsid w:val="00861C51"/>
    <w:rsid w:val="00861CCE"/>
    <w:rsid w:val="00861DE1"/>
    <w:rsid w:val="00863FC3"/>
    <w:rsid w:val="0086506F"/>
    <w:rsid w:val="00867619"/>
    <w:rsid w:val="00867CA4"/>
    <w:rsid w:val="00871255"/>
    <w:rsid w:val="00872797"/>
    <w:rsid w:val="0087298C"/>
    <w:rsid w:val="008744C4"/>
    <w:rsid w:val="00875E76"/>
    <w:rsid w:val="008771D7"/>
    <w:rsid w:val="00880F70"/>
    <w:rsid w:val="0088338F"/>
    <w:rsid w:val="00885312"/>
    <w:rsid w:val="00885C9C"/>
    <w:rsid w:val="00894FF5"/>
    <w:rsid w:val="008A0496"/>
    <w:rsid w:val="008A13CC"/>
    <w:rsid w:val="008A1C7E"/>
    <w:rsid w:val="008A34D7"/>
    <w:rsid w:val="008A441E"/>
    <w:rsid w:val="008A4F33"/>
    <w:rsid w:val="008A7901"/>
    <w:rsid w:val="008B4975"/>
    <w:rsid w:val="008B52BD"/>
    <w:rsid w:val="008B7F7B"/>
    <w:rsid w:val="008C0638"/>
    <w:rsid w:val="008C2054"/>
    <w:rsid w:val="008D021E"/>
    <w:rsid w:val="008D068B"/>
    <w:rsid w:val="008D24E5"/>
    <w:rsid w:val="008D3B50"/>
    <w:rsid w:val="008E0510"/>
    <w:rsid w:val="008E0A40"/>
    <w:rsid w:val="008E0B98"/>
    <w:rsid w:val="008E2290"/>
    <w:rsid w:val="008E5CD4"/>
    <w:rsid w:val="008E5FA4"/>
    <w:rsid w:val="008F2DEA"/>
    <w:rsid w:val="008F4E36"/>
    <w:rsid w:val="008F7AE9"/>
    <w:rsid w:val="0090163F"/>
    <w:rsid w:val="00901DF5"/>
    <w:rsid w:val="00905967"/>
    <w:rsid w:val="00906792"/>
    <w:rsid w:val="00906F7E"/>
    <w:rsid w:val="0091073E"/>
    <w:rsid w:val="0091329D"/>
    <w:rsid w:val="00913829"/>
    <w:rsid w:val="00913F9E"/>
    <w:rsid w:val="00916EDE"/>
    <w:rsid w:val="009207D4"/>
    <w:rsid w:val="009212D0"/>
    <w:rsid w:val="00921AF3"/>
    <w:rsid w:val="00925851"/>
    <w:rsid w:val="0093123A"/>
    <w:rsid w:val="009345B4"/>
    <w:rsid w:val="00934799"/>
    <w:rsid w:val="00937F99"/>
    <w:rsid w:val="009402CE"/>
    <w:rsid w:val="009436F3"/>
    <w:rsid w:val="009505DD"/>
    <w:rsid w:val="00950C8B"/>
    <w:rsid w:val="00954196"/>
    <w:rsid w:val="0095537E"/>
    <w:rsid w:val="009554E2"/>
    <w:rsid w:val="0096064D"/>
    <w:rsid w:val="00961A4D"/>
    <w:rsid w:val="00962CD7"/>
    <w:rsid w:val="0097179A"/>
    <w:rsid w:val="00972C27"/>
    <w:rsid w:val="00975C3A"/>
    <w:rsid w:val="00980748"/>
    <w:rsid w:val="00984568"/>
    <w:rsid w:val="009853C3"/>
    <w:rsid w:val="00986ED8"/>
    <w:rsid w:val="0099570C"/>
    <w:rsid w:val="009A14B8"/>
    <w:rsid w:val="009B018F"/>
    <w:rsid w:val="009B05C9"/>
    <w:rsid w:val="009B15CA"/>
    <w:rsid w:val="009B33A9"/>
    <w:rsid w:val="009B5685"/>
    <w:rsid w:val="009B571B"/>
    <w:rsid w:val="009B7CAC"/>
    <w:rsid w:val="009C06CF"/>
    <w:rsid w:val="009C5847"/>
    <w:rsid w:val="009D4B75"/>
    <w:rsid w:val="009D632F"/>
    <w:rsid w:val="009E05F8"/>
    <w:rsid w:val="009E200F"/>
    <w:rsid w:val="009E2BE3"/>
    <w:rsid w:val="009E48BB"/>
    <w:rsid w:val="009E6C2A"/>
    <w:rsid w:val="009E7B37"/>
    <w:rsid w:val="009F50B1"/>
    <w:rsid w:val="009F7042"/>
    <w:rsid w:val="00A02BD0"/>
    <w:rsid w:val="00A03711"/>
    <w:rsid w:val="00A04F25"/>
    <w:rsid w:val="00A06356"/>
    <w:rsid w:val="00A0749F"/>
    <w:rsid w:val="00A10402"/>
    <w:rsid w:val="00A120BF"/>
    <w:rsid w:val="00A21738"/>
    <w:rsid w:val="00A21EE0"/>
    <w:rsid w:val="00A245F7"/>
    <w:rsid w:val="00A25083"/>
    <w:rsid w:val="00A266BE"/>
    <w:rsid w:val="00A323B3"/>
    <w:rsid w:val="00A32AF4"/>
    <w:rsid w:val="00A36A94"/>
    <w:rsid w:val="00A3790A"/>
    <w:rsid w:val="00A40C86"/>
    <w:rsid w:val="00A43138"/>
    <w:rsid w:val="00A465D7"/>
    <w:rsid w:val="00A46B38"/>
    <w:rsid w:val="00A47078"/>
    <w:rsid w:val="00A50183"/>
    <w:rsid w:val="00A51724"/>
    <w:rsid w:val="00A51F1F"/>
    <w:rsid w:val="00A52478"/>
    <w:rsid w:val="00A54A73"/>
    <w:rsid w:val="00A56DB9"/>
    <w:rsid w:val="00A5710F"/>
    <w:rsid w:val="00A57752"/>
    <w:rsid w:val="00A60516"/>
    <w:rsid w:val="00A6169E"/>
    <w:rsid w:val="00A61954"/>
    <w:rsid w:val="00A619EB"/>
    <w:rsid w:val="00A62DD3"/>
    <w:rsid w:val="00A62E33"/>
    <w:rsid w:val="00A63C63"/>
    <w:rsid w:val="00A74015"/>
    <w:rsid w:val="00A74FD4"/>
    <w:rsid w:val="00A75982"/>
    <w:rsid w:val="00A76AE7"/>
    <w:rsid w:val="00A8194D"/>
    <w:rsid w:val="00A9041B"/>
    <w:rsid w:val="00A91F14"/>
    <w:rsid w:val="00A95879"/>
    <w:rsid w:val="00A95CE4"/>
    <w:rsid w:val="00AA0083"/>
    <w:rsid w:val="00AA2F85"/>
    <w:rsid w:val="00AA3530"/>
    <w:rsid w:val="00AA6656"/>
    <w:rsid w:val="00AB2592"/>
    <w:rsid w:val="00AB3ABF"/>
    <w:rsid w:val="00AB3F52"/>
    <w:rsid w:val="00AB507F"/>
    <w:rsid w:val="00AB5478"/>
    <w:rsid w:val="00AC007D"/>
    <w:rsid w:val="00AC28D3"/>
    <w:rsid w:val="00AC304D"/>
    <w:rsid w:val="00AC527A"/>
    <w:rsid w:val="00AC5C89"/>
    <w:rsid w:val="00AC5EC8"/>
    <w:rsid w:val="00AD4162"/>
    <w:rsid w:val="00AD654D"/>
    <w:rsid w:val="00AD73EF"/>
    <w:rsid w:val="00AE53C7"/>
    <w:rsid w:val="00AF154B"/>
    <w:rsid w:val="00AF2D88"/>
    <w:rsid w:val="00AF36C2"/>
    <w:rsid w:val="00AF5B68"/>
    <w:rsid w:val="00AF62ED"/>
    <w:rsid w:val="00B02989"/>
    <w:rsid w:val="00B04662"/>
    <w:rsid w:val="00B05A4C"/>
    <w:rsid w:val="00B061C9"/>
    <w:rsid w:val="00B075AD"/>
    <w:rsid w:val="00B07908"/>
    <w:rsid w:val="00B12004"/>
    <w:rsid w:val="00B137F8"/>
    <w:rsid w:val="00B15CED"/>
    <w:rsid w:val="00B20E32"/>
    <w:rsid w:val="00B22007"/>
    <w:rsid w:val="00B227A2"/>
    <w:rsid w:val="00B26D27"/>
    <w:rsid w:val="00B30571"/>
    <w:rsid w:val="00B30A00"/>
    <w:rsid w:val="00B33245"/>
    <w:rsid w:val="00B33F21"/>
    <w:rsid w:val="00B37E77"/>
    <w:rsid w:val="00B40BB1"/>
    <w:rsid w:val="00B4101C"/>
    <w:rsid w:val="00B42CEA"/>
    <w:rsid w:val="00B4689F"/>
    <w:rsid w:val="00B50D2B"/>
    <w:rsid w:val="00B50FE9"/>
    <w:rsid w:val="00B5390D"/>
    <w:rsid w:val="00B66440"/>
    <w:rsid w:val="00B66F6D"/>
    <w:rsid w:val="00B67D6E"/>
    <w:rsid w:val="00B67F0E"/>
    <w:rsid w:val="00B70B1B"/>
    <w:rsid w:val="00B73CA1"/>
    <w:rsid w:val="00B748AF"/>
    <w:rsid w:val="00B761DF"/>
    <w:rsid w:val="00B76B84"/>
    <w:rsid w:val="00B771B1"/>
    <w:rsid w:val="00B80EC2"/>
    <w:rsid w:val="00B818D3"/>
    <w:rsid w:val="00B87354"/>
    <w:rsid w:val="00B878E1"/>
    <w:rsid w:val="00B90DFE"/>
    <w:rsid w:val="00B91B2A"/>
    <w:rsid w:val="00B924B8"/>
    <w:rsid w:val="00B953D4"/>
    <w:rsid w:val="00B967D6"/>
    <w:rsid w:val="00B97531"/>
    <w:rsid w:val="00BA369D"/>
    <w:rsid w:val="00BB1B31"/>
    <w:rsid w:val="00BB3B3C"/>
    <w:rsid w:val="00BB3F04"/>
    <w:rsid w:val="00BB48ED"/>
    <w:rsid w:val="00BB6149"/>
    <w:rsid w:val="00BB6E58"/>
    <w:rsid w:val="00BC0912"/>
    <w:rsid w:val="00BC187A"/>
    <w:rsid w:val="00BC42BC"/>
    <w:rsid w:val="00BC6C75"/>
    <w:rsid w:val="00BC71C2"/>
    <w:rsid w:val="00BC762F"/>
    <w:rsid w:val="00BD0EB8"/>
    <w:rsid w:val="00BD1749"/>
    <w:rsid w:val="00BD28EF"/>
    <w:rsid w:val="00BD51F1"/>
    <w:rsid w:val="00BD767E"/>
    <w:rsid w:val="00BD7A13"/>
    <w:rsid w:val="00BE0D7F"/>
    <w:rsid w:val="00BE13D0"/>
    <w:rsid w:val="00BE1BEA"/>
    <w:rsid w:val="00BE1E44"/>
    <w:rsid w:val="00BE27F3"/>
    <w:rsid w:val="00BE2DFC"/>
    <w:rsid w:val="00BF0A71"/>
    <w:rsid w:val="00BF1690"/>
    <w:rsid w:val="00BF4279"/>
    <w:rsid w:val="00C02AE2"/>
    <w:rsid w:val="00C02ED7"/>
    <w:rsid w:val="00C049DD"/>
    <w:rsid w:val="00C146CF"/>
    <w:rsid w:val="00C16841"/>
    <w:rsid w:val="00C16FFD"/>
    <w:rsid w:val="00C1729F"/>
    <w:rsid w:val="00C23326"/>
    <w:rsid w:val="00C3187A"/>
    <w:rsid w:val="00C33EAD"/>
    <w:rsid w:val="00C354A6"/>
    <w:rsid w:val="00C3551D"/>
    <w:rsid w:val="00C36812"/>
    <w:rsid w:val="00C42A82"/>
    <w:rsid w:val="00C442CB"/>
    <w:rsid w:val="00C45B18"/>
    <w:rsid w:val="00C463B7"/>
    <w:rsid w:val="00C46867"/>
    <w:rsid w:val="00C521E2"/>
    <w:rsid w:val="00C53C6D"/>
    <w:rsid w:val="00C5473F"/>
    <w:rsid w:val="00C56B89"/>
    <w:rsid w:val="00C57865"/>
    <w:rsid w:val="00C64130"/>
    <w:rsid w:val="00C65562"/>
    <w:rsid w:val="00C662DE"/>
    <w:rsid w:val="00C70C27"/>
    <w:rsid w:val="00C71599"/>
    <w:rsid w:val="00C72648"/>
    <w:rsid w:val="00C757D4"/>
    <w:rsid w:val="00C7599B"/>
    <w:rsid w:val="00C75E54"/>
    <w:rsid w:val="00C76919"/>
    <w:rsid w:val="00C77B35"/>
    <w:rsid w:val="00C80345"/>
    <w:rsid w:val="00C80634"/>
    <w:rsid w:val="00C80943"/>
    <w:rsid w:val="00C8099A"/>
    <w:rsid w:val="00C809D0"/>
    <w:rsid w:val="00C84046"/>
    <w:rsid w:val="00C8436C"/>
    <w:rsid w:val="00C864AA"/>
    <w:rsid w:val="00C86B66"/>
    <w:rsid w:val="00C91D52"/>
    <w:rsid w:val="00C92970"/>
    <w:rsid w:val="00C949BD"/>
    <w:rsid w:val="00CA03E2"/>
    <w:rsid w:val="00CA4C47"/>
    <w:rsid w:val="00CA779B"/>
    <w:rsid w:val="00CA7DE6"/>
    <w:rsid w:val="00CA7E86"/>
    <w:rsid w:val="00CB74B4"/>
    <w:rsid w:val="00CB7D64"/>
    <w:rsid w:val="00CC0016"/>
    <w:rsid w:val="00CC0F4E"/>
    <w:rsid w:val="00CC3292"/>
    <w:rsid w:val="00CC6D5B"/>
    <w:rsid w:val="00CD10D1"/>
    <w:rsid w:val="00CD1CC7"/>
    <w:rsid w:val="00CD3B21"/>
    <w:rsid w:val="00CE0834"/>
    <w:rsid w:val="00CE09C6"/>
    <w:rsid w:val="00CE0B01"/>
    <w:rsid w:val="00CE1124"/>
    <w:rsid w:val="00CE2DC0"/>
    <w:rsid w:val="00CE2EC8"/>
    <w:rsid w:val="00CE4002"/>
    <w:rsid w:val="00CE5E16"/>
    <w:rsid w:val="00CE6055"/>
    <w:rsid w:val="00CF0D5A"/>
    <w:rsid w:val="00CF12CF"/>
    <w:rsid w:val="00CF19EB"/>
    <w:rsid w:val="00CF345E"/>
    <w:rsid w:val="00CF3C8C"/>
    <w:rsid w:val="00CF4F42"/>
    <w:rsid w:val="00CF76D1"/>
    <w:rsid w:val="00D01ADA"/>
    <w:rsid w:val="00D06D0E"/>
    <w:rsid w:val="00D06E5C"/>
    <w:rsid w:val="00D07773"/>
    <w:rsid w:val="00D139B1"/>
    <w:rsid w:val="00D144B3"/>
    <w:rsid w:val="00D25E67"/>
    <w:rsid w:val="00D3332B"/>
    <w:rsid w:val="00D42701"/>
    <w:rsid w:val="00D43174"/>
    <w:rsid w:val="00D4382C"/>
    <w:rsid w:val="00D43DF8"/>
    <w:rsid w:val="00D460F3"/>
    <w:rsid w:val="00D46929"/>
    <w:rsid w:val="00D5158D"/>
    <w:rsid w:val="00D537A3"/>
    <w:rsid w:val="00D54513"/>
    <w:rsid w:val="00D5788B"/>
    <w:rsid w:val="00D6011F"/>
    <w:rsid w:val="00D60EDB"/>
    <w:rsid w:val="00D61B91"/>
    <w:rsid w:val="00D6216C"/>
    <w:rsid w:val="00D62B88"/>
    <w:rsid w:val="00D6329E"/>
    <w:rsid w:val="00D6455A"/>
    <w:rsid w:val="00D70928"/>
    <w:rsid w:val="00D7330D"/>
    <w:rsid w:val="00D73D75"/>
    <w:rsid w:val="00D754CC"/>
    <w:rsid w:val="00D77357"/>
    <w:rsid w:val="00D80F57"/>
    <w:rsid w:val="00D839E8"/>
    <w:rsid w:val="00D85678"/>
    <w:rsid w:val="00D90560"/>
    <w:rsid w:val="00D92E8E"/>
    <w:rsid w:val="00D9365F"/>
    <w:rsid w:val="00D9440A"/>
    <w:rsid w:val="00D9506D"/>
    <w:rsid w:val="00DA106F"/>
    <w:rsid w:val="00DA26BF"/>
    <w:rsid w:val="00DA2EED"/>
    <w:rsid w:val="00DA5523"/>
    <w:rsid w:val="00DA645B"/>
    <w:rsid w:val="00DA7BC5"/>
    <w:rsid w:val="00DA7CAD"/>
    <w:rsid w:val="00DB0120"/>
    <w:rsid w:val="00DB1521"/>
    <w:rsid w:val="00DB2771"/>
    <w:rsid w:val="00DC1BE1"/>
    <w:rsid w:val="00DC3457"/>
    <w:rsid w:val="00DC6413"/>
    <w:rsid w:val="00DC64BB"/>
    <w:rsid w:val="00DD094E"/>
    <w:rsid w:val="00DD403D"/>
    <w:rsid w:val="00DD43A7"/>
    <w:rsid w:val="00DE0E63"/>
    <w:rsid w:val="00DE45D4"/>
    <w:rsid w:val="00DE56DE"/>
    <w:rsid w:val="00DF4FCE"/>
    <w:rsid w:val="00DF660F"/>
    <w:rsid w:val="00E04CE1"/>
    <w:rsid w:val="00E069C6"/>
    <w:rsid w:val="00E1512E"/>
    <w:rsid w:val="00E172B8"/>
    <w:rsid w:val="00E23C05"/>
    <w:rsid w:val="00E2400B"/>
    <w:rsid w:val="00E251C8"/>
    <w:rsid w:val="00E25FAA"/>
    <w:rsid w:val="00E264CD"/>
    <w:rsid w:val="00E33E62"/>
    <w:rsid w:val="00E34B3D"/>
    <w:rsid w:val="00E34C40"/>
    <w:rsid w:val="00E35F9C"/>
    <w:rsid w:val="00E37EFA"/>
    <w:rsid w:val="00E40554"/>
    <w:rsid w:val="00E4295B"/>
    <w:rsid w:val="00E42C0E"/>
    <w:rsid w:val="00E43062"/>
    <w:rsid w:val="00E44AE3"/>
    <w:rsid w:val="00E44C0F"/>
    <w:rsid w:val="00E465C8"/>
    <w:rsid w:val="00E5036C"/>
    <w:rsid w:val="00E51732"/>
    <w:rsid w:val="00E52985"/>
    <w:rsid w:val="00E536F9"/>
    <w:rsid w:val="00E5454F"/>
    <w:rsid w:val="00E558CF"/>
    <w:rsid w:val="00E5684B"/>
    <w:rsid w:val="00E5734B"/>
    <w:rsid w:val="00E6509F"/>
    <w:rsid w:val="00E7294B"/>
    <w:rsid w:val="00E72AB1"/>
    <w:rsid w:val="00E748A4"/>
    <w:rsid w:val="00E75154"/>
    <w:rsid w:val="00E75A2B"/>
    <w:rsid w:val="00E806D7"/>
    <w:rsid w:val="00E80C4A"/>
    <w:rsid w:val="00E80F39"/>
    <w:rsid w:val="00E81AB0"/>
    <w:rsid w:val="00E82396"/>
    <w:rsid w:val="00E827C4"/>
    <w:rsid w:val="00E86A09"/>
    <w:rsid w:val="00E92221"/>
    <w:rsid w:val="00E924C5"/>
    <w:rsid w:val="00E93881"/>
    <w:rsid w:val="00E965A5"/>
    <w:rsid w:val="00E979B7"/>
    <w:rsid w:val="00E97BEB"/>
    <w:rsid w:val="00EA1DC2"/>
    <w:rsid w:val="00EA5AB3"/>
    <w:rsid w:val="00EB18F2"/>
    <w:rsid w:val="00EB4A0D"/>
    <w:rsid w:val="00EB4F26"/>
    <w:rsid w:val="00EB52F6"/>
    <w:rsid w:val="00EC1BE6"/>
    <w:rsid w:val="00EC40B6"/>
    <w:rsid w:val="00EC4CF5"/>
    <w:rsid w:val="00EC6607"/>
    <w:rsid w:val="00EC6BFB"/>
    <w:rsid w:val="00ED2B3E"/>
    <w:rsid w:val="00ED45B1"/>
    <w:rsid w:val="00ED5A3C"/>
    <w:rsid w:val="00ED76FA"/>
    <w:rsid w:val="00ED7F22"/>
    <w:rsid w:val="00EE1B38"/>
    <w:rsid w:val="00EE2485"/>
    <w:rsid w:val="00EE2F51"/>
    <w:rsid w:val="00EE3EBF"/>
    <w:rsid w:val="00EE4434"/>
    <w:rsid w:val="00EE5CD7"/>
    <w:rsid w:val="00EF0862"/>
    <w:rsid w:val="00EF26C7"/>
    <w:rsid w:val="00EF6BA6"/>
    <w:rsid w:val="00EF6FC1"/>
    <w:rsid w:val="00EF7BFA"/>
    <w:rsid w:val="00F015FC"/>
    <w:rsid w:val="00F0413B"/>
    <w:rsid w:val="00F05F47"/>
    <w:rsid w:val="00F071D6"/>
    <w:rsid w:val="00F07D87"/>
    <w:rsid w:val="00F1206A"/>
    <w:rsid w:val="00F12511"/>
    <w:rsid w:val="00F12EE3"/>
    <w:rsid w:val="00F148AB"/>
    <w:rsid w:val="00F160E9"/>
    <w:rsid w:val="00F161FA"/>
    <w:rsid w:val="00F166F0"/>
    <w:rsid w:val="00F17017"/>
    <w:rsid w:val="00F21110"/>
    <w:rsid w:val="00F2171A"/>
    <w:rsid w:val="00F23CDC"/>
    <w:rsid w:val="00F25023"/>
    <w:rsid w:val="00F2642E"/>
    <w:rsid w:val="00F35C51"/>
    <w:rsid w:val="00F40038"/>
    <w:rsid w:val="00F42907"/>
    <w:rsid w:val="00F47D5D"/>
    <w:rsid w:val="00F523AD"/>
    <w:rsid w:val="00F5330C"/>
    <w:rsid w:val="00F57772"/>
    <w:rsid w:val="00F61973"/>
    <w:rsid w:val="00F63B77"/>
    <w:rsid w:val="00F63DB5"/>
    <w:rsid w:val="00F66459"/>
    <w:rsid w:val="00F70CA8"/>
    <w:rsid w:val="00F72221"/>
    <w:rsid w:val="00F748BC"/>
    <w:rsid w:val="00F845EF"/>
    <w:rsid w:val="00F864C3"/>
    <w:rsid w:val="00F86734"/>
    <w:rsid w:val="00F90382"/>
    <w:rsid w:val="00F960A6"/>
    <w:rsid w:val="00F968BA"/>
    <w:rsid w:val="00F96B45"/>
    <w:rsid w:val="00F97158"/>
    <w:rsid w:val="00F9761E"/>
    <w:rsid w:val="00F97F0A"/>
    <w:rsid w:val="00FA0272"/>
    <w:rsid w:val="00FA33C7"/>
    <w:rsid w:val="00FA5C9B"/>
    <w:rsid w:val="00FA6B6A"/>
    <w:rsid w:val="00FA7C9E"/>
    <w:rsid w:val="00FB052C"/>
    <w:rsid w:val="00FB13CF"/>
    <w:rsid w:val="00FB15E0"/>
    <w:rsid w:val="00FB3477"/>
    <w:rsid w:val="00FB3CA3"/>
    <w:rsid w:val="00FB43CF"/>
    <w:rsid w:val="00FB4453"/>
    <w:rsid w:val="00FB4DF9"/>
    <w:rsid w:val="00FB520E"/>
    <w:rsid w:val="00FB7FB6"/>
    <w:rsid w:val="00FC3D87"/>
    <w:rsid w:val="00FD0759"/>
    <w:rsid w:val="00FD0EFE"/>
    <w:rsid w:val="00FD0F3E"/>
    <w:rsid w:val="00FD2A11"/>
    <w:rsid w:val="00FD77C2"/>
    <w:rsid w:val="00FE0DC0"/>
    <w:rsid w:val="00FE436B"/>
    <w:rsid w:val="00FF0490"/>
    <w:rsid w:val="00FF1A0E"/>
    <w:rsid w:val="00FF200A"/>
    <w:rsid w:val="00FF6AF4"/>
    <w:rsid w:val="00FF78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1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A68DF"/>
    <w:pPr>
      <w:keepNext/>
      <w:keepLines/>
      <w:spacing w:before="240" w:after="0"/>
      <w:outlineLvl w:val="0"/>
    </w:pPr>
    <w:rPr>
      <w:rFonts w:ascii="Times New Roman" w:eastAsiaTheme="majorEastAsia" w:hAnsi="Times New Roman" w:cstheme="majorBidi"/>
      <w:b/>
      <w:caps/>
      <w:color w:val="000000" w:themeColor="text1"/>
      <w:sz w:val="24"/>
      <w:szCs w:val="32"/>
    </w:rPr>
  </w:style>
  <w:style w:type="paragraph" w:styleId="Heading2">
    <w:name w:val="heading 2"/>
    <w:basedOn w:val="Normal"/>
    <w:next w:val="Normal"/>
    <w:link w:val="Heading2Char"/>
    <w:uiPriority w:val="9"/>
    <w:unhideWhenUsed/>
    <w:qFormat/>
    <w:rsid w:val="00E25FAA"/>
    <w:pPr>
      <w:keepNext/>
      <w:keepLines/>
      <w:spacing w:before="40" w:after="0"/>
      <w:outlineLvl w:val="1"/>
    </w:pPr>
    <w:rPr>
      <w:rFonts w:ascii="Times New Roman" w:eastAsiaTheme="majorEastAsia" w:hAnsi="Times New Roman" w:cstheme="majorBidi"/>
      <w:b/>
      <w:caps/>
      <w:color w:val="000000" w:themeColor="text1"/>
      <w:sz w:val="24"/>
      <w:szCs w:val="26"/>
    </w:rPr>
  </w:style>
  <w:style w:type="paragraph" w:styleId="Heading3">
    <w:name w:val="heading 3"/>
    <w:basedOn w:val="Normal"/>
    <w:next w:val="Normal"/>
    <w:link w:val="Heading3Char"/>
    <w:uiPriority w:val="9"/>
    <w:semiHidden/>
    <w:unhideWhenUsed/>
    <w:qFormat/>
    <w:rsid w:val="005B12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031"/>
    <w:rPr>
      <w:color w:val="0000FF"/>
      <w:u w:val="single"/>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5_G Char,FA Fu Char,fn Char"/>
    <w:basedOn w:val="DefaultParagraphFont"/>
    <w:link w:val="FootnoteText"/>
    <w:uiPriority w:val="99"/>
    <w:qFormat/>
    <w:rsid w:val="00264CB3"/>
    <w:rPr>
      <w:sz w:val="20"/>
      <w:szCs w:val="20"/>
    </w:rPr>
  </w:style>
  <w:style w:type="character" w:customStyle="1" w:styleId="FootnoteCharacters">
    <w:name w:val="Footnote Characters"/>
    <w:basedOn w:val="DefaultParagraphFont"/>
    <w:uiPriority w:val="99"/>
    <w:semiHidden/>
    <w:unhideWhenUsed/>
    <w:qFormat/>
    <w:rsid w:val="00264CB3"/>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uiPriority w:val="99"/>
    <w:semiHidden/>
    <w:unhideWhenUsed/>
    <w:qFormat/>
    <w:rsid w:val="0004597C"/>
    <w:rPr>
      <w:color w:val="605E5C"/>
      <w:shd w:val="clear" w:color="auto" w:fill="E1DFDD"/>
    </w:rPr>
  </w:style>
  <w:style w:type="character" w:customStyle="1" w:styleId="UnresolvedMention2">
    <w:name w:val="Unresolved Mention2"/>
    <w:basedOn w:val="DefaultParagraphFont"/>
    <w:uiPriority w:val="99"/>
    <w:semiHidden/>
    <w:unhideWhenUsed/>
    <w:qFormat/>
    <w:rsid w:val="00EE0361"/>
    <w:rPr>
      <w:color w:val="605E5C"/>
      <w:shd w:val="clear" w:color="auto" w:fill="E1DFDD"/>
    </w:rPr>
  </w:style>
  <w:style w:type="character" w:styleId="FollowedHyperlink">
    <w:name w:val="FollowedHyperlink"/>
    <w:basedOn w:val="DefaultParagraphFont"/>
    <w:uiPriority w:val="99"/>
    <w:semiHidden/>
    <w:unhideWhenUsed/>
    <w:rsid w:val="008D6A55"/>
    <w:rPr>
      <w:color w:val="954F72" w:themeColor="followedHyperlink"/>
      <w:u w:val="single"/>
    </w:rPr>
  </w:style>
  <w:style w:type="character" w:customStyle="1" w:styleId="UnresolvedMention3">
    <w:name w:val="Unresolved Mention3"/>
    <w:basedOn w:val="DefaultParagraphFont"/>
    <w:uiPriority w:val="99"/>
    <w:semiHidden/>
    <w:unhideWhenUsed/>
    <w:qFormat/>
    <w:rsid w:val="00701306"/>
    <w:rPr>
      <w:color w:val="605E5C"/>
      <w:shd w:val="clear" w:color="auto" w:fill="E1DFDD"/>
    </w:rPr>
  </w:style>
  <w:style w:type="character" w:customStyle="1" w:styleId="UnresolvedMention4">
    <w:name w:val="Unresolved Mention4"/>
    <w:basedOn w:val="DefaultParagraphFont"/>
    <w:uiPriority w:val="99"/>
    <w:semiHidden/>
    <w:unhideWhenUsed/>
    <w:qFormat/>
    <w:rsid w:val="00223C1C"/>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2D4977"/>
    <w:pPr>
      <w:ind w:left="720"/>
      <w:contextualSpacing/>
    </w:p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5_G,FA Fu,fn"/>
    <w:basedOn w:val="Normal"/>
    <w:link w:val="FootnoteTextChar"/>
    <w:uiPriority w:val="99"/>
    <w:unhideWhenUsed/>
    <w:qFormat/>
    <w:rsid w:val="00264CB3"/>
    <w:pPr>
      <w:spacing w:after="0" w:line="240" w:lineRule="auto"/>
    </w:pPr>
    <w:rPr>
      <w:sz w:val="20"/>
      <w:szCs w:val="20"/>
    </w:rPr>
  </w:style>
  <w:style w:type="paragraph" w:styleId="NormalWeb">
    <w:name w:val="Normal (Web)"/>
    <w:basedOn w:val="Normal"/>
    <w:uiPriority w:val="99"/>
    <w:semiHidden/>
    <w:unhideWhenUsed/>
    <w:qFormat/>
    <w:rsid w:val="007F0F30"/>
    <w:pPr>
      <w:spacing w:beforeAutospacing="1"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53467B"/>
    <w:rPr>
      <w:vertAlign w:val="superscript"/>
    </w:rPr>
  </w:style>
  <w:style w:type="character" w:customStyle="1" w:styleId="UnresolvedMention5">
    <w:name w:val="Unresolved Mention5"/>
    <w:basedOn w:val="DefaultParagraphFont"/>
    <w:uiPriority w:val="99"/>
    <w:semiHidden/>
    <w:unhideWhenUsed/>
    <w:rsid w:val="00653429"/>
    <w:rPr>
      <w:color w:val="605E5C"/>
      <w:shd w:val="clear" w:color="auto" w:fill="E1DFDD"/>
    </w:rPr>
  </w:style>
  <w:style w:type="character" w:customStyle="1" w:styleId="Heading1Char">
    <w:name w:val="Heading 1 Char"/>
    <w:basedOn w:val="DefaultParagraphFont"/>
    <w:link w:val="Heading1"/>
    <w:uiPriority w:val="9"/>
    <w:rsid w:val="007A68DF"/>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E25FAA"/>
    <w:rPr>
      <w:rFonts w:ascii="Times New Roman" w:eastAsiaTheme="majorEastAsia" w:hAnsi="Times New Roman" w:cstheme="majorBidi"/>
      <w:b/>
      <w:caps/>
      <w:color w:val="000000" w:themeColor="text1"/>
      <w:sz w:val="24"/>
      <w:szCs w:val="26"/>
    </w:rPr>
  </w:style>
  <w:style w:type="table" w:styleId="TableGrid">
    <w:name w:val="Table Grid"/>
    <w:basedOn w:val="TableNormal"/>
    <w:uiPriority w:val="39"/>
    <w:rsid w:val="00A9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44B53"/>
    <w:rPr>
      <w:color w:val="605E5C"/>
      <w:shd w:val="clear" w:color="auto" w:fill="E1DFDD"/>
    </w:rPr>
  </w:style>
  <w:style w:type="paragraph" w:styleId="BalloonText">
    <w:name w:val="Balloon Text"/>
    <w:basedOn w:val="Normal"/>
    <w:link w:val="BalloonTextChar"/>
    <w:uiPriority w:val="99"/>
    <w:semiHidden/>
    <w:unhideWhenUsed/>
    <w:rsid w:val="00E4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0F"/>
    <w:rPr>
      <w:rFonts w:ascii="Segoe UI" w:hAnsi="Segoe UI" w:cs="Segoe UI"/>
      <w:sz w:val="18"/>
      <w:szCs w:val="18"/>
    </w:rPr>
  </w:style>
  <w:style w:type="table" w:styleId="GridTable1Light">
    <w:name w:val="Grid Table 1 Light"/>
    <w:basedOn w:val="TableNormal"/>
    <w:uiPriority w:val="46"/>
    <w:rsid w:val="00D905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F7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6D1"/>
  </w:style>
  <w:style w:type="paragraph" w:styleId="Footer">
    <w:name w:val="footer"/>
    <w:basedOn w:val="Normal"/>
    <w:link w:val="FooterChar"/>
    <w:uiPriority w:val="99"/>
    <w:unhideWhenUsed/>
    <w:rsid w:val="00CF7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D1"/>
  </w:style>
  <w:style w:type="character" w:customStyle="1" w:styleId="UnresolvedMention7">
    <w:name w:val="Unresolved Mention7"/>
    <w:basedOn w:val="DefaultParagraphFont"/>
    <w:uiPriority w:val="99"/>
    <w:semiHidden/>
    <w:unhideWhenUsed/>
    <w:rsid w:val="00DF660F"/>
    <w:rPr>
      <w:color w:val="605E5C"/>
      <w:shd w:val="clear" w:color="auto" w:fill="E1DFDD"/>
    </w:rPr>
  </w:style>
  <w:style w:type="paragraph" w:styleId="Revision">
    <w:name w:val="Revision"/>
    <w:hidden/>
    <w:uiPriority w:val="99"/>
    <w:semiHidden/>
    <w:rsid w:val="00CF12CF"/>
    <w:pPr>
      <w:suppressAutoHyphens w:val="0"/>
    </w:pPr>
  </w:style>
  <w:style w:type="character" w:styleId="CommentReference">
    <w:name w:val="annotation reference"/>
    <w:basedOn w:val="DefaultParagraphFont"/>
    <w:uiPriority w:val="99"/>
    <w:semiHidden/>
    <w:unhideWhenUsed/>
    <w:rsid w:val="00A95879"/>
    <w:rPr>
      <w:sz w:val="16"/>
      <w:szCs w:val="16"/>
    </w:rPr>
  </w:style>
  <w:style w:type="paragraph" w:styleId="CommentText">
    <w:name w:val="annotation text"/>
    <w:basedOn w:val="Normal"/>
    <w:link w:val="CommentTextChar"/>
    <w:uiPriority w:val="99"/>
    <w:unhideWhenUsed/>
    <w:rsid w:val="00A95879"/>
    <w:pPr>
      <w:spacing w:line="240" w:lineRule="auto"/>
    </w:pPr>
    <w:rPr>
      <w:sz w:val="20"/>
      <w:szCs w:val="20"/>
    </w:rPr>
  </w:style>
  <w:style w:type="character" w:customStyle="1" w:styleId="CommentTextChar">
    <w:name w:val="Comment Text Char"/>
    <w:basedOn w:val="DefaultParagraphFont"/>
    <w:link w:val="CommentText"/>
    <w:uiPriority w:val="99"/>
    <w:rsid w:val="00A95879"/>
    <w:rPr>
      <w:sz w:val="20"/>
      <w:szCs w:val="20"/>
    </w:rPr>
  </w:style>
  <w:style w:type="paragraph" w:styleId="CommentSubject">
    <w:name w:val="annotation subject"/>
    <w:basedOn w:val="CommentText"/>
    <w:next w:val="CommentText"/>
    <w:link w:val="CommentSubjectChar"/>
    <w:uiPriority w:val="99"/>
    <w:semiHidden/>
    <w:unhideWhenUsed/>
    <w:rsid w:val="00A95879"/>
    <w:rPr>
      <w:b/>
      <w:bCs/>
    </w:rPr>
  </w:style>
  <w:style w:type="character" w:customStyle="1" w:styleId="CommentSubjectChar">
    <w:name w:val="Comment Subject Char"/>
    <w:basedOn w:val="CommentTextChar"/>
    <w:link w:val="CommentSubject"/>
    <w:uiPriority w:val="99"/>
    <w:semiHidden/>
    <w:rsid w:val="00A95879"/>
    <w:rPr>
      <w:b/>
      <w:bCs/>
      <w:sz w:val="20"/>
      <w:szCs w:val="20"/>
    </w:rPr>
  </w:style>
  <w:style w:type="character" w:customStyle="1" w:styleId="UnresolvedMention8">
    <w:name w:val="Unresolved Mention8"/>
    <w:basedOn w:val="DefaultParagraphFont"/>
    <w:uiPriority w:val="99"/>
    <w:semiHidden/>
    <w:unhideWhenUsed/>
    <w:rsid w:val="00DB1521"/>
    <w:rPr>
      <w:color w:val="605E5C"/>
      <w:shd w:val="clear" w:color="auto" w:fill="E1DFDD"/>
    </w:rPr>
  </w:style>
  <w:style w:type="character" w:customStyle="1" w:styleId="Heading3Char">
    <w:name w:val="Heading 3 Char"/>
    <w:basedOn w:val="DefaultParagraphFont"/>
    <w:link w:val="Heading3"/>
    <w:uiPriority w:val="9"/>
    <w:semiHidden/>
    <w:rsid w:val="005B12A3"/>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6E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866">
      <w:bodyDiv w:val="1"/>
      <w:marLeft w:val="0"/>
      <w:marRight w:val="0"/>
      <w:marTop w:val="0"/>
      <w:marBottom w:val="0"/>
      <w:divBdr>
        <w:top w:val="none" w:sz="0" w:space="0" w:color="auto"/>
        <w:left w:val="none" w:sz="0" w:space="0" w:color="auto"/>
        <w:bottom w:val="none" w:sz="0" w:space="0" w:color="auto"/>
        <w:right w:val="none" w:sz="0" w:space="0" w:color="auto"/>
      </w:divBdr>
      <w:divsChild>
        <w:div w:id="1018652469">
          <w:marLeft w:val="0"/>
          <w:marRight w:val="0"/>
          <w:marTop w:val="0"/>
          <w:marBottom w:val="0"/>
          <w:divBdr>
            <w:top w:val="none" w:sz="0" w:space="0" w:color="auto"/>
            <w:left w:val="none" w:sz="0" w:space="0" w:color="auto"/>
            <w:bottom w:val="none" w:sz="0" w:space="0" w:color="auto"/>
            <w:right w:val="none" w:sz="0" w:space="0" w:color="auto"/>
          </w:divBdr>
          <w:divsChild>
            <w:div w:id="1584871613">
              <w:marLeft w:val="0"/>
              <w:marRight w:val="0"/>
              <w:marTop w:val="0"/>
              <w:marBottom w:val="0"/>
              <w:divBdr>
                <w:top w:val="none" w:sz="0" w:space="0" w:color="auto"/>
                <w:left w:val="none" w:sz="0" w:space="0" w:color="auto"/>
                <w:bottom w:val="none" w:sz="0" w:space="0" w:color="auto"/>
                <w:right w:val="none" w:sz="0" w:space="0" w:color="auto"/>
              </w:divBdr>
            </w:div>
          </w:divsChild>
        </w:div>
        <w:div w:id="1428964657">
          <w:marLeft w:val="0"/>
          <w:marRight w:val="0"/>
          <w:marTop w:val="0"/>
          <w:marBottom w:val="150"/>
          <w:divBdr>
            <w:top w:val="none" w:sz="0" w:space="0" w:color="auto"/>
            <w:left w:val="none" w:sz="0" w:space="0" w:color="auto"/>
            <w:bottom w:val="none" w:sz="0" w:space="0" w:color="auto"/>
            <w:right w:val="none" w:sz="0" w:space="0" w:color="auto"/>
          </w:divBdr>
          <w:divsChild>
            <w:div w:id="522668329">
              <w:marLeft w:val="0"/>
              <w:marRight w:val="0"/>
              <w:marTop w:val="0"/>
              <w:marBottom w:val="0"/>
              <w:divBdr>
                <w:top w:val="none" w:sz="0" w:space="0" w:color="auto"/>
                <w:left w:val="none" w:sz="0" w:space="0" w:color="auto"/>
                <w:bottom w:val="none" w:sz="0" w:space="0" w:color="auto"/>
                <w:right w:val="none" w:sz="0" w:space="0" w:color="auto"/>
              </w:divBdr>
              <w:divsChild>
                <w:div w:id="785732214">
                  <w:marLeft w:val="0"/>
                  <w:marRight w:val="0"/>
                  <w:marTop w:val="0"/>
                  <w:marBottom w:val="0"/>
                  <w:divBdr>
                    <w:top w:val="none" w:sz="0" w:space="0" w:color="auto"/>
                    <w:left w:val="none" w:sz="0" w:space="0" w:color="auto"/>
                    <w:bottom w:val="none" w:sz="0" w:space="0" w:color="auto"/>
                    <w:right w:val="none" w:sz="0" w:space="0" w:color="auto"/>
                  </w:divBdr>
                  <w:divsChild>
                    <w:div w:id="18856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2087">
      <w:bodyDiv w:val="1"/>
      <w:marLeft w:val="0"/>
      <w:marRight w:val="0"/>
      <w:marTop w:val="0"/>
      <w:marBottom w:val="0"/>
      <w:divBdr>
        <w:top w:val="none" w:sz="0" w:space="0" w:color="auto"/>
        <w:left w:val="none" w:sz="0" w:space="0" w:color="auto"/>
        <w:bottom w:val="none" w:sz="0" w:space="0" w:color="auto"/>
        <w:right w:val="none" w:sz="0" w:space="0" w:color="auto"/>
      </w:divBdr>
    </w:div>
    <w:div w:id="46485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tarpubs.co.uk/-/media/project/starpubs/general/pdfs/agreements/20211014--pdf-copy--investment-tenancy-precedent.pdf" TargetMode="External"/><Relationship Id="rId3" Type="http://schemas.openxmlformats.org/officeDocument/2006/relationships/hyperlink" Target="https://www.change.org/p/save-our-pub-the-britons-protection" TargetMode="External"/><Relationship Id="rId7" Type="http://schemas.openxmlformats.org/officeDocument/2006/relationships/hyperlink" Target="https://commonslibrary.parliament.uk/last-orders-the-decline-of-pubs-around-the-uk/" TargetMode="External"/><Relationship Id="rId2" Type="http://schemas.openxmlformats.org/officeDocument/2006/relationships/hyperlink" Target="https://www.change.org/p/punch-taverns-we-call-on-punch-taverns-to-offer-john-pybus-at-the-bluebell-york-a-new-tenancy-agreement" TargetMode="External"/><Relationship Id="rId1" Type="http://schemas.openxmlformats.org/officeDocument/2006/relationships/hyperlink" Target="https://www.theguardian.com/business/2019/may/31/tied-up-pub-landlords-battle-law-that-was-meant-to-help-them" TargetMode="External"/><Relationship Id="rId6" Type="http://schemas.openxmlformats.org/officeDocument/2006/relationships/hyperlink" Target="https://doi.org/10.1080/09599916.2022.2057866" TargetMode="External"/><Relationship Id="rId11" Type="http://schemas.openxmlformats.org/officeDocument/2006/relationships/hyperlink" Target="https://doi.org/10.1080/19491247.2021.2019882" TargetMode="External"/><Relationship Id="rId5" Type="http://schemas.openxmlformats.org/officeDocument/2006/relationships/hyperlink" Target="https://runamarstonspub.co.uk/our-agreements/" TargetMode="External"/><Relationship Id="rId10" Type="http://schemas.openxmlformats.org/officeDocument/2006/relationships/hyperlink" Target="https://www.gov.uk/government/publications/renewing-and-ending-business-leases-a-guide-for-tenants-and-landlords" TargetMode="External"/><Relationship Id="rId4" Type="http://schemas.openxmlformats.org/officeDocument/2006/relationships/hyperlink" Target="https://www.rics.org/globalassets/rics-website/media/upholding-professional-standards/sector-standards/valuation/capital-and-rental-valuation-of-public-houses-bars-restaurants-and-nightclubs-in-england-and-wales-1st-edition-rics.pdf" TargetMode="External"/><Relationship Id="rId9" Type="http://schemas.openxmlformats.org/officeDocument/2006/relationships/hyperlink" Target="https://www.ippr.org/files/images/media/files/publication/2011/08/tieddown_Aug2011_7878.pdf?noredirec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A719-6F45-4C89-A775-522CA483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9178</Words>
  <Characters>52317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2023-09-12T13:21:00Z</dcterms:created>
  <dcterms:modified xsi:type="dcterms:W3CDTF">2023-09-12T13:21:00Z</dcterms:modified>
  <dc:language/>
</cp:coreProperties>
</file>