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408D9B" w14:textId="77777777" w:rsidR="00367448" w:rsidRDefault="000B472C">
      <w:pPr>
        <w:spacing w:after="0" w:line="259" w:lineRule="auto"/>
        <w:ind w:left="0" w:firstLine="0"/>
        <w:jc w:val="center"/>
      </w:pPr>
      <w:r>
        <w:rPr>
          <w:rFonts w:ascii="Arial" w:eastAsia="Arial" w:hAnsi="Arial" w:cs="Arial"/>
          <w:color w:val="333666"/>
          <w:sz w:val="32"/>
        </w:rPr>
        <w:t>Food Hydrocolloids</w:t>
      </w:r>
      <w:r>
        <w:rPr>
          <w:rFonts w:ascii="Arial" w:eastAsia="Arial" w:hAnsi="Arial" w:cs="Arial"/>
          <w:color w:val="333666"/>
          <w:sz w:val="15"/>
          <w:vertAlign w:val="subscript"/>
        </w:rPr>
        <w:t xml:space="preserve"> </w:t>
      </w:r>
    </w:p>
    <w:p w14:paraId="71854760" w14:textId="77777777" w:rsidR="00367448" w:rsidRDefault="000B472C">
      <w:pPr>
        <w:spacing w:after="0" w:line="216" w:lineRule="auto"/>
        <w:ind w:left="0" w:firstLine="0"/>
        <w:jc w:val="center"/>
      </w:pPr>
      <w:r>
        <w:rPr>
          <w:rFonts w:ascii="Arial" w:eastAsia="Arial" w:hAnsi="Arial" w:cs="Arial"/>
          <w:color w:val="333666"/>
          <w:sz w:val="28"/>
        </w:rPr>
        <w:t xml:space="preserve">Improving properties of </w:t>
      </w:r>
      <w:proofErr w:type="spellStart"/>
      <w:r>
        <w:rPr>
          <w:rFonts w:ascii="Arial" w:eastAsia="Arial" w:hAnsi="Arial" w:cs="Arial"/>
          <w:color w:val="333666"/>
          <w:sz w:val="28"/>
        </w:rPr>
        <w:t>Litsea</w:t>
      </w:r>
      <w:proofErr w:type="spellEnd"/>
      <w:r>
        <w:rPr>
          <w:rFonts w:ascii="Arial" w:eastAsia="Arial" w:hAnsi="Arial" w:cs="Arial"/>
          <w:color w:val="333666"/>
          <w:sz w:val="28"/>
        </w:rPr>
        <w:t xml:space="preserve"> cubeba oil Pickering emulsion-loaded </w:t>
      </w:r>
      <w:proofErr w:type="spellStart"/>
      <w:r>
        <w:rPr>
          <w:rFonts w:ascii="Arial" w:eastAsia="Arial" w:hAnsi="Arial" w:cs="Arial"/>
          <w:color w:val="333666"/>
          <w:sz w:val="28"/>
        </w:rPr>
        <w:t>gelatin</w:t>
      </w:r>
      <w:proofErr w:type="spellEnd"/>
      <w:r>
        <w:rPr>
          <w:rFonts w:ascii="Arial" w:eastAsia="Arial" w:hAnsi="Arial" w:cs="Arial"/>
          <w:color w:val="333666"/>
          <w:sz w:val="28"/>
        </w:rPr>
        <w:t xml:space="preserve">-based </w:t>
      </w:r>
      <w:proofErr w:type="spellStart"/>
      <w:r>
        <w:rPr>
          <w:rFonts w:ascii="Arial" w:eastAsia="Arial" w:hAnsi="Arial" w:cs="Arial"/>
          <w:color w:val="333666"/>
          <w:sz w:val="28"/>
        </w:rPr>
        <w:t>bionanocomposite</w:t>
      </w:r>
      <w:proofErr w:type="spellEnd"/>
      <w:r>
        <w:rPr>
          <w:rFonts w:ascii="Arial" w:eastAsia="Arial" w:hAnsi="Arial" w:cs="Arial"/>
          <w:color w:val="333666"/>
          <w:sz w:val="28"/>
        </w:rPr>
        <w:t xml:space="preserve"> film via optimizing blending ratio: Application for mango preservation</w:t>
      </w:r>
    </w:p>
    <w:p w14:paraId="21102670" w14:textId="77777777" w:rsidR="00367448" w:rsidRDefault="000B472C">
      <w:pPr>
        <w:spacing w:after="0" w:line="259" w:lineRule="auto"/>
        <w:ind w:left="0" w:firstLine="0"/>
        <w:jc w:val="center"/>
      </w:pPr>
      <w:r>
        <w:rPr>
          <w:rFonts w:ascii="Arial" w:eastAsia="Arial" w:hAnsi="Arial" w:cs="Arial"/>
          <w:color w:val="333666"/>
          <w:sz w:val="24"/>
        </w:rPr>
        <w:t>--Manuscript Draft--</w:t>
      </w:r>
    </w:p>
    <w:p w14:paraId="6A97B883" w14:textId="77777777" w:rsidR="00367448" w:rsidRDefault="000B472C">
      <w:pPr>
        <w:spacing w:after="1207" w:line="259" w:lineRule="auto"/>
        <w:ind w:left="0" w:firstLine="0"/>
        <w:jc w:val="left"/>
      </w:pPr>
      <w:r>
        <w:rPr>
          <w:rFonts w:ascii="Arial" w:eastAsia="Arial" w:hAnsi="Arial" w:cs="Arial"/>
        </w:rPr>
        <w:t>Highlights</w:t>
      </w:r>
    </w:p>
    <w:p w14:paraId="598E60FD" w14:textId="77777777" w:rsidR="00367448" w:rsidRDefault="000B472C">
      <w:pPr>
        <w:spacing w:after="35" w:line="259" w:lineRule="auto"/>
        <w:ind w:right="60"/>
      </w:pPr>
      <w:proofErr w:type="spellStart"/>
      <w:r>
        <w:rPr>
          <w:i/>
        </w:rPr>
        <w:t>Litsea</w:t>
      </w:r>
      <w:proofErr w:type="spellEnd"/>
      <w:r>
        <w:rPr>
          <w:i/>
        </w:rPr>
        <w:t xml:space="preserve"> cubeba</w:t>
      </w:r>
      <w:r>
        <w:t xml:space="preserve"> oil Pickering emulsion (LCON) was stabilized by pectin/</w:t>
      </w:r>
      <w:r>
        <w:rPr>
          <w:rFonts w:ascii="Arial" w:eastAsia="Arial" w:hAnsi="Arial" w:cs="Arial"/>
        </w:rPr>
        <w:t>β</w:t>
      </w:r>
      <w:r>
        <w:t>-</w:t>
      </w:r>
      <w:proofErr w:type="gramStart"/>
      <w:r>
        <w:t>cyclodextrin</w:t>
      </w:r>
      <w:proofErr w:type="gramEnd"/>
      <w:r>
        <w:t xml:space="preserve"> </w:t>
      </w:r>
    </w:p>
    <w:p w14:paraId="462BBD3A" w14:textId="77777777" w:rsidR="00367448" w:rsidRDefault="000B472C">
      <w:pPr>
        <w:spacing w:after="0" w:line="259" w:lineRule="auto"/>
        <w:ind w:left="1700" w:firstLine="0"/>
        <w:jc w:val="left"/>
      </w:pPr>
      <w:r>
        <w:t xml:space="preserve"> </w:t>
      </w:r>
    </w:p>
    <w:p w14:paraId="17072274" w14:textId="77777777" w:rsidR="00367448" w:rsidRDefault="000B472C">
      <w:pPr>
        <w:spacing w:line="259" w:lineRule="auto"/>
        <w:ind w:right="60"/>
      </w:pPr>
      <w:r>
        <w:t xml:space="preserve">The </w:t>
      </w:r>
      <w:proofErr w:type="spellStart"/>
      <w:r>
        <w:t>gelatin</w:t>
      </w:r>
      <w:proofErr w:type="spellEnd"/>
      <w:r>
        <w:t>/LCON/</w:t>
      </w:r>
      <w:proofErr w:type="spellStart"/>
      <w:r>
        <w:t>ZnO</w:t>
      </w:r>
      <w:proofErr w:type="spellEnd"/>
      <w:r>
        <w:t xml:space="preserve">/red roselle extract nano-composite film was optimized using </w:t>
      </w:r>
      <w:proofErr w:type="gramStart"/>
      <w:r>
        <w:t>RSM</w:t>
      </w:r>
      <w:proofErr w:type="gramEnd"/>
      <w:r>
        <w:t xml:space="preserve"> </w:t>
      </w:r>
    </w:p>
    <w:p w14:paraId="07C18174" w14:textId="77777777" w:rsidR="00367448" w:rsidRDefault="000B472C">
      <w:pPr>
        <w:spacing w:after="0" w:line="259" w:lineRule="auto"/>
        <w:ind w:left="1700" w:firstLine="0"/>
        <w:jc w:val="left"/>
      </w:pPr>
      <w:r>
        <w:t xml:space="preserve"> </w:t>
      </w:r>
    </w:p>
    <w:p w14:paraId="258FF34B" w14:textId="77777777" w:rsidR="00367448" w:rsidRDefault="000B472C">
      <w:pPr>
        <w:spacing w:line="259" w:lineRule="auto"/>
        <w:ind w:right="60"/>
      </w:pPr>
      <w:r>
        <w:t>LCON/</w:t>
      </w:r>
      <w:proofErr w:type="spellStart"/>
      <w:r>
        <w:t>ZnO</w:t>
      </w:r>
      <w:proofErr w:type="spellEnd"/>
      <w:r>
        <w:t xml:space="preserve"> greatly improved the water barrier and mechanical properties of the </w:t>
      </w:r>
      <w:proofErr w:type="gramStart"/>
      <w:r>
        <w:t>film</w:t>
      </w:r>
      <w:proofErr w:type="gramEnd"/>
      <w:r>
        <w:t xml:space="preserve"> </w:t>
      </w:r>
    </w:p>
    <w:p w14:paraId="1E7547E9" w14:textId="77777777" w:rsidR="00367448" w:rsidRDefault="000B472C">
      <w:pPr>
        <w:spacing w:after="0" w:line="259" w:lineRule="auto"/>
        <w:ind w:left="1700" w:firstLine="0"/>
        <w:jc w:val="left"/>
      </w:pPr>
      <w:r>
        <w:t xml:space="preserve"> </w:t>
      </w:r>
    </w:p>
    <w:p w14:paraId="145469F3" w14:textId="77777777" w:rsidR="00367448" w:rsidRDefault="000B472C">
      <w:pPr>
        <w:spacing w:line="259" w:lineRule="auto"/>
        <w:ind w:right="60"/>
      </w:pPr>
      <w:r>
        <w:t xml:space="preserve">The optimized RRE, </w:t>
      </w:r>
      <w:proofErr w:type="spellStart"/>
      <w:r>
        <w:t>ZnO</w:t>
      </w:r>
      <w:proofErr w:type="spellEnd"/>
      <w:r>
        <w:t xml:space="preserve"> &amp; LCON were 1.10(</w:t>
      </w:r>
      <w:proofErr w:type="spellStart"/>
      <w:r>
        <w:t>wt</w:t>
      </w:r>
      <w:proofErr w:type="spellEnd"/>
      <w:r>
        <w:t>%), 1.51(</w:t>
      </w:r>
      <w:proofErr w:type="spellStart"/>
      <w:r>
        <w:t>wt</w:t>
      </w:r>
      <w:proofErr w:type="spellEnd"/>
      <w:r>
        <w:t xml:space="preserve">%) and 2.38(w/v%), </w:t>
      </w:r>
      <w:proofErr w:type="gramStart"/>
      <w:r>
        <w:t>respectivel</w:t>
      </w:r>
      <w:r>
        <w:t>y</w:t>
      </w:r>
      <w:proofErr w:type="gramEnd"/>
      <w:r>
        <w:t xml:space="preserve"> </w:t>
      </w:r>
    </w:p>
    <w:p w14:paraId="05713A84" w14:textId="77777777" w:rsidR="00367448" w:rsidRDefault="000B472C">
      <w:pPr>
        <w:spacing w:after="0" w:line="259" w:lineRule="auto"/>
        <w:ind w:left="1700" w:firstLine="0"/>
        <w:jc w:val="left"/>
      </w:pPr>
      <w:r>
        <w:t xml:space="preserve"> </w:t>
      </w:r>
    </w:p>
    <w:p w14:paraId="63DE8602" w14:textId="77777777" w:rsidR="00367448" w:rsidRDefault="000B472C">
      <w:pPr>
        <w:spacing w:line="259" w:lineRule="auto"/>
        <w:ind w:right="60"/>
      </w:pPr>
      <w:r>
        <w:t xml:space="preserve">The optimized film improved the postharvest quality and anthracnose in </w:t>
      </w:r>
      <w:proofErr w:type="gramStart"/>
      <w:r>
        <w:t>mango</w:t>
      </w:r>
      <w:proofErr w:type="gramEnd"/>
      <w:r>
        <w:t xml:space="preserve"> </w:t>
      </w:r>
    </w:p>
    <w:p w14:paraId="6AC7F36F" w14:textId="77777777" w:rsidR="00367448" w:rsidRDefault="00367448">
      <w:pPr>
        <w:sectPr w:rsidR="00367448">
          <w:headerReference w:type="even" r:id="rId7"/>
          <w:headerReference w:type="default" r:id="rId8"/>
          <w:headerReference w:type="first" r:id="rId9"/>
          <w:pgSz w:w="12240" w:h="15840"/>
          <w:pgMar w:top="1440" w:right="1440" w:bottom="1440" w:left="100" w:header="720" w:footer="720" w:gutter="0"/>
          <w:cols w:space="720"/>
        </w:sectPr>
      </w:pPr>
    </w:p>
    <w:p w14:paraId="13D2DB12" w14:textId="77777777" w:rsidR="00367448" w:rsidRDefault="000B472C">
      <w:pPr>
        <w:spacing w:after="897" w:line="259" w:lineRule="auto"/>
        <w:ind w:left="0" w:firstLine="0"/>
        <w:jc w:val="left"/>
      </w:pPr>
      <w:r>
        <w:rPr>
          <w:rFonts w:ascii="Arial" w:eastAsia="Arial" w:hAnsi="Arial" w:cs="Arial"/>
        </w:rPr>
        <w:lastRenderedPageBreak/>
        <w:t>Graphical Abstract</w:t>
      </w:r>
    </w:p>
    <w:p w14:paraId="1B2AEAD4" w14:textId="77777777" w:rsidR="00367448" w:rsidRDefault="000B472C">
      <w:pPr>
        <w:spacing w:after="253" w:line="259" w:lineRule="auto"/>
        <w:ind w:left="786" w:firstLine="0"/>
        <w:jc w:val="left"/>
      </w:pPr>
      <w:r>
        <w:rPr>
          <w:noProof/>
        </w:rPr>
        <w:drawing>
          <wp:inline distT="0" distB="0" distL="0" distR="0" wp14:anchorId="17D7B2CB" wp14:editId="48F2C89F">
            <wp:extent cx="6435853" cy="2795016"/>
            <wp:effectExtent l="0" t="0" r="0" b="0"/>
            <wp:docPr id="438" name="Picture 438"/>
            <wp:cNvGraphicFramePr/>
            <a:graphic xmlns:a="http://schemas.openxmlformats.org/drawingml/2006/main">
              <a:graphicData uri="http://schemas.openxmlformats.org/drawingml/2006/picture">
                <pic:pic xmlns:pic="http://schemas.openxmlformats.org/drawingml/2006/picture">
                  <pic:nvPicPr>
                    <pic:cNvPr id="438" name="Picture 438"/>
                    <pic:cNvPicPr/>
                  </pic:nvPicPr>
                  <pic:blipFill>
                    <a:blip r:embed="rId10"/>
                    <a:stretch>
                      <a:fillRect/>
                    </a:stretch>
                  </pic:blipFill>
                  <pic:spPr>
                    <a:xfrm>
                      <a:off x="0" y="0"/>
                      <a:ext cx="6435853" cy="2795016"/>
                    </a:xfrm>
                    <a:prstGeom prst="rect">
                      <a:avLst/>
                    </a:prstGeom>
                  </pic:spPr>
                </pic:pic>
              </a:graphicData>
            </a:graphic>
          </wp:inline>
        </w:drawing>
      </w:r>
    </w:p>
    <w:p w14:paraId="587F7DB6" w14:textId="77777777" w:rsidR="00367448" w:rsidRDefault="000B472C">
      <w:pPr>
        <w:spacing w:after="0" w:line="259" w:lineRule="auto"/>
        <w:ind w:left="0" w:right="9667" w:firstLine="0"/>
        <w:jc w:val="right"/>
      </w:pPr>
      <w:r>
        <w:rPr>
          <w:rFonts w:ascii="Arial" w:eastAsia="Arial" w:hAnsi="Arial" w:cs="Arial"/>
          <w:sz w:val="21"/>
        </w:rPr>
        <w:t xml:space="preserve"> </w:t>
      </w:r>
      <w:r>
        <w:br w:type="page"/>
      </w:r>
    </w:p>
    <w:p w14:paraId="2E069FE3" w14:textId="77777777" w:rsidR="00367448" w:rsidRDefault="000B472C">
      <w:pPr>
        <w:tabs>
          <w:tab w:val="right" w:pos="11426"/>
        </w:tabs>
        <w:spacing w:after="1275" w:line="259" w:lineRule="auto"/>
        <w:ind w:left="0" w:firstLine="0"/>
        <w:jc w:val="left"/>
      </w:pPr>
      <w:r>
        <w:rPr>
          <w:rFonts w:ascii="Arial" w:eastAsia="Arial" w:hAnsi="Arial" w:cs="Arial"/>
        </w:rPr>
        <w:lastRenderedPageBreak/>
        <w:t>Manuscript File</w:t>
      </w:r>
      <w:r>
        <w:rPr>
          <w:rFonts w:ascii="Arial" w:eastAsia="Arial" w:hAnsi="Arial" w:cs="Arial"/>
        </w:rPr>
        <w:tab/>
      </w:r>
      <w:hyperlink r:id="rId11">
        <w:r>
          <w:rPr>
            <w:rFonts w:ascii="Arial" w:eastAsia="Arial" w:hAnsi="Arial" w:cs="Arial"/>
            <w:color w:val="003399"/>
          </w:rPr>
          <w:t>Click here to view linked References</w:t>
        </w:r>
      </w:hyperlink>
    </w:p>
    <w:p w14:paraId="4F30891A" w14:textId="77777777" w:rsidR="00367448" w:rsidRDefault="000B472C">
      <w:pPr>
        <w:pStyle w:val="Heading1"/>
        <w:spacing w:line="410" w:lineRule="auto"/>
        <w:ind w:left="1232" w:right="1545"/>
      </w:pPr>
      <w:r>
        <w:rPr>
          <w:rFonts w:ascii="Arial" w:eastAsia="Arial" w:hAnsi="Arial" w:cs="Arial"/>
          <w:b w:val="0"/>
          <w:sz w:val="21"/>
        </w:rPr>
        <w:t xml:space="preserve">1 </w:t>
      </w:r>
      <w:r>
        <w:rPr>
          <w:rFonts w:ascii="Arial" w:eastAsia="Arial" w:hAnsi="Arial" w:cs="Arial"/>
          <w:b w:val="0"/>
          <w:sz w:val="21"/>
        </w:rPr>
        <w:tab/>
      </w:r>
      <w:r>
        <w:t xml:space="preserve">Improving properties of </w:t>
      </w:r>
      <w:proofErr w:type="spellStart"/>
      <w:r>
        <w:rPr>
          <w:i/>
        </w:rPr>
        <w:t>L</w:t>
      </w:r>
      <w:r>
        <w:rPr>
          <w:i/>
        </w:rPr>
        <w:t>itsea</w:t>
      </w:r>
      <w:proofErr w:type="spellEnd"/>
      <w:r>
        <w:rPr>
          <w:i/>
        </w:rPr>
        <w:t xml:space="preserve"> cubeba</w:t>
      </w:r>
      <w:r>
        <w:t xml:space="preserve"> oil Pickering emulsion-loaded gelatin</w:t>
      </w:r>
      <w:r>
        <w:rPr>
          <w:rFonts w:ascii="Arial" w:eastAsia="Arial" w:hAnsi="Arial" w:cs="Arial"/>
          <w:b w:val="0"/>
          <w:sz w:val="21"/>
        </w:rPr>
        <w:t xml:space="preserve">2 </w:t>
      </w:r>
      <w:r>
        <w:rPr>
          <w:rFonts w:ascii="Arial" w:eastAsia="Arial" w:hAnsi="Arial" w:cs="Arial"/>
          <w:b w:val="0"/>
          <w:sz w:val="21"/>
        </w:rPr>
        <w:tab/>
      </w:r>
      <w:r>
        <w:t xml:space="preserve">based bio-nanocomposite film via optimizing blending ratio: Application for </w:t>
      </w:r>
      <w:r>
        <w:rPr>
          <w:rFonts w:ascii="Arial" w:eastAsia="Arial" w:hAnsi="Arial" w:cs="Arial"/>
          <w:b w:val="0"/>
          <w:sz w:val="21"/>
        </w:rPr>
        <w:t xml:space="preserve">3 </w:t>
      </w:r>
      <w:r>
        <w:rPr>
          <w:rFonts w:ascii="Arial" w:eastAsia="Arial" w:hAnsi="Arial" w:cs="Arial"/>
          <w:b w:val="0"/>
          <w:sz w:val="21"/>
        </w:rPr>
        <w:tab/>
      </w:r>
      <w:r>
        <w:t xml:space="preserve">mango </w:t>
      </w:r>
      <w:proofErr w:type="gramStart"/>
      <w:r>
        <w:t>preservation</w:t>
      </w:r>
      <w:proofErr w:type="gramEnd"/>
      <w:r>
        <w:t xml:space="preserve">  </w:t>
      </w:r>
    </w:p>
    <w:p w14:paraId="140888C8" w14:textId="77777777" w:rsidR="00367448" w:rsidRDefault="000B472C">
      <w:pPr>
        <w:numPr>
          <w:ilvl w:val="0"/>
          <w:numId w:val="1"/>
        </w:numPr>
        <w:spacing w:after="266" w:line="259" w:lineRule="auto"/>
        <w:ind w:hanging="3901"/>
        <w:jc w:val="left"/>
      </w:pPr>
      <w:r>
        <w:rPr>
          <w:sz w:val="16"/>
        </w:rPr>
        <w:t xml:space="preserve">Zhikun Yang </w:t>
      </w:r>
      <w:proofErr w:type="spellStart"/>
      <w:proofErr w:type="gramStart"/>
      <w:r>
        <w:rPr>
          <w:sz w:val="16"/>
          <w:vertAlign w:val="superscript"/>
        </w:rPr>
        <w:t>a,b</w:t>
      </w:r>
      <w:proofErr w:type="spellEnd"/>
      <w:proofErr w:type="gramEnd"/>
      <w:r>
        <w:rPr>
          <w:sz w:val="16"/>
        </w:rPr>
        <w:t xml:space="preserve">, </w:t>
      </w:r>
      <w:proofErr w:type="spellStart"/>
      <w:r>
        <w:rPr>
          <w:sz w:val="16"/>
        </w:rPr>
        <w:t>Mingrui</w:t>
      </w:r>
      <w:proofErr w:type="spellEnd"/>
      <w:r>
        <w:rPr>
          <w:sz w:val="16"/>
        </w:rPr>
        <w:t xml:space="preserve"> Li </w:t>
      </w:r>
      <w:r>
        <w:rPr>
          <w:sz w:val="16"/>
          <w:vertAlign w:val="superscript"/>
        </w:rPr>
        <w:t>a</w:t>
      </w:r>
      <w:r>
        <w:rPr>
          <w:sz w:val="16"/>
        </w:rPr>
        <w:t xml:space="preserve">, </w:t>
      </w:r>
      <w:proofErr w:type="spellStart"/>
      <w:r>
        <w:rPr>
          <w:sz w:val="16"/>
        </w:rPr>
        <w:t>Yanxiao</w:t>
      </w:r>
      <w:proofErr w:type="spellEnd"/>
      <w:r>
        <w:rPr>
          <w:sz w:val="16"/>
        </w:rPr>
        <w:t xml:space="preserve"> Li </w:t>
      </w:r>
      <w:r>
        <w:rPr>
          <w:sz w:val="16"/>
          <w:vertAlign w:val="superscript"/>
        </w:rPr>
        <w:t>a</w:t>
      </w:r>
      <w:r>
        <w:rPr>
          <w:sz w:val="16"/>
        </w:rPr>
        <w:t xml:space="preserve">, Zhihua Li </w:t>
      </w:r>
      <w:r>
        <w:rPr>
          <w:sz w:val="16"/>
          <w:vertAlign w:val="superscript"/>
        </w:rPr>
        <w:t>a,*</w:t>
      </w:r>
      <w:r>
        <w:rPr>
          <w:sz w:val="16"/>
        </w:rPr>
        <w:t xml:space="preserve">, Xiaowei Huang </w:t>
      </w:r>
      <w:r>
        <w:rPr>
          <w:sz w:val="16"/>
          <w:vertAlign w:val="superscript"/>
        </w:rPr>
        <w:t>a</w:t>
      </w:r>
      <w:r>
        <w:rPr>
          <w:sz w:val="16"/>
        </w:rPr>
        <w:t xml:space="preserve">, Xin Wang </w:t>
      </w:r>
      <w:r>
        <w:rPr>
          <w:sz w:val="16"/>
          <w:vertAlign w:val="superscript"/>
        </w:rPr>
        <w:t>a</w:t>
      </w:r>
      <w:r>
        <w:rPr>
          <w:sz w:val="16"/>
        </w:rPr>
        <w:t xml:space="preserve">, </w:t>
      </w:r>
      <w:r>
        <w:rPr>
          <w:sz w:val="16"/>
        </w:rPr>
        <w:t xml:space="preserve">Jiyong Shi </w:t>
      </w:r>
      <w:r>
        <w:rPr>
          <w:sz w:val="16"/>
          <w:vertAlign w:val="superscript"/>
        </w:rPr>
        <w:t>a</w:t>
      </w:r>
      <w:r>
        <w:rPr>
          <w:sz w:val="16"/>
        </w:rPr>
        <w:t xml:space="preserve">, Xiaobo Zou </w:t>
      </w:r>
      <w:proofErr w:type="spellStart"/>
      <w:r>
        <w:rPr>
          <w:sz w:val="16"/>
          <w:vertAlign w:val="superscript"/>
        </w:rPr>
        <w:t>a,b</w:t>
      </w:r>
      <w:proofErr w:type="spellEnd"/>
      <w:r>
        <w:rPr>
          <w:sz w:val="16"/>
          <w:vertAlign w:val="superscript"/>
        </w:rPr>
        <w:t xml:space="preserve"> *</w:t>
      </w:r>
      <w:r>
        <w:rPr>
          <w:sz w:val="16"/>
        </w:rPr>
        <w:t xml:space="preserve">, Xiaodong </w:t>
      </w:r>
    </w:p>
    <w:p w14:paraId="26742E6F" w14:textId="77777777" w:rsidR="00367448" w:rsidRDefault="000B472C">
      <w:pPr>
        <w:numPr>
          <w:ilvl w:val="0"/>
          <w:numId w:val="1"/>
        </w:numPr>
        <w:spacing w:after="266" w:line="259" w:lineRule="auto"/>
        <w:ind w:hanging="3901"/>
        <w:jc w:val="left"/>
      </w:pPr>
      <w:r>
        <w:rPr>
          <w:sz w:val="16"/>
        </w:rPr>
        <w:t>Zhai</w:t>
      </w:r>
      <w:r>
        <w:rPr>
          <w:sz w:val="16"/>
          <w:vertAlign w:val="superscript"/>
        </w:rPr>
        <w:t xml:space="preserve"> a</w:t>
      </w:r>
      <w:r>
        <w:rPr>
          <w:sz w:val="16"/>
        </w:rPr>
        <w:t xml:space="preserve">, Megan Povey </w:t>
      </w:r>
      <w:r>
        <w:rPr>
          <w:sz w:val="16"/>
          <w:vertAlign w:val="superscript"/>
        </w:rPr>
        <w:t>c</w:t>
      </w:r>
      <w:r>
        <w:rPr>
          <w:sz w:val="16"/>
        </w:rPr>
        <w:t xml:space="preserve">, </w:t>
      </w:r>
      <w:proofErr w:type="spellStart"/>
      <w:r>
        <w:rPr>
          <w:sz w:val="16"/>
        </w:rPr>
        <w:t>Jianbo</w:t>
      </w:r>
      <w:proofErr w:type="spellEnd"/>
      <w:r>
        <w:rPr>
          <w:sz w:val="16"/>
        </w:rPr>
        <w:t xml:space="preserve"> Xiao </w:t>
      </w:r>
      <w:r>
        <w:rPr>
          <w:sz w:val="16"/>
          <w:vertAlign w:val="superscript"/>
        </w:rPr>
        <w:t>d</w:t>
      </w:r>
      <w:r>
        <w:rPr>
          <w:sz w:val="16"/>
        </w:rPr>
        <w:t xml:space="preserve"> </w:t>
      </w:r>
    </w:p>
    <w:p w14:paraId="522620A1" w14:textId="77777777" w:rsidR="00367448" w:rsidRDefault="000B472C">
      <w:pPr>
        <w:numPr>
          <w:ilvl w:val="0"/>
          <w:numId w:val="1"/>
        </w:numPr>
        <w:spacing w:after="266" w:line="259" w:lineRule="auto"/>
        <w:ind w:hanging="3901"/>
        <w:jc w:val="left"/>
      </w:pPr>
      <w:proofErr w:type="spellStart"/>
      <w:r>
        <w:rPr>
          <w:sz w:val="16"/>
          <w:vertAlign w:val="superscript"/>
        </w:rPr>
        <w:t>a</w:t>
      </w:r>
      <w:r>
        <w:rPr>
          <w:sz w:val="16"/>
        </w:rPr>
        <w:t>Agricultural</w:t>
      </w:r>
      <w:proofErr w:type="spellEnd"/>
      <w:r>
        <w:rPr>
          <w:sz w:val="16"/>
        </w:rPr>
        <w:t xml:space="preserve"> Product Processing and Storage Lab, School of Food and Biological Engineering, Jiangsu University, Zhenjiang, </w:t>
      </w:r>
    </w:p>
    <w:p w14:paraId="1BBEA532" w14:textId="77777777" w:rsidR="00367448" w:rsidRDefault="000B472C">
      <w:pPr>
        <w:numPr>
          <w:ilvl w:val="0"/>
          <w:numId w:val="1"/>
        </w:numPr>
        <w:spacing w:after="266" w:line="259" w:lineRule="auto"/>
        <w:ind w:hanging="3901"/>
        <w:jc w:val="left"/>
      </w:pPr>
      <w:r>
        <w:rPr>
          <w:sz w:val="16"/>
        </w:rPr>
        <w:t xml:space="preserve">Jiangsu 212013, China </w:t>
      </w:r>
    </w:p>
    <w:p w14:paraId="7BD4276F" w14:textId="77777777" w:rsidR="00367448" w:rsidRDefault="000B472C">
      <w:pPr>
        <w:numPr>
          <w:ilvl w:val="0"/>
          <w:numId w:val="1"/>
        </w:numPr>
        <w:spacing w:after="266" w:line="259" w:lineRule="auto"/>
        <w:ind w:hanging="3901"/>
        <w:jc w:val="left"/>
      </w:pPr>
      <w:proofErr w:type="spellStart"/>
      <w:r>
        <w:rPr>
          <w:sz w:val="16"/>
          <w:vertAlign w:val="superscript"/>
        </w:rPr>
        <w:t>b</w:t>
      </w:r>
      <w:r>
        <w:rPr>
          <w:sz w:val="16"/>
        </w:rPr>
        <w:t>Institute</w:t>
      </w:r>
      <w:proofErr w:type="spellEnd"/>
      <w:r>
        <w:rPr>
          <w:sz w:val="16"/>
        </w:rPr>
        <w:t xml:space="preserve"> of food and biote</w:t>
      </w:r>
      <w:r>
        <w:rPr>
          <w:sz w:val="16"/>
        </w:rPr>
        <w:t xml:space="preserve">chnology, Yixing, China </w:t>
      </w:r>
    </w:p>
    <w:p w14:paraId="14F9B6FA" w14:textId="77777777" w:rsidR="00367448" w:rsidRDefault="000B472C">
      <w:pPr>
        <w:numPr>
          <w:ilvl w:val="0"/>
          <w:numId w:val="1"/>
        </w:numPr>
        <w:spacing w:after="266" w:line="259" w:lineRule="auto"/>
        <w:ind w:hanging="3901"/>
        <w:jc w:val="left"/>
      </w:pPr>
      <w:proofErr w:type="spellStart"/>
      <w:r>
        <w:rPr>
          <w:sz w:val="16"/>
          <w:vertAlign w:val="superscript"/>
        </w:rPr>
        <w:t>c</w:t>
      </w:r>
      <w:r>
        <w:rPr>
          <w:sz w:val="16"/>
        </w:rPr>
        <w:t>School</w:t>
      </w:r>
      <w:proofErr w:type="spellEnd"/>
      <w:r>
        <w:rPr>
          <w:sz w:val="16"/>
        </w:rPr>
        <w:t xml:space="preserve"> of Food Science and Nutrition, University of Leeds, Leeds LS2 9JT, United Kingdom </w:t>
      </w:r>
    </w:p>
    <w:p w14:paraId="4AED4CCB" w14:textId="77777777" w:rsidR="00367448" w:rsidRDefault="000B472C">
      <w:pPr>
        <w:numPr>
          <w:ilvl w:val="0"/>
          <w:numId w:val="1"/>
        </w:numPr>
        <w:spacing w:after="25" w:line="510" w:lineRule="auto"/>
        <w:ind w:hanging="3901"/>
        <w:jc w:val="left"/>
      </w:pPr>
      <w:proofErr w:type="spellStart"/>
      <w:r>
        <w:rPr>
          <w:sz w:val="16"/>
          <w:vertAlign w:val="superscript"/>
        </w:rPr>
        <w:t>d</w:t>
      </w:r>
      <w:r>
        <w:rPr>
          <w:sz w:val="16"/>
        </w:rPr>
        <w:t>School</w:t>
      </w:r>
      <w:proofErr w:type="spellEnd"/>
      <w:r>
        <w:rPr>
          <w:sz w:val="16"/>
        </w:rPr>
        <w:t xml:space="preserve"> of Food Science and Technology, </w:t>
      </w:r>
      <w:proofErr w:type="spellStart"/>
      <w:r>
        <w:rPr>
          <w:sz w:val="16"/>
        </w:rPr>
        <w:t>Universidade</w:t>
      </w:r>
      <w:proofErr w:type="spellEnd"/>
      <w:r>
        <w:rPr>
          <w:sz w:val="16"/>
        </w:rPr>
        <w:t xml:space="preserve"> de Vigo,</w:t>
      </w:r>
      <w:r>
        <w:rPr>
          <w:rFonts w:ascii="Arial" w:eastAsia="Arial" w:hAnsi="Arial" w:cs="Arial"/>
          <w:sz w:val="21"/>
        </w:rPr>
        <w:t xml:space="preserve"> </w:t>
      </w:r>
      <w:r>
        <w:rPr>
          <w:sz w:val="16"/>
        </w:rPr>
        <w:t xml:space="preserve">Vigo, Spain </w:t>
      </w:r>
      <w:r>
        <w:rPr>
          <w:rFonts w:ascii="Arial" w:eastAsia="Arial" w:hAnsi="Arial" w:cs="Arial"/>
          <w:sz w:val="21"/>
        </w:rPr>
        <w:t xml:space="preserve">11 </w:t>
      </w:r>
      <w:r>
        <w:rPr>
          <w:rFonts w:ascii="Arial" w:eastAsia="Arial" w:hAnsi="Arial" w:cs="Arial"/>
          <w:sz w:val="21"/>
        </w:rPr>
        <w:tab/>
      </w:r>
      <w:r>
        <w:rPr>
          <w:sz w:val="16"/>
          <w:vertAlign w:val="superscript"/>
        </w:rPr>
        <w:t>*</w:t>
      </w:r>
      <w:r>
        <w:rPr>
          <w:sz w:val="16"/>
        </w:rPr>
        <w:t>Corresponding author. Email: zou_xiaobo@ujs.edu.cn (Xiaobo Zo</w:t>
      </w:r>
      <w:r>
        <w:rPr>
          <w:sz w:val="16"/>
        </w:rPr>
        <w:t xml:space="preserve">u) </w:t>
      </w:r>
    </w:p>
    <w:p w14:paraId="0CA7D586" w14:textId="77777777" w:rsidR="00367448" w:rsidRDefault="000B472C">
      <w:pPr>
        <w:pStyle w:val="Heading1"/>
        <w:tabs>
          <w:tab w:val="center" w:pos="1222"/>
          <w:tab w:val="center" w:pos="2146"/>
        </w:tabs>
        <w:ind w:left="0" w:firstLine="0"/>
      </w:pPr>
      <w:r>
        <w:rPr>
          <w:rFonts w:ascii="Calibri" w:eastAsia="Calibri" w:hAnsi="Calibri" w:cs="Calibri"/>
          <w:b w:val="0"/>
          <w:sz w:val="22"/>
        </w:rPr>
        <w:tab/>
      </w:r>
      <w:r>
        <w:rPr>
          <w:rFonts w:ascii="Arial" w:eastAsia="Arial" w:hAnsi="Arial" w:cs="Arial"/>
          <w:b w:val="0"/>
          <w:sz w:val="21"/>
        </w:rPr>
        <w:t xml:space="preserve">12 </w:t>
      </w:r>
      <w:r>
        <w:rPr>
          <w:rFonts w:ascii="Arial" w:eastAsia="Arial" w:hAnsi="Arial" w:cs="Arial"/>
          <w:b w:val="0"/>
          <w:sz w:val="21"/>
        </w:rPr>
        <w:tab/>
      </w:r>
      <w:r>
        <w:t xml:space="preserve">Abstract </w:t>
      </w:r>
    </w:p>
    <w:p w14:paraId="1DB73DFD" w14:textId="77777777" w:rsidR="00367448" w:rsidRDefault="000B472C">
      <w:pPr>
        <w:numPr>
          <w:ilvl w:val="0"/>
          <w:numId w:val="2"/>
        </w:numPr>
        <w:spacing w:after="220" w:line="259" w:lineRule="auto"/>
        <w:ind w:left="1701" w:right="60" w:hanging="596"/>
      </w:pPr>
      <w:r>
        <w:rPr>
          <w:noProof/>
        </w:rPr>
        <w:drawing>
          <wp:anchor distT="0" distB="0" distL="114300" distR="114300" simplePos="0" relativeHeight="251658240" behindDoc="0" locked="0" layoutInCell="1" allowOverlap="0" wp14:anchorId="2507626A" wp14:editId="27575081">
            <wp:simplePos x="0" y="0"/>
            <wp:positionH relativeFrom="page">
              <wp:posOffset>7382764</wp:posOffset>
            </wp:positionH>
            <wp:positionV relativeFrom="page">
              <wp:posOffset>76200</wp:posOffset>
            </wp:positionV>
            <wp:extent cx="68580" cy="76200"/>
            <wp:effectExtent l="0" t="0" r="0" b="0"/>
            <wp:wrapSquare wrapText="bothSides"/>
            <wp:docPr id="875" name="Picture 875"/>
            <wp:cNvGraphicFramePr/>
            <a:graphic xmlns:a="http://schemas.openxmlformats.org/drawingml/2006/main">
              <a:graphicData uri="http://schemas.openxmlformats.org/drawingml/2006/picture">
                <pic:pic xmlns:pic="http://schemas.openxmlformats.org/drawingml/2006/picture">
                  <pic:nvPicPr>
                    <pic:cNvPr id="875" name="Picture 875"/>
                    <pic:cNvPicPr/>
                  </pic:nvPicPr>
                  <pic:blipFill>
                    <a:blip r:embed="rId12"/>
                    <a:stretch>
                      <a:fillRect/>
                    </a:stretch>
                  </pic:blipFill>
                  <pic:spPr>
                    <a:xfrm>
                      <a:off x="0" y="0"/>
                      <a:ext cx="68580" cy="76200"/>
                    </a:xfrm>
                    <a:prstGeom prst="rect">
                      <a:avLst/>
                    </a:prstGeom>
                  </pic:spPr>
                </pic:pic>
              </a:graphicData>
            </a:graphic>
          </wp:anchor>
        </w:drawing>
      </w:r>
      <w:r>
        <w:t xml:space="preserve">The effect of red roselle extract (RRE), </w:t>
      </w:r>
      <w:proofErr w:type="spellStart"/>
      <w:r>
        <w:t>ZnO</w:t>
      </w:r>
      <w:proofErr w:type="spellEnd"/>
      <w:r>
        <w:t xml:space="preserve"> nanoparticles (</w:t>
      </w:r>
      <w:proofErr w:type="spellStart"/>
      <w:r>
        <w:t>ZnO</w:t>
      </w:r>
      <w:proofErr w:type="spellEnd"/>
      <w:r>
        <w:t>) and</w:t>
      </w:r>
      <w:r>
        <w:rPr>
          <w:i/>
        </w:rPr>
        <w:t xml:space="preserve"> </w:t>
      </w:r>
      <w:proofErr w:type="spellStart"/>
      <w:r>
        <w:rPr>
          <w:i/>
        </w:rPr>
        <w:t>Litsea</w:t>
      </w:r>
      <w:proofErr w:type="spellEnd"/>
      <w:r>
        <w:rPr>
          <w:i/>
        </w:rPr>
        <w:t xml:space="preserve"> cubeba</w:t>
      </w:r>
      <w:r>
        <w:t xml:space="preserve"> oil Pickering </w:t>
      </w:r>
    </w:p>
    <w:p w14:paraId="19D1D141" w14:textId="77777777" w:rsidR="00367448" w:rsidRDefault="000B472C">
      <w:pPr>
        <w:numPr>
          <w:ilvl w:val="0"/>
          <w:numId w:val="2"/>
        </w:numPr>
        <w:spacing w:after="220" w:line="259" w:lineRule="auto"/>
        <w:ind w:left="1701" w:right="60" w:hanging="596"/>
      </w:pPr>
      <w:r>
        <w:t xml:space="preserve">emulsion (LCON) on the properties of the </w:t>
      </w:r>
      <w:proofErr w:type="spellStart"/>
      <w:r>
        <w:t>gelatin</w:t>
      </w:r>
      <w:proofErr w:type="spellEnd"/>
      <w:r>
        <w:t xml:space="preserve"> (GE) film were </w:t>
      </w:r>
      <w:proofErr w:type="spellStart"/>
      <w:r>
        <w:t>analyzed</w:t>
      </w:r>
      <w:proofErr w:type="spellEnd"/>
      <w:r>
        <w:t xml:space="preserve"> using response </w:t>
      </w:r>
      <w:proofErr w:type="gramStart"/>
      <w:r>
        <w:t>surface</w:t>
      </w:r>
      <w:proofErr w:type="gramEnd"/>
      <w:r>
        <w:t xml:space="preserve"> </w:t>
      </w:r>
    </w:p>
    <w:p w14:paraId="215562E3" w14:textId="77777777" w:rsidR="00367448" w:rsidRDefault="000B472C">
      <w:pPr>
        <w:numPr>
          <w:ilvl w:val="0"/>
          <w:numId w:val="2"/>
        </w:numPr>
        <w:spacing w:after="220" w:line="259" w:lineRule="auto"/>
        <w:ind w:left="1701" w:right="60" w:hanging="596"/>
      </w:pPr>
      <w:r>
        <w:t xml:space="preserve">methodology (RSM). </w:t>
      </w:r>
      <w:r>
        <w:t xml:space="preserve">The RSM results reveal that these compounds greatly affect the properties of the </w:t>
      </w:r>
    </w:p>
    <w:p w14:paraId="63BF61C0" w14:textId="77777777" w:rsidR="00367448" w:rsidRDefault="000B472C">
      <w:pPr>
        <w:numPr>
          <w:ilvl w:val="0"/>
          <w:numId w:val="2"/>
        </w:numPr>
        <w:spacing w:after="220" w:line="259" w:lineRule="auto"/>
        <w:ind w:left="1701" w:right="60" w:hanging="596"/>
      </w:pPr>
      <w:r>
        <w:t xml:space="preserve">film, especially the contribution of </w:t>
      </w:r>
      <w:proofErr w:type="spellStart"/>
      <w:r>
        <w:t>ZnO</w:t>
      </w:r>
      <w:proofErr w:type="spellEnd"/>
      <w:r>
        <w:t xml:space="preserve">/LCON on mechanical and water barrier properties of the film. </w:t>
      </w:r>
    </w:p>
    <w:p w14:paraId="4015E0EF" w14:textId="77777777" w:rsidR="00367448" w:rsidRDefault="000B472C">
      <w:pPr>
        <w:numPr>
          <w:ilvl w:val="0"/>
          <w:numId w:val="2"/>
        </w:numPr>
        <w:spacing w:after="214" w:line="259" w:lineRule="auto"/>
        <w:ind w:left="1701" w:right="60" w:hanging="596"/>
      </w:pPr>
      <w:r>
        <w:t xml:space="preserve">The optimal antifungal (80.15%), antibacterial (31.24 mm), antioxidant </w:t>
      </w:r>
      <w:r>
        <w:t xml:space="preserve">(73.00%), tensile strength (42.03 </w:t>
      </w:r>
    </w:p>
    <w:p w14:paraId="22631707" w14:textId="77777777" w:rsidR="00367448" w:rsidRDefault="000B472C">
      <w:pPr>
        <w:numPr>
          <w:ilvl w:val="0"/>
          <w:numId w:val="2"/>
        </w:numPr>
        <w:spacing w:after="327" w:line="259" w:lineRule="auto"/>
        <w:ind w:left="1701" w:right="60" w:hanging="596"/>
      </w:pPr>
      <w:r>
        <w:t>MPa), elongation at break (25.50%), water vapor permeability (18.01 g·mm·m</w:t>
      </w:r>
      <w:r>
        <w:rPr>
          <w:vertAlign w:val="superscript"/>
        </w:rPr>
        <w:t>-2</w:t>
      </w:r>
      <w:r>
        <w:t>·Kpa</w:t>
      </w:r>
      <w:r>
        <w:rPr>
          <w:vertAlign w:val="superscript"/>
        </w:rPr>
        <w:t>-1</w:t>
      </w:r>
      <w:r>
        <w:t>·h</w:t>
      </w:r>
      <w:r>
        <w:rPr>
          <w:vertAlign w:val="superscript"/>
        </w:rPr>
        <w:t>-1</w:t>
      </w:r>
      <w:r>
        <w:t xml:space="preserve">), and water </w:t>
      </w:r>
    </w:p>
    <w:p w14:paraId="4E773817" w14:textId="77777777" w:rsidR="00367448" w:rsidRDefault="000B472C">
      <w:pPr>
        <w:numPr>
          <w:ilvl w:val="0"/>
          <w:numId w:val="2"/>
        </w:numPr>
        <w:spacing w:after="287" w:line="259" w:lineRule="auto"/>
        <w:ind w:left="1701" w:right="60" w:hanging="596"/>
      </w:pPr>
      <w:r>
        <w:t>contact angle (110.2</w:t>
      </w:r>
      <w:r>
        <w:rPr>
          <w:rFonts w:ascii="Arial" w:eastAsia="Arial" w:hAnsi="Arial" w:cs="Arial"/>
        </w:rPr>
        <w:t>°</w:t>
      </w:r>
      <w:r>
        <w:t xml:space="preserve">) of the film were obtained at 1.10% RRE, 1.51% </w:t>
      </w:r>
      <w:proofErr w:type="spellStart"/>
      <w:r>
        <w:t>ZnO</w:t>
      </w:r>
      <w:proofErr w:type="spellEnd"/>
      <w:r>
        <w:t xml:space="preserve"> and 2.38% LCON. The X-</w:t>
      </w:r>
    </w:p>
    <w:p w14:paraId="4EAFAE4F" w14:textId="77777777" w:rsidR="00367448" w:rsidRDefault="000B472C">
      <w:pPr>
        <w:numPr>
          <w:ilvl w:val="0"/>
          <w:numId w:val="2"/>
        </w:numPr>
        <w:ind w:left="1701" w:right="60" w:hanging="596"/>
      </w:pPr>
      <w:r>
        <w:t>ray diffraction pattern and FTIR spectra results indicated the change of molecular interactions and semi</w:t>
      </w:r>
      <w:r>
        <w:rPr>
          <w:rFonts w:ascii="Arial" w:eastAsia="Arial" w:hAnsi="Arial" w:cs="Arial"/>
          <w:sz w:val="21"/>
        </w:rPr>
        <w:t xml:space="preserve">21 </w:t>
      </w:r>
      <w:r>
        <w:t xml:space="preserve">crystalline structure in the film. The scanning electron microscopy, fluorescence images, and energy </w:t>
      </w:r>
      <w:r>
        <w:rPr>
          <w:rFonts w:ascii="Arial" w:eastAsia="Arial" w:hAnsi="Arial" w:cs="Arial"/>
          <w:sz w:val="21"/>
        </w:rPr>
        <w:t xml:space="preserve">22 </w:t>
      </w:r>
      <w:r>
        <w:t>dispersive X-ray results revealed that the go</w:t>
      </w:r>
      <w:r>
        <w:t xml:space="preserve">od dispersion of RRE, </w:t>
      </w:r>
      <w:proofErr w:type="spellStart"/>
      <w:r>
        <w:t>ZnO</w:t>
      </w:r>
      <w:proofErr w:type="spellEnd"/>
      <w:r>
        <w:t xml:space="preserve">, and LCON in the GE matrix </w:t>
      </w:r>
      <w:proofErr w:type="gramStart"/>
      <w:r>
        <w:t>led</w:t>
      </w:r>
      <w:proofErr w:type="gramEnd"/>
      <w:r>
        <w:t xml:space="preserve"> </w:t>
      </w:r>
    </w:p>
    <w:p w14:paraId="44BEF260" w14:textId="77777777" w:rsidR="00367448" w:rsidRDefault="000B472C">
      <w:pPr>
        <w:ind w:left="1115" w:right="1417"/>
      </w:pPr>
      <w:r>
        <w:rPr>
          <w:rFonts w:ascii="Arial" w:eastAsia="Arial" w:hAnsi="Arial" w:cs="Arial"/>
          <w:sz w:val="21"/>
        </w:rPr>
        <w:lastRenderedPageBreak/>
        <w:t xml:space="preserve">23 </w:t>
      </w:r>
      <w:r>
        <w:t xml:space="preserve">to an even and smooth structure in the film. This structure offers a positive effect on improving the </w:t>
      </w:r>
      <w:r>
        <w:rPr>
          <w:rFonts w:ascii="Arial" w:eastAsia="Arial" w:hAnsi="Arial" w:cs="Arial"/>
          <w:sz w:val="21"/>
        </w:rPr>
        <w:t xml:space="preserve">24 </w:t>
      </w:r>
      <w:r>
        <w:t xml:space="preserve">mechanical and barrier properties of the film. The </w:t>
      </w:r>
      <w:proofErr w:type="spellStart"/>
      <w:r>
        <w:t>colorful</w:t>
      </w:r>
      <w:proofErr w:type="spellEnd"/>
      <w:r>
        <w:t xml:space="preserve"> patterns were successfully pri</w:t>
      </w:r>
      <w:r>
        <w:t xml:space="preserve">nted on the film </w:t>
      </w:r>
      <w:r>
        <w:rPr>
          <w:rFonts w:ascii="Arial" w:eastAsia="Arial" w:hAnsi="Arial" w:cs="Arial"/>
          <w:sz w:val="21"/>
        </w:rPr>
        <w:t xml:space="preserve">25 </w:t>
      </w:r>
      <w:r>
        <w:t xml:space="preserve">to provide essential product information. Due to its excellent biological, mechanical and barrier </w:t>
      </w:r>
    </w:p>
    <w:p w14:paraId="6C65395E" w14:textId="77777777" w:rsidR="00367448" w:rsidRDefault="000B472C">
      <w:pPr>
        <w:numPr>
          <w:ilvl w:val="0"/>
          <w:numId w:val="3"/>
        </w:numPr>
        <w:spacing w:after="220" w:line="259" w:lineRule="auto"/>
        <w:ind w:left="1701" w:right="597" w:hanging="596"/>
      </w:pPr>
      <w:r>
        <w:t>properties, the optimized film was applied for mango preservation. The optimized GE/RRE/</w:t>
      </w:r>
      <w:proofErr w:type="spellStart"/>
      <w:r>
        <w:t>ZnO</w:t>
      </w:r>
      <w:proofErr w:type="spellEnd"/>
      <w:r>
        <w:t xml:space="preserve">/LCON </w:t>
      </w:r>
    </w:p>
    <w:p w14:paraId="0256CBF4" w14:textId="77777777" w:rsidR="00367448" w:rsidRDefault="000B472C">
      <w:pPr>
        <w:numPr>
          <w:ilvl w:val="0"/>
          <w:numId w:val="3"/>
        </w:numPr>
        <w:spacing w:after="42"/>
        <w:ind w:left="1701" w:right="597" w:hanging="596"/>
      </w:pPr>
      <w:r>
        <w:t>film significantly controlled the posth</w:t>
      </w:r>
      <w:r>
        <w:t xml:space="preserve">arvest quality and anthracnose in mango. Thus, the </w:t>
      </w:r>
      <w:r>
        <w:rPr>
          <w:rFonts w:ascii="Arial" w:eastAsia="Arial" w:hAnsi="Arial" w:cs="Arial"/>
          <w:sz w:val="21"/>
        </w:rPr>
        <w:t xml:space="preserve">28 </w:t>
      </w:r>
      <w:r>
        <w:t>GE/RRE/</w:t>
      </w:r>
      <w:proofErr w:type="spellStart"/>
      <w:r>
        <w:t>ZnO</w:t>
      </w:r>
      <w:proofErr w:type="spellEnd"/>
      <w:r>
        <w:t>/LCON film has great potential for mango preservation in active packaging applications.</w:t>
      </w:r>
      <w:r>
        <w:rPr>
          <w:rFonts w:ascii="Arial" w:eastAsia="Arial" w:hAnsi="Arial" w:cs="Arial"/>
          <w:sz w:val="21"/>
        </w:rPr>
        <w:t xml:space="preserve"> </w:t>
      </w:r>
    </w:p>
    <w:p w14:paraId="56DB0C68" w14:textId="77777777" w:rsidR="00367448" w:rsidRDefault="000B472C">
      <w:pPr>
        <w:tabs>
          <w:tab w:val="center" w:pos="1222"/>
          <w:tab w:val="center" w:pos="5853"/>
        </w:tabs>
        <w:spacing w:line="259" w:lineRule="auto"/>
        <w:ind w:left="0" w:firstLine="0"/>
        <w:jc w:val="left"/>
      </w:pPr>
      <w:r>
        <w:rPr>
          <w:rFonts w:ascii="Calibri" w:eastAsia="Calibri" w:hAnsi="Calibri" w:cs="Calibri"/>
          <w:sz w:val="22"/>
        </w:rPr>
        <w:tab/>
      </w:r>
      <w:r>
        <w:rPr>
          <w:rFonts w:ascii="Arial" w:eastAsia="Arial" w:hAnsi="Arial" w:cs="Arial"/>
          <w:sz w:val="21"/>
        </w:rPr>
        <w:t xml:space="preserve">29 </w:t>
      </w:r>
      <w:r>
        <w:rPr>
          <w:rFonts w:ascii="Arial" w:eastAsia="Arial" w:hAnsi="Arial" w:cs="Arial"/>
          <w:sz w:val="21"/>
        </w:rPr>
        <w:tab/>
      </w:r>
      <w:r>
        <w:rPr>
          <w:b/>
          <w:sz w:val="24"/>
        </w:rPr>
        <w:t xml:space="preserve">Keywords: </w:t>
      </w:r>
      <w:proofErr w:type="spellStart"/>
      <w:r>
        <w:t>Gelatin</w:t>
      </w:r>
      <w:proofErr w:type="spellEnd"/>
      <w:r>
        <w:t xml:space="preserve">; Red roselle extract; </w:t>
      </w:r>
      <w:proofErr w:type="spellStart"/>
      <w:r>
        <w:t>ZnO</w:t>
      </w:r>
      <w:proofErr w:type="spellEnd"/>
      <w:r>
        <w:t xml:space="preserve"> nanoparticles; </w:t>
      </w:r>
      <w:proofErr w:type="spellStart"/>
      <w:r>
        <w:rPr>
          <w:i/>
        </w:rPr>
        <w:t>Litsea</w:t>
      </w:r>
      <w:proofErr w:type="spellEnd"/>
      <w:r>
        <w:rPr>
          <w:i/>
        </w:rPr>
        <w:t xml:space="preserve"> cubeba</w:t>
      </w:r>
      <w:r>
        <w:t xml:space="preserve"> oil </w:t>
      </w:r>
      <w:r>
        <w:t xml:space="preserve">Pickering </w:t>
      </w:r>
      <w:proofErr w:type="gramStart"/>
      <w:r>
        <w:t>emulsion;</w:t>
      </w:r>
      <w:proofErr w:type="gramEnd"/>
      <w:r>
        <w:t xml:space="preserve"> </w:t>
      </w:r>
    </w:p>
    <w:p w14:paraId="2C77D78A" w14:textId="77777777" w:rsidR="00367448" w:rsidRDefault="00367448">
      <w:pPr>
        <w:sectPr w:rsidR="00367448">
          <w:headerReference w:type="even" r:id="rId13"/>
          <w:headerReference w:type="default" r:id="rId14"/>
          <w:headerReference w:type="first" r:id="rId15"/>
          <w:pgSz w:w="11906" w:h="16838"/>
          <w:pgMar w:top="26" w:right="380" w:bottom="1770" w:left="100" w:header="720" w:footer="720" w:gutter="0"/>
          <w:cols w:space="720"/>
        </w:sectPr>
      </w:pPr>
    </w:p>
    <w:p w14:paraId="0C9486E1" w14:textId="77777777" w:rsidR="00367448" w:rsidRDefault="000B472C">
      <w:pPr>
        <w:spacing w:after="238" w:line="259" w:lineRule="auto"/>
        <w:ind w:left="-5" w:right="60"/>
      </w:pPr>
      <w:r>
        <w:lastRenderedPageBreak/>
        <w:t xml:space="preserve">Mango </w:t>
      </w:r>
      <w:proofErr w:type="gramStart"/>
      <w:r>
        <w:t>preservation;</w:t>
      </w:r>
      <w:proofErr w:type="gramEnd"/>
      <w:r>
        <w:t xml:space="preserve"> </w:t>
      </w:r>
    </w:p>
    <w:p w14:paraId="39070CA0" w14:textId="77777777" w:rsidR="00367448" w:rsidRDefault="000B472C">
      <w:pPr>
        <w:pStyle w:val="Heading1"/>
        <w:ind w:left="-5" w:right="1545"/>
      </w:pPr>
      <w:r>
        <w:t xml:space="preserve">Introduction </w:t>
      </w:r>
    </w:p>
    <w:p w14:paraId="5E7C3A61" w14:textId="77777777" w:rsidR="00367448" w:rsidRDefault="000B472C">
      <w:pPr>
        <w:ind w:left="-5" w:right="60"/>
      </w:pPr>
      <w:r>
        <w:t>Mango (</w:t>
      </w:r>
      <w:r>
        <w:rPr>
          <w:i/>
        </w:rPr>
        <w:t>Mangifera indica L.</w:t>
      </w:r>
      <w:r>
        <w:t xml:space="preserve">) is one of the popular tropical </w:t>
      </w:r>
      <w:proofErr w:type="gramStart"/>
      <w:r>
        <w:t>fruit</w:t>
      </w:r>
      <w:proofErr w:type="gramEnd"/>
      <w:r>
        <w:t xml:space="preserve"> that is widely grown all over the world and has a high nutritional value. Mango has a short shelf-life due to rapid</w:t>
      </w:r>
      <w:r>
        <w:t xml:space="preserve"> softening and anthracnose (Shah, et al., 2021).</w:t>
      </w:r>
      <w:r>
        <w:rPr>
          <w:i/>
        </w:rPr>
        <w:t xml:space="preserve"> </w:t>
      </w:r>
      <w:r>
        <w:t xml:space="preserve"> </w:t>
      </w:r>
    </w:p>
    <w:p w14:paraId="5ED8766D" w14:textId="77777777" w:rsidR="00367448" w:rsidRDefault="000B472C">
      <w:pPr>
        <w:ind w:left="-5" w:right="60"/>
      </w:pPr>
      <w:r>
        <w:t>Many researchers have pointed out that edible film based on natural polymer could prevent the exchange of oxygen and moisture movement so that prolonging the shelf life of mango (T. Wang, et al., 2022). Ho</w:t>
      </w:r>
      <w:r>
        <w:t>wever, the antimicrobial and antioxidant properties of the edible film were not adequate. Hence, their biological properties need to be improved by the incorporation of different additives such as antimicrobials, antioxidants, and anti-browning compounds (</w:t>
      </w:r>
      <w:r>
        <w:t xml:space="preserve">Y. Zhao, et al., 2022). </w:t>
      </w:r>
    </w:p>
    <w:p w14:paraId="31440F9C" w14:textId="77777777" w:rsidR="00367448" w:rsidRDefault="000B472C">
      <w:pPr>
        <w:ind w:left="-5" w:right="60"/>
      </w:pPr>
      <w:r>
        <w:t>Red roselle extract (RRE), a natural anthocyanin-rich plant extract obtained from red roselle (</w:t>
      </w:r>
      <w:r>
        <w:rPr>
          <w:i/>
        </w:rPr>
        <w:t>Hibiscus sabdariffa L.)</w:t>
      </w:r>
      <w:r>
        <w:t xml:space="preserve">, has been widely applied in food industry due to its safety, low </w:t>
      </w:r>
      <w:proofErr w:type="gramStart"/>
      <w:r>
        <w:t>cost</w:t>
      </w:r>
      <w:proofErr w:type="gramEnd"/>
      <w:r>
        <w:t xml:space="preserve"> and proven scavenging ability on free radi</w:t>
      </w:r>
      <w:r>
        <w:t xml:space="preserve">cals (Yang, Zou, Li, Huang, &amp; Tahir, 2019). Hence, the RRE could be considered to strengthen the antioxidant property of the edible film.  </w:t>
      </w:r>
    </w:p>
    <w:p w14:paraId="1B17AF9D" w14:textId="77777777" w:rsidR="00367448" w:rsidRDefault="000B472C">
      <w:pPr>
        <w:ind w:left="-5" w:right="60"/>
      </w:pPr>
      <w:r>
        <w:t xml:space="preserve">Metal oxide nanoparticles are popular in food packaging applications because it could be used as functional fillers </w:t>
      </w:r>
      <w:r>
        <w:t xml:space="preserve">to enhance the film properties (Nikolic, Vasiljevic, Auger, &amp; Vidic, 2021). </w:t>
      </w:r>
      <w:proofErr w:type="spellStart"/>
      <w:r>
        <w:t>ZnO</w:t>
      </w:r>
      <w:proofErr w:type="spellEnd"/>
      <w:r>
        <w:t xml:space="preserve"> nanoparticles (</w:t>
      </w:r>
      <w:proofErr w:type="spellStart"/>
      <w:r>
        <w:t>ZnO</w:t>
      </w:r>
      <w:proofErr w:type="spellEnd"/>
      <w:r>
        <w:t>) were a generally safe (GRAS) food additive with proven spectral antibacterial capacity (Nikolic, et al., 2021).</w:t>
      </w:r>
      <w:r>
        <w:rPr>
          <w:sz w:val="21"/>
        </w:rPr>
        <w:t xml:space="preserve"> </w:t>
      </w:r>
      <w:proofErr w:type="spellStart"/>
      <w:r>
        <w:rPr>
          <w:sz w:val="21"/>
        </w:rPr>
        <w:t>ZnO</w:t>
      </w:r>
      <w:proofErr w:type="spellEnd"/>
      <w:r>
        <w:rPr>
          <w:sz w:val="21"/>
        </w:rPr>
        <w:t xml:space="preserve"> can inhibit the growth of microbe by gen</w:t>
      </w:r>
      <w:r>
        <w:rPr>
          <w:sz w:val="21"/>
        </w:rPr>
        <w:t>erating H</w:t>
      </w:r>
      <w:r>
        <w:rPr>
          <w:sz w:val="21"/>
          <w:vertAlign w:val="subscript"/>
        </w:rPr>
        <w:t>2</w:t>
      </w:r>
      <w:r>
        <w:rPr>
          <w:sz w:val="21"/>
        </w:rPr>
        <w:t>O</w:t>
      </w:r>
      <w:r>
        <w:rPr>
          <w:sz w:val="21"/>
          <w:vertAlign w:val="subscript"/>
        </w:rPr>
        <w:t>2</w:t>
      </w:r>
      <w:r>
        <w:rPr>
          <w:sz w:val="21"/>
        </w:rPr>
        <w:t xml:space="preserve"> to destroy cell membrane and release Zn</w:t>
      </w:r>
      <w:r>
        <w:rPr>
          <w:sz w:val="21"/>
          <w:vertAlign w:val="superscript"/>
        </w:rPr>
        <w:t>2+</w:t>
      </w:r>
      <w:r>
        <w:rPr>
          <w:sz w:val="21"/>
        </w:rPr>
        <w:t xml:space="preserve"> ions or </w:t>
      </w:r>
      <w:proofErr w:type="spellStart"/>
      <w:r>
        <w:rPr>
          <w:sz w:val="21"/>
        </w:rPr>
        <w:t>ZnO</w:t>
      </w:r>
      <w:proofErr w:type="spellEnd"/>
      <w:r>
        <w:rPr>
          <w:sz w:val="21"/>
        </w:rPr>
        <w:t xml:space="preserve"> nanoparticles into microbe cells (Shankar, Teng, Li, &amp; Rhim, 2015).</w:t>
      </w:r>
      <w:r>
        <w:t xml:space="preserve"> Recently, Sun, Li, and Le (2018) also reported the possible inhibition mechanism of </w:t>
      </w:r>
      <w:proofErr w:type="spellStart"/>
      <w:r>
        <w:t>ZnO</w:t>
      </w:r>
      <w:proofErr w:type="spellEnd"/>
      <w:r>
        <w:t xml:space="preserve"> on various fungi. Thus, it is des</w:t>
      </w:r>
      <w:r>
        <w:t xml:space="preserve">irable to incorporate </w:t>
      </w:r>
      <w:proofErr w:type="spellStart"/>
      <w:r>
        <w:t>ZnO</w:t>
      </w:r>
      <w:proofErr w:type="spellEnd"/>
      <w:r>
        <w:t xml:space="preserve"> to the edible film as an effective antibacterial and antifungal agent. </w:t>
      </w:r>
    </w:p>
    <w:p w14:paraId="76B8C8A3" w14:textId="77777777" w:rsidR="00367448" w:rsidRDefault="000B472C">
      <w:pPr>
        <w:ind w:left="-5" w:right="60"/>
      </w:pPr>
      <w:r>
        <w:t>Although the bioactivity of edible films can be significantly improved by the addition of some antioxidant and antimicrobial agents. However, their high hydro</w:t>
      </w:r>
      <w:r>
        <w:t>philicity and poor mechanical properties still greatly limit the application of edible packaging film in food (P. Zhao, et al., 2023).</w:t>
      </w:r>
      <w:r>
        <w:rPr>
          <w:rFonts w:ascii="Arial" w:eastAsia="Arial" w:hAnsi="Arial" w:cs="Arial"/>
          <w:sz w:val="21"/>
        </w:rPr>
        <w:t xml:space="preserve"> </w:t>
      </w:r>
      <w:r>
        <w:t xml:space="preserve">Fortunately, it has been proven to be effective in overcoming the above-mentioned disadvantages of films through forming </w:t>
      </w:r>
      <w:r>
        <w:t xml:space="preserve">multicomponent films by adding hydrophobic compounds in a hydrophilic matrix, particularly the emulsion films containing essential oils (P. Zhao, et al., 2023). Various essential oils have been added to edible films, including cinnamon essential oil (Fan, </w:t>
      </w:r>
      <w:r>
        <w:t xml:space="preserve">et al., 2023), anise essential oil (P. Zhao, et al., 2023), neem essential oil (Yang, Zhai, et al., 2022), and more. Among them, </w:t>
      </w:r>
      <w:proofErr w:type="spellStart"/>
      <w:r>
        <w:rPr>
          <w:i/>
        </w:rPr>
        <w:t>Litsea</w:t>
      </w:r>
      <w:proofErr w:type="spellEnd"/>
      <w:r>
        <w:rPr>
          <w:i/>
        </w:rPr>
        <w:t xml:space="preserve"> cubeba</w:t>
      </w:r>
      <w:r>
        <w:t xml:space="preserve"> oil</w:t>
      </w:r>
      <w:r>
        <w:rPr>
          <w:rFonts w:ascii="Arial" w:eastAsia="Arial" w:hAnsi="Arial" w:cs="Arial"/>
          <w:sz w:val="21"/>
        </w:rPr>
        <w:t xml:space="preserve"> </w:t>
      </w:r>
      <w:r>
        <w:t>(LCO)</w:t>
      </w:r>
      <w:r>
        <w:rPr>
          <w:rFonts w:ascii="Arial" w:eastAsia="Arial" w:hAnsi="Arial" w:cs="Arial"/>
          <w:sz w:val="21"/>
        </w:rPr>
        <w:t xml:space="preserve"> </w:t>
      </w:r>
      <w:r>
        <w:t xml:space="preserve">is a </w:t>
      </w:r>
      <w:proofErr w:type="spellStart"/>
      <w:r>
        <w:lastRenderedPageBreak/>
        <w:t>lightyellow</w:t>
      </w:r>
      <w:proofErr w:type="spellEnd"/>
      <w:r>
        <w:t xml:space="preserve"> transparent liquid extracted from </w:t>
      </w:r>
      <w:proofErr w:type="spellStart"/>
      <w:r>
        <w:rPr>
          <w:i/>
        </w:rPr>
        <w:t>Litsea</w:t>
      </w:r>
      <w:proofErr w:type="spellEnd"/>
      <w:r>
        <w:rPr>
          <w:i/>
        </w:rPr>
        <w:t xml:space="preserve"> cubeba</w:t>
      </w:r>
      <w:r>
        <w:t xml:space="preserve"> fruit, which is an essential natural p</w:t>
      </w:r>
      <w:r>
        <w:t>lant resource widely distributed in southern China. It has received increasing attention due to its safety and proven antimicrobial and antioxidant activity (Li, et al., 2016). However, there are some challenges in the application of LCO, including its</w:t>
      </w:r>
      <w:r>
        <w:rPr>
          <w:rFonts w:ascii="Arial" w:eastAsia="Arial" w:hAnsi="Arial" w:cs="Arial"/>
          <w:sz w:val="21"/>
        </w:rPr>
        <w:t xml:space="preserve"> </w:t>
      </w:r>
      <w:r>
        <w:t>uns</w:t>
      </w:r>
      <w:r>
        <w:t>table, volatilized rapid and strong smell. In addition,</w:t>
      </w:r>
      <w:r>
        <w:rPr>
          <w:rFonts w:ascii="Arial" w:eastAsia="Arial" w:hAnsi="Arial" w:cs="Arial"/>
          <w:sz w:val="21"/>
        </w:rPr>
        <w:t xml:space="preserve"> </w:t>
      </w:r>
      <w:r>
        <w:t>adding essential oil directly into the film matrix could lead to uneven composite films due to the difference between the two phases (P. Zhao, et al., 2023).</w:t>
      </w:r>
      <w:r>
        <w:rPr>
          <w:rFonts w:ascii="Arial" w:eastAsia="Arial" w:hAnsi="Arial" w:cs="Arial"/>
          <w:sz w:val="21"/>
        </w:rPr>
        <w:t xml:space="preserve"> </w:t>
      </w:r>
      <w:r>
        <w:t xml:space="preserve">Pickering emulsion, a </w:t>
      </w:r>
      <w:r>
        <w:t>stable emulsion system only stabilized by solid particles instead of surfactants, has proved to be an effective green encapsulation technique to solve the above-mentioned disadvantage of essential oil (Xu, et al., 2023). Different solid particles have been</w:t>
      </w:r>
      <w:r>
        <w:t xml:space="preserve"> explored to stabilize essential oil-loaded Pickering emulsion (Liu, et al., 2022). Persimmon Pectin (PP), a polysaccharide extracted from persimmon peel (</w:t>
      </w:r>
      <w:r>
        <w:rPr>
          <w:i/>
        </w:rPr>
        <w:t>Diospyros kaki Thunb.</w:t>
      </w:r>
      <w:r>
        <w:t xml:space="preserve">), has been explored recently as green stabilizer particles </w:t>
      </w:r>
      <w:proofErr w:type="gramStart"/>
      <w:r>
        <w:t>for the production o</w:t>
      </w:r>
      <w:r>
        <w:t>f</w:t>
      </w:r>
      <w:proofErr w:type="gramEnd"/>
      <w:r>
        <w:t xml:space="preserve"> Pickering emulsion (Jia, Du, Li, &amp; Li, 2022; Muñoz-Almagro, et al., 2021).</w:t>
      </w:r>
      <w:r>
        <w:rPr>
          <w:rFonts w:ascii="Arial" w:eastAsia="Arial" w:hAnsi="Arial" w:cs="Arial"/>
          <w:sz w:val="21"/>
        </w:rPr>
        <w:t xml:space="preserve"> </w:t>
      </w:r>
      <w:r>
        <w:t>Although PP has acceptable emulsifying properties, its emulsions stability needs to be further improved. Our previous research has reported that the double wettability of citrus p</w:t>
      </w:r>
      <w:r>
        <w:t>ectin particles can be improved through β-cyclodextrin modification, thus greatly improving its emulsions stability (Cen, et al., 2023). β-cyclodextrin (β-CN)</w:t>
      </w:r>
      <w:r>
        <w:rPr>
          <w:rFonts w:ascii="Arial" w:eastAsia="Arial" w:hAnsi="Arial" w:cs="Arial"/>
          <w:sz w:val="21"/>
        </w:rPr>
        <w:t xml:space="preserve"> </w:t>
      </w:r>
      <w:r>
        <w:t xml:space="preserve">is a cheap oligosaccharide with suitable cavity size and solubility. Hence, the β-CN modified PP </w:t>
      </w:r>
      <w:r>
        <w:t xml:space="preserve">could be considered as potential stabilizer particles to fabricate </w:t>
      </w:r>
      <w:proofErr w:type="spellStart"/>
      <w:r>
        <w:rPr>
          <w:i/>
        </w:rPr>
        <w:t>Litsea</w:t>
      </w:r>
      <w:proofErr w:type="spellEnd"/>
      <w:r>
        <w:rPr>
          <w:i/>
        </w:rPr>
        <w:t xml:space="preserve"> cubeba</w:t>
      </w:r>
      <w:r>
        <w:t xml:space="preserve"> oil Pickering emulsion (LCON). </w:t>
      </w:r>
    </w:p>
    <w:p w14:paraId="29F614AB" w14:textId="77777777" w:rsidR="00367448" w:rsidRDefault="000B472C">
      <w:pPr>
        <w:ind w:left="-5" w:right="60"/>
      </w:pPr>
      <w:r>
        <w:t>The properties of the film could be enhanced owing to the synergistic effect of the mixture consisting of different functional agents. Our prev</w:t>
      </w:r>
      <w:r>
        <w:t>ious studies had proven that the biological and mechanical properties of the agar film could be greatly improved through the combination of various additives (Yang, Li, et al., 2022; Yang, Zhai, et al., 2022). However, the combination of different additive</w:t>
      </w:r>
      <w:r>
        <w:t xml:space="preserve"> agents may have a negative influence on the properties of the </w:t>
      </w:r>
      <w:proofErr w:type="gramStart"/>
      <w:r>
        <w:t>film, because</w:t>
      </w:r>
      <w:proofErr w:type="gramEnd"/>
      <w:r>
        <w:t xml:space="preserve"> the properties of the film generally depend on the molecular interactions between different additive substances, the structural changes resulting from blending, and their concentr</w:t>
      </w:r>
      <w:r>
        <w:t>ations (</w:t>
      </w:r>
      <w:proofErr w:type="spellStart"/>
      <w:r>
        <w:t>Azarifar</w:t>
      </w:r>
      <w:proofErr w:type="spellEnd"/>
      <w:r>
        <w:t xml:space="preserve">, et al., 2019). Thus, it is critical to incorporate the RRE, </w:t>
      </w:r>
      <w:proofErr w:type="spellStart"/>
      <w:r>
        <w:t>ZnO</w:t>
      </w:r>
      <w:proofErr w:type="spellEnd"/>
      <w:r>
        <w:t>, and LCON into GE film to enhance the film’s properties and assess the potential effect of different additives or their interactions on the properties of the film for obtaini</w:t>
      </w:r>
      <w:r>
        <w:t xml:space="preserve">ng optimized bio-nanocomposite formulation. Thus, the response surface methodology (RSM), an experimental </w:t>
      </w:r>
      <w:proofErr w:type="spellStart"/>
      <w:r>
        <w:t>modeling</w:t>
      </w:r>
      <w:proofErr w:type="spellEnd"/>
      <w:r>
        <w:t xml:space="preserve"> method measured to assess the effect of each variable parameter on the response of interest and their interactions in one or more response va</w:t>
      </w:r>
      <w:r>
        <w:t>riables (</w:t>
      </w:r>
      <w:proofErr w:type="spellStart"/>
      <w:r>
        <w:t>Azarifar</w:t>
      </w:r>
      <w:proofErr w:type="spellEnd"/>
      <w:r>
        <w:t xml:space="preserve">, et al., 2019), was selected in this work.  </w:t>
      </w:r>
    </w:p>
    <w:p w14:paraId="6083BCE9" w14:textId="77777777" w:rsidR="00367448" w:rsidRDefault="000B472C">
      <w:pPr>
        <w:ind w:left="-5" w:right="60"/>
      </w:pPr>
      <w:r>
        <w:lastRenderedPageBreak/>
        <w:t>Furthermore, to provide important product information to consumers, packaging films are always linked with petroleum-based labels. However, these petroleum-based labels are harmful to human hea</w:t>
      </w:r>
      <w:r>
        <w:t xml:space="preserve">lth and the environment. To reduce the food safety risk, the </w:t>
      </w:r>
      <w:proofErr w:type="spellStart"/>
      <w:r>
        <w:t>colored</w:t>
      </w:r>
      <w:proofErr w:type="spellEnd"/>
      <w:r>
        <w:t xml:space="preserve"> patterns or characters have been printed on the polysaccharide-based film containing anthocyanin as the “edible label” in our previous studies (Yang, Zhai, et al., 2022). These developed </w:t>
      </w:r>
      <w:r>
        <w:t xml:space="preserve">films with printed letters or patterns could be used as a promising alternative to petroleum-based labels. However, there are few works regarding the development of printing patterns on bio-nanocomposite films with electrochemical writing. </w:t>
      </w:r>
    </w:p>
    <w:p w14:paraId="38F319DA" w14:textId="77777777" w:rsidR="00367448" w:rsidRDefault="000B472C">
      <w:pPr>
        <w:ind w:left="-5" w:right="60"/>
      </w:pPr>
      <w:r>
        <w:t>Despite these i</w:t>
      </w:r>
      <w:r>
        <w:t xml:space="preserve">nterests, to our best knowledge, there are only few </w:t>
      </w:r>
      <w:proofErr w:type="gramStart"/>
      <w:r>
        <w:t>work</w:t>
      </w:r>
      <w:proofErr w:type="gramEnd"/>
      <w:r>
        <w:t xml:space="preserve"> regarding the development of Pickering emulsion-loaded bio-nanocomposite film with edible labels, the use of RSM to</w:t>
      </w:r>
      <w:r>
        <w:rPr>
          <w:rFonts w:ascii="Arial" w:eastAsia="Arial" w:hAnsi="Arial" w:cs="Arial"/>
          <w:sz w:val="21"/>
        </w:rPr>
        <w:t xml:space="preserve"> </w:t>
      </w:r>
      <w:r>
        <w:t>assess the potential influences of individual factors on the properties of the film</w:t>
      </w:r>
      <w:r>
        <w:t xml:space="preserve">, and its application for fruit preservation. Thus, the present work aims to fabricate a novel active film based on </w:t>
      </w:r>
      <w:proofErr w:type="spellStart"/>
      <w:r>
        <w:t>gelatin</w:t>
      </w:r>
      <w:proofErr w:type="spellEnd"/>
      <w:r>
        <w:t>/RRE/</w:t>
      </w:r>
      <w:proofErr w:type="spellStart"/>
      <w:r>
        <w:t>ZnO</w:t>
      </w:r>
      <w:proofErr w:type="spellEnd"/>
      <w:r>
        <w:t xml:space="preserve">/LCON. </w:t>
      </w:r>
      <w:proofErr w:type="spellStart"/>
      <w:r>
        <w:t>Gelatin</w:t>
      </w:r>
      <w:proofErr w:type="spellEnd"/>
      <w:r>
        <w:t xml:space="preserve"> (GE) as an animal-derived protein has been widely studied as </w:t>
      </w:r>
      <w:proofErr w:type="spellStart"/>
      <w:r>
        <w:t>filmformation</w:t>
      </w:r>
      <w:proofErr w:type="spellEnd"/>
      <w:r>
        <w:t xml:space="preserve"> material. RSM was used to explore t</w:t>
      </w:r>
      <w:r>
        <w:t xml:space="preserve">he influence of each component on the biological, mechanical, and barrier properties of the film, and to achieve the optimized formulation. The edible label made of </w:t>
      </w:r>
      <w:proofErr w:type="spellStart"/>
      <w:r>
        <w:t>colored</w:t>
      </w:r>
      <w:proofErr w:type="spellEnd"/>
      <w:r>
        <w:t xml:space="preserve"> written patterns was also printed on the optimized film. Finally, the optimized fil</w:t>
      </w:r>
      <w:r>
        <w:t xml:space="preserve">m was applied for mango preservation. </w:t>
      </w:r>
    </w:p>
    <w:p w14:paraId="6133868D" w14:textId="77777777" w:rsidR="00367448" w:rsidRDefault="000B472C">
      <w:pPr>
        <w:pStyle w:val="Heading1"/>
        <w:ind w:left="-5" w:right="1545"/>
      </w:pPr>
      <w:r>
        <w:t xml:space="preserve">2. Materials and methods </w:t>
      </w:r>
    </w:p>
    <w:p w14:paraId="10BDBE92" w14:textId="77777777" w:rsidR="00367448" w:rsidRDefault="000B472C">
      <w:pPr>
        <w:pStyle w:val="Heading2"/>
        <w:ind w:left="-5"/>
      </w:pPr>
      <w:r>
        <w:t xml:space="preserve">2.1. Materials and reagents </w:t>
      </w:r>
    </w:p>
    <w:p w14:paraId="5A44975E" w14:textId="77777777" w:rsidR="00367448" w:rsidRDefault="000B472C">
      <w:pPr>
        <w:ind w:left="-5" w:right="60"/>
      </w:pPr>
      <w:r>
        <w:t>Dried red roselle (</w:t>
      </w:r>
      <w:r>
        <w:rPr>
          <w:i/>
        </w:rPr>
        <w:t>Hibiscus sabdariffa L.</w:t>
      </w:r>
      <w:r>
        <w:t>) was obtained from Al-</w:t>
      </w:r>
      <w:proofErr w:type="spellStart"/>
      <w:r>
        <w:t>Fashir</w:t>
      </w:r>
      <w:proofErr w:type="spellEnd"/>
      <w:r>
        <w:t>, Sudan. Persimmon (</w:t>
      </w:r>
      <w:r>
        <w:rPr>
          <w:i/>
        </w:rPr>
        <w:t>Diospyros kaki Thunb.</w:t>
      </w:r>
      <w:r>
        <w:t xml:space="preserve">) was brought </w:t>
      </w:r>
      <w:r>
        <w:t xml:space="preserve">from Cameron’s supermarket (Nanjing, China). </w:t>
      </w:r>
      <w:proofErr w:type="spellStart"/>
      <w:r>
        <w:t>Gelatin</w:t>
      </w:r>
      <w:proofErr w:type="spellEnd"/>
      <w:r>
        <w:t xml:space="preserve">, </w:t>
      </w:r>
      <w:proofErr w:type="spellStart"/>
      <w:r>
        <w:t>ZnO</w:t>
      </w:r>
      <w:proofErr w:type="spellEnd"/>
      <w:r>
        <w:t xml:space="preserve"> </w:t>
      </w:r>
      <w:proofErr w:type="spellStart"/>
      <w:r>
        <w:t>nanoparticels</w:t>
      </w:r>
      <w:proofErr w:type="spellEnd"/>
      <w:r>
        <w:t xml:space="preserve"> (CAS: 1314-13-2, purity&gt;99.8%, diameter = 50 ± 10 nm), </w:t>
      </w:r>
      <w:proofErr w:type="spellStart"/>
      <w:r>
        <w:rPr>
          <w:i/>
        </w:rPr>
        <w:t>litsea</w:t>
      </w:r>
      <w:proofErr w:type="spellEnd"/>
      <w:r>
        <w:rPr>
          <w:i/>
        </w:rPr>
        <w:t xml:space="preserve"> cubeba</w:t>
      </w:r>
      <w:r>
        <w:t xml:space="preserve"> oil, β-Cyclodextrin, methanol</w:t>
      </w:r>
      <w:r>
        <w:rPr>
          <w:rFonts w:ascii="Arial" w:eastAsia="Arial" w:hAnsi="Arial" w:cs="Arial"/>
        </w:rPr>
        <w:t xml:space="preserve"> </w:t>
      </w:r>
      <w:r>
        <w:t>and Nile red/blue were obtained from Aladdin Industrial Corporation (Shanghai, China)</w:t>
      </w:r>
      <w:r>
        <w:t>. The</w:t>
      </w:r>
      <w:r>
        <w:rPr>
          <w:i/>
        </w:rPr>
        <w:t xml:space="preserve"> C. </w:t>
      </w:r>
      <w:proofErr w:type="spellStart"/>
      <w:r>
        <w:rPr>
          <w:i/>
        </w:rPr>
        <w:t>gloeosporioides</w:t>
      </w:r>
      <w:proofErr w:type="spellEnd"/>
      <w:r>
        <w:t xml:space="preserve"> (ACCC 36161) and</w:t>
      </w:r>
      <w:r>
        <w:rPr>
          <w:i/>
        </w:rPr>
        <w:t xml:space="preserve"> L. monocytogenes </w:t>
      </w:r>
      <w:r>
        <w:t xml:space="preserve">(ATCC 19114) was purchased from </w:t>
      </w:r>
      <w:proofErr w:type="gramStart"/>
      <w:r>
        <w:t>Shanghai</w:t>
      </w:r>
      <w:proofErr w:type="gramEnd"/>
      <w:r>
        <w:t xml:space="preserve"> </w:t>
      </w:r>
    </w:p>
    <w:p w14:paraId="146FD10F" w14:textId="77777777" w:rsidR="00367448" w:rsidRDefault="000B472C">
      <w:pPr>
        <w:spacing w:after="224" w:line="259" w:lineRule="auto"/>
        <w:ind w:left="-5" w:right="60"/>
      </w:pPr>
      <w:proofErr w:type="spellStart"/>
      <w:r>
        <w:t>Ouyi</w:t>
      </w:r>
      <w:proofErr w:type="spellEnd"/>
      <w:r>
        <w:t xml:space="preserve"> Co., Ltd. (Shanghai, China).   </w:t>
      </w:r>
    </w:p>
    <w:p w14:paraId="20B3F31C" w14:textId="77777777" w:rsidR="00367448" w:rsidRDefault="000B472C">
      <w:pPr>
        <w:pStyle w:val="Heading2"/>
        <w:ind w:left="-5"/>
      </w:pPr>
      <w:r>
        <w:t xml:space="preserve">2.2. Extraction of red roselle anthocyanin (RRE) and persimmon pectin (PP)  </w:t>
      </w:r>
    </w:p>
    <w:p w14:paraId="328237AA" w14:textId="77777777" w:rsidR="00367448" w:rsidRDefault="000B472C">
      <w:pPr>
        <w:spacing w:after="222"/>
        <w:ind w:left="-5" w:right="60"/>
      </w:pPr>
      <w:r>
        <w:t xml:space="preserve">RRE was fabricated following Yang, Zhai, </w:t>
      </w:r>
      <w:r>
        <w:t>et al. (2022) with slight modification. The dried red roselle (10 g) was ground into powder and immersed in 100 mL ethanol water (75%). The mixture was centrifuged at 7000 rpm for 20 min to obtain supernatant. The supernatant was treated by rotary evaporat</w:t>
      </w:r>
      <w:r>
        <w:t>ion and then freeze-dried. The PP was obtained according to previous method (Cen, et al., 2023). The dried persimmon peel was ground into powder and mixed with</w:t>
      </w:r>
      <w:r>
        <w:rPr>
          <w:rFonts w:ascii="Arial" w:eastAsia="Arial" w:hAnsi="Arial" w:cs="Arial"/>
          <w:sz w:val="21"/>
        </w:rPr>
        <w:t xml:space="preserve"> </w:t>
      </w:r>
      <w:r>
        <w:t xml:space="preserve">acid solution at ratio of 1: 15. After </w:t>
      </w:r>
      <w:r>
        <w:lastRenderedPageBreak/>
        <w:t xml:space="preserve">that, the mixture liquid was centrifuged at 8000 rpm and </w:t>
      </w:r>
      <w:r>
        <w:t xml:space="preserve">then mixed with 100% ethanol. Finally, the supernatant was treated by rotary evaporation and then freeze-dried to obtain the PP powder.  </w:t>
      </w:r>
    </w:p>
    <w:p w14:paraId="489E3AF7" w14:textId="77777777" w:rsidR="00367448" w:rsidRDefault="000B472C">
      <w:pPr>
        <w:pStyle w:val="Heading2"/>
        <w:ind w:left="-5"/>
      </w:pPr>
      <w:r>
        <w:t xml:space="preserve">2.3. Preparation and characterization of LCO Pickering emulsion (LCON) </w:t>
      </w:r>
    </w:p>
    <w:p w14:paraId="7948F722" w14:textId="77777777" w:rsidR="00367448" w:rsidRDefault="000B472C">
      <w:pPr>
        <w:ind w:left="-5" w:right="60"/>
      </w:pPr>
      <w:r>
        <w:t xml:space="preserve">The LCON was prepared </w:t>
      </w:r>
      <w:proofErr w:type="gramStart"/>
      <w:r>
        <w:t>according</w:t>
      </w:r>
      <w:proofErr w:type="gramEnd"/>
      <w:r>
        <w:t xml:space="preserve"> our previous m</w:t>
      </w:r>
      <w:r>
        <w:t>ethod with slight modification (G. Zhao, Wang, Li, Yang, &amp; Song, 2023). Firstly, the PP (1.5% w/v) solution was mixed with β-CN solution (0.5% w/v) at a ratio of 2:2. The composite solution was stirred for 2.0 h. After the synthesis, LCO was added dropwise</w:t>
      </w:r>
      <w:r>
        <w:t xml:space="preserve"> into composite solution at ratio of 1:6 (v/v) and homogenized at 13000 rpm for 10 min (Fig. 1A). The particle size, Zeta potential, and polydispersity indexes (PDI) of the LCON were measured with a dynamic light scattering instrument at 25 °C. The fluores</w:t>
      </w:r>
      <w:r>
        <w:t xml:space="preserve">cence microscopy images of LCON </w:t>
      </w:r>
      <w:proofErr w:type="gramStart"/>
      <w:r>
        <w:t>was</w:t>
      </w:r>
      <w:proofErr w:type="gramEnd"/>
      <w:r>
        <w:t xml:space="preserve"> captured with a confocal laser scanning microscope. LCO were stained with Nile red (10 </w:t>
      </w:r>
      <w:proofErr w:type="spellStart"/>
      <w:r>
        <w:t>μg</w:t>
      </w:r>
      <w:proofErr w:type="spellEnd"/>
      <w:r>
        <w:t xml:space="preserve">/mL), the </w:t>
      </w:r>
    </w:p>
    <w:p w14:paraId="7F3DD8A5" w14:textId="77777777" w:rsidR="00367448" w:rsidRDefault="000B472C">
      <w:pPr>
        <w:spacing w:after="224" w:line="259" w:lineRule="auto"/>
        <w:ind w:left="-5" w:right="60"/>
      </w:pPr>
      <w:r>
        <w:t xml:space="preserve">PP/β-CN solution </w:t>
      </w:r>
      <w:proofErr w:type="gramStart"/>
      <w:r>
        <w:t>were</w:t>
      </w:r>
      <w:proofErr w:type="gramEnd"/>
      <w:r>
        <w:t xml:space="preserve"> stained with Nile blue (100 </w:t>
      </w:r>
      <w:proofErr w:type="spellStart"/>
      <w:r>
        <w:t>μg</w:t>
      </w:r>
      <w:proofErr w:type="spellEnd"/>
      <w:r>
        <w:t xml:space="preserve">/mL) for 1 h in the dark.  </w:t>
      </w:r>
    </w:p>
    <w:p w14:paraId="02AD378B" w14:textId="77777777" w:rsidR="00367448" w:rsidRDefault="000B472C">
      <w:pPr>
        <w:pStyle w:val="Heading2"/>
        <w:ind w:left="-5"/>
      </w:pPr>
      <w:r>
        <w:t xml:space="preserve">2.4. The fabrication of films using RSM </w:t>
      </w:r>
    </w:p>
    <w:p w14:paraId="4A387DE0" w14:textId="77777777" w:rsidR="00367448" w:rsidRDefault="000B472C">
      <w:pPr>
        <w:ind w:left="-5" w:right="60"/>
      </w:pPr>
      <w:r>
        <w:t xml:space="preserve">The RSM was used to optimize the three independent variables (RRE, </w:t>
      </w:r>
      <w:proofErr w:type="spellStart"/>
      <w:r>
        <w:t>ZnO</w:t>
      </w:r>
      <w:proofErr w:type="spellEnd"/>
      <w:r>
        <w:t xml:space="preserve">, and LCON concentration) at three levels (-1, 0, and +1) (Table S1) to obtain the best properties of the film. Seventeen experimental data of three variables with seven </w:t>
      </w:r>
      <w:proofErr w:type="spellStart"/>
      <w:r>
        <w:t>center</w:t>
      </w:r>
      <w:proofErr w:type="spellEnd"/>
      <w:r>
        <w:t xml:space="preserve"> points a</w:t>
      </w:r>
      <w:r>
        <w:t>re required to analysis the influence of three variables on the antifungal, antibacterial, antioxidant, tensile strength (TS), elongation percentage at break (EB), water vapor permeability (WVP) and water contact angle (WCA) of the tested film (Table S2).</w:t>
      </w:r>
      <w:r>
        <w:rPr>
          <w:rFonts w:ascii="Arial" w:eastAsia="Arial" w:hAnsi="Arial" w:cs="Arial"/>
        </w:rPr>
        <w:t xml:space="preserve"> </w:t>
      </w:r>
      <w:r>
        <w:t>Casting method was used for the film fabrication (Fig .1B). The GE power (2.0% w/v) was dissolved in distilled water at 60 °C for 2 h to obtain GE solution. The different concentration of RRE</w:t>
      </w:r>
      <w:r>
        <w:rPr>
          <w:b/>
          <w:i/>
        </w:rPr>
        <w:t xml:space="preserve"> </w:t>
      </w:r>
      <w:r>
        <w:t>was incorporated</w:t>
      </w:r>
      <w:r>
        <w:rPr>
          <w:b/>
          <w:i/>
        </w:rPr>
        <w:t xml:space="preserve"> </w:t>
      </w:r>
      <w:r>
        <w:t>into the GE solution at 50 °C with magnetically</w:t>
      </w:r>
      <w:r>
        <w:t xml:space="preserve"> stirring to obtain GE/RRE solution. The GE/RRE/</w:t>
      </w:r>
      <w:proofErr w:type="spellStart"/>
      <w:r>
        <w:t>ZnO</w:t>
      </w:r>
      <w:proofErr w:type="spellEnd"/>
      <w:r>
        <w:t xml:space="preserve"> solution was prepared by adding different concentration of </w:t>
      </w:r>
      <w:proofErr w:type="spellStart"/>
      <w:r>
        <w:t>ZnO</w:t>
      </w:r>
      <w:proofErr w:type="spellEnd"/>
      <w:r>
        <w:t xml:space="preserve"> powder into GE/RRE solution under 50 °C.</w:t>
      </w:r>
      <w:r>
        <w:rPr>
          <w:rFonts w:ascii="Arial" w:eastAsia="Arial" w:hAnsi="Arial" w:cs="Arial"/>
        </w:rPr>
        <w:t xml:space="preserve"> </w:t>
      </w:r>
      <w:r>
        <w:t>Then, the mixture liquid was sonicated for 10 min at 50</w:t>
      </w:r>
      <w:r>
        <w:rPr>
          <w:rFonts w:ascii="Arial" w:eastAsia="Arial" w:hAnsi="Arial" w:cs="Arial"/>
        </w:rPr>
        <w:t>℃</w:t>
      </w:r>
      <w:r>
        <w:t>. The different concentration of LCON was ad</w:t>
      </w:r>
      <w:r>
        <w:t>ded to the GE/RRE/</w:t>
      </w:r>
      <w:proofErr w:type="spellStart"/>
      <w:r>
        <w:t>ZnO</w:t>
      </w:r>
      <w:proofErr w:type="spellEnd"/>
      <w:r>
        <w:t xml:space="preserve"> solution under 50 °C to prepare GE/RRE/</w:t>
      </w:r>
      <w:proofErr w:type="spellStart"/>
      <w:r>
        <w:t>ZnO</w:t>
      </w:r>
      <w:proofErr w:type="spellEnd"/>
      <w:r>
        <w:t xml:space="preserve">/LCON solution. All the film-forming solution (12 mL) was poured into polystyrene </w:t>
      </w:r>
      <w:proofErr w:type="spellStart"/>
      <w:r>
        <w:t>mold</w:t>
      </w:r>
      <w:proofErr w:type="spellEnd"/>
      <w:r>
        <w:t xml:space="preserve"> and dried at 35 °C for 12 h.  </w:t>
      </w:r>
    </w:p>
    <w:p w14:paraId="7441E4EC" w14:textId="77777777" w:rsidR="00367448" w:rsidRDefault="000B472C">
      <w:pPr>
        <w:pStyle w:val="Heading2"/>
        <w:ind w:left="-5"/>
      </w:pPr>
      <w:r>
        <w:t xml:space="preserve">2.5. Antimicrobial and antioxidant properties </w:t>
      </w:r>
    </w:p>
    <w:p w14:paraId="1EF82DD1" w14:textId="77777777" w:rsidR="00367448" w:rsidRDefault="000B472C">
      <w:pPr>
        <w:ind w:left="-5" w:right="60"/>
      </w:pPr>
      <w:r>
        <w:t>The antifungal (</w:t>
      </w:r>
      <w:r>
        <w:rPr>
          <w:i/>
        </w:rPr>
        <w:t xml:space="preserve">C. </w:t>
      </w:r>
      <w:proofErr w:type="spellStart"/>
      <w:r>
        <w:rPr>
          <w:i/>
        </w:rPr>
        <w:t>gloeospo</w:t>
      </w:r>
      <w:r>
        <w:rPr>
          <w:i/>
        </w:rPr>
        <w:t>rioides</w:t>
      </w:r>
      <w:proofErr w:type="spellEnd"/>
      <w:r>
        <w:t xml:space="preserve">) property of films was measured following previous method (Aloui, Licciardello, </w:t>
      </w:r>
      <w:proofErr w:type="spellStart"/>
      <w:r>
        <w:t>Khwaldia</w:t>
      </w:r>
      <w:proofErr w:type="spellEnd"/>
      <w:r>
        <w:t xml:space="preserve">, Hamdi, &amp; Restuccia, 2015). The </w:t>
      </w:r>
      <w:r>
        <w:rPr>
          <w:i/>
        </w:rPr>
        <w:t xml:space="preserve">C. </w:t>
      </w:r>
      <w:proofErr w:type="spellStart"/>
      <w:r>
        <w:rPr>
          <w:i/>
        </w:rPr>
        <w:t>gloeosporioides</w:t>
      </w:r>
      <w:proofErr w:type="spellEnd"/>
      <w:r>
        <w:t xml:space="preserve"> was cultured onto PDA plates. </w:t>
      </w:r>
      <w:proofErr w:type="gramStart"/>
      <w:r>
        <w:t>Spores</w:t>
      </w:r>
      <w:proofErr w:type="gramEnd"/>
      <w:r>
        <w:t xml:space="preserve"> suspensions of </w:t>
      </w:r>
      <w:r>
        <w:rPr>
          <w:i/>
        </w:rPr>
        <w:t xml:space="preserve">C. </w:t>
      </w:r>
      <w:proofErr w:type="spellStart"/>
      <w:r>
        <w:rPr>
          <w:i/>
        </w:rPr>
        <w:t>gloeosporioides</w:t>
      </w:r>
      <w:proofErr w:type="spellEnd"/>
      <w:r>
        <w:t xml:space="preserve"> were obtained by flooding the surface</w:t>
      </w:r>
      <w:r>
        <w:t xml:space="preserve">s of six-day-old culture on the PDA plates with sterile normal saline, and then distributed in nutrient agar medium plates. </w:t>
      </w:r>
    </w:p>
    <w:p w14:paraId="32027CF9" w14:textId="77777777" w:rsidR="00367448" w:rsidRDefault="000B472C">
      <w:pPr>
        <w:ind w:left="-5" w:right="60"/>
      </w:pPr>
      <w:r>
        <w:lastRenderedPageBreak/>
        <w:t>Thereafter, the different films were placed onto the inoculated surfaces. The inoculated surface without film served as the control</w:t>
      </w:r>
      <w:r>
        <w:t xml:space="preserve">. All inoculated medium plates were incubated at 25 °C and 75% relative humidity (RH). The inhibition percentage were presented based on the ratio of the decreased growth diameter over the growth diameter in the control plate.  </w:t>
      </w:r>
    </w:p>
    <w:p w14:paraId="24813254" w14:textId="77777777" w:rsidR="00367448" w:rsidRDefault="000B472C">
      <w:pPr>
        <w:ind w:left="-5" w:right="60"/>
      </w:pPr>
      <w:r>
        <w:t xml:space="preserve">The inhibition zone of the </w:t>
      </w:r>
      <w:r>
        <w:t>film against harmful microorganisms (</w:t>
      </w:r>
      <w:r>
        <w:rPr>
          <w:i/>
        </w:rPr>
        <w:t>L. monocytogenes</w:t>
      </w:r>
      <w:r>
        <w:t>) was measured in this work.</w:t>
      </w:r>
      <w:r>
        <w:rPr>
          <w:rFonts w:ascii="Arial" w:eastAsia="Arial" w:hAnsi="Arial" w:cs="Arial"/>
          <w:sz w:val="21"/>
        </w:rPr>
        <w:t xml:space="preserve"> </w:t>
      </w:r>
      <w:r>
        <w:t xml:space="preserve">The prepared </w:t>
      </w:r>
      <w:r>
        <w:rPr>
          <w:i/>
        </w:rPr>
        <w:t>L. monocytogenes</w:t>
      </w:r>
      <w:r>
        <w:t xml:space="preserve"> cultures were diluted to 10</w:t>
      </w:r>
      <w:r>
        <w:rPr>
          <w:vertAlign w:val="superscript"/>
        </w:rPr>
        <w:t>5</w:t>
      </w:r>
      <w:r>
        <w:t xml:space="preserve"> CFU/mL with sterile saline and cultured onto TSA plates at 37 °C. The cut films (diameter </w:t>
      </w:r>
      <w:r>
        <w:t xml:space="preserve">= 6 mm) were placed on the </w:t>
      </w:r>
      <w:proofErr w:type="spellStart"/>
      <w:r>
        <w:t>center</w:t>
      </w:r>
      <w:proofErr w:type="spellEnd"/>
      <w:r>
        <w:t xml:space="preserve"> of the plate. The inhibition diameter of microorganism growth was measured with a Vernier </w:t>
      </w:r>
      <w:proofErr w:type="spellStart"/>
      <w:r>
        <w:t>caliper</w:t>
      </w:r>
      <w:proofErr w:type="spellEnd"/>
      <w:r>
        <w:t xml:space="preserve">. </w:t>
      </w:r>
    </w:p>
    <w:p w14:paraId="0B747A24" w14:textId="77777777" w:rsidR="00367448" w:rsidRDefault="000B472C">
      <w:pPr>
        <w:ind w:left="-5" w:right="60"/>
      </w:pPr>
      <w:r>
        <w:t>The DPPH free scavenging ability was measured to evaluate the antioxidant property of the tested film. Firstly, the tested</w:t>
      </w:r>
      <w:r>
        <w:t xml:space="preserve"> film sample was placed in DPPH methanol solution (40 mg/L) and reacted in the dark for 45 minutes. The absorbance was noted at a wavenumber of 517 nm.</w:t>
      </w:r>
      <w:r>
        <w:rPr>
          <w:rFonts w:ascii="Arial" w:eastAsia="Arial" w:hAnsi="Arial" w:cs="Arial"/>
          <w:sz w:val="21"/>
        </w:rPr>
        <w:t xml:space="preserve"> </w:t>
      </w:r>
      <w:r>
        <w:t xml:space="preserve">The DPPH radical scavenging rate was calculated using Eq. (1) </w:t>
      </w:r>
    </w:p>
    <w:p w14:paraId="0E7E5E58" w14:textId="77777777" w:rsidR="00367448" w:rsidRDefault="000B472C">
      <w:pPr>
        <w:spacing w:after="222" w:line="259" w:lineRule="auto"/>
        <w:ind w:left="-5"/>
        <w:jc w:val="left"/>
      </w:pPr>
      <w:r>
        <w:rPr>
          <w:rFonts w:ascii="Cambria Math" w:eastAsia="Cambria Math" w:hAnsi="Cambria Math" w:cs="Cambria Math"/>
        </w:rPr>
        <w:t>𝐷𝑃𝑃𝐻</w:t>
      </w:r>
      <w:r>
        <w:rPr>
          <w:rFonts w:ascii="Cambria Math" w:eastAsia="Cambria Math" w:hAnsi="Cambria Math" w:cs="Cambria Math"/>
        </w:rPr>
        <w:t xml:space="preserve"> </w:t>
      </w:r>
      <w:r>
        <w:rPr>
          <w:rFonts w:ascii="Cambria Math" w:eastAsia="Cambria Math" w:hAnsi="Cambria Math" w:cs="Cambria Math"/>
        </w:rPr>
        <w:t>𝑠𝑐𝑎𝑣𝑒𝑛𝑔𝑖𝑛𝑔</w:t>
      </w:r>
      <w:r>
        <w:rPr>
          <w:rFonts w:ascii="Cambria Math" w:eastAsia="Cambria Math" w:hAnsi="Cambria Math" w:cs="Cambria Math"/>
        </w:rPr>
        <w:t xml:space="preserve"> </w:t>
      </w:r>
      <w:r>
        <w:rPr>
          <w:rFonts w:ascii="Cambria Math" w:eastAsia="Cambria Math" w:hAnsi="Cambria Math" w:cs="Cambria Math"/>
        </w:rPr>
        <w:t>𝑎𝑐𝑡𝑖𝑣</w:t>
      </w:r>
      <w:r>
        <w:rPr>
          <w:rFonts w:ascii="Cambria Math" w:eastAsia="Cambria Math" w:hAnsi="Cambria Math" w:cs="Cambria Math"/>
        </w:rPr>
        <w:t>𝑖</w:t>
      </w:r>
      <w:r>
        <w:rPr>
          <w:rFonts w:ascii="Cambria Math" w:eastAsia="Cambria Math" w:hAnsi="Cambria Math" w:cs="Cambria Math"/>
        </w:rPr>
        <w:t>𝑡𝑦</w:t>
      </w:r>
      <w:r>
        <w:rPr>
          <w:rFonts w:ascii="Cambria Math" w:eastAsia="Cambria Math" w:hAnsi="Cambria Math" w:cs="Cambria Math"/>
        </w:rPr>
        <w:t xml:space="preserve"> (%) = [(</w:t>
      </w:r>
      <w:r>
        <w:rPr>
          <w:rFonts w:ascii="Cambria Math" w:eastAsia="Cambria Math" w:hAnsi="Cambria Math" w:cs="Cambria Math"/>
        </w:rPr>
        <w:t>𝐴</w:t>
      </w:r>
      <w:r>
        <w:rPr>
          <w:rFonts w:ascii="Cambria Math" w:eastAsia="Cambria Math" w:hAnsi="Cambria Math" w:cs="Cambria Math"/>
          <w:vertAlign w:val="subscript"/>
        </w:rPr>
        <w:t xml:space="preserve">0 </w:t>
      </w:r>
      <w:r>
        <w:rPr>
          <w:rFonts w:ascii="Cambria Math" w:eastAsia="Cambria Math" w:hAnsi="Cambria Math" w:cs="Cambria Math"/>
        </w:rPr>
        <w:t>−</w:t>
      </w:r>
      <w:r>
        <w:rPr>
          <w:rFonts w:ascii="Cambria Math" w:eastAsia="Cambria Math" w:hAnsi="Cambria Math" w:cs="Cambria Math"/>
        </w:rPr>
        <w:t xml:space="preserve"> </w:t>
      </w:r>
      <w:r>
        <w:rPr>
          <w:rFonts w:ascii="Cambria Math" w:eastAsia="Cambria Math" w:hAnsi="Cambria Math" w:cs="Cambria Math"/>
        </w:rPr>
        <w:t>𝐴</w:t>
      </w:r>
      <w:r>
        <w:rPr>
          <w:rFonts w:ascii="Cambria Math" w:eastAsia="Cambria Math" w:hAnsi="Cambria Math" w:cs="Cambria Math"/>
          <w:vertAlign w:val="subscript"/>
        </w:rPr>
        <w:t>1</w:t>
      </w:r>
      <w:r>
        <w:rPr>
          <w:rFonts w:ascii="Cambria Math" w:eastAsia="Cambria Math" w:hAnsi="Cambria Math" w:cs="Cambria Math"/>
        </w:rPr>
        <w:t>)/</w:t>
      </w:r>
      <w:r>
        <w:rPr>
          <w:rFonts w:ascii="Cambria Math" w:eastAsia="Cambria Math" w:hAnsi="Cambria Math" w:cs="Cambria Math"/>
        </w:rPr>
        <w:t>𝐴</w:t>
      </w:r>
      <w:r>
        <w:rPr>
          <w:rFonts w:ascii="Cambria Math" w:eastAsia="Cambria Math" w:hAnsi="Cambria Math" w:cs="Cambria Math"/>
          <w:vertAlign w:val="subscript"/>
        </w:rPr>
        <w:t>0</w:t>
      </w:r>
      <w:r>
        <w:rPr>
          <w:rFonts w:ascii="Cambria Math" w:eastAsia="Cambria Math" w:hAnsi="Cambria Math" w:cs="Cambria Math"/>
        </w:rPr>
        <w:t>] × 100</w:t>
      </w:r>
      <w:r>
        <w:t xml:space="preserve">                           </w:t>
      </w:r>
      <w:proofErr w:type="gramStart"/>
      <w:r>
        <w:t xml:space="preserve">   (</w:t>
      </w:r>
      <w:proofErr w:type="gramEnd"/>
      <w:r>
        <w:t xml:space="preserve">1) </w:t>
      </w:r>
    </w:p>
    <w:p w14:paraId="20F61057" w14:textId="77777777" w:rsidR="00367448" w:rsidRDefault="000B472C">
      <w:pPr>
        <w:spacing w:after="226" w:line="259" w:lineRule="auto"/>
        <w:ind w:left="-5" w:right="60"/>
      </w:pPr>
      <w:r>
        <w:t xml:space="preserve">Where </w:t>
      </w:r>
      <w:r>
        <w:rPr>
          <w:i/>
        </w:rPr>
        <w:t>A</w:t>
      </w:r>
      <w:r>
        <w:rPr>
          <w:i/>
          <w:vertAlign w:val="subscript"/>
        </w:rPr>
        <w:t>1</w:t>
      </w:r>
      <w:r>
        <w:t xml:space="preserve"> is the absorbance of the film extract solution,</w:t>
      </w:r>
      <w:r>
        <w:rPr>
          <w:i/>
        </w:rPr>
        <w:t xml:space="preserve"> A</w:t>
      </w:r>
      <w:r>
        <w:rPr>
          <w:i/>
          <w:vertAlign w:val="subscript"/>
        </w:rPr>
        <w:t>0</w:t>
      </w:r>
      <w:r>
        <w:t xml:space="preserve"> is the absorbance of DPPH methanol solution. </w:t>
      </w:r>
    </w:p>
    <w:p w14:paraId="1ADDA031" w14:textId="77777777" w:rsidR="00367448" w:rsidRDefault="000B472C">
      <w:pPr>
        <w:pStyle w:val="Heading2"/>
        <w:ind w:left="-5"/>
      </w:pPr>
      <w:r>
        <w:t xml:space="preserve">2.6. Mechanical and water barrier properties </w:t>
      </w:r>
    </w:p>
    <w:p w14:paraId="43572F53" w14:textId="77777777" w:rsidR="00367448" w:rsidRDefault="000B472C">
      <w:pPr>
        <w:spacing w:after="219" w:line="259" w:lineRule="auto"/>
        <w:ind w:left="-5" w:right="60"/>
      </w:pPr>
      <w:r>
        <w:t xml:space="preserve">TS and EB of the cut film samples </w:t>
      </w:r>
      <w:r>
        <w:t>were conducted according to previous method (</w:t>
      </w:r>
      <w:proofErr w:type="spellStart"/>
      <w:r>
        <w:t>Gasti</w:t>
      </w:r>
      <w:proofErr w:type="spellEnd"/>
      <w:r>
        <w:t xml:space="preserve">, et al., 2022). </w:t>
      </w:r>
    </w:p>
    <w:p w14:paraId="02BF4D7C" w14:textId="77777777" w:rsidR="00367448" w:rsidRDefault="000B472C">
      <w:pPr>
        <w:spacing w:after="219" w:line="259" w:lineRule="auto"/>
        <w:ind w:left="-5" w:right="60"/>
      </w:pPr>
      <w:r>
        <w:t xml:space="preserve">Briefly, the film samples were stretched at a speed of 1 mm/s with an initial clamp length of 40 mm. The </w:t>
      </w:r>
    </w:p>
    <w:p w14:paraId="000C48B8" w14:textId="77777777" w:rsidR="00367448" w:rsidRDefault="000B472C">
      <w:pPr>
        <w:ind w:left="-5" w:right="60"/>
      </w:pPr>
      <w:r>
        <w:t>TS was calculated based on the ratio of the maximum load (</w:t>
      </w:r>
      <w:r>
        <w:rPr>
          <w:i/>
        </w:rPr>
        <w:t>F</w:t>
      </w:r>
      <w:r>
        <w:t>) over the initial cross-sectional area (</w:t>
      </w:r>
      <w:r>
        <w:rPr>
          <w:i/>
        </w:rPr>
        <w:t>S</w:t>
      </w:r>
      <w:r>
        <w:t>) in Eq. (2). The EB was obtained based on the ratio of the film extension (</w:t>
      </w:r>
      <w:r>
        <w:rPr>
          <w:rFonts w:ascii="Cambria Math" w:eastAsia="Cambria Math" w:hAnsi="Cambria Math" w:cs="Cambria Math"/>
        </w:rPr>
        <w:t>∆</w:t>
      </w:r>
      <w:r>
        <w:rPr>
          <w:rFonts w:ascii="Cambria Math" w:eastAsia="Cambria Math" w:hAnsi="Cambria Math" w:cs="Cambria Math"/>
        </w:rPr>
        <w:t>𝑙</w:t>
      </w:r>
      <w:r>
        <w:t>) over the initial length (</w:t>
      </w:r>
      <w:r>
        <w:rPr>
          <w:rFonts w:ascii="Cambria Math" w:eastAsia="Cambria Math" w:hAnsi="Cambria Math" w:cs="Cambria Math"/>
        </w:rPr>
        <w:t>𝑙</w:t>
      </w:r>
      <w:r>
        <w:rPr>
          <w:rFonts w:ascii="Cambria Math" w:eastAsia="Cambria Math" w:hAnsi="Cambria Math" w:cs="Cambria Math"/>
          <w:vertAlign w:val="subscript"/>
        </w:rPr>
        <w:t>0</w:t>
      </w:r>
      <w:r>
        <w:rPr>
          <w:rFonts w:ascii="Cambria Math" w:eastAsia="Cambria Math" w:hAnsi="Cambria Math" w:cs="Cambria Math"/>
        </w:rPr>
        <w:t xml:space="preserve">) </w:t>
      </w:r>
      <w:r>
        <w:t xml:space="preserve">in Eq. (3). </w:t>
      </w:r>
    </w:p>
    <w:p w14:paraId="724E76F0" w14:textId="77777777" w:rsidR="00367448" w:rsidRDefault="000B472C">
      <w:pPr>
        <w:spacing w:after="222" w:line="259" w:lineRule="auto"/>
        <w:ind w:left="-5"/>
        <w:jc w:val="left"/>
      </w:pPr>
      <w:r>
        <w:rPr>
          <w:rFonts w:ascii="Cambria Math" w:eastAsia="Cambria Math" w:hAnsi="Cambria Math" w:cs="Cambria Math"/>
        </w:rPr>
        <w:t>𝑇𝑆</w:t>
      </w:r>
      <w:r>
        <w:rPr>
          <w:rFonts w:ascii="Cambria Math" w:eastAsia="Cambria Math" w:hAnsi="Cambria Math" w:cs="Cambria Math"/>
        </w:rPr>
        <w:t xml:space="preserve"> = </w:t>
      </w:r>
      <w:r>
        <w:rPr>
          <w:rFonts w:ascii="Cambria Math" w:eastAsia="Cambria Math" w:hAnsi="Cambria Math" w:cs="Cambria Math"/>
        </w:rPr>
        <w:t>𝐹</w:t>
      </w:r>
      <w:r>
        <w:rPr>
          <w:rFonts w:ascii="Cambria Math" w:eastAsia="Cambria Math" w:hAnsi="Cambria Math" w:cs="Cambria Math"/>
        </w:rPr>
        <w:t>/</w:t>
      </w:r>
      <w:r>
        <w:rPr>
          <w:rFonts w:ascii="Cambria Math" w:eastAsia="Cambria Math" w:hAnsi="Cambria Math" w:cs="Cambria Math"/>
        </w:rPr>
        <w:t>𝑆</w:t>
      </w:r>
      <w:r>
        <w:t xml:space="preserve">                   </w:t>
      </w:r>
      <w:r>
        <w:t xml:space="preserve">                                                   </w:t>
      </w:r>
      <w:proofErr w:type="gramStart"/>
      <w:r>
        <w:t xml:space="preserve">   (</w:t>
      </w:r>
      <w:proofErr w:type="gramEnd"/>
      <w:r>
        <w:t xml:space="preserve">2) </w:t>
      </w:r>
    </w:p>
    <w:p w14:paraId="4735B996" w14:textId="77777777" w:rsidR="00367448" w:rsidRDefault="000B472C">
      <w:pPr>
        <w:ind w:left="-5"/>
      </w:pPr>
      <w:proofErr w:type="gramStart"/>
      <w:r>
        <w:rPr>
          <w:rFonts w:ascii="Cambria Math" w:eastAsia="Cambria Math" w:hAnsi="Cambria Math" w:cs="Cambria Math"/>
        </w:rPr>
        <w:t>𝐸𝐵</w:t>
      </w:r>
      <w:r>
        <w:rPr>
          <w:rFonts w:ascii="Cambria Math" w:eastAsia="Cambria Math" w:hAnsi="Cambria Math" w:cs="Cambria Math"/>
        </w:rPr>
        <w:t>(</w:t>
      </w:r>
      <w:proofErr w:type="gramEnd"/>
      <w:r>
        <w:rPr>
          <w:rFonts w:ascii="Cambria Math" w:eastAsia="Cambria Math" w:hAnsi="Cambria Math" w:cs="Cambria Math"/>
        </w:rPr>
        <w:t>%) = ∆</w:t>
      </w:r>
      <w:r>
        <w:rPr>
          <w:rFonts w:ascii="Cambria Math" w:eastAsia="Cambria Math" w:hAnsi="Cambria Math" w:cs="Cambria Math"/>
        </w:rPr>
        <w:t>𝑙</w:t>
      </w:r>
      <w:r>
        <w:rPr>
          <w:rFonts w:ascii="Cambria Math" w:eastAsia="Cambria Math" w:hAnsi="Cambria Math" w:cs="Cambria Math"/>
        </w:rPr>
        <w:t>/</w:t>
      </w:r>
      <w:r>
        <w:rPr>
          <w:rFonts w:ascii="Cambria Math" w:eastAsia="Cambria Math" w:hAnsi="Cambria Math" w:cs="Cambria Math"/>
        </w:rPr>
        <w:t>𝑙</w:t>
      </w:r>
      <w:r>
        <w:rPr>
          <w:rFonts w:ascii="Cambria Math" w:eastAsia="Cambria Math" w:hAnsi="Cambria Math" w:cs="Cambria Math"/>
          <w:vertAlign w:val="subscript"/>
        </w:rPr>
        <w:t>0</w:t>
      </w:r>
      <w:r>
        <w:t xml:space="preserve">                                                                    (3) A video-based contact angle meter was used to test the WCA of films. Firstly, a droplet of distilled water (</w:t>
      </w:r>
      <w:r>
        <w:t xml:space="preserve">4 </w:t>
      </w:r>
      <w:proofErr w:type="spellStart"/>
      <w:r>
        <w:t>μL</w:t>
      </w:r>
      <w:proofErr w:type="spellEnd"/>
      <w:r>
        <w:t xml:space="preserve">) was dispensed onto the surface of film sample. The contact angle was recorded and calculated based on digital images of the shape of the water drops on the film surfaces at 25 </w:t>
      </w:r>
      <w:r>
        <w:rPr>
          <w:rFonts w:ascii="Cambria Math" w:eastAsia="Cambria Math" w:hAnsi="Cambria Math" w:cs="Cambria Math"/>
        </w:rPr>
        <w:t>℃</w:t>
      </w:r>
      <w:r>
        <w:t xml:space="preserve">. </w:t>
      </w:r>
    </w:p>
    <w:p w14:paraId="731D87AE" w14:textId="77777777" w:rsidR="00367448" w:rsidRDefault="000B472C">
      <w:pPr>
        <w:ind w:left="-5" w:right="60"/>
      </w:pPr>
      <w:r>
        <w:t xml:space="preserve">The WVP was carried out referred to </w:t>
      </w:r>
      <w:proofErr w:type="gramStart"/>
      <w:r>
        <w:t>the our</w:t>
      </w:r>
      <w:proofErr w:type="gramEnd"/>
      <w:r>
        <w:t xml:space="preserve"> previous method (Yang, et </w:t>
      </w:r>
      <w:r>
        <w:t xml:space="preserve">al., 2023). The prepared film was sealed on vial with 100% RH and weighted. Then, the vial was conditioned in a controlled cabinet with 25 </w:t>
      </w:r>
      <w:r>
        <w:rPr>
          <w:rFonts w:ascii="Cambria Math" w:eastAsia="Cambria Math" w:hAnsi="Cambria Math" w:cs="Cambria Math"/>
        </w:rPr>
        <w:t>℃</w:t>
      </w:r>
      <w:r>
        <w:t xml:space="preserve">, 50% RH. The test tube was weighted periodically for 36 h. The calculation of WVP according to Eq. (4). </w:t>
      </w:r>
    </w:p>
    <w:p w14:paraId="4EEB1665" w14:textId="77777777" w:rsidR="00367448" w:rsidRDefault="000B472C">
      <w:pPr>
        <w:spacing w:after="222" w:line="259" w:lineRule="auto"/>
        <w:ind w:left="-5"/>
        <w:jc w:val="left"/>
      </w:pPr>
      <w:r>
        <w:rPr>
          <w:rFonts w:ascii="Cambria Math" w:eastAsia="Cambria Math" w:hAnsi="Cambria Math" w:cs="Cambria Math"/>
        </w:rPr>
        <w:t>𝑊𝑉𝑃</w:t>
      </w:r>
      <w:r>
        <w:rPr>
          <w:rFonts w:ascii="Cambria Math" w:eastAsia="Cambria Math" w:hAnsi="Cambria Math" w:cs="Cambria Math"/>
        </w:rPr>
        <w:t xml:space="preserve"> = (</w:t>
      </w:r>
      <w:r>
        <w:rPr>
          <w:rFonts w:ascii="Cambria Math" w:eastAsia="Cambria Math" w:hAnsi="Cambria Math" w:cs="Cambria Math"/>
        </w:rPr>
        <w:t>∆</w:t>
      </w:r>
      <w:r>
        <w:rPr>
          <w:rFonts w:ascii="Cambria Math" w:eastAsia="Cambria Math" w:hAnsi="Cambria Math" w:cs="Cambria Math"/>
        </w:rPr>
        <w:t>𝑚</w:t>
      </w:r>
      <w:r>
        <w:rPr>
          <w:rFonts w:ascii="Cambria Math" w:eastAsia="Cambria Math" w:hAnsi="Cambria Math" w:cs="Cambria Math"/>
        </w:rPr>
        <w:t xml:space="preserve"> × ∆</w:t>
      </w:r>
      <w:r>
        <w:rPr>
          <w:rFonts w:ascii="Cambria Math" w:eastAsia="Cambria Math" w:hAnsi="Cambria Math" w:cs="Cambria Math"/>
        </w:rPr>
        <w:t>𝑃</w:t>
      </w:r>
      <w:r>
        <w:rPr>
          <w:rFonts w:ascii="Cambria Math" w:eastAsia="Cambria Math" w:hAnsi="Cambria Math" w:cs="Cambria Math"/>
        </w:rPr>
        <w:t>)</w:t>
      </w:r>
      <w:proofErr w:type="gramStart"/>
      <w:r>
        <w:rPr>
          <w:rFonts w:ascii="Cambria Math" w:eastAsia="Cambria Math" w:hAnsi="Cambria Math" w:cs="Cambria Math"/>
        </w:rPr>
        <w:t>/(</w:t>
      </w:r>
      <w:proofErr w:type="gramEnd"/>
      <w:r>
        <w:rPr>
          <w:rFonts w:ascii="Cambria Math" w:eastAsia="Cambria Math" w:hAnsi="Cambria Math" w:cs="Cambria Math"/>
        </w:rPr>
        <w:t>𝐴</w:t>
      </w:r>
      <w:r>
        <w:rPr>
          <w:rFonts w:ascii="Cambria Math" w:eastAsia="Cambria Math" w:hAnsi="Cambria Math" w:cs="Cambria Math"/>
        </w:rPr>
        <w:t xml:space="preserve"> × ∆</w:t>
      </w:r>
      <w:r>
        <w:rPr>
          <w:rFonts w:ascii="Cambria Math" w:eastAsia="Cambria Math" w:hAnsi="Cambria Math" w:cs="Cambria Math"/>
        </w:rPr>
        <w:t>𝑡</w:t>
      </w:r>
      <w:r>
        <w:rPr>
          <w:rFonts w:ascii="Cambria Math" w:eastAsia="Cambria Math" w:hAnsi="Cambria Math" w:cs="Cambria Math"/>
        </w:rPr>
        <w:t xml:space="preserve"> × </w:t>
      </w:r>
      <w:r>
        <w:rPr>
          <w:rFonts w:ascii="Cambria Math" w:eastAsia="Cambria Math" w:hAnsi="Cambria Math" w:cs="Cambria Math"/>
        </w:rPr>
        <w:t>𝑥</w:t>
      </w:r>
      <w:r>
        <w:rPr>
          <w:rFonts w:ascii="Cambria Math" w:eastAsia="Cambria Math" w:hAnsi="Cambria Math" w:cs="Cambria Math"/>
        </w:rPr>
        <w:t>)</w:t>
      </w:r>
      <w:r>
        <w:t xml:space="preserve">                                                    (4) </w:t>
      </w:r>
    </w:p>
    <w:p w14:paraId="2BC70805" w14:textId="77777777" w:rsidR="00367448" w:rsidRDefault="000B472C">
      <w:pPr>
        <w:ind w:left="-5" w:right="60"/>
      </w:pPr>
      <w:r>
        <w:lastRenderedPageBreak/>
        <w:t>Where, ∆</w:t>
      </w:r>
      <w:r>
        <w:rPr>
          <w:i/>
        </w:rPr>
        <w:t>m</w:t>
      </w:r>
      <w:r>
        <w:t xml:space="preserve"> is the mass change of the sample during the time interval; ΔP is the difference air pressure inside and outside of the film (ΔP = 3.282 kPa at 25 </w:t>
      </w:r>
      <w:r>
        <w:rPr>
          <w:rFonts w:ascii="Cambria Math" w:eastAsia="Cambria Math" w:hAnsi="Cambria Math" w:cs="Cambria Math"/>
        </w:rPr>
        <w:t>℃</w:t>
      </w:r>
      <w:r>
        <w:t>);</w:t>
      </w:r>
      <w:r>
        <w:rPr>
          <w:i/>
        </w:rPr>
        <w:t xml:space="preserve"> A</w:t>
      </w:r>
      <w:r>
        <w:t xml:space="preserve"> is the tran</w:t>
      </w:r>
      <w:r>
        <w:t xml:space="preserve">sfer area; </w:t>
      </w:r>
      <w:r>
        <w:rPr>
          <w:rFonts w:ascii="Cambria Math" w:eastAsia="Cambria Math" w:hAnsi="Cambria Math" w:cs="Cambria Math"/>
        </w:rPr>
        <w:t>∆</w:t>
      </w:r>
      <w:r>
        <w:rPr>
          <w:rFonts w:ascii="Cambria Math" w:eastAsia="Cambria Math" w:hAnsi="Cambria Math" w:cs="Cambria Math"/>
        </w:rPr>
        <w:t>𝑡</w:t>
      </w:r>
      <w:r>
        <w:t xml:space="preserve"> is time interval; </w:t>
      </w:r>
      <w:r>
        <w:rPr>
          <w:i/>
        </w:rPr>
        <w:t>x</w:t>
      </w:r>
      <w:r>
        <w:t xml:space="preserve"> is the film thickness. </w:t>
      </w:r>
    </w:p>
    <w:p w14:paraId="0D8B6DCE" w14:textId="77777777" w:rsidR="00367448" w:rsidRDefault="000B472C">
      <w:pPr>
        <w:pStyle w:val="Heading2"/>
        <w:spacing w:after="0" w:line="501" w:lineRule="auto"/>
        <w:ind w:left="-5"/>
      </w:pPr>
      <w:r>
        <w:t>2.7. Microstructure observation, FTIR spectrum,</w:t>
      </w:r>
      <w:r>
        <w:rPr>
          <w:rFonts w:ascii="Arial" w:eastAsia="Arial" w:hAnsi="Arial" w:cs="Arial"/>
          <w:b w:val="0"/>
          <w:sz w:val="21"/>
        </w:rPr>
        <w:t xml:space="preserve"> </w:t>
      </w:r>
      <w:r>
        <w:t xml:space="preserve">X-ray diffraction (XRD) and electrochemical writing property of the films </w:t>
      </w:r>
    </w:p>
    <w:p w14:paraId="39001DFA" w14:textId="77777777" w:rsidR="00367448" w:rsidRDefault="000B472C">
      <w:pPr>
        <w:spacing w:after="219" w:line="259" w:lineRule="auto"/>
        <w:ind w:left="-5" w:right="60"/>
      </w:pPr>
      <w:r>
        <w:t xml:space="preserve">The cross-section and surface of the </w:t>
      </w:r>
      <w:r>
        <w:t xml:space="preserve">film morphology were obtained using scanning electron </w:t>
      </w:r>
      <w:proofErr w:type="gramStart"/>
      <w:r>
        <w:t>microscope</w:t>
      </w:r>
      <w:proofErr w:type="gramEnd"/>
      <w:r>
        <w:t xml:space="preserve"> </w:t>
      </w:r>
    </w:p>
    <w:p w14:paraId="548AC4C1" w14:textId="77777777" w:rsidR="00367448" w:rsidRDefault="000B472C">
      <w:pPr>
        <w:spacing w:after="220" w:line="259" w:lineRule="auto"/>
        <w:ind w:left="-5" w:right="60"/>
      </w:pPr>
      <w:r>
        <w:t>(JEOL, JSM-6360)</w:t>
      </w:r>
      <w:r>
        <w:rPr>
          <w:rFonts w:ascii="Arial" w:eastAsia="Arial" w:hAnsi="Arial" w:cs="Arial"/>
          <w:sz w:val="21"/>
        </w:rPr>
        <w:t xml:space="preserve"> </w:t>
      </w:r>
      <w:r>
        <w:t>with energy dispersive X-ray (EDX).</w:t>
      </w:r>
      <w:r>
        <w:rPr>
          <w:rFonts w:ascii="Arial" w:eastAsia="Arial" w:hAnsi="Arial" w:cs="Arial"/>
          <w:sz w:val="21"/>
        </w:rPr>
        <w:t xml:space="preserve"> </w:t>
      </w:r>
      <w:r>
        <w:t xml:space="preserve">The fluorescence microscopy of the </w:t>
      </w:r>
    </w:p>
    <w:p w14:paraId="6AAAFE25" w14:textId="77777777" w:rsidR="00367448" w:rsidRDefault="000B472C">
      <w:pPr>
        <w:ind w:left="-5" w:right="60"/>
      </w:pPr>
      <w:r>
        <w:t>GE/RRE/</w:t>
      </w:r>
      <w:proofErr w:type="spellStart"/>
      <w:r>
        <w:t>ZnO</w:t>
      </w:r>
      <w:proofErr w:type="spellEnd"/>
      <w:r>
        <w:t>/LCON solution was measured with a laser confocal microscope. LCON were stained with Nile r</w:t>
      </w:r>
      <w:r>
        <w:t xml:space="preserve">ed (10 </w:t>
      </w:r>
      <w:proofErr w:type="spellStart"/>
      <w:r>
        <w:t>μg</w:t>
      </w:r>
      <w:proofErr w:type="spellEnd"/>
      <w:r>
        <w:t xml:space="preserve">/mL) for 6 h, the GE solution containing RRE and </w:t>
      </w:r>
      <w:proofErr w:type="spellStart"/>
      <w:r>
        <w:t>ZnO</w:t>
      </w:r>
      <w:proofErr w:type="spellEnd"/>
      <w:r>
        <w:t xml:space="preserve"> were stained with Nile blue (100 </w:t>
      </w:r>
      <w:proofErr w:type="spellStart"/>
      <w:r>
        <w:t>μg</w:t>
      </w:r>
      <w:proofErr w:type="spellEnd"/>
      <w:r>
        <w:t>/mL) for 1 h in the dark. The FTIR spectra were collected as an average of 32 scans in the range 5254000 cm</w:t>
      </w:r>
      <w:r>
        <w:rPr>
          <w:vertAlign w:val="superscript"/>
        </w:rPr>
        <w:t>−1</w:t>
      </w:r>
      <w:r>
        <w:t xml:space="preserve"> by an FTIR spectrometer (Boston, USA). Crystallin</w:t>
      </w:r>
      <w:r>
        <w:t xml:space="preserve">ity of </w:t>
      </w:r>
      <w:proofErr w:type="spellStart"/>
      <w:r>
        <w:t>ZnO</w:t>
      </w:r>
      <w:proofErr w:type="spellEnd"/>
      <w:r>
        <w:t xml:space="preserve"> and the films was characterized with X-ray Powder diffractometer at a scan rate of 5°/min over the range of 10–80° (2 theta</w:t>
      </w:r>
      <w:proofErr w:type="gramStart"/>
      <w:r>
        <w:t>).The</w:t>
      </w:r>
      <w:proofErr w:type="gramEnd"/>
      <w:r>
        <w:t xml:space="preserve"> written patterns on the film was conducted by electrochemical writing. The electrochemical writing system consists o</w:t>
      </w:r>
      <w:r>
        <w:t>f a computer, a robotic arm (DOBOT M1), an electrochemical workstation, a platinum (Pt) needle (0.2 mm) and a Pt plate. The Pt needle connected to the electrochemical workstation is controlled by the robotic arm to print different patterns according to the</w:t>
      </w:r>
      <w:r>
        <w:t xml:space="preserve"> setting program (Yang, Zhai, et al., 2022). </w:t>
      </w:r>
    </w:p>
    <w:p w14:paraId="3CE4D012" w14:textId="77777777" w:rsidR="00367448" w:rsidRDefault="000B472C">
      <w:pPr>
        <w:pStyle w:val="Heading2"/>
        <w:ind w:left="-5"/>
      </w:pPr>
      <w:r>
        <w:t xml:space="preserve">2.8. Application for mango  </w:t>
      </w:r>
    </w:p>
    <w:p w14:paraId="310F1B55" w14:textId="77777777" w:rsidR="00367448" w:rsidRDefault="000B472C">
      <w:pPr>
        <w:ind w:left="-5" w:right="60"/>
      </w:pPr>
      <w:r>
        <w:t xml:space="preserve">Fresh mango (cultivar “Xiao Tai Mang”) fruits with the healthy peel and uniform size were selected for application experiment. All tested mangoes were soaked in distilled water for </w:t>
      </w:r>
      <w:r>
        <w:t xml:space="preserve">2 min and then air-dried. Afterwards, the mangoes packaged with optimized films served as treatment group (T). Distilled water treated mango served as the control group (C). All mangoes were stored in a constant temperature and humidity tank with 25 </w:t>
      </w:r>
      <w:r>
        <w:rPr>
          <w:rFonts w:ascii="Cambria Math" w:eastAsia="Cambria Math" w:hAnsi="Cambria Math" w:cs="Cambria Math"/>
        </w:rPr>
        <w:t>℃</w:t>
      </w:r>
      <w:r>
        <w:t xml:space="preserve"> and </w:t>
      </w:r>
      <w:r>
        <w:t xml:space="preserve">75% RH for 15 d.  </w:t>
      </w:r>
    </w:p>
    <w:p w14:paraId="2B9848B9" w14:textId="77777777" w:rsidR="00367448" w:rsidRDefault="000B472C">
      <w:pPr>
        <w:pStyle w:val="Heading3"/>
        <w:ind w:left="-5"/>
      </w:pPr>
      <w:r>
        <w:t xml:space="preserve">2.8.1. Determination of weight loss and firmness </w:t>
      </w:r>
    </w:p>
    <w:p w14:paraId="0C2AA791" w14:textId="77777777" w:rsidR="00367448" w:rsidRDefault="000B472C">
      <w:pPr>
        <w:ind w:left="-5" w:right="60"/>
      </w:pPr>
      <w:r>
        <w:t xml:space="preserve">The mango was weighed each 4 d and calculated by mass differences of mango weighted on the basic of 0 d. The firmness (N) of mango was measured using a texture </w:t>
      </w:r>
      <w:proofErr w:type="spellStart"/>
      <w:r>
        <w:t>analyzer</w:t>
      </w:r>
      <w:proofErr w:type="spellEnd"/>
      <w:r>
        <w:t xml:space="preserve"> (Shimazu, EZ Test,</w:t>
      </w:r>
      <w:r>
        <w:t xml:space="preserve"> Japan). The compression speed was 0. 1 mm/s, and the compression depth was 10 mm. </w:t>
      </w:r>
    </w:p>
    <w:p w14:paraId="5B6B2EA8" w14:textId="77777777" w:rsidR="00367448" w:rsidRDefault="000B472C">
      <w:pPr>
        <w:pStyle w:val="Heading2"/>
        <w:spacing w:after="194"/>
        <w:ind w:left="0" w:firstLine="0"/>
      </w:pPr>
      <w:r>
        <w:t>2.8.2.</w:t>
      </w:r>
      <w:r>
        <w:rPr>
          <w:sz w:val="21"/>
        </w:rPr>
        <w:t xml:space="preserve"> The reduction of anthracnose  </w:t>
      </w:r>
    </w:p>
    <w:p w14:paraId="39E9B9B9" w14:textId="77777777" w:rsidR="00367448" w:rsidRDefault="000B472C">
      <w:pPr>
        <w:ind w:left="-5" w:right="60"/>
      </w:pPr>
      <w:r>
        <w:t>The</w:t>
      </w:r>
      <w:r>
        <w:rPr>
          <w:b/>
        </w:rPr>
        <w:t xml:space="preserve"> </w:t>
      </w:r>
      <w:r>
        <w:t>reduction of anthracnose in mango was assessed based on the determination of anthracnose incidence and severity.</w:t>
      </w:r>
      <w:r>
        <w:rPr>
          <w:rFonts w:ascii="Arial" w:eastAsia="Arial" w:hAnsi="Arial" w:cs="Arial"/>
        </w:rPr>
        <w:t xml:space="preserve"> </w:t>
      </w:r>
      <w:r>
        <w:t>The sodium hypoch</w:t>
      </w:r>
      <w:r>
        <w:t xml:space="preserve">lorite (200 ppm) was used to remove the microbial on the fruit’s surface. </w:t>
      </w:r>
      <w:r>
        <w:lastRenderedPageBreak/>
        <w:t xml:space="preserve">All mangoes were immersed with </w:t>
      </w:r>
      <w:r>
        <w:rPr>
          <w:i/>
        </w:rPr>
        <w:t xml:space="preserve">C. </w:t>
      </w:r>
      <w:proofErr w:type="spellStart"/>
      <w:r>
        <w:rPr>
          <w:i/>
        </w:rPr>
        <w:t>gloeosporioides</w:t>
      </w:r>
      <w:proofErr w:type="spellEnd"/>
      <w:r>
        <w:t xml:space="preserve"> spores (1.0 x 10</w:t>
      </w:r>
      <w:r>
        <w:rPr>
          <w:vertAlign w:val="superscript"/>
        </w:rPr>
        <w:t>5</w:t>
      </w:r>
      <w:r>
        <w:t xml:space="preserve"> spore/mL) and air-dried. The infected mango packaged with the optimized films served as treatment group. No packag</w:t>
      </w:r>
      <w:r>
        <w:t xml:space="preserve">ed mango served as the control group. All fruits were stored at 25 ± 1 °C, 75% RH for 12 days. The disease incidence percent and severity </w:t>
      </w:r>
      <w:proofErr w:type="gramStart"/>
      <w:r>
        <w:t>was</w:t>
      </w:r>
      <w:proofErr w:type="gramEnd"/>
      <w:r>
        <w:t xml:space="preserve"> evaluated based on previous method (Yang, Li, et al., 2022).  </w:t>
      </w:r>
    </w:p>
    <w:p w14:paraId="5686CE1D" w14:textId="77777777" w:rsidR="00367448" w:rsidRDefault="000B472C">
      <w:pPr>
        <w:pStyle w:val="Heading3"/>
        <w:ind w:left="-5"/>
      </w:pPr>
      <w:r>
        <w:t xml:space="preserve">2.9. Statistical analysis </w:t>
      </w:r>
    </w:p>
    <w:p w14:paraId="0C9E1B8F" w14:textId="77777777" w:rsidR="00367448" w:rsidRDefault="000B472C">
      <w:pPr>
        <w:ind w:left="-5" w:right="60"/>
      </w:pPr>
      <w:r>
        <w:t>Design expert 8 software</w:t>
      </w:r>
      <w:r>
        <w:t xml:space="preserve"> was used for the</w:t>
      </w:r>
      <w:r>
        <w:rPr>
          <w:rFonts w:ascii="Arial" w:eastAsia="Arial" w:hAnsi="Arial" w:cs="Arial"/>
          <w:sz w:val="21"/>
        </w:rPr>
        <w:t xml:space="preserve"> </w:t>
      </w:r>
      <w:r>
        <w:t xml:space="preserve">experimental design and data analysis. All the presented results were the average of three measurement.  </w:t>
      </w:r>
    </w:p>
    <w:p w14:paraId="2893FB71" w14:textId="77777777" w:rsidR="00367448" w:rsidRDefault="000B472C">
      <w:pPr>
        <w:pStyle w:val="Heading1"/>
        <w:ind w:left="-5" w:right="1545"/>
      </w:pPr>
      <w:r>
        <w:t xml:space="preserve">3. Results and discussion </w:t>
      </w:r>
    </w:p>
    <w:p w14:paraId="5021E442" w14:textId="77777777" w:rsidR="00367448" w:rsidRDefault="000B472C">
      <w:pPr>
        <w:pStyle w:val="Heading2"/>
        <w:ind w:left="-5"/>
      </w:pPr>
      <w:r>
        <w:t xml:space="preserve">3.1. Characterization of RRE and LCON </w:t>
      </w:r>
    </w:p>
    <w:p w14:paraId="3F3E9962" w14:textId="77777777" w:rsidR="00367448" w:rsidRDefault="000B472C">
      <w:pPr>
        <w:ind w:left="-5" w:right="60"/>
      </w:pPr>
      <w:r>
        <w:t>The visual appearance and microstructure of LCON on day 0 were depicted in Fig. 2A. Fresh LCON presents an opalescent visual appearance, and most of LCO droplets were spherical and well distributed. As can be seen from the fluorescence images (Fig. 2B), th</w:t>
      </w:r>
      <w:r>
        <w:t xml:space="preserve">e green droplets were surrounded by red regions, confirming the oil-in-water (O/W) nature of the LCON. The particle size, PDI and zeta-potential of the LCON were ~2.49 μm, 0.196, and −36.54 mV, respectively (Fig. 2C). After storage at 25 °C for 15 d, most </w:t>
      </w:r>
      <w:r>
        <w:t xml:space="preserve">oil droplets still have uniform size and good dispersion stability (Fig. 2D). The 15-d LCON still exhibited a stable O/W nature (Fig. 2E). The particle size of LCON changed from ~2.49 to ~2.61 </w:t>
      </w:r>
      <w:proofErr w:type="gramStart"/>
      <w:r>
        <w:t>μm</w:t>
      </w:r>
      <w:proofErr w:type="gramEnd"/>
      <w:r>
        <w:t xml:space="preserve"> </w:t>
      </w:r>
    </w:p>
    <w:p w14:paraId="5F8F2389" w14:textId="77777777" w:rsidR="00367448" w:rsidRDefault="000B472C">
      <w:pPr>
        <w:ind w:left="-5" w:right="60"/>
      </w:pPr>
      <w:r>
        <w:t>(</w:t>
      </w:r>
      <w:proofErr w:type="gramStart"/>
      <w:r>
        <w:t>less</w:t>
      </w:r>
      <w:proofErr w:type="gramEnd"/>
      <w:r>
        <w:t xml:space="preserve"> than 5%), the PDI changed to 0.215, indicating a good</w:t>
      </w:r>
      <w:r>
        <w:t xml:space="preserve"> dispersion stability. The zeta-potential of the 15-d LCON was −31.10 mV (Fig. 2F), which was above 30 mV. This revealed that LCON could be considered as a stability system. This satisfactory storage stability of LCON could be due to the improved double we</w:t>
      </w:r>
      <w:r>
        <w:t xml:space="preserve">ttability (WCA= 92.36 </w:t>
      </w:r>
      <w:r>
        <w:rPr>
          <w:rFonts w:ascii="Arial" w:eastAsia="Arial" w:hAnsi="Arial" w:cs="Arial"/>
        </w:rPr>
        <w:t>±</w:t>
      </w:r>
      <w:r>
        <w:t xml:space="preserve"> 0.13°) of PP thorough the crosslink of β-CN (Fig. S1). This result indicated the LCO Pickering emulsion with good storage stability was successfully developed in present work. The phytochemical compounds and biological capability of</w:t>
      </w:r>
      <w:r>
        <w:t xml:space="preserve"> RRE reported in our previous study was depicted in Table 1.</w:t>
      </w:r>
      <w:r>
        <w:rPr>
          <w:rFonts w:ascii="Arial" w:eastAsia="Arial" w:hAnsi="Arial" w:cs="Arial"/>
          <w:sz w:val="21"/>
        </w:rPr>
        <w:t xml:space="preserve"> </w:t>
      </w:r>
      <w:r>
        <w:t>The RRE contains rich bioactive compounds, including Vitamin C (~11.0 mg/100g), flavonoid (~26.5 mg/100g), anthocyanin (~33.0 mg/100g), and polyphenol (~148.2 mg/100g). These rich bioactive subst</w:t>
      </w:r>
      <w:r>
        <w:t xml:space="preserve">ances contribute to the satisfactory antioxidant and antibacterial activities of </w:t>
      </w:r>
    </w:p>
    <w:p w14:paraId="11531DEE" w14:textId="77777777" w:rsidR="00367448" w:rsidRDefault="000B472C">
      <w:pPr>
        <w:spacing w:after="224" w:line="259" w:lineRule="auto"/>
        <w:ind w:left="-5" w:right="60"/>
      </w:pPr>
      <w:r>
        <w:t xml:space="preserve">RRE (Table 1). </w:t>
      </w:r>
    </w:p>
    <w:p w14:paraId="3CB00129" w14:textId="77777777" w:rsidR="00367448" w:rsidRDefault="000B472C">
      <w:pPr>
        <w:pStyle w:val="Heading2"/>
        <w:ind w:left="-5"/>
      </w:pPr>
      <w:r>
        <w:t xml:space="preserve">3.2. Statistical analysis and model fitting of RSM </w:t>
      </w:r>
    </w:p>
    <w:p w14:paraId="47296998" w14:textId="77777777" w:rsidR="00367448" w:rsidRDefault="000B472C">
      <w:pPr>
        <w:ind w:left="-5" w:right="60"/>
      </w:pPr>
      <w:r>
        <w:t>RSM was used to optimize the three independent variables to obtain the best antifungal, antibacterial, ant</w:t>
      </w:r>
      <w:r>
        <w:t xml:space="preserve">ioxidant, mechanical (TS and EB), and water barrier (WVP and WCA) properties of the films. The regression equations for three independent variables were given below: </w:t>
      </w:r>
    </w:p>
    <w:p w14:paraId="1AC4D50C" w14:textId="77777777" w:rsidR="00367448" w:rsidRDefault="000B472C">
      <w:pPr>
        <w:spacing w:line="259" w:lineRule="auto"/>
        <w:ind w:left="-5" w:right="60"/>
      </w:pPr>
      <w:r>
        <w:rPr>
          <w:i/>
        </w:rPr>
        <w:lastRenderedPageBreak/>
        <w:t>y</w:t>
      </w:r>
      <w:r>
        <w:rPr>
          <w:vertAlign w:val="subscript"/>
        </w:rPr>
        <w:t xml:space="preserve">1 </w:t>
      </w:r>
      <w:r>
        <w:t>= 9.88</w:t>
      </w:r>
      <w:r>
        <w:rPr>
          <w:vertAlign w:val="subscript"/>
        </w:rPr>
        <w:t xml:space="preserve"> </w:t>
      </w:r>
      <w:r>
        <w:t>– 15.96</w:t>
      </w:r>
      <w:r>
        <w:rPr>
          <w:i/>
        </w:rPr>
        <w:t>x</w:t>
      </w:r>
      <w:r>
        <w:rPr>
          <w:vertAlign w:val="subscript"/>
        </w:rPr>
        <w:t xml:space="preserve">1 </w:t>
      </w:r>
      <w:r>
        <w:t>+ 26.00</w:t>
      </w:r>
      <w:r>
        <w:rPr>
          <w:i/>
        </w:rPr>
        <w:t>x</w:t>
      </w:r>
      <w:r>
        <w:rPr>
          <w:vertAlign w:val="subscript"/>
        </w:rPr>
        <w:t>2</w:t>
      </w:r>
      <w:r>
        <w:t xml:space="preserve"> + 32.33</w:t>
      </w:r>
      <w:r>
        <w:rPr>
          <w:i/>
        </w:rPr>
        <w:t>x</w:t>
      </w:r>
      <w:r>
        <w:rPr>
          <w:vertAlign w:val="subscript"/>
        </w:rPr>
        <w:t>3</w:t>
      </w:r>
      <w:r>
        <w:t xml:space="preserve"> + 10.72</w:t>
      </w:r>
      <w:r>
        <w:rPr>
          <w:i/>
        </w:rPr>
        <w:t>x</w:t>
      </w:r>
      <w:r>
        <w:rPr>
          <w:vertAlign w:val="subscript"/>
        </w:rPr>
        <w:t>1</w:t>
      </w:r>
      <w:r>
        <w:rPr>
          <w:i/>
        </w:rPr>
        <w:t>x</w:t>
      </w:r>
      <w:r>
        <w:rPr>
          <w:vertAlign w:val="subscript"/>
        </w:rPr>
        <w:t xml:space="preserve">2 </w:t>
      </w:r>
      <w:r>
        <w:t>– 0.30</w:t>
      </w:r>
      <w:r>
        <w:rPr>
          <w:i/>
        </w:rPr>
        <w:t>x</w:t>
      </w:r>
      <w:r>
        <w:rPr>
          <w:vertAlign w:val="subscript"/>
        </w:rPr>
        <w:t>1</w:t>
      </w:r>
      <w:r>
        <w:rPr>
          <w:i/>
        </w:rPr>
        <w:t>x</w:t>
      </w:r>
      <w:r>
        <w:rPr>
          <w:vertAlign w:val="subscript"/>
        </w:rPr>
        <w:t xml:space="preserve">3 </w:t>
      </w:r>
      <w:r>
        <w:t>– 3.70</w:t>
      </w:r>
      <w:r>
        <w:rPr>
          <w:i/>
        </w:rPr>
        <w:t>x</w:t>
      </w:r>
      <w:r>
        <w:rPr>
          <w:vertAlign w:val="subscript"/>
        </w:rPr>
        <w:t>2</w:t>
      </w:r>
      <w:r>
        <w:rPr>
          <w:i/>
        </w:rPr>
        <w:t>x</w:t>
      </w:r>
      <w:r>
        <w:rPr>
          <w:vertAlign w:val="subscript"/>
        </w:rPr>
        <w:t>3</w:t>
      </w:r>
      <w:r>
        <w:t xml:space="preserve"> + 10.07</w:t>
      </w:r>
      <w:r>
        <w:rPr>
          <w:i/>
        </w:rPr>
        <w:t>x</w:t>
      </w:r>
      <w:r>
        <w:rPr>
          <w:vertAlign w:val="subscript"/>
        </w:rPr>
        <w:t>1</w:t>
      </w:r>
      <w:r>
        <w:rPr>
          <w:vertAlign w:val="superscript"/>
        </w:rPr>
        <w:t>2</w:t>
      </w:r>
      <w:r>
        <w:t xml:space="preserve"> – 4.02</w:t>
      </w:r>
      <w:r>
        <w:rPr>
          <w:i/>
        </w:rPr>
        <w:t>x</w:t>
      </w:r>
      <w:r>
        <w:rPr>
          <w:vertAlign w:val="subscript"/>
        </w:rPr>
        <w:t>2</w:t>
      </w:r>
      <w:r>
        <w:rPr>
          <w:vertAlign w:val="superscript"/>
        </w:rPr>
        <w:t>2</w:t>
      </w:r>
      <w:r>
        <w:t xml:space="preserve"> – 4.19</w:t>
      </w:r>
      <w:r>
        <w:rPr>
          <w:i/>
        </w:rPr>
        <w:t>x</w:t>
      </w:r>
      <w:r>
        <w:rPr>
          <w:vertAlign w:val="subscript"/>
        </w:rPr>
        <w:t>3</w:t>
      </w:r>
      <w:r>
        <w:rPr>
          <w:vertAlign w:val="superscript"/>
        </w:rPr>
        <w:t>2</w:t>
      </w:r>
      <w:r>
        <w:t xml:space="preserve"> </w:t>
      </w:r>
    </w:p>
    <w:p w14:paraId="0C2DE542" w14:textId="77777777" w:rsidR="00367448" w:rsidRDefault="000B472C">
      <w:pPr>
        <w:spacing w:after="0" w:line="513" w:lineRule="auto"/>
        <w:ind w:left="-15" w:right="434" w:firstLine="0"/>
        <w:jc w:val="left"/>
      </w:pPr>
      <w:r>
        <w:rPr>
          <w:i/>
        </w:rPr>
        <w:t>y</w:t>
      </w:r>
      <w:r>
        <w:rPr>
          <w:vertAlign w:val="subscript"/>
        </w:rPr>
        <w:t xml:space="preserve">2 </w:t>
      </w:r>
      <w:r>
        <w:t>= 2.27 + 3.62</w:t>
      </w:r>
      <w:r>
        <w:rPr>
          <w:i/>
        </w:rPr>
        <w:t>x</w:t>
      </w:r>
      <w:r>
        <w:rPr>
          <w:vertAlign w:val="subscript"/>
        </w:rPr>
        <w:t xml:space="preserve">1 </w:t>
      </w:r>
      <w:r>
        <w:t>+ 12.70</w:t>
      </w:r>
      <w:r>
        <w:rPr>
          <w:i/>
        </w:rPr>
        <w:t>x</w:t>
      </w:r>
      <w:r>
        <w:rPr>
          <w:vertAlign w:val="subscript"/>
        </w:rPr>
        <w:t>2</w:t>
      </w:r>
      <w:r>
        <w:t xml:space="preserve"> + 9.38</w:t>
      </w:r>
      <w:r>
        <w:rPr>
          <w:i/>
        </w:rPr>
        <w:t>x</w:t>
      </w:r>
      <w:r>
        <w:rPr>
          <w:vertAlign w:val="subscript"/>
        </w:rPr>
        <w:t>3</w:t>
      </w:r>
      <w:r>
        <w:t xml:space="preserve"> – 1.97</w:t>
      </w:r>
      <w:r>
        <w:rPr>
          <w:i/>
        </w:rPr>
        <w:t>x</w:t>
      </w:r>
      <w:r>
        <w:rPr>
          <w:vertAlign w:val="subscript"/>
        </w:rPr>
        <w:t>1</w:t>
      </w:r>
      <w:r>
        <w:rPr>
          <w:i/>
        </w:rPr>
        <w:t>x</w:t>
      </w:r>
      <w:r>
        <w:rPr>
          <w:vertAlign w:val="subscript"/>
        </w:rPr>
        <w:t xml:space="preserve">2 </w:t>
      </w:r>
      <w:r>
        <w:t>- 0.04</w:t>
      </w:r>
      <w:r>
        <w:rPr>
          <w:i/>
        </w:rPr>
        <w:t>x</w:t>
      </w:r>
      <w:r>
        <w:rPr>
          <w:vertAlign w:val="subscript"/>
        </w:rPr>
        <w:t>1</w:t>
      </w:r>
      <w:r>
        <w:rPr>
          <w:i/>
        </w:rPr>
        <w:t>x</w:t>
      </w:r>
      <w:r>
        <w:rPr>
          <w:vertAlign w:val="subscript"/>
        </w:rPr>
        <w:t xml:space="preserve">3 </w:t>
      </w:r>
      <w:r>
        <w:t>+ 0.08</w:t>
      </w:r>
      <w:r>
        <w:rPr>
          <w:i/>
        </w:rPr>
        <w:t>x</w:t>
      </w:r>
      <w:r>
        <w:rPr>
          <w:vertAlign w:val="subscript"/>
        </w:rPr>
        <w:t>2</w:t>
      </w:r>
      <w:r>
        <w:rPr>
          <w:i/>
        </w:rPr>
        <w:t>x</w:t>
      </w:r>
      <w:r>
        <w:rPr>
          <w:vertAlign w:val="subscript"/>
        </w:rPr>
        <w:t>3</w:t>
      </w:r>
      <w:r>
        <w:t xml:space="preserve"> + 0.87</w:t>
      </w:r>
      <w:r>
        <w:rPr>
          <w:i/>
        </w:rPr>
        <w:t>x</w:t>
      </w:r>
      <w:r>
        <w:rPr>
          <w:vertAlign w:val="subscript"/>
        </w:rPr>
        <w:t>1</w:t>
      </w:r>
      <w:r>
        <w:rPr>
          <w:vertAlign w:val="superscript"/>
        </w:rPr>
        <w:t>2</w:t>
      </w:r>
      <w:r>
        <w:t xml:space="preserve"> – 2.40</w:t>
      </w:r>
      <w:r>
        <w:rPr>
          <w:i/>
        </w:rPr>
        <w:t>x</w:t>
      </w:r>
      <w:r>
        <w:rPr>
          <w:vertAlign w:val="subscript"/>
        </w:rPr>
        <w:t>2</w:t>
      </w:r>
      <w:r>
        <w:rPr>
          <w:vertAlign w:val="superscript"/>
        </w:rPr>
        <w:t>2</w:t>
      </w:r>
      <w:r>
        <w:t xml:space="preserve"> – 1.46</w:t>
      </w:r>
      <w:r>
        <w:rPr>
          <w:i/>
        </w:rPr>
        <w:t>x</w:t>
      </w:r>
      <w:r>
        <w:rPr>
          <w:vertAlign w:val="subscript"/>
        </w:rPr>
        <w:t>3</w:t>
      </w:r>
      <w:r>
        <w:rPr>
          <w:vertAlign w:val="superscript"/>
        </w:rPr>
        <w:t>2</w:t>
      </w:r>
      <w:r>
        <w:t xml:space="preserve"> </w:t>
      </w:r>
      <w:r>
        <w:rPr>
          <w:i/>
        </w:rPr>
        <w:t>y</w:t>
      </w:r>
      <w:r>
        <w:rPr>
          <w:vertAlign w:val="subscript"/>
        </w:rPr>
        <w:t xml:space="preserve">3 </w:t>
      </w:r>
      <w:r>
        <w:t>= 3.46 + 55.82</w:t>
      </w:r>
      <w:r>
        <w:rPr>
          <w:i/>
        </w:rPr>
        <w:t>x</w:t>
      </w:r>
      <w:r>
        <w:rPr>
          <w:vertAlign w:val="subscript"/>
        </w:rPr>
        <w:t xml:space="preserve">1 </w:t>
      </w:r>
      <w:r>
        <w:t>+ 4.57</w:t>
      </w:r>
      <w:r>
        <w:rPr>
          <w:i/>
        </w:rPr>
        <w:t>x</w:t>
      </w:r>
      <w:r>
        <w:rPr>
          <w:vertAlign w:val="subscript"/>
        </w:rPr>
        <w:t>2</w:t>
      </w:r>
      <w:r>
        <w:t xml:space="preserve"> + 22.37</w:t>
      </w:r>
      <w:r>
        <w:rPr>
          <w:i/>
        </w:rPr>
        <w:t>x</w:t>
      </w:r>
      <w:r>
        <w:rPr>
          <w:vertAlign w:val="subscript"/>
        </w:rPr>
        <w:t>3</w:t>
      </w:r>
      <w:r>
        <w:t xml:space="preserve"> - 0.30</w:t>
      </w:r>
      <w:r>
        <w:rPr>
          <w:i/>
        </w:rPr>
        <w:t>x</w:t>
      </w:r>
      <w:r>
        <w:rPr>
          <w:vertAlign w:val="subscript"/>
        </w:rPr>
        <w:t>1</w:t>
      </w:r>
      <w:r>
        <w:rPr>
          <w:i/>
        </w:rPr>
        <w:t>x</w:t>
      </w:r>
      <w:r>
        <w:rPr>
          <w:vertAlign w:val="subscript"/>
        </w:rPr>
        <w:t xml:space="preserve">2 </w:t>
      </w:r>
      <w:r>
        <w:t>– 6.11</w:t>
      </w:r>
      <w:r>
        <w:rPr>
          <w:i/>
        </w:rPr>
        <w:t>x</w:t>
      </w:r>
      <w:r>
        <w:rPr>
          <w:vertAlign w:val="subscript"/>
        </w:rPr>
        <w:t>1</w:t>
      </w:r>
      <w:r>
        <w:rPr>
          <w:i/>
        </w:rPr>
        <w:t>x</w:t>
      </w:r>
      <w:r>
        <w:rPr>
          <w:vertAlign w:val="subscript"/>
        </w:rPr>
        <w:t xml:space="preserve">3 </w:t>
      </w:r>
      <w:r>
        <w:t>– 0.28</w:t>
      </w:r>
      <w:r>
        <w:rPr>
          <w:i/>
        </w:rPr>
        <w:t>x</w:t>
      </w:r>
      <w:r>
        <w:rPr>
          <w:vertAlign w:val="subscript"/>
        </w:rPr>
        <w:t>2</w:t>
      </w:r>
      <w:r>
        <w:rPr>
          <w:i/>
        </w:rPr>
        <w:t>x</w:t>
      </w:r>
      <w:r>
        <w:rPr>
          <w:vertAlign w:val="subscript"/>
        </w:rPr>
        <w:t>3</w:t>
      </w:r>
      <w:r>
        <w:t xml:space="preserve"> – 12.44</w:t>
      </w:r>
      <w:r>
        <w:rPr>
          <w:i/>
        </w:rPr>
        <w:t>x</w:t>
      </w:r>
      <w:r>
        <w:rPr>
          <w:vertAlign w:val="subscript"/>
        </w:rPr>
        <w:t>1</w:t>
      </w:r>
      <w:r>
        <w:rPr>
          <w:vertAlign w:val="superscript"/>
        </w:rPr>
        <w:t>2</w:t>
      </w:r>
      <w:r>
        <w:t xml:space="preserve"> – 1.52</w:t>
      </w:r>
      <w:r>
        <w:rPr>
          <w:i/>
        </w:rPr>
        <w:t>x</w:t>
      </w:r>
      <w:r>
        <w:rPr>
          <w:vertAlign w:val="subscript"/>
        </w:rPr>
        <w:t>2</w:t>
      </w:r>
      <w:r>
        <w:rPr>
          <w:vertAlign w:val="superscript"/>
        </w:rPr>
        <w:t>2</w:t>
      </w:r>
      <w:r>
        <w:t xml:space="preserve"> – 2.26</w:t>
      </w:r>
      <w:r>
        <w:rPr>
          <w:i/>
        </w:rPr>
        <w:t>x</w:t>
      </w:r>
      <w:r>
        <w:rPr>
          <w:vertAlign w:val="subscript"/>
        </w:rPr>
        <w:t>3</w:t>
      </w:r>
      <w:r>
        <w:rPr>
          <w:vertAlign w:val="superscript"/>
        </w:rPr>
        <w:t>2</w:t>
      </w:r>
      <w:r>
        <w:t xml:space="preserve"> </w:t>
      </w:r>
      <w:r>
        <w:rPr>
          <w:i/>
        </w:rPr>
        <w:t>y</w:t>
      </w:r>
      <w:r>
        <w:rPr>
          <w:vertAlign w:val="subscript"/>
        </w:rPr>
        <w:t xml:space="preserve">4 </w:t>
      </w:r>
      <w:r>
        <w:t>= 31.88 + 3.29</w:t>
      </w:r>
      <w:r>
        <w:rPr>
          <w:i/>
        </w:rPr>
        <w:t>x</w:t>
      </w:r>
      <w:r>
        <w:rPr>
          <w:vertAlign w:val="subscript"/>
        </w:rPr>
        <w:t xml:space="preserve">1 </w:t>
      </w:r>
      <w:r>
        <w:t>+ 8.79</w:t>
      </w:r>
      <w:r>
        <w:rPr>
          <w:i/>
        </w:rPr>
        <w:t>x</w:t>
      </w:r>
      <w:r>
        <w:rPr>
          <w:vertAlign w:val="subscript"/>
        </w:rPr>
        <w:t>2</w:t>
      </w:r>
      <w:r>
        <w:t xml:space="preserve"> + 1.36</w:t>
      </w:r>
      <w:r>
        <w:rPr>
          <w:i/>
        </w:rPr>
        <w:t>x</w:t>
      </w:r>
      <w:r>
        <w:rPr>
          <w:vertAlign w:val="subscript"/>
        </w:rPr>
        <w:t>3</w:t>
      </w:r>
      <w:r>
        <w:t xml:space="preserve"> + 0.54</w:t>
      </w:r>
      <w:r>
        <w:rPr>
          <w:i/>
        </w:rPr>
        <w:t>x</w:t>
      </w:r>
      <w:r>
        <w:rPr>
          <w:vertAlign w:val="subscript"/>
        </w:rPr>
        <w:t>1</w:t>
      </w:r>
      <w:r>
        <w:rPr>
          <w:i/>
        </w:rPr>
        <w:t>x</w:t>
      </w:r>
      <w:r>
        <w:rPr>
          <w:vertAlign w:val="subscript"/>
        </w:rPr>
        <w:t xml:space="preserve">2 </w:t>
      </w:r>
      <w:r>
        <w:t>– 0.47</w:t>
      </w:r>
      <w:r>
        <w:rPr>
          <w:i/>
        </w:rPr>
        <w:t>x</w:t>
      </w:r>
      <w:r>
        <w:rPr>
          <w:vertAlign w:val="subscript"/>
        </w:rPr>
        <w:t>1</w:t>
      </w:r>
      <w:r>
        <w:rPr>
          <w:i/>
        </w:rPr>
        <w:t>x</w:t>
      </w:r>
      <w:r>
        <w:rPr>
          <w:vertAlign w:val="subscript"/>
        </w:rPr>
        <w:t xml:space="preserve">3 </w:t>
      </w:r>
      <w:r>
        <w:t>+ 0.05</w:t>
      </w:r>
      <w:r>
        <w:rPr>
          <w:i/>
        </w:rPr>
        <w:t>x</w:t>
      </w:r>
      <w:r>
        <w:rPr>
          <w:vertAlign w:val="subscript"/>
        </w:rPr>
        <w:t>2</w:t>
      </w:r>
      <w:r>
        <w:rPr>
          <w:i/>
        </w:rPr>
        <w:t>x</w:t>
      </w:r>
      <w:r>
        <w:rPr>
          <w:vertAlign w:val="subscript"/>
        </w:rPr>
        <w:t>3</w:t>
      </w:r>
      <w:r>
        <w:t xml:space="preserve"> – 2.02</w:t>
      </w:r>
      <w:r>
        <w:rPr>
          <w:i/>
        </w:rPr>
        <w:t>x</w:t>
      </w:r>
      <w:r>
        <w:rPr>
          <w:vertAlign w:val="subscript"/>
        </w:rPr>
        <w:t>1</w:t>
      </w:r>
      <w:r>
        <w:rPr>
          <w:vertAlign w:val="superscript"/>
        </w:rPr>
        <w:t>2</w:t>
      </w:r>
      <w:r>
        <w:t xml:space="preserve"> – 2.62</w:t>
      </w:r>
      <w:r>
        <w:rPr>
          <w:i/>
        </w:rPr>
        <w:t>x</w:t>
      </w:r>
      <w:r>
        <w:rPr>
          <w:vertAlign w:val="subscript"/>
        </w:rPr>
        <w:t>2</w:t>
      </w:r>
      <w:r>
        <w:rPr>
          <w:vertAlign w:val="superscript"/>
        </w:rPr>
        <w:t>2</w:t>
      </w:r>
      <w:r>
        <w:t xml:space="preserve"> – 0.51</w:t>
      </w:r>
      <w:r>
        <w:rPr>
          <w:i/>
        </w:rPr>
        <w:t>x</w:t>
      </w:r>
      <w:r>
        <w:rPr>
          <w:vertAlign w:val="subscript"/>
        </w:rPr>
        <w:t>3</w:t>
      </w:r>
      <w:r>
        <w:rPr>
          <w:vertAlign w:val="superscript"/>
        </w:rPr>
        <w:t xml:space="preserve">2 </w:t>
      </w:r>
      <w:r>
        <w:rPr>
          <w:i/>
        </w:rPr>
        <w:t>y</w:t>
      </w:r>
      <w:r>
        <w:rPr>
          <w:vertAlign w:val="subscript"/>
        </w:rPr>
        <w:t>5</w:t>
      </w:r>
      <w:r>
        <w:t xml:space="preserve"> = 21.10 – 1.75</w:t>
      </w:r>
      <w:r>
        <w:rPr>
          <w:i/>
        </w:rPr>
        <w:t>x</w:t>
      </w:r>
      <w:r>
        <w:rPr>
          <w:vertAlign w:val="subscript"/>
        </w:rPr>
        <w:t xml:space="preserve">1 </w:t>
      </w:r>
      <w:r>
        <w:t>+ 2.60</w:t>
      </w:r>
      <w:r>
        <w:rPr>
          <w:i/>
        </w:rPr>
        <w:t>x</w:t>
      </w:r>
      <w:r>
        <w:rPr>
          <w:vertAlign w:val="subscript"/>
        </w:rPr>
        <w:t xml:space="preserve">2 </w:t>
      </w:r>
      <w:r>
        <w:t>+ 4.21</w:t>
      </w:r>
      <w:r>
        <w:rPr>
          <w:i/>
        </w:rPr>
        <w:t>x</w:t>
      </w:r>
      <w:r>
        <w:rPr>
          <w:vertAlign w:val="subscript"/>
        </w:rPr>
        <w:t xml:space="preserve">3 </w:t>
      </w:r>
      <w:r>
        <w:t>+ 3.13</w:t>
      </w:r>
      <w:r>
        <w:rPr>
          <w:i/>
        </w:rPr>
        <w:t>x</w:t>
      </w:r>
      <w:r>
        <w:rPr>
          <w:vertAlign w:val="subscript"/>
        </w:rPr>
        <w:t>1</w:t>
      </w:r>
      <w:r>
        <w:rPr>
          <w:i/>
        </w:rPr>
        <w:t>x</w:t>
      </w:r>
      <w:r>
        <w:rPr>
          <w:vertAlign w:val="subscript"/>
        </w:rPr>
        <w:t xml:space="preserve">2 </w:t>
      </w:r>
      <w:r>
        <w:t>- 0.22</w:t>
      </w:r>
      <w:r>
        <w:rPr>
          <w:i/>
        </w:rPr>
        <w:t>x</w:t>
      </w:r>
      <w:r>
        <w:rPr>
          <w:vertAlign w:val="subscript"/>
        </w:rPr>
        <w:t>1</w:t>
      </w:r>
      <w:r>
        <w:rPr>
          <w:i/>
        </w:rPr>
        <w:t>x</w:t>
      </w:r>
      <w:r>
        <w:rPr>
          <w:vertAlign w:val="subscript"/>
        </w:rPr>
        <w:t xml:space="preserve">3 </w:t>
      </w:r>
      <w:r>
        <w:t>- 0.22</w:t>
      </w:r>
      <w:r>
        <w:rPr>
          <w:i/>
        </w:rPr>
        <w:t>x</w:t>
      </w:r>
      <w:r>
        <w:rPr>
          <w:vertAlign w:val="subscript"/>
        </w:rPr>
        <w:t>2</w:t>
      </w:r>
      <w:r>
        <w:rPr>
          <w:i/>
        </w:rPr>
        <w:t>x</w:t>
      </w:r>
      <w:r>
        <w:rPr>
          <w:vertAlign w:val="subscript"/>
        </w:rPr>
        <w:t xml:space="preserve">3 </w:t>
      </w:r>
      <w:r>
        <w:t>+ 1.36</w:t>
      </w:r>
      <w:r>
        <w:rPr>
          <w:i/>
        </w:rPr>
        <w:t>x</w:t>
      </w:r>
      <w:r>
        <w:rPr>
          <w:vertAlign w:val="subscript"/>
        </w:rPr>
        <w:t>1</w:t>
      </w:r>
      <w:r>
        <w:rPr>
          <w:vertAlign w:val="superscript"/>
        </w:rPr>
        <w:t xml:space="preserve">2 </w:t>
      </w:r>
      <w:r>
        <w:t>- 1.86</w:t>
      </w:r>
      <w:r>
        <w:rPr>
          <w:i/>
        </w:rPr>
        <w:t xml:space="preserve"> x</w:t>
      </w:r>
      <w:r>
        <w:rPr>
          <w:vertAlign w:val="subscript"/>
        </w:rPr>
        <w:t>2</w:t>
      </w:r>
      <w:r>
        <w:rPr>
          <w:vertAlign w:val="superscript"/>
        </w:rPr>
        <w:t xml:space="preserve">2 </w:t>
      </w:r>
      <w:r>
        <w:t>- 0.86</w:t>
      </w:r>
      <w:r>
        <w:rPr>
          <w:i/>
        </w:rPr>
        <w:t xml:space="preserve"> x</w:t>
      </w:r>
      <w:r>
        <w:rPr>
          <w:vertAlign w:val="subscript"/>
        </w:rPr>
        <w:t>3</w:t>
      </w:r>
      <w:r>
        <w:rPr>
          <w:vertAlign w:val="superscript"/>
        </w:rPr>
        <w:t xml:space="preserve">2 </w:t>
      </w:r>
      <w:r>
        <w:rPr>
          <w:i/>
        </w:rPr>
        <w:t>y</w:t>
      </w:r>
      <w:r>
        <w:rPr>
          <w:vertAlign w:val="subscript"/>
        </w:rPr>
        <w:t>6</w:t>
      </w:r>
      <w:r>
        <w:t xml:space="preserve"> = 20.70 + 0.09</w:t>
      </w:r>
      <w:r>
        <w:rPr>
          <w:i/>
        </w:rPr>
        <w:t>x</w:t>
      </w:r>
      <w:r>
        <w:rPr>
          <w:vertAlign w:val="subscript"/>
        </w:rPr>
        <w:t xml:space="preserve">1 </w:t>
      </w:r>
      <w:r>
        <w:t>– 4.82</w:t>
      </w:r>
      <w:r>
        <w:rPr>
          <w:i/>
        </w:rPr>
        <w:t>x</w:t>
      </w:r>
      <w:r>
        <w:rPr>
          <w:vertAlign w:val="subscript"/>
        </w:rPr>
        <w:t xml:space="preserve">2 </w:t>
      </w:r>
      <w:r>
        <w:t>– 1.19</w:t>
      </w:r>
      <w:r>
        <w:rPr>
          <w:i/>
        </w:rPr>
        <w:t>x</w:t>
      </w:r>
      <w:r>
        <w:rPr>
          <w:vertAlign w:val="subscript"/>
        </w:rPr>
        <w:t xml:space="preserve">3 </w:t>
      </w:r>
      <w:r>
        <w:t>+ 0.18</w:t>
      </w:r>
      <w:r>
        <w:rPr>
          <w:i/>
        </w:rPr>
        <w:t>x</w:t>
      </w:r>
      <w:r>
        <w:rPr>
          <w:vertAlign w:val="subscript"/>
        </w:rPr>
        <w:t>1</w:t>
      </w:r>
      <w:r>
        <w:rPr>
          <w:i/>
        </w:rPr>
        <w:t>x</w:t>
      </w:r>
      <w:r>
        <w:rPr>
          <w:vertAlign w:val="subscript"/>
        </w:rPr>
        <w:t xml:space="preserve">2 </w:t>
      </w:r>
      <w:r>
        <w:t>– 0.06</w:t>
      </w:r>
      <w:r>
        <w:rPr>
          <w:i/>
        </w:rPr>
        <w:t>x</w:t>
      </w:r>
      <w:r>
        <w:rPr>
          <w:vertAlign w:val="subscript"/>
        </w:rPr>
        <w:t>1</w:t>
      </w:r>
      <w:r>
        <w:rPr>
          <w:i/>
        </w:rPr>
        <w:t>x</w:t>
      </w:r>
      <w:r>
        <w:rPr>
          <w:vertAlign w:val="subscript"/>
        </w:rPr>
        <w:t xml:space="preserve">3 </w:t>
      </w:r>
      <w:r>
        <w:t>+ 0.06</w:t>
      </w:r>
      <w:r>
        <w:rPr>
          <w:i/>
        </w:rPr>
        <w:t>x</w:t>
      </w:r>
      <w:r>
        <w:rPr>
          <w:vertAlign w:val="subscript"/>
        </w:rPr>
        <w:t>2</w:t>
      </w:r>
      <w:r>
        <w:rPr>
          <w:i/>
        </w:rPr>
        <w:t>x</w:t>
      </w:r>
      <w:r>
        <w:rPr>
          <w:vertAlign w:val="subscript"/>
        </w:rPr>
        <w:t xml:space="preserve">3 </w:t>
      </w:r>
      <w:r>
        <w:t xml:space="preserve">+ </w:t>
      </w:r>
      <w:r>
        <w:t>0.05</w:t>
      </w:r>
      <w:r>
        <w:rPr>
          <w:i/>
        </w:rPr>
        <w:t>x</w:t>
      </w:r>
      <w:r>
        <w:rPr>
          <w:vertAlign w:val="subscript"/>
        </w:rPr>
        <w:t>1</w:t>
      </w:r>
      <w:r>
        <w:rPr>
          <w:vertAlign w:val="superscript"/>
        </w:rPr>
        <w:t xml:space="preserve">2 </w:t>
      </w:r>
      <w:r>
        <w:t>+ 2.22</w:t>
      </w:r>
      <w:r>
        <w:rPr>
          <w:i/>
        </w:rPr>
        <w:t xml:space="preserve"> x</w:t>
      </w:r>
      <w:r>
        <w:rPr>
          <w:vertAlign w:val="subscript"/>
        </w:rPr>
        <w:t>2</w:t>
      </w:r>
      <w:r>
        <w:rPr>
          <w:vertAlign w:val="superscript"/>
        </w:rPr>
        <w:t xml:space="preserve">2 </w:t>
      </w:r>
      <w:r>
        <w:t>+ 0.36</w:t>
      </w:r>
      <w:r>
        <w:rPr>
          <w:i/>
        </w:rPr>
        <w:t xml:space="preserve"> x</w:t>
      </w:r>
      <w:r>
        <w:rPr>
          <w:vertAlign w:val="subscript"/>
        </w:rPr>
        <w:t>3</w:t>
      </w:r>
      <w:r>
        <w:rPr>
          <w:vertAlign w:val="superscript"/>
        </w:rPr>
        <w:t xml:space="preserve">2 </w:t>
      </w:r>
      <w:r>
        <w:rPr>
          <w:i/>
        </w:rPr>
        <w:t>y</w:t>
      </w:r>
      <w:r>
        <w:rPr>
          <w:vertAlign w:val="subscript"/>
        </w:rPr>
        <w:t xml:space="preserve">7 </w:t>
      </w:r>
      <w:r>
        <w:t>= 68.97 + 3.97</w:t>
      </w:r>
      <w:r>
        <w:rPr>
          <w:i/>
        </w:rPr>
        <w:t>x</w:t>
      </w:r>
      <w:r>
        <w:rPr>
          <w:vertAlign w:val="subscript"/>
        </w:rPr>
        <w:t xml:space="preserve">1 </w:t>
      </w:r>
      <w:r>
        <w:t>+ 9.05</w:t>
      </w:r>
      <w:r>
        <w:rPr>
          <w:i/>
        </w:rPr>
        <w:t>x</w:t>
      </w:r>
      <w:r>
        <w:rPr>
          <w:vertAlign w:val="subscript"/>
        </w:rPr>
        <w:t xml:space="preserve">2 </w:t>
      </w:r>
      <w:r>
        <w:t>+ 21.31</w:t>
      </w:r>
      <w:r>
        <w:rPr>
          <w:i/>
        </w:rPr>
        <w:t>x</w:t>
      </w:r>
      <w:r>
        <w:rPr>
          <w:vertAlign w:val="subscript"/>
        </w:rPr>
        <w:t xml:space="preserve">3 </w:t>
      </w:r>
      <w:r>
        <w:t>+ 0.55</w:t>
      </w:r>
      <w:r>
        <w:rPr>
          <w:i/>
        </w:rPr>
        <w:t>x</w:t>
      </w:r>
      <w:r>
        <w:rPr>
          <w:vertAlign w:val="subscript"/>
        </w:rPr>
        <w:t>1</w:t>
      </w:r>
      <w:r>
        <w:rPr>
          <w:i/>
        </w:rPr>
        <w:t>x</w:t>
      </w:r>
      <w:r>
        <w:rPr>
          <w:vertAlign w:val="subscript"/>
        </w:rPr>
        <w:t xml:space="preserve">2 </w:t>
      </w:r>
      <w:r>
        <w:t>+ 0.26</w:t>
      </w:r>
      <w:r>
        <w:rPr>
          <w:i/>
        </w:rPr>
        <w:t>x</w:t>
      </w:r>
      <w:r>
        <w:rPr>
          <w:vertAlign w:val="subscript"/>
        </w:rPr>
        <w:t>1</w:t>
      </w:r>
      <w:r>
        <w:rPr>
          <w:i/>
        </w:rPr>
        <w:t>x</w:t>
      </w:r>
      <w:r>
        <w:rPr>
          <w:vertAlign w:val="subscript"/>
        </w:rPr>
        <w:t xml:space="preserve">3 </w:t>
      </w:r>
      <w:r>
        <w:t>- 0.29</w:t>
      </w:r>
      <w:r>
        <w:rPr>
          <w:i/>
        </w:rPr>
        <w:t>x</w:t>
      </w:r>
      <w:r>
        <w:rPr>
          <w:vertAlign w:val="subscript"/>
        </w:rPr>
        <w:t>2</w:t>
      </w:r>
      <w:r>
        <w:rPr>
          <w:i/>
        </w:rPr>
        <w:t>x</w:t>
      </w:r>
      <w:r>
        <w:rPr>
          <w:vertAlign w:val="subscript"/>
        </w:rPr>
        <w:t xml:space="preserve">3 </w:t>
      </w:r>
      <w:r>
        <w:t>– 2.85</w:t>
      </w:r>
      <w:r>
        <w:rPr>
          <w:i/>
        </w:rPr>
        <w:t>x</w:t>
      </w:r>
      <w:r>
        <w:rPr>
          <w:vertAlign w:val="subscript"/>
        </w:rPr>
        <w:t>1</w:t>
      </w:r>
      <w:r>
        <w:rPr>
          <w:vertAlign w:val="superscript"/>
        </w:rPr>
        <w:t xml:space="preserve">2 </w:t>
      </w:r>
      <w:r>
        <w:t>– 3.19</w:t>
      </w:r>
      <w:r>
        <w:rPr>
          <w:i/>
        </w:rPr>
        <w:t xml:space="preserve"> x</w:t>
      </w:r>
      <w:r>
        <w:rPr>
          <w:vertAlign w:val="subscript"/>
        </w:rPr>
        <w:t>2</w:t>
      </w:r>
      <w:r>
        <w:rPr>
          <w:vertAlign w:val="superscript"/>
        </w:rPr>
        <w:t xml:space="preserve">2 </w:t>
      </w:r>
      <w:r>
        <w:t>– 3.14</w:t>
      </w:r>
      <w:r>
        <w:rPr>
          <w:i/>
        </w:rPr>
        <w:t xml:space="preserve"> x</w:t>
      </w:r>
      <w:r>
        <w:rPr>
          <w:vertAlign w:val="subscript"/>
        </w:rPr>
        <w:t>3</w:t>
      </w:r>
      <w:r>
        <w:rPr>
          <w:vertAlign w:val="superscript"/>
        </w:rPr>
        <w:t xml:space="preserve">2 </w:t>
      </w:r>
    </w:p>
    <w:p w14:paraId="57C0DBC8" w14:textId="77777777" w:rsidR="00367448" w:rsidRDefault="000B472C">
      <w:pPr>
        <w:spacing w:after="220" w:line="259" w:lineRule="auto"/>
        <w:ind w:left="-5" w:right="60"/>
      </w:pPr>
      <w:r>
        <w:t xml:space="preserve">Where </w:t>
      </w:r>
      <w:r>
        <w:rPr>
          <w:i/>
        </w:rPr>
        <w:t>x</w:t>
      </w:r>
      <w:r>
        <w:rPr>
          <w:vertAlign w:val="subscript"/>
        </w:rPr>
        <w:t>1</w:t>
      </w:r>
      <w:r>
        <w:t xml:space="preserve">, </w:t>
      </w:r>
      <w:r>
        <w:rPr>
          <w:i/>
        </w:rPr>
        <w:t>x</w:t>
      </w:r>
      <w:r>
        <w:rPr>
          <w:vertAlign w:val="subscript"/>
        </w:rPr>
        <w:t xml:space="preserve">2, </w:t>
      </w:r>
      <w:r>
        <w:t xml:space="preserve">and </w:t>
      </w:r>
      <w:r>
        <w:rPr>
          <w:i/>
        </w:rPr>
        <w:t>x</w:t>
      </w:r>
      <w:r>
        <w:rPr>
          <w:vertAlign w:val="subscript"/>
        </w:rPr>
        <w:t>3</w:t>
      </w:r>
      <w:r>
        <w:t xml:space="preserve"> are RRE, </w:t>
      </w:r>
      <w:proofErr w:type="spellStart"/>
      <w:r>
        <w:t>ZnO</w:t>
      </w:r>
      <w:proofErr w:type="spellEnd"/>
      <w:r>
        <w:t xml:space="preserve">, and LCON concentrations, respectively. </w:t>
      </w:r>
    </w:p>
    <w:p w14:paraId="1CBC7A73" w14:textId="77777777" w:rsidR="00367448" w:rsidRDefault="000B472C">
      <w:pPr>
        <w:ind w:left="-5" w:right="60"/>
      </w:pPr>
      <w:r>
        <w:t>The parameters obtained from the ANOVA analysi</w:t>
      </w:r>
      <w:r>
        <w:t>s for experimental data of antifungal, antibacterial, antioxidant, mechanical and water barrier properties were presented in Table S3. The R</w:t>
      </w:r>
      <w:r>
        <w:rPr>
          <w:vertAlign w:val="superscript"/>
        </w:rPr>
        <w:t>2</w:t>
      </w:r>
      <w:r>
        <w:t xml:space="preserve"> values of the ANOVA analysis for antifungal, antibacterial, antioxidant, TS, EB, WVP, and WCA were 0.99, 0.97, 0.9</w:t>
      </w:r>
      <w:r>
        <w:t>7, 0.98, 0.99, 0.99 and 0.99, respectively. This result indicated high fitness between the experimental and the fitted values. The adequate precision was calculated to evaluate the desirability of the model. Generally, the adequate precision value &gt; 4 repr</w:t>
      </w:r>
      <w:r>
        <w:t xml:space="preserve">esented the model is good. The adequate precision value of the models for different properties were above 4 (Table S3), indicating all the proposed model is good. </w:t>
      </w:r>
    </w:p>
    <w:p w14:paraId="05B24BBF" w14:textId="77777777" w:rsidR="00367448" w:rsidRDefault="000B472C">
      <w:pPr>
        <w:spacing w:after="224" w:line="259" w:lineRule="auto"/>
        <w:ind w:left="-5" w:right="60"/>
      </w:pPr>
      <w:r>
        <w:t>Thus, these results revealed that the fabricated model was an exact model for the properties</w:t>
      </w:r>
      <w:r>
        <w:t xml:space="preserve"> of the film. </w:t>
      </w:r>
    </w:p>
    <w:p w14:paraId="24109A2E" w14:textId="77777777" w:rsidR="00367448" w:rsidRDefault="000B472C">
      <w:pPr>
        <w:pStyle w:val="Heading2"/>
        <w:ind w:left="-5"/>
      </w:pPr>
      <w:r>
        <w:t xml:space="preserve">3.3. Interaction effects of RRE, </w:t>
      </w:r>
      <w:proofErr w:type="spellStart"/>
      <w:r>
        <w:t>ZnO</w:t>
      </w:r>
      <w:proofErr w:type="spellEnd"/>
      <w:r>
        <w:t xml:space="preserve">, and LCON on antimicrobial property </w:t>
      </w:r>
    </w:p>
    <w:p w14:paraId="2BF7AE9A" w14:textId="77777777" w:rsidR="00367448" w:rsidRDefault="000B472C">
      <w:pPr>
        <w:ind w:left="-5" w:right="60"/>
      </w:pPr>
      <w:r>
        <w:t>Fig. 3A showed the 3D response surface plots based on the predictive quadratic models for the antifungal property of the films. The maximum antifungal property was obt</w:t>
      </w:r>
      <w:r>
        <w:t xml:space="preserve">ained with the film containing 2.38% (w/w) </w:t>
      </w:r>
      <w:proofErr w:type="spellStart"/>
      <w:r>
        <w:t>ZnO</w:t>
      </w:r>
      <w:proofErr w:type="spellEnd"/>
      <w:r>
        <w:t xml:space="preserve">, 0.71% (w/w) RRE, and 2.76% (w/v) of GE. Notably, the combination of </w:t>
      </w:r>
      <w:proofErr w:type="spellStart"/>
      <w:r>
        <w:t>ZnO</w:t>
      </w:r>
      <w:proofErr w:type="spellEnd"/>
      <w:r>
        <w:t xml:space="preserve"> and LCON significantly enhanced the antifungal property in GE-based nano-composite film. The interaction effects between </w:t>
      </w:r>
      <w:proofErr w:type="spellStart"/>
      <w:r>
        <w:t>ZnO</w:t>
      </w:r>
      <w:proofErr w:type="spellEnd"/>
      <w:r>
        <w:t xml:space="preserve"> and LCON we</w:t>
      </w:r>
      <w:r>
        <w:t xml:space="preserve">re significant (Table S3), indicating their potential synergistic effect on film’s antifungal property. Roy, Priyadarshi, and Rhim (2022) also reported that the combination of </w:t>
      </w:r>
      <w:proofErr w:type="gramStart"/>
      <w:r>
        <w:t>copper-doped</w:t>
      </w:r>
      <w:proofErr w:type="gramEnd"/>
      <w:r>
        <w:t xml:space="preserve"> </w:t>
      </w:r>
      <w:proofErr w:type="spellStart"/>
      <w:r>
        <w:t>ZnO</w:t>
      </w:r>
      <w:proofErr w:type="spellEnd"/>
      <w:r>
        <w:t>/clove essential oil Pickering emulsion significantly improved t</w:t>
      </w:r>
      <w:r>
        <w:t xml:space="preserve">he antimicrobial properties of </w:t>
      </w:r>
      <w:proofErr w:type="spellStart"/>
      <w:r>
        <w:t>gelatin</w:t>
      </w:r>
      <w:proofErr w:type="spellEnd"/>
      <w:r>
        <w:t>/agar films through synergistic effect.</w:t>
      </w:r>
      <w:r>
        <w:rPr>
          <w:sz w:val="21"/>
        </w:rPr>
        <w:t xml:space="preserve"> </w:t>
      </w:r>
      <w:r>
        <w:t xml:space="preserve">Fig. 3B showed the 3D response surface plots for the antibacterial property. The antibacterial activity of tested films was measured </w:t>
      </w:r>
      <w:r>
        <w:t xml:space="preserve">using the agar diffusion method against </w:t>
      </w:r>
      <w:r>
        <w:rPr>
          <w:i/>
        </w:rPr>
        <w:t xml:space="preserve">L. monocytogenes. </w:t>
      </w:r>
      <w:r>
        <w:t xml:space="preserve">The maximum inhibition zone was obtained with the film containing a high level of </w:t>
      </w:r>
      <w:proofErr w:type="spellStart"/>
      <w:r>
        <w:t>ZnO</w:t>
      </w:r>
      <w:proofErr w:type="spellEnd"/>
      <w:r>
        <w:t xml:space="preserve"> concentration (1.2%-3.0%), a high level of RRE concentration (2.0%), and a high level of LCON (2.1%-4.0%). The R</w:t>
      </w:r>
      <w:r>
        <w:t xml:space="preserve">RE, LCON, and </w:t>
      </w:r>
      <w:proofErr w:type="spellStart"/>
      <w:r>
        <w:t>ZnO</w:t>
      </w:r>
      <w:proofErr w:type="spellEnd"/>
      <w:r>
        <w:t xml:space="preserve"> concentrations could be served as sensitive parameters of the antibacterial property of the film. Further, compared with </w:t>
      </w:r>
      <w:proofErr w:type="spellStart"/>
      <w:r>
        <w:t>ZnO</w:t>
      </w:r>
      <w:proofErr w:type="spellEnd"/>
      <w:r>
        <w:t xml:space="preserve"> and LCON, </w:t>
      </w:r>
    </w:p>
    <w:p w14:paraId="57F22641" w14:textId="77777777" w:rsidR="00367448" w:rsidRDefault="000B472C">
      <w:pPr>
        <w:spacing w:line="259" w:lineRule="auto"/>
        <w:ind w:left="-5" w:right="60"/>
      </w:pPr>
      <w:r>
        <w:lastRenderedPageBreak/>
        <w:t xml:space="preserve">RRE induced a relatively lower effect on the antibacterial properties of the films (Table S3). </w:t>
      </w:r>
      <w:r>
        <w:rPr>
          <w:sz w:val="21"/>
        </w:rPr>
        <w:t xml:space="preserve"> </w:t>
      </w:r>
    </w:p>
    <w:p w14:paraId="7FB2836C" w14:textId="77777777" w:rsidR="00367448" w:rsidRDefault="000B472C">
      <w:pPr>
        <w:spacing w:after="38"/>
        <w:ind w:left="-5" w:right="60"/>
      </w:pPr>
      <w:r>
        <w:rPr>
          <w:sz w:val="21"/>
        </w:rPr>
        <w:t>As pr</w:t>
      </w:r>
      <w:r>
        <w:rPr>
          <w:sz w:val="21"/>
        </w:rPr>
        <w:t xml:space="preserve">edicted, the addition of </w:t>
      </w:r>
      <w:proofErr w:type="spellStart"/>
      <w:r>
        <w:rPr>
          <w:sz w:val="21"/>
        </w:rPr>
        <w:t>ZnO</w:t>
      </w:r>
      <w:proofErr w:type="spellEnd"/>
      <w:r>
        <w:rPr>
          <w:sz w:val="21"/>
        </w:rPr>
        <w:t xml:space="preserve"> and LCON greatly strengthened the antimicrobial property of the films. </w:t>
      </w:r>
      <w:proofErr w:type="spellStart"/>
      <w:r>
        <w:rPr>
          <w:sz w:val="21"/>
        </w:rPr>
        <w:t>ZnO</w:t>
      </w:r>
      <w:proofErr w:type="spellEnd"/>
      <w:r>
        <w:rPr>
          <w:sz w:val="21"/>
        </w:rPr>
        <w:t xml:space="preserve"> can inhibit the growth of microbes by generating H</w:t>
      </w:r>
      <w:r>
        <w:rPr>
          <w:sz w:val="21"/>
          <w:vertAlign w:val="subscript"/>
        </w:rPr>
        <w:t>2</w:t>
      </w:r>
      <w:r>
        <w:rPr>
          <w:sz w:val="21"/>
        </w:rPr>
        <w:t>O</w:t>
      </w:r>
      <w:r>
        <w:rPr>
          <w:sz w:val="21"/>
          <w:vertAlign w:val="subscript"/>
        </w:rPr>
        <w:t>2</w:t>
      </w:r>
      <w:r>
        <w:rPr>
          <w:sz w:val="21"/>
        </w:rPr>
        <w:t xml:space="preserve"> to destroy cell membrane and release Zn</w:t>
      </w:r>
      <w:r>
        <w:rPr>
          <w:sz w:val="21"/>
          <w:vertAlign w:val="superscript"/>
        </w:rPr>
        <w:t>2+</w:t>
      </w:r>
      <w:r>
        <w:rPr>
          <w:sz w:val="21"/>
        </w:rPr>
        <w:t xml:space="preserve"> ions or </w:t>
      </w:r>
      <w:proofErr w:type="spellStart"/>
      <w:r>
        <w:rPr>
          <w:sz w:val="21"/>
        </w:rPr>
        <w:t>ZnO</w:t>
      </w:r>
      <w:proofErr w:type="spellEnd"/>
      <w:r>
        <w:rPr>
          <w:sz w:val="21"/>
        </w:rPr>
        <w:t xml:space="preserve"> nanoparticles into cells (Shankar, et al., 2</w:t>
      </w:r>
      <w:r>
        <w:rPr>
          <w:sz w:val="21"/>
        </w:rPr>
        <w:t xml:space="preserve">015). The suggested antimicrobial mechanism of </w:t>
      </w:r>
      <w:r>
        <w:t>essential oils includes: 1) reacting with respiratory enzymes in membrane, 2) inhibiting the synthesis of enzymes in mitochondria and 3) increasing the permeability of cellular membranes (H. Wang, et al., 2018</w:t>
      </w:r>
      <w:r>
        <w:t xml:space="preserve">). Based on the above-mentioned reason, the great contribution of </w:t>
      </w:r>
      <w:proofErr w:type="spellStart"/>
      <w:r>
        <w:t>ZnO</w:t>
      </w:r>
      <w:proofErr w:type="spellEnd"/>
      <w:r>
        <w:t xml:space="preserve">/LCON on the film’s antimicrobial property may be ascribed to the fact that the synergistic effect between </w:t>
      </w:r>
      <w:proofErr w:type="spellStart"/>
      <w:r>
        <w:t>ZnO</w:t>
      </w:r>
      <w:proofErr w:type="spellEnd"/>
      <w:r>
        <w:t xml:space="preserve"> and LCON could strengthen the inhibition effect on </w:t>
      </w:r>
      <w:proofErr w:type="gramStart"/>
      <w:r>
        <w:t>microbes</w:t>
      </w:r>
      <w:proofErr w:type="gramEnd"/>
      <w:r>
        <w:t xml:space="preserve"> growth</w:t>
      </w:r>
      <w:r>
        <w:rPr>
          <w:rFonts w:ascii="Arial" w:eastAsia="Arial" w:hAnsi="Arial" w:cs="Arial"/>
          <w:sz w:val="21"/>
        </w:rPr>
        <w:t xml:space="preserve"> </w:t>
      </w:r>
      <w:r>
        <w:rPr>
          <w:sz w:val="21"/>
        </w:rPr>
        <w:t>by</w:t>
      </w:r>
      <w:r>
        <w:rPr>
          <w:rFonts w:ascii="Arial" w:eastAsia="Arial" w:hAnsi="Arial" w:cs="Arial"/>
          <w:sz w:val="21"/>
        </w:rPr>
        <w:t xml:space="preserve"> </w:t>
      </w:r>
      <w:r>
        <w:t>modula</w:t>
      </w:r>
      <w:r>
        <w:t>ting the metabolism of reactive oxygen species (Wu, et al., 2019).</w:t>
      </w:r>
      <w:r>
        <w:rPr>
          <w:sz w:val="21"/>
        </w:rPr>
        <w:t xml:space="preserve"> </w:t>
      </w:r>
      <w:r>
        <w:t>In addition, the destruction of microbial cell membrane caused by zinc oxide or essential oil is conducive to promoting the infiltration of zinc ions or active substances in essential oil i</w:t>
      </w:r>
      <w:r>
        <w:t xml:space="preserve">nto microbial cells, thus effectively damaging the structure of cells (Wu, et al., 2019). </w:t>
      </w:r>
    </w:p>
    <w:p w14:paraId="7E68B114" w14:textId="77777777" w:rsidR="00367448" w:rsidRDefault="000B472C">
      <w:pPr>
        <w:ind w:left="-5" w:right="60"/>
      </w:pPr>
      <w:r>
        <w:t xml:space="preserve">The finding about the satisfactory contribution of </w:t>
      </w:r>
      <w:proofErr w:type="spellStart"/>
      <w:r>
        <w:t>ZnO</w:t>
      </w:r>
      <w:proofErr w:type="spellEnd"/>
      <w:r>
        <w:t>/LCON combination on the film’s antimicrobial property in present work may be beneficial for the development of</w:t>
      </w:r>
      <w:r>
        <w:t xml:space="preserve"> antimicrobial film.</w:t>
      </w:r>
      <w:r>
        <w:rPr>
          <w:sz w:val="21"/>
        </w:rPr>
        <w:t xml:space="preserve"> </w:t>
      </w:r>
    </w:p>
    <w:p w14:paraId="115E4D5F" w14:textId="77777777" w:rsidR="00367448" w:rsidRDefault="000B472C">
      <w:pPr>
        <w:pStyle w:val="Heading2"/>
        <w:ind w:left="-5"/>
      </w:pPr>
      <w:r>
        <w:t xml:space="preserve">3.4. Interaction effects of RRE, </w:t>
      </w:r>
      <w:proofErr w:type="spellStart"/>
      <w:r>
        <w:t>ZnO</w:t>
      </w:r>
      <w:proofErr w:type="spellEnd"/>
      <w:r>
        <w:t xml:space="preserve">, and LCON on antioxidant property </w:t>
      </w:r>
    </w:p>
    <w:p w14:paraId="69CAE7C9" w14:textId="77777777" w:rsidR="00367448" w:rsidRDefault="000B472C">
      <w:pPr>
        <w:ind w:left="-5" w:right="60"/>
      </w:pPr>
      <w:r>
        <w:t xml:space="preserve">The RRE and LCON concentration could be served as a </w:t>
      </w:r>
      <w:proofErr w:type="gramStart"/>
      <w:r>
        <w:t>sensitive parameters</w:t>
      </w:r>
      <w:proofErr w:type="gramEnd"/>
      <w:r>
        <w:t xml:space="preserve"> to the antioxidant property of the film (Fig. 3C), </w:t>
      </w:r>
      <w:r>
        <w:t>and the interaction effects between RRE and LCON were significant (</w:t>
      </w:r>
      <w:r>
        <w:rPr>
          <w:i/>
        </w:rPr>
        <w:t>P</w:t>
      </w:r>
      <w:r>
        <w:t xml:space="preserve"> &lt;0.05) </w:t>
      </w:r>
    </w:p>
    <w:p w14:paraId="282B05A7" w14:textId="77777777" w:rsidR="00367448" w:rsidRDefault="000B472C">
      <w:pPr>
        <w:ind w:left="-5" w:right="60"/>
      </w:pPr>
      <w:r>
        <w:t xml:space="preserve">(Table S3). This contribution of RRE/LCON to the film’s antioxidant property ascribed to </w:t>
      </w:r>
      <w:proofErr w:type="gramStart"/>
      <w:r>
        <w:t>that abundant bioactive compounds</w:t>
      </w:r>
      <w:proofErr w:type="gramEnd"/>
      <w:r>
        <w:t xml:space="preserve"> (e.g., Vitamin C, anthocyanin, flavonoids) in RRE (Table</w:t>
      </w:r>
      <w:r>
        <w:t xml:space="preserve"> 1) and LCON (e.g., β</w:t>
      </w:r>
      <w:proofErr w:type="spellStart"/>
      <w:r>
        <w:t>Citral</w:t>
      </w:r>
      <w:proofErr w:type="spellEnd"/>
      <w:r>
        <w:t>, α-</w:t>
      </w:r>
      <w:proofErr w:type="spellStart"/>
      <w:r>
        <w:t>Citral</w:t>
      </w:r>
      <w:proofErr w:type="spellEnd"/>
      <w:r>
        <w:t xml:space="preserve">, </w:t>
      </w:r>
      <w:r>
        <w:rPr>
          <w:color w:val="2E2E2E"/>
        </w:rPr>
        <w:t>d-Limonene</w:t>
      </w:r>
      <w:r>
        <w:t>) (H. Wang, et al., 2018) could effectively scavenge the free radical. Even though the addition of the plant extract and essential oil greatly improve the antioxidant activity in GE film. However, the incorp</w:t>
      </w:r>
      <w:r>
        <w:t xml:space="preserve">oration of </w:t>
      </w:r>
      <w:proofErr w:type="spellStart"/>
      <w:r>
        <w:t>ZnO</w:t>
      </w:r>
      <w:proofErr w:type="spellEnd"/>
      <w:r>
        <w:t xml:space="preserve"> exhibited a little effect on the antioxidant property of GE-based film. Notably, a </w:t>
      </w:r>
      <w:proofErr w:type="gramStart"/>
      <w:r>
        <w:t>high level</w:t>
      </w:r>
      <w:proofErr w:type="gramEnd"/>
      <w:r>
        <w:t xml:space="preserve"> concentration of </w:t>
      </w:r>
      <w:proofErr w:type="spellStart"/>
      <w:r>
        <w:t>ZnO</w:t>
      </w:r>
      <w:proofErr w:type="spellEnd"/>
      <w:r>
        <w:t xml:space="preserve"> caused a decrease in the antioxidant property of the film. Riahi, Priyadarshi, Rhim, and Bagheri (2021) also pointed out high </w:t>
      </w:r>
      <w:r>
        <w:t xml:space="preserve">concentration of nanoparticles in the film may absorb the plant extract so that prevent free interaction with the oxidizing free radicals. The maximum DPPH free radical scavenging percent was achieved with the film incorporating 1.53% RRE, 1.91% LCON, and </w:t>
      </w:r>
      <w:r>
        <w:t xml:space="preserve">2.40% </w:t>
      </w:r>
      <w:proofErr w:type="spellStart"/>
      <w:r>
        <w:t>ZnO</w:t>
      </w:r>
      <w:proofErr w:type="spellEnd"/>
      <w:r>
        <w:t>. The significant interaction between RRE and LCON (Table S3) may contribute to this satisfactory antioxidant property in GE-based film. Benamar-Aissa, et al. (2023) also pointed out that the phenolic extract/essential oil combination at a suitabl</w:t>
      </w:r>
      <w:r>
        <w:t xml:space="preserve">e ratio exhibited synergistic </w:t>
      </w:r>
      <w:r>
        <w:lastRenderedPageBreak/>
        <w:t>effect on the antioxidant activity. This result indicated that the combination and optimization of LCON and RRE is useful for the development of film with excellent antioxidant property.</w:t>
      </w:r>
      <w:r>
        <w:rPr>
          <w:sz w:val="21"/>
        </w:rPr>
        <w:t xml:space="preserve"> </w:t>
      </w:r>
    </w:p>
    <w:p w14:paraId="1584A645" w14:textId="77777777" w:rsidR="00367448" w:rsidRDefault="000B472C">
      <w:pPr>
        <w:pStyle w:val="Heading2"/>
        <w:ind w:left="-5"/>
      </w:pPr>
      <w:r>
        <w:t>3.5. Effect of independent variables o</w:t>
      </w:r>
      <w:r>
        <w:t xml:space="preserve">n mechanical properties </w:t>
      </w:r>
    </w:p>
    <w:p w14:paraId="1CEB6D4D" w14:textId="77777777" w:rsidR="00367448" w:rsidRDefault="000B472C">
      <w:pPr>
        <w:spacing w:after="27"/>
        <w:ind w:left="-5" w:right="60"/>
      </w:pPr>
      <w:r>
        <w:t xml:space="preserve">The RRE, </w:t>
      </w:r>
      <w:proofErr w:type="spellStart"/>
      <w:r>
        <w:t>ZnO</w:t>
      </w:r>
      <w:proofErr w:type="spellEnd"/>
      <w:r>
        <w:t xml:space="preserve">, and LCON significantly affect the TS value of GE-based film (Fig. 4A). The incorporation of </w:t>
      </w:r>
      <w:proofErr w:type="spellStart"/>
      <w:r>
        <w:t>ZnO</w:t>
      </w:r>
      <w:proofErr w:type="spellEnd"/>
      <w:r>
        <w:t xml:space="preserve"> has the largest effect on TS. The maximum TS value of the film was obtained when the concentration of RRE was 1.25%, the </w:t>
      </w:r>
      <w:r>
        <w:t xml:space="preserve">concentration of </w:t>
      </w:r>
      <w:proofErr w:type="spellStart"/>
      <w:r>
        <w:t>ZnO</w:t>
      </w:r>
      <w:proofErr w:type="spellEnd"/>
      <w:r>
        <w:t xml:space="preserve"> was 1.86%, and the concentration of LCON was 1.29%.</w:t>
      </w:r>
      <w:r>
        <w:rPr>
          <w:rFonts w:ascii="Georgia" w:eastAsia="Georgia" w:hAnsi="Georgia" w:cs="Georgia"/>
          <w:color w:val="2E2E2E"/>
          <w:sz w:val="27"/>
        </w:rPr>
        <w:t xml:space="preserve"> </w:t>
      </w:r>
      <w:r>
        <w:rPr>
          <w:sz w:val="21"/>
        </w:rPr>
        <w:t xml:space="preserve">As can be depicted in </w:t>
      </w:r>
      <w:r>
        <w:t xml:space="preserve">Fig. 4B, the EB of the tested film was sensitive to the </w:t>
      </w:r>
      <w:proofErr w:type="spellStart"/>
      <w:r>
        <w:t>ZnO</w:t>
      </w:r>
      <w:proofErr w:type="spellEnd"/>
      <w:r>
        <w:t xml:space="preserve"> concentration. The addition of RRE or LCON increased the EB of the film while the addition of </w:t>
      </w:r>
      <w:proofErr w:type="spellStart"/>
      <w:r>
        <w:t>ZnO</w:t>
      </w:r>
      <w:proofErr w:type="spellEnd"/>
      <w:r>
        <w:t xml:space="preserve"> dec</w:t>
      </w:r>
      <w:r>
        <w:t>reased the EB. Yang, Zhai, et al. (2022) also pointed out that the incorporation of TiO</w:t>
      </w:r>
      <w:r>
        <w:rPr>
          <w:vertAlign w:val="subscript"/>
        </w:rPr>
        <w:t>2</w:t>
      </w:r>
      <w:r>
        <w:t xml:space="preserve"> decease the EB in radish anthocyanin/neem essential oil loaded agar film. Notably, when the incorporated </w:t>
      </w:r>
      <w:proofErr w:type="spellStart"/>
      <w:r>
        <w:t>ZnO</w:t>
      </w:r>
      <w:proofErr w:type="spellEnd"/>
      <w:r>
        <w:t xml:space="preserve"> concentration was above 2.4%, the </w:t>
      </w:r>
      <w:proofErr w:type="spellStart"/>
      <w:r>
        <w:t>ZnO</w:t>
      </w:r>
      <w:proofErr w:type="spellEnd"/>
      <w:r>
        <w:t xml:space="preserve"> may massively aggreg</w:t>
      </w:r>
      <w:r>
        <w:t>ate in the matrix, in turn significantly reduced the EB value. Fortunately, the addition of LCO Pickering emulsion/anthocyanin extract can compensate for the adverse effects of the presence of nanoparticles on the EB in GE-based film. Generally, the mechan</w:t>
      </w:r>
      <w:r>
        <w:t xml:space="preserve">ical property of the film </w:t>
      </w:r>
      <w:proofErr w:type="gramStart"/>
      <w:r>
        <w:t>are</w:t>
      </w:r>
      <w:proofErr w:type="gramEnd"/>
      <w:r>
        <w:t xml:space="preserve"> related to the polymer structure,</w:t>
      </w:r>
      <w:r>
        <w:rPr>
          <w:rFonts w:ascii="Arial" w:eastAsia="Arial" w:hAnsi="Arial" w:cs="Arial"/>
          <w:sz w:val="21"/>
        </w:rPr>
        <w:t xml:space="preserve"> </w:t>
      </w:r>
      <w:r>
        <w:t xml:space="preserve">chains' mobility, and the interaction between different substances. The incorporation of RRE and LCON could weaken the stronger polymer-polymer interactions, in turn increase chain’s mobility </w:t>
      </w:r>
      <w:r>
        <w:t>and finally increasing the EB of the film (</w:t>
      </w:r>
      <w:proofErr w:type="spellStart"/>
      <w:r>
        <w:t>Azarifar</w:t>
      </w:r>
      <w:proofErr w:type="spellEnd"/>
      <w:r>
        <w:t xml:space="preserve">, et al., 2019). The maximum EB value of the film was obtained at 1.77% RRE, 0.74% </w:t>
      </w:r>
    </w:p>
    <w:p w14:paraId="0ECCDA59" w14:textId="77777777" w:rsidR="00367448" w:rsidRDefault="000B472C">
      <w:pPr>
        <w:spacing w:after="153" w:line="259" w:lineRule="auto"/>
        <w:ind w:left="-5" w:right="60"/>
      </w:pPr>
      <w:proofErr w:type="spellStart"/>
      <w:r>
        <w:t>ZnO</w:t>
      </w:r>
      <w:proofErr w:type="spellEnd"/>
      <w:r>
        <w:t>, and 2.07% LCON.</w:t>
      </w:r>
      <w:r>
        <w:rPr>
          <w:rFonts w:ascii="Georgia" w:eastAsia="Georgia" w:hAnsi="Georgia" w:cs="Georgia"/>
          <w:color w:val="2E2E2E"/>
          <w:sz w:val="27"/>
        </w:rPr>
        <w:t xml:space="preserve"> </w:t>
      </w:r>
      <w:r>
        <w:t xml:space="preserve"> </w:t>
      </w:r>
    </w:p>
    <w:p w14:paraId="63E144B9" w14:textId="77777777" w:rsidR="00367448" w:rsidRDefault="000B472C">
      <w:pPr>
        <w:pStyle w:val="Heading2"/>
        <w:ind w:left="-5"/>
      </w:pPr>
      <w:r>
        <w:t xml:space="preserve">3.6. Effect of independent variables on water barrier properties </w:t>
      </w:r>
    </w:p>
    <w:p w14:paraId="5416567B" w14:textId="77777777" w:rsidR="00367448" w:rsidRDefault="000B472C">
      <w:pPr>
        <w:ind w:left="-5" w:right="60"/>
      </w:pPr>
      <w:r>
        <w:t>As can be seen from Fig. 5A, the</w:t>
      </w:r>
      <w:r>
        <w:t xml:space="preserve"> </w:t>
      </w:r>
      <w:proofErr w:type="spellStart"/>
      <w:r>
        <w:t>ZnO</w:t>
      </w:r>
      <w:proofErr w:type="spellEnd"/>
      <w:r>
        <w:t xml:space="preserve"> and LCON concentration showed a significant effect on the WVP of the film. However, the interaction between three independent variables was not significant (Table S3).</w:t>
      </w:r>
      <w:r>
        <w:rPr>
          <w:rFonts w:ascii="Arial" w:eastAsia="Arial" w:hAnsi="Arial" w:cs="Arial"/>
          <w:sz w:val="21"/>
        </w:rPr>
        <w:t xml:space="preserve"> </w:t>
      </w:r>
      <w:r>
        <w:t xml:space="preserve">The lowest WVP value was obtained at 0.26% RRE, 0.81% </w:t>
      </w:r>
      <w:proofErr w:type="spellStart"/>
      <w:r>
        <w:t>ZnO</w:t>
      </w:r>
      <w:proofErr w:type="spellEnd"/>
      <w:r>
        <w:t>, and 1.42% LCON.</w:t>
      </w:r>
      <w:r>
        <w:rPr>
          <w:rFonts w:ascii="Arial" w:eastAsia="Arial" w:hAnsi="Arial" w:cs="Arial"/>
        </w:rPr>
        <w:t xml:space="preserve"> </w:t>
      </w:r>
      <w:r>
        <w:t>The lowe</w:t>
      </w:r>
      <w:r>
        <w:t xml:space="preserve">st WVP value in the film containing middle level of LCON was due to the presence of hydrophobic substance in LCON could decrease the hydrophilicity in the GE-based films through the formation of noncovalent hydrophobic interactions. When the </w:t>
      </w:r>
      <w:proofErr w:type="spellStart"/>
      <w:r>
        <w:t>ZnO</w:t>
      </w:r>
      <w:proofErr w:type="spellEnd"/>
      <w:r>
        <w:t xml:space="preserve"> concentrat</w:t>
      </w:r>
      <w:r>
        <w:t xml:space="preserve">ion above 1.8%, the further increase of </w:t>
      </w:r>
      <w:proofErr w:type="spellStart"/>
      <w:r>
        <w:t>ZnO</w:t>
      </w:r>
      <w:proofErr w:type="spellEnd"/>
      <w:r>
        <w:t xml:space="preserve"> concentration will lead to decrease of WVP value at any RRE and LOCN concentration. Because the high concentration of </w:t>
      </w:r>
      <w:proofErr w:type="spellStart"/>
      <w:r>
        <w:t>ZnO</w:t>
      </w:r>
      <w:proofErr w:type="spellEnd"/>
      <w:r>
        <w:t xml:space="preserve"> could aggregate in GE matrix so that break the uniformity and enlarge the crack of the mat</w:t>
      </w:r>
      <w:r>
        <w:t>rix, resulting in an increased WVP of the film (Yang, Li, et al., 2022). The WCA was measured to evaluate the hydrophilic or hydrophobic nature of the film surface. Generally, the WCA of the material surface &gt;65</w:t>
      </w:r>
      <w:r>
        <w:rPr>
          <w:rFonts w:ascii="Arial" w:eastAsia="Arial" w:hAnsi="Arial" w:cs="Arial"/>
        </w:rPr>
        <w:t>°</w:t>
      </w:r>
      <w:r>
        <w:t xml:space="preserve"> are considered as hydrophobic (Vogler, 1998</w:t>
      </w:r>
      <w:r>
        <w:t xml:space="preserve">). The WCA of the film was </w:t>
      </w:r>
      <w:r>
        <w:lastRenderedPageBreak/>
        <w:t xml:space="preserve">sensitive to </w:t>
      </w:r>
      <w:proofErr w:type="spellStart"/>
      <w:r>
        <w:t>ZnO</w:t>
      </w:r>
      <w:proofErr w:type="spellEnd"/>
      <w:r>
        <w:t xml:space="preserve"> and LCON concentration (Fig. 5B), and the LCON induced the largest effect. The quadratic effect of three independent variables on WCA of the film was significant (</w:t>
      </w:r>
      <w:r>
        <w:rPr>
          <w:i/>
        </w:rPr>
        <w:t>P</w:t>
      </w:r>
      <w:r>
        <w:t xml:space="preserve"> &lt;0.05). The addition of a suitable concentratio</w:t>
      </w:r>
      <w:r>
        <w:t xml:space="preserve">n of </w:t>
      </w:r>
      <w:proofErr w:type="spellStart"/>
      <w:r>
        <w:t>ZnO</w:t>
      </w:r>
      <w:proofErr w:type="spellEnd"/>
      <w:r>
        <w:t xml:space="preserve"> and LCON increase the WCA of the film. When the </w:t>
      </w:r>
      <w:proofErr w:type="spellStart"/>
      <w:r>
        <w:t>ZnO</w:t>
      </w:r>
      <w:proofErr w:type="spellEnd"/>
      <w:r>
        <w:t xml:space="preserve"> concentration above 1.9%, the increased </w:t>
      </w:r>
      <w:proofErr w:type="spellStart"/>
      <w:r>
        <w:t>ZnO</w:t>
      </w:r>
      <w:proofErr w:type="spellEnd"/>
      <w:r>
        <w:t xml:space="preserve"> concentration decreased the WCA of the film. This ascribed to the presence of aggregated </w:t>
      </w:r>
      <w:proofErr w:type="spellStart"/>
      <w:r>
        <w:t>ZnO</w:t>
      </w:r>
      <w:proofErr w:type="spellEnd"/>
      <w:r>
        <w:t xml:space="preserve"> in the GE polymer change the roughness of the film surface</w:t>
      </w:r>
      <w:r>
        <w:t xml:space="preserve"> (Fig. 6B).</w:t>
      </w:r>
      <w:r>
        <w:rPr>
          <w:sz w:val="21"/>
        </w:rPr>
        <w:t xml:space="preserve"> Notably,</w:t>
      </w:r>
      <w:r>
        <w:rPr>
          <w:rFonts w:ascii="Arial" w:eastAsia="Arial" w:hAnsi="Arial" w:cs="Arial"/>
          <w:sz w:val="21"/>
        </w:rPr>
        <w:t xml:space="preserve"> </w:t>
      </w:r>
      <w:r>
        <w:rPr>
          <w:sz w:val="21"/>
        </w:rPr>
        <w:t>the WCA of the film increased with the increasing LCON concentration. When the LCON concentration was higher than 2.4%, the rise rate significantly decreased. Because the interaction of LCON and hydrophilic group in GE matrix could pos</w:t>
      </w:r>
      <w:r>
        <w:rPr>
          <w:sz w:val="21"/>
        </w:rPr>
        <w:t>sibly reduce the surface polarity (</w:t>
      </w:r>
      <w:proofErr w:type="spellStart"/>
      <w:r>
        <w:rPr>
          <w:sz w:val="21"/>
        </w:rPr>
        <w:t>Azarifar</w:t>
      </w:r>
      <w:proofErr w:type="spellEnd"/>
      <w:r>
        <w:rPr>
          <w:sz w:val="21"/>
        </w:rPr>
        <w:t>, et al., 2019).</w:t>
      </w:r>
      <w:r>
        <w:t xml:space="preserve"> The maximum WCA (111.5°) was obtained for the films containing 1.01% RRE, 1.17%ZnO, and 2.74% LCON. The present result showed that the combination of </w:t>
      </w:r>
      <w:proofErr w:type="spellStart"/>
      <w:r>
        <w:t>ZnO</w:t>
      </w:r>
      <w:proofErr w:type="spellEnd"/>
      <w:r>
        <w:t xml:space="preserve"> and LCON </w:t>
      </w:r>
    </w:p>
    <w:p w14:paraId="78008E63" w14:textId="77777777" w:rsidR="00367448" w:rsidRDefault="000B472C">
      <w:pPr>
        <w:spacing w:after="85"/>
        <w:ind w:left="-5" w:right="60"/>
      </w:pPr>
      <w:r>
        <w:t>exhibited a positive influence o</w:t>
      </w:r>
      <w:r>
        <w:t>n improving the water-resistance properties of the film. This was in accord with the fact that zinc oxide nanoparticles can be used to stabilize and adhere Pickering emulsion, in turn significantly improving the water-resistance property of the materials (</w:t>
      </w:r>
      <w:r>
        <w:t>Lee, et al., 2021; Roy, et al., 2022).  Considering the application requirement of edible packaging system on fruits, the desired packaging materials generally requires good biological, barrier, and mechanical properties. Hence, the optimized bio-nanocompo</w:t>
      </w:r>
      <w:r>
        <w:t xml:space="preserve">site Pickering emulsion films based on 1.10% RRE, 1.51% </w:t>
      </w:r>
      <w:proofErr w:type="spellStart"/>
      <w:r>
        <w:t>ZnO</w:t>
      </w:r>
      <w:proofErr w:type="spellEnd"/>
      <w:r>
        <w:t>, and 2.38% LCON was selected as the desirable packaging system for preservation application. The optimal value of antifungal property, antibacterial property, antioxidant property, TS, EB, WVP, an</w:t>
      </w:r>
      <w:r>
        <w:t>d WCA in the optimized film was 80.62, 32.02, 76.20, 40.56, 26.45, 18.22, and 109, respectively. To check the viability of the model, the optimized film was developed following the optimized parameters. The antifungal property, antibacterial property, anti</w:t>
      </w:r>
      <w:r>
        <w:t xml:space="preserve">oxidant property, TS, EB, WVP, and WCA of the optimized film were 80.15%, 31.24 mm, </w:t>
      </w:r>
    </w:p>
    <w:p w14:paraId="486366C6" w14:textId="77777777" w:rsidR="00367448" w:rsidRDefault="000B472C">
      <w:pPr>
        <w:spacing w:after="317" w:line="259" w:lineRule="auto"/>
        <w:ind w:left="-5" w:right="60"/>
      </w:pPr>
      <w:r>
        <w:t>73.00%, 42.03 MPa, 25.50%, 18.01 g·mm·m</w:t>
      </w:r>
      <w:r>
        <w:rPr>
          <w:vertAlign w:val="superscript"/>
        </w:rPr>
        <w:t>-2</w:t>
      </w:r>
      <w:r>
        <w:t>·Kpa</w:t>
      </w:r>
      <w:r>
        <w:rPr>
          <w:vertAlign w:val="superscript"/>
        </w:rPr>
        <w:t>-1</w:t>
      </w:r>
      <w:r>
        <w:t>·h</w:t>
      </w:r>
      <w:r>
        <w:rPr>
          <w:vertAlign w:val="superscript"/>
        </w:rPr>
        <w:t>-1</w:t>
      </w:r>
      <w:r>
        <w:t>, 110.2</w:t>
      </w:r>
      <w:r>
        <w:rPr>
          <w:rFonts w:ascii="Arial" w:eastAsia="Arial" w:hAnsi="Arial" w:cs="Arial"/>
        </w:rPr>
        <w:t>°</w:t>
      </w:r>
      <w:r>
        <w:t xml:space="preserve">, respectively. </w:t>
      </w:r>
    </w:p>
    <w:p w14:paraId="286A88AE" w14:textId="77777777" w:rsidR="00367448" w:rsidRDefault="000B472C">
      <w:pPr>
        <w:pStyle w:val="Heading2"/>
        <w:ind w:left="-5"/>
      </w:pPr>
      <w:r>
        <w:t>3.7. Characterization of the films</w:t>
      </w:r>
      <w:r>
        <w:rPr>
          <w:b w:val="0"/>
        </w:rPr>
        <w:t xml:space="preserve"> </w:t>
      </w:r>
    </w:p>
    <w:p w14:paraId="1A0A5162" w14:textId="77777777" w:rsidR="00367448" w:rsidRDefault="000B472C">
      <w:pPr>
        <w:pStyle w:val="Heading3"/>
        <w:ind w:left="-5"/>
      </w:pPr>
      <w:r>
        <w:t xml:space="preserve">3.7.1. SEM and fluorescence morphology and EDX analysis </w:t>
      </w:r>
      <w:r>
        <w:rPr>
          <w:b w:val="0"/>
        </w:rPr>
        <w:t xml:space="preserve"> </w:t>
      </w:r>
    </w:p>
    <w:p w14:paraId="18E0CBBC" w14:textId="77777777" w:rsidR="00367448" w:rsidRDefault="000B472C">
      <w:pPr>
        <w:ind w:left="-5" w:right="60"/>
      </w:pPr>
      <w:r>
        <w:t>The cross-section (Fig. 6A) and surface (Fig. 6B) microstructures of the prepared GE, GE/RRE, GE/RRE/</w:t>
      </w:r>
      <w:proofErr w:type="spellStart"/>
      <w:r>
        <w:t>ZnO</w:t>
      </w:r>
      <w:proofErr w:type="spellEnd"/>
      <w:r>
        <w:t>, and GE/RRE/</w:t>
      </w:r>
      <w:proofErr w:type="spellStart"/>
      <w:r>
        <w:t>ZnO</w:t>
      </w:r>
      <w:proofErr w:type="spellEnd"/>
      <w:r>
        <w:t>/LCON films were observed in this work. The GE film exhibited a smooth and fla</w:t>
      </w:r>
      <w:r>
        <w:t>t cross-section and surface microstructures. The incorporation of RRE did not obviously alter the cross-section of GE film, showing good compatibility between RRE and GE matrix. Remarkably, the surface of the GE/RRE film greatly alters with the incorporati</w:t>
      </w:r>
      <w:r>
        <w:t xml:space="preserve">on of </w:t>
      </w:r>
      <w:proofErr w:type="spellStart"/>
      <w:r>
        <w:t>ZnO</w:t>
      </w:r>
      <w:proofErr w:type="spellEnd"/>
      <w:r>
        <w:t xml:space="preserve">. Some zinc oxide aggregates </w:t>
      </w:r>
      <w:r>
        <w:lastRenderedPageBreak/>
        <w:t>were obviously found on the surface of GE/RRE/</w:t>
      </w:r>
      <w:proofErr w:type="spellStart"/>
      <w:r>
        <w:t>ZnO</w:t>
      </w:r>
      <w:proofErr w:type="spellEnd"/>
      <w:r>
        <w:t xml:space="preserve"> film, and the cross-section morphology of the film presents some crystalline structure.</w:t>
      </w:r>
      <w:r>
        <w:rPr>
          <w:rFonts w:ascii="Arial" w:eastAsia="Arial" w:hAnsi="Arial" w:cs="Arial"/>
          <w:sz w:val="21"/>
        </w:rPr>
        <w:t xml:space="preserve"> </w:t>
      </w:r>
      <w:r>
        <w:t xml:space="preserve">The EDX analysis result (Fig. 6C) and </w:t>
      </w:r>
      <w:proofErr w:type="spellStart"/>
      <w:r>
        <w:t>ZnO</w:t>
      </w:r>
      <w:proofErr w:type="spellEnd"/>
      <w:r>
        <w:t xml:space="preserve"> morphology (Fig. 6D) also certified th</w:t>
      </w:r>
      <w:r>
        <w:t xml:space="preserve">e existence of aggregated </w:t>
      </w:r>
      <w:proofErr w:type="spellStart"/>
      <w:r>
        <w:t>ZnO</w:t>
      </w:r>
      <w:proofErr w:type="spellEnd"/>
      <w:r>
        <w:t xml:space="preserve"> in the film. Notably, the surface and cross-section of the GE/RRE/</w:t>
      </w:r>
      <w:proofErr w:type="spellStart"/>
      <w:r>
        <w:t>ZnO</w:t>
      </w:r>
      <w:proofErr w:type="spellEnd"/>
      <w:r>
        <w:t>/LCON film became smooth and even, and without</w:t>
      </w:r>
      <w:r>
        <w:rPr>
          <w:rFonts w:ascii="Arial" w:eastAsia="Arial" w:hAnsi="Arial" w:cs="Arial"/>
          <w:sz w:val="21"/>
        </w:rPr>
        <w:t xml:space="preserve"> </w:t>
      </w:r>
      <w:r>
        <w:t xml:space="preserve">phase separation. Similar result was also observed in zinc </w:t>
      </w:r>
      <w:proofErr w:type="spellStart"/>
      <w:r>
        <w:t>sulfide</w:t>
      </w:r>
      <w:proofErr w:type="spellEnd"/>
      <w:r>
        <w:t xml:space="preserve"> nanoparticles/tea tree essential oil Picker</w:t>
      </w:r>
      <w:r>
        <w:t xml:space="preserve">ing emulsion </w:t>
      </w:r>
      <w:proofErr w:type="spellStart"/>
      <w:r>
        <w:t>loadedcarrageenan</w:t>
      </w:r>
      <w:proofErr w:type="spellEnd"/>
      <w:r>
        <w:t xml:space="preserve">/agar film (Roy &amp; Rhim, 2021). Roy, et al. (2022) also reported that the incorporation of clove essential oil Pickering emulsion makes the </w:t>
      </w:r>
      <w:proofErr w:type="spellStart"/>
      <w:r>
        <w:t>gelatin</w:t>
      </w:r>
      <w:proofErr w:type="spellEnd"/>
      <w:r>
        <w:t xml:space="preserve">/agar film become smooth. The incorporation of LCON decreased the agglomeration </w:t>
      </w:r>
      <w:r>
        <w:t xml:space="preserve">of </w:t>
      </w:r>
      <w:proofErr w:type="spellStart"/>
      <w:r>
        <w:t>ZnO</w:t>
      </w:r>
      <w:proofErr w:type="spellEnd"/>
      <w:r>
        <w:t>. This may be due to the enhanced H-bonding between the additives and GE matrix (</w:t>
      </w:r>
      <w:proofErr w:type="spellStart"/>
      <w:r>
        <w:t>Gasti</w:t>
      </w:r>
      <w:proofErr w:type="spellEnd"/>
      <w:r>
        <w:t>, et al., 2022). The white light (Fig. 6E) and fluorescent images (Fig. 6F) of the GE/RRE/</w:t>
      </w:r>
      <w:proofErr w:type="spellStart"/>
      <w:r>
        <w:t>ZnO</w:t>
      </w:r>
      <w:proofErr w:type="spellEnd"/>
      <w:r>
        <w:t xml:space="preserve">/LCON film also indicated that </w:t>
      </w:r>
      <w:proofErr w:type="spellStart"/>
      <w:r>
        <w:t>ZnO</w:t>
      </w:r>
      <w:proofErr w:type="spellEnd"/>
      <w:r>
        <w:t xml:space="preserve"> and LCON have good compatibility wit</w:t>
      </w:r>
      <w:r>
        <w:t xml:space="preserve">h the GE matrix. This result confirms that the addition of LCON promotes the uniform distribution of RRE and </w:t>
      </w:r>
      <w:proofErr w:type="spellStart"/>
      <w:r>
        <w:t>ZnO</w:t>
      </w:r>
      <w:proofErr w:type="spellEnd"/>
      <w:r>
        <w:t xml:space="preserve"> in the GE matrix, and the Pickering emulsion-loaded bio-nanocomposite film exhibited a smooth and compact structure.  </w:t>
      </w:r>
    </w:p>
    <w:p w14:paraId="02F4A871" w14:textId="77777777" w:rsidR="00367448" w:rsidRDefault="000B472C">
      <w:pPr>
        <w:pStyle w:val="Heading3"/>
        <w:ind w:left="-5"/>
      </w:pPr>
      <w:r>
        <w:t>3.7.2. FTIR spectrum and</w:t>
      </w:r>
      <w:r>
        <w:t xml:space="preserve"> XRD analysis  </w:t>
      </w:r>
    </w:p>
    <w:p w14:paraId="7EEEB2EA" w14:textId="77777777" w:rsidR="00367448" w:rsidRDefault="000B472C">
      <w:pPr>
        <w:ind w:left="-5" w:right="60"/>
      </w:pPr>
      <w:r>
        <w:t xml:space="preserve">To </w:t>
      </w:r>
      <w:proofErr w:type="spellStart"/>
      <w:r>
        <w:t>analyze</w:t>
      </w:r>
      <w:proofErr w:type="spellEnd"/>
      <w:r>
        <w:t xml:space="preserve"> the molecular interactions between different components, the FTIR spectrum of the film was checked in this work, and the result was presented in Fig. 7A. The characteristic band of pure GE film at 1625–1629, 1539–1541, 1236-1238,</w:t>
      </w:r>
      <w:r>
        <w:t xml:space="preserve"> 3288–3291 and 2933-2941 cm</w:t>
      </w:r>
      <w:r>
        <w:rPr>
          <w:vertAlign w:val="superscript"/>
        </w:rPr>
        <w:t xml:space="preserve">-1 </w:t>
      </w:r>
      <w:r>
        <w:t xml:space="preserve">were associated with amide I, amide II, and amide III, amide A and amide B, respectively </w:t>
      </w:r>
      <w:r>
        <w:rPr>
          <w:sz w:val="21"/>
        </w:rPr>
        <w:t>(</w:t>
      </w:r>
      <w:proofErr w:type="spellStart"/>
      <w:r>
        <w:rPr>
          <w:sz w:val="21"/>
        </w:rPr>
        <w:t>Etxabide</w:t>
      </w:r>
      <w:proofErr w:type="spellEnd"/>
      <w:r>
        <w:rPr>
          <w:sz w:val="21"/>
        </w:rPr>
        <w:t>, Maté, &amp; Kilmartin, 2021)</w:t>
      </w:r>
      <w:r>
        <w:t>.</w:t>
      </w:r>
      <w:r>
        <w:rPr>
          <w:sz w:val="21"/>
        </w:rPr>
        <w:t xml:space="preserve"> Compared with pure GE film,</w:t>
      </w:r>
      <w:r>
        <w:t xml:space="preserve"> the intensity of the peak in GE film increased by the incorporation of R</w:t>
      </w:r>
      <w:r>
        <w:t xml:space="preserve">RE or </w:t>
      </w:r>
      <w:proofErr w:type="spellStart"/>
      <w:r>
        <w:t>ZnO</w:t>
      </w:r>
      <w:proofErr w:type="spellEnd"/>
      <w:r>
        <w:t xml:space="preserve"> (Fig. 7B)</w:t>
      </w:r>
      <w:r>
        <w:rPr>
          <w:sz w:val="21"/>
        </w:rPr>
        <w:t xml:space="preserve">. </w:t>
      </w:r>
      <w:proofErr w:type="spellStart"/>
      <w:r>
        <w:rPr>
          <w:sz w:val="21"/>
        </w:rPr>
        <w:t>Etxabide</w:t>
      </w:r>
      <w:proofErr w:type="spellEnd"/>
      <w:r>
        <w:rPr>
          <w:sz w:val="21"/>
        </w:rPr>
        <w:t>, Maté and Kilmartin (</w:t>
      </w:r>
      <w:proofErr w:type="spellStart"/>
      <w:r>
        <w:rPr>
          <w:sz w:val="21"/>
        </w:rPr>
        <w:t>Etxabide</w:t>
      </w:r>
      <w:proofErr w:type="spellEnd"/>
      <w:r>
        <w:rPr>
          <w:sz w:val="21"/>
        </w:rPr>
        <w:t xml:space="preserve">, et al., 2021) also observed similar peak shift in </w:t>
      </w:r>
      <w:proofErr w:type="spellStart"/>
      <w:r>
        <w:rPr>
          <w:sz w:val="21"/>
        </w:rPr>
        <w:t>gelatin</w:t>
      </w:r>
      <w:proofErr w:type="spellEnd"/>
      <w:r>
        <w:rPr>
          <w:sz w:val="21"/>
        </w:rPr>
        <w:t>-black carrots extract film.</w:t>
      </w:r>
      <w:r>
        <w:rPr>
          <w:rFonts w:ascii="Arial" w:eastAsia="Arial" w:hAnsi="Arial" w:cs="Arial"/>
          <w:sz w:val="21"/>
        </w:rPr>
        <w:t xml:space="preserve"> </w:t>
      </w:r>
      <w:r>
        <w:rPr>
          <w:sz w:val="21"/>
        </w:rPr>
        <w:t xml:space="preserve">The incorporation of LCON significantly enhanced the intensity of peak of </w:t>
      </w:r>
      <w:r>
        <w:t>amide A, amide I and amide II and b</w:t>
      </w:r>
      <w:r>
        <w:t xml:space="preserve">roadened the peak of amide A. </w:t>
      </w:r>
      <w:r>
        <w:rPr>
          <w:sz w:val="21"/>
        </w:rPr>
        <w:t xml:space="preserve">This result indicated the formation of more intermolecular hydrogen bonds or weak interactions in the </w:t>
      </w:r>
      <w:proofErr w:type="spellStart"/>
      <w:r>
        <w:rPr>
          <w:sz w:val="21"/>
        </w:rPr>
        <w:t>bionanocomposite</w:t>
      </w:r>
      <w:proofErr w:type="spellEnd"/>
      <w:r>
        <w:rPr>
          <w:sz w:val="21"/>
        </w:rPr>
        <w:t xml:space="preserve"> film</w:t>
      </w:r>
      <w:r>
        <w:t xml:space="preserve">. </w:t>
      </w:r>
    </w:p>
    <w:p w14:paraId="2652C03C" w14:textId="77777777" w:rsidR="00367448" w:rsidRDefault="000B472C">
      <w:pPr>
        <w:spacing w:after="10" w:line="464" w:lineRule="auto"/>
        <w:ind w:left="-5"/>
      </w:pPr>
      <w:r>
        <w:rPr>
          <w:sz w:val="21"/>
        </w:rPr>
        <w:t xml:space="preserve">Fig. 7C exhibits the XRD patterns of </w:t>
      </w:r>
      <w:proofErr w:type="spellStart"/>
      <w:r>
        <w:rPr>
          <w:sz w:val="21"/>
        </w:rPr>
        <w:t>ZnO</w:t>
      </w:r>
      <w:proofErr w:type="spellEnd"/>
      <w:r>
        <w:rPr>
          <w:sz w:val="21"/>
        </w:rPr>
        <w:t xml:space="preserve"> nanoparticles and different films. The characteristic peaks</w:t>
      </w:r>
      <w:r>
        <w:rPr>
          <w:sz w:val="21"/>
        </w:rPr>
        <w:t xml:space="preserve"> at 2θ of 31.6°, 34.6°, 36.6°, 47.5°, 56.5°, 62.9°, 66.3°, 68.2°, 69.1°, 72.4°, and 77° indicated the hexagonal morphology of </w:t>
      </w:r>
      <w:proofErr w:type="spellStart"/>
      <w:r>
        <w:rPr>
          <w:sz w:val="21"/>
        </w:rPr>
        <w:t>ZnO</w:t>
      </w:r>
      <w:proofErr w:type="spellEnd"/>
      <w:r>
        <w:rPr>
          <w:sz w:val="21"/>
        </w:rPr>
        <w:t xml:space="preserve"> nanoparticles (Chen, et al., 2010). Regarding GE films (Fig. 7D), it showed the characteristic diffraction peak at a 2θ of 19.</w:t>
      </w:r>
      <w:r>
        <w:rPr>
          <w:sz w:val="21"/>
        </w:rPr>
        <w:t xml:space="preserve">1° and 22.5° (Arfat, Ahmed, Hiremath, Auras, &amp; Joseph, 2017). Notably, the incorporation of RRE caused slightly decrease in the diffraction peak </w:t>
      </w:r>
      <w:r>
        <w:rPr>
          <w:sz w:val="21"/>
        </w:rPr>
        <w:lastRenderedPageBreak/>
        <w:t xml:space="preserve">intensities of GE, indicating that the interactions between GE and RRE decreased the crystallinity of GE. Wei, </w:t>
      </w:r>
      <w:r>
        <w:rPr>
          <w:sz w:val="21"/>
        </w:rPr>
        <w:t xml:space="preserve">Cheng, Ho, Tsai, and Mi (2017) also observed that the interactions between </w:t>
      </w:r>
      <w:proofErr w:type="spellStart"/>
      <w:r>
        <w:rPr>
          <w:sz w:val="21"/>
        </w:rPr>
        <w:t>gellan</w:t>
      </w:r>
      <w:proofErr w:type="spellEnd"/>
      <w:r>
        <w:rPr>
          <w:sz w:val="21"/>
        </w:rPr>
        <w:t xml:space="preserve"> gum and purple sweet potato extract decreased the crystallinity of </w:t>
      </w:r>
      <w:proofErr w:type="spellStart"/>
      <w:r>
        <w:rPr>
          <w:sz w:val="21"/>
        </w:rPr>
        <w:t>gellan</w:t>
      </w:r>
      <w:proofErr w:type="spellEnd"/>
      <w:r>
        <w:rPr>
          <w:sz w:val="21"/>
        </w:rPr>
        <w:t xml:space="preserve"> gum. The GE/RRE/</w:t>
      </w:r>
      <w:proofErr w:type="spellStart"/>
      <w:r>
        <w:rPr>
          <w:sz w:val="21"/>
        </w:rPr>
        <w:t>ZnO</w:t>
      </w:r>
      <w:proofErr w:type="spellEnd"/>
      <w:r>
        <w:rPr>
          <w:sz w:val="21"/>
        </w:rPr>
        <w:t xml:space="preserve"> film exhibited characteristic diffraction peaks at 2θ of 34.4°, 36.6° and 56.2°,</w:t>
      </w:r>
      <w:r>
        <w:rPr>
          <w:sz w:val="21"/>
        </w:rPr>
        <w:t xml:space="preserve"> which corresponds to (002), (101) and (110) planes of </w:t>
      </w:r>
      <w:proofErr w:type="spellStart"/>
      <w:r>
        <w:rPr>
          <w:sz w:val="21"/>
        </w:rPr>
        <w:t>ZnO</w:t>
      </w:r>
      <w:proofErr w:type="spellEnd"/>
      <w:r>
        <w:rPr>
          <w:sz w:val="21"/>
        </w:rPr>
        <w:t xml:space="preserve">, respectively. These diffraction peaks confirmed the presence of crystal </w:t>
      </w:r>
      <w:proofErr w:type="spellStart"/>
      <w:r>
        <w:rPr>
          <w:sz w:val="21"/>
        </w:rPr>
        <w:t>ZnO</w:t>
      </w:r>
      <w:proofErr w:type="spellEnd"/>
      <w:r>
        <w:rPr>
          <w:sz w:val="21"/>
        </w:rPr>
        <w:t xml:space="preserve"> nanoparticles. The addition of LOCN decreased the peak intensity of the GE/RRE/</w:t>
      </w:r>
      <w:proofErr w:type="spellStart"/>
      <w:r>
        <w:rPr>
          <w:sz w:val="21"/>
        </w:rPr>
        <w:t>ZnO</w:t>
      </w:r>
      <w:proofErr w:type="spellEnd"/>
      <w:r>
        <w:rPr>
          <w:sz w:val="21"/>
        </w:rPr>
        <w:t xml:space="preserve"> film. This may </w:t>
      </w:r>
      <w:proofErr w:type="gramStart"/>
      <w:r>
        <w:rPr>
          <w:sz w:val="21"/>
        </w:rPr>
        <w:t>ascribed</w:t>
      </w:r>
      <w:proofErr w:type="gramEnd"/>
      <w:r>
        <w:rPr>
          <w:sz w:val="21"/>
        </w:rPr>
        <w:t xml:space="preserve"> to that the a</w:t>
      </w:r>
      <w:r>
        <w:rPr>
          <w:sz w:val="21"/>
        </w:rPr>
        <w:t xml:space="preserve">ddition of Pickering emulsion reduced the agglomeration of nanoparticles and made the distribution of particles in the polymer matrix more uniform (Fig. 6). </w:t>
      </w:r>
    </w:p>
    <w:p w14:paraId="4FA586B4" w14:textId="77777777" w:rsidR="00367448" w:rsidRDefault="000B472C">
      <w:pPr>
        <w:spacing w:after="204" w:line="259" w:lineRule="auto"/>
        <w:ind w:left="-5"/>
      </w:pPr>
      <w:r>
        <w:rPr>
          <w:sz w:val="21"/>
        </w:rPr>
        <w:t xml:space="preserve">Similar result was also reported by Sani, </w:t>
      </w:r>
      <w:proofErr w:type="spellStart"/>
      <w:r>
        <w:rPr>
          <w:sz w:val="21"/>
        </w:rPr>
        <w:t>Pirsa</w:t>
      </w:r>
      <w:proofErr w:type="spellEnd"/>
      <w:r>
        <w:rPr>
          <w:sz w:val="21"/>
        </w:rPr>
        <w:t xml:space="preserve">, and </w:t>
      </w:r>
      <w:proofErr w:type="spellStart"/>
      <w:r>
        <w:rPr>
          <w:sz w:val="21"/>
        </w:rPr>
        <w:t>Tağı</w:t>
      </w:r>
      <w:proofErr w:type="spellEnd"/>
      <w:r>
        <w:rPr>
          <w:sz w:val="21"/>
        </w:rPr>
        <w:t xml:space="preserve"> (2019). </w:t>
      </w:r>
    </w:p>
    <w:p w14:paraId="1C2D771E" w14:textId="77777777" w:rsidR="00367448" w:rsidRDefault="000B472C">
      <w:pPr>
        <w:pStyle w:val="Heading3"/>
        <w:ind w:left="-5"/>
      </w:pPr>
      <w:r>
        <w:t xml:space="preserve">3.7.3. Electrochemical writing </w:t>
      </w:r>
      <w:r>
        <w:t xml:space="preserve">property </w:t>
      </w:r>
    </w:p>
    <w:p w14:paraId="173F7791" w14:textId="77777777" w:rsidR="00367448" w:rsidRDefault="000B472C">
      <w:pPr>
        <w:ind w:left="-5" w:right="60"/>
      </w:pPr>
      <w:r>
        <w:t xml:space="preserve">To provide essential manufacturing information to consumers, the different English letters ‘mango’ (Fig. 8A), ‘Film’ (Fig. 8B), Arabic numerals ’15 d’ (Fig. 8C) and </w:t>
      </w:r>
      <w:proofErr w:type="spellStart"/>
      <w:r>
        <w:t>colored</w:t>
      </w:r>
      <w:proofErr w:type="spellEnd"/>
      <w:r>
        <w:t xml:space="preserve"> triangle </w:t>
      </w:r>
      <w:r>
        <w:t xml:space="preserve">(Fig. 8D) were printed on the optimized films. The principle of the development of </w:t>
      </w:r>
      <w:proofErr w:type="spellStart"/>
      <w:r>
        <w:t>multicolor</w:t>
      </w:r>
      <w:proofErr w:type="spellEnd"/>
      <w:r>
        <w:t xml:space="preserve"> patterns on the anthocyanin-rich film by electrochemical writing was based on structure changes of anthocyanin molecular under different pH conditions (Fig. 8E). </w:t>
      </w:r>
      <w:r>
        <w:t xml:space="preserve">The principle of the fabrication of the red English letter ‘mango’ was related to the fact that the structure of </w:t>
      </w:r>
      <w:proofErr w:type="spellStart"/>
      <w:r>
        <w:t>anhydrobase</w:t>
      </w:r>
      <w:proofErr w:type="spellEnd"/>
      <w:r>
        <w:t xml:space="preserve"> converted to flavylium ion under the low pH condition generated by positive electrolyte water reaction (2H</w:t>
      </w:r>
      <w:r>
        <w:rPr>
          <w:vertAlign w:val="subscript"/>
        </w:rPr>
        <w:t>2</w:t>
      </w:r>
      <w:r>
        <w:t>O – 4e</w:t>
      </w:r>
      <w:r>
        <w:rPr>
          <w:vertAlign w:val="superscript"/>
        </w:rPr>
        <w:t>-</w:t>
      </w:r>
      <w:r>
        <w:t xml:space="preserve"> = 4H</w:t>
      </w:r>
      <w:r>
        <w:rPr>
          <w:vertAlign w:val="superscript"/>
        </w:rPr>
        <w:t>+</w:t>
      </w:r>
      <w:r>
        <w:t xml:space="preserve"> + O</w:t>
      </w:r>
      <w:r>
        <w:rPr>
          <w:vertAlign w:val="superscript"/>
        </w:rPr>
        <w:t>2</w:t>
      </w:r>
      <w:r>
        <w:t>). The</w:t>
      </w:r>
      <w:r>
        <w:t xml:space="preserve"> principle of the fabrication of the green English letter ‘Film’ or yellow Arabic numerals ’15 d’ was related to the fact that the structure of </w:t>
      </w:r>
      <w:proofErr w:type="spellStart"/>
      <w:r>
        <w:t>anhydrobase</w:t>
      </w:r>
      <w:proofErr w:type="spellEnd"/>
      <w:r>
        <w:t xml:space="preserve"> converted to </w:t>
      </w:r>
      <w:proofErr w:type="spellStart"/>
      <w:r>
        <w:t>anhydrobase</w:t>
      </w:r>
      <w:proofErr w:type="spellEnd"/>
      <w:r>
        <w:t xml:space="preserve"> anion under the high pH condition generated by negative electrolyte water r</w:t>
      </w:r>
      <w:r>
        <w:t>eaction (4H</w:t>
      </w:r>
      <w:r>
        <w:rPr>
          <w:vertAlign w:val="subscript"/>
        </w:rPr>
        <w:t>2</w:t>
      </w:r>
      <w:r>
        <w:t>O + 4e</w:t>
      </w:r>
      <w:r>
        <w:rPr>
          <w:vertAlign w:val="superscript"/>
        </w:rPr>
        <w:t>-</w:t>
      </w:r>
      <w:r>
        <w:t xml:space="preserve"> = 4OH</w:t>
      </w:r>
      <w:r>
        <w:rPr>
          <w:vertAlign w:val="superscript"/>
        </w:rPr>
        <w:t>-</w:t>
      </w:r>
      <w:r>
        <w:t xml:space="preserve"> + 2H</w:t>
      </w:r>
      <w:r>
        <w:rPr>
          <w:vertAlign w:val="subscript"/>
        </w:rPr>
        <w:t>2</w:t>
      </w:r>
      <w:r>
        <w:t xml:space="preserve">). The red roselle anthocyanin turned to different </w:t>
      </w:r>
      <w:proofErr w:type="spellStart"/>
      <w:r>
        <w:t>colors</w:t>
      </w:r>
      <w:proofErr w:type="spellEnd"/>
      <w:r>
        <w:t xml:space="preserve"> due to the structure change of </w:t>
      </w:r>
      <w:proofErr w:type="spellStart"/>
      <w:r>
        <w:t>anhydrobase</w:t>
      </w:r>
      <w:proofErr w:type="spellEnd"/>
      <w:r>
        <w:t xml:space="preserve">. This result indicated that the </w:t>
      </w:r>
      <w:proofErr w:type="spellStart"/>
      <w:r>
        <w:t>colorful</w:t>
      </w:r>
      <w:proofErr w:type="spellEnd"/>
      <w:r>
        <w:t xml:space="preserve"> patterns could be successfully printed on the GE/RRE/</w:t>
      </w:r>
      <w:proofErr w:type="spellStart"/>
      <w:r>
        <w:t>ZnO</w:t>
      </w:r>
      <w:proofErr w:type="spellEnd"/>
      <w:r>
        <w:t>/LCON film by electrochemi</w:t>
      </w:r>
      <w:r>
        <w:t xml:space="preserve">cal writing, and these </w:t>
      </w:r>
      <w:proofErr w:type="spellStart"/>
      <w:r>
        <w:t>colorful</w:t>
      </w:r>
      <w:proofErr w:type="spellEnd"/>
      <w:r>
        <w:t xml:space="preserve"> printed patterns could be used as ‘edible label’ to broad the application range of the </w:t>
      </w:r>
      <w:proofErr w:type="gramStart"/>
      <w:r>
        <w:t>film</w:t>
      </w:r>
      <w:proofErr w:type="gramEnd"/>
      <w:r>
        <w:t xml:space="preserve"> </w:t>
      </w:r>
    </w:p>
    <w:p w14:paraId="78DABBF5" w14:textId="77777777" w:rsidR="00367448" w:rsidRDefault="000B472C">
      <w:pPr>
        <w:pStyle w:val="Heading2"/>
        <w:ind w:left="-5"/>
      </w:pPr>
      <w:r>
        <w:t xml:space="preserve">3.8. Application in mango </w:t>
      </w:r>
    </w:p>
    <w:p w14:paraId="7A698E60" w14:textId="77777777" w:rsidR="00367448" w:rsidRDefault="000B472C">
      <w:pPr>
        <w:pStyle w:val="Heading3"/>
        <w:ind w:left="-5"/>
      </w:pPr>
      <w:r>
        <w:t xml:space="preserve">3.8.1. Appearance quality </w:t>
      </w:r>
    </w:p>
    <w:p w14:paraId="3E87FA20" w14:textId="77777777" w:rsidR="00367448" w:rsidRDefault="000B472C">
      <w:pPr>
        <w:ind w:left="-5" w:right="60"/>
      </w:pPr>
      <w:r>
        <w:t xml:space="preserve">As can be seen in Fig. 9A, the </w:t>
      </w:r>
      <w:proofErr w:type="spellStart"/>
      <w:r>
        <w:t>color</w:t>
      </w:r>
      <w:proofErr w:type="spellEnd"/>
      <w:r>
        <w:t xml:space="preserve"> of the healthy mango fruits </w:t>
      </w:r>
      <w:proofErr w:type="gramStart"/>
      <w:r>
        <w:t>are</w:t>
      </w:r>
      <w:proofErr w:type="gramEnd"/>
      <w:r>
        <w:t xml:space="preserve"> green-ye</w:t>
      </w:r>
      <w:r>
        <w:t xml:space="preserve">llow at 0 d, and it changed to yellow during the storage process ascribed to chlorophyll degradation. After 4 days of storage, clearly visible black spots appeared in the peel of untreated mango while they appeared in the peel of 12-d treated mango. After </w:t>
      </w:r>
      <w:r>
        <w:t xml:space="preserve">storage for 15 d, obvious browning and mildew were observed in untreated mango due to the rapid ripening, enzymatic browning, and postharvest diseases. Notably, there are only a few black </w:t>
      </w:r>
      <w:r>
        <w:lastRenderedPageBreak/>
        <w:t xml:space="preserve">dots appeared in the peel of treated mango, indicating little decay </w:t>
      </w:r>
      <w:r>
        <w:t>and good quality. This may be ascribed to that the optimized film presented excellent antioxidant and antimicrobial properties that could effectively inhibit the browning and microbial infection (</w:t>
      </w:r>
      <w:r>
        <w:rPr>
          <w:i/>
        </w:rPr>
        <w:t xml:space="preserve">C. </w:t>
      </w:r>
      <w:proofErr w:type="spellStart"/>
      <w:r>
        <w:rPr>
          <w:i/>
        </w:rPr>
        <w:t>gloeosporioides</w:t>
      </w:r>
      <w:proofErr w:type="spellEnd"/>
      <w:r>
        <w:t>) in mango so that maintain good appearanc</w:t>
      </w:r>
      <w:r>
        <w:t xml:space="preserve">e quality.   </w:t>
      </w:r>
    </w:p>
    <w:p w14:paraId="01938435" w14:textId="77777777" w:rsidR="00367448" w:rsidRDefault="000B472C">
      <w:pPr>
        <w:pStyle w:val="Heading3"/>
        <w:ind w:left="-5"/>
      </w:pPr>
      <w:r>
        <w:t xml:space="preserve">3.8.2. Weight loss and firmness </w:t>
      </w:r>
    </w:p>
    <w:p w14:paraId="13438BEC" w14:textId="77777777" w:rsidR="00367448" w:rsidRDefault="000B472C">
      <w:pPr>
        <w:ind w:left="-5" w:right="60"/>
      </w:pPr>
      <w:r>
        <w:t>All mango exhibited a decreased weight through the ripening process (Fig. 9B). However, the weight loss in untreated mango was obviously higher over that in GE/RRE/</w:t>
      </w:r>
      <w:proofErr w:type="spellStart"/>
      <w:r>
        <w:t>ZnO</w:t>
      </w:r>
      <w:proofErr w:type="spellEnd"/>
      <w:r>
        <w:t>/LCON treated mango. In 15 days, the weigh</w:t>
      </w:r>
      <w:r>
        <w:t>t loss rate in GE/RRE/</w:t>
      </w:r>
      <w:proofErr w:type="spellStart"/>
      <w:r>
        <w:t>ZnO</w:t>
      </w:r>
      <w:proofErr w:type="spellEnd"/>
      <w:r>
        <w:t xml:space="preserve">/LCON packaged mango was ~6.18 % while that in untreated mango was ~13.20%. For the firmness of mango (Fig. 9C). After 15 days of storage, the firmness in untreated mango decreased to 3.46 N while that in treated mango were ~10.81 </w:t>
      </w:r>
      <w:r>
        <w:t xml:space="preserve">N. The deceased firmness during the storage was due to the degradation of pectin and cell material by hydrolytic enzymes (Romero, Albertos, </w:t>
      </w:r>
      <w:proofErr w:type="spellStart"/>
      <w:r>
        <w:t>Díez</w:t>
      </w:r>
      <w:proofErr w:type="spellEnd"/>
      <w:r>
        <w:t xml:space="preserve">-Méndez, &amp; Poveda, 2022). This improved firmness and water content in treated mango could be </w:t>
      </w:r>
      <w:proofErr w:type="gramStart"/>
      <w:r>
        <w:t>due to the fact tha</w:t>
      </w:r>
      <w:r>
        <w:t>t</w:t>
      </w:r>
      <w:proofErr w:type="gramEnd"/>
      <w:r>
        <w:t xml:space="preserve"> the improved antioxidant and water barrier properties in optimized film effectively reduce the moisture migration from mango, slow the metabolic ac </w:t>
      </w:r>
      <w:proofErr w:type="spellStart"/>
      <w:r>
        <w:t>tivity</w:t>
      </w:r>
      <w:proofErr w:type="spellEnd"/>
      <w:r>
        <w:t xml:space="preserve">, and inhibit the activity of hydrolase and pectinase (Yang, Li, et al., 2022). </w:t>
      </w:r>
    </w:p>
    <w:p w14:paraId="215B85B9" w14:textId="77777777" w:rsidR="00367448" w:rsidRDefault="000B472C">
      <w:pPr>
        <w:ind w:left="-5" w:right="60"/>
      </w:pPr>
      <w:r>
        <w:t>The influence of va</w:t>
      </w:r>
      <w:r>
        <w:t xml:space="preserve">rious edible films studied in previous literature on the firmness and weight loss of mango was also listed in the present work (Table 2). The different film materials exhibited positive effect on reducing weight loss and enhancing the hardness of the </w:t>
      </w:r>
      <w:proofErr w:type="gramStart"/>
      <w:r>
        <w:t>store</w:t>
      </w:r>
      <w:r>
        <w:t>d-mango</w:t>
      </w:r>
      <w:proofErr w:type="gramEnd"/>
      <w:r>
        <w:t>. The weight loss of the mango treated by different edible films was in the range of ~4.8%-~17.18%, and that for firmness was in the range of ~0.68 N-14.52 N. Compared with the various prepared edible films in previous work, the prepared film in thi</w:t>
      </w:r>
      <w:r>
        <w:t xml:space="preserve">s work exhibited desirable effect on reducing the weight loss and maintaining firmness of mango. </w:t>
      </w:r>
    </w:p>
    <w:p w14:paraId="4F25D6E5" w14:textId="77777777" w:rsidR="00367448" w:rsidRDefault="000B472C">
      <w:pPr>
        <w:pStyle w:val="Heading3"/>
        <w:ind w:left="-5"/>
      </w:pPr>
      <w:r>
        <w:t xml:space="preserve">3.8.3. The control of anthracnose  </w:t>
      </w:r>
    </w:p>
    <w:p w14:paraId="79B1F8BA" w14:textId="77777777" w:rsidR="00367448" w:rsidRDefault="000B472C">
      <w:pPr>
        <w:ind w:left="-5" w:right="60"/>
      </w:pPr>
      <w:r>
        <w:t xml:space="preserve">The control of the mango anthracnose during the postharvest process is beneficial for the reduction of economic losses in </w:t>
      </w:r>
      <w:r>
        <w:t>the mango industry. The severity and incidence of anthracnose in all infected mango increased during the storage period (Fig. 9D and 9E). After 12 days of storage, the untreated mango showed the highest disease incidence percent (100%) and severity (5 scor</w:t>
      </w:r>
      <w:r>
        <w:t xml:space="preserve">es) while that in treated mango were only 26.5% and 1.89, respectively. This decreased anthracnose severity in treated mango was ascribed to the proven inhibition effect (80.15%) of optimized film on </w:t>
      </w:r>
      <w:r>
        <w:rPr>
          <w:i/>
        </w:rPr>
        <w:t xml:space="preserve">C. </w:t>
      </w:r>
      <w:proofErr w:type="spellStart"/>
      <w:r>
        <w:rPr>
          <w:i/>
        </w:rPr>
        <w:t>gloeosporioides</w:t>
      </w:r>
      <w:proofErr w:type="spellEnd"/>
      <w:r>
        <w:t>. This result showed that the GE/RRE/</w:t>
      </w:r>
      <w:proofErr w:type="spellStart"/>
      <w:r>
        <w:t>Z</w:t>
      </w:r>
      <w:r>
        <w:t>nO</w:t>
      </w:r>
      <w:proofErr w:type="spellEnd"/>
      <w:r>
        <w:t xml:space="preserve">/LCON film could effectively reduce the anthracnose in mango fruits. The </w:t>
      </w:r>
      <w:r>
        <w:lastRenderedPageBreak/>
        <w:t>influence of various films reported in previous literature on controlling anthracnose in mango was also listed in this work (Table 3). The anthracnose incidence of the mango treated</w:t>
      </w:r>
      <w:r>
        <w:t xml:space="preserve"> with various packaging materials was in the range of ~19.73%-87.0%. Based on the comparison of the previously prepared film materials, the fabricated packaging film in the present study showed the satisfactory effect on reducing the anthracnose incidence </w:t>
      </w:r>
      <w:r>
        <w:t xml:space="preserve">in mango. These results indicated that the combination and optimization of different functional substances used in packaging materials are very advantageous for the development of packaging materials with excellent preservation effect. </w:t>
      </w:r>
    </w:p>
    <w:p w14:paraId="3B9FDE86" w14:textId="77777777" w:rsidR="00367448" w:rsidRDefault="000B472C">
      <w:pPr>
        <w:pStyle w:val="Heading1"/>
        <w:ind w:left="-5" w:right="1545"/>
      </w:pPr>
      <w:r>
        <w:t xml:space="preserve">4. Conclusion </w:t>
      </w:r>
    </w:p>
    <w:p w14:paraId="7F288455" w14:textId="77777777" w:rsidR="00367448" w:rsidRDefault="000B472C">
      <w:pPr>
        <w:ind w:left="-5" w:right="60"/>
      </w:pPr>
      <w:r>
        <w:t xml:space="preserve">RSM </w:t>
      </w:r>
      <w:r>
        <w:t xml:space="preserve">was employed to </w:t>
      </w:r>
      <w:proofErr w:type="spellStart"/>
      <w:r>
        <w:t>analyze</w:t>
      </w:r>
      <w:proofErr w:type="spellEnd"/>
      <w:r>
        <w:t xml:space="preserve"> the effect of RRE, </w:t>
      </w:r>
      <w:proofErr w:type="spellStart"/>
      <w:r>
        <w:t>ZnO</w:t>
      </w:r>
      <w:proofErr w:type="spellEnd"/>
      <w:r>
        <w:t xml:space="preserve"> and LCON on the properties of the film. The optimal antifungal, antioxidant, mechanical and barrier properties were obtained with films containing 1.10% of RRE, 1.51% of </w:t>
      </w:r>
      <w:proofErr w:type="spellStart"/>
      <w:r>
        <w:t>ZnO</w:t>
      </w:r>
      <w:proofErr w:type="spellEnd"/>
      <w:r>
        <w:t>, and 2.38% of LCON. The RSM results</w:t>
      </w:r>
      <w:r>
        <w:t xml:space="preserve"> reveal that these compounds greatly affect the properties of the bio-nanocomposite film, especially the combination of </w:t>
      </w:r>
      <w:proofErr w:type="spellStart"/>
      <w:r>
        <w:t>ZnO</w:t>
      </w:r>
      <w:proofErr w:type="spellEnd"/>
      <w:r>
        <w:t>/LCON significantly strengthen the mechanical and water-resistance properties in the film. The fluorescence, SEM,</w:t>
      </w:r>
      <w:r>
        <w:rPr>
          <w:rFonts w:ascii="Arial" w:eastAsia="Arial" w:hAnsi="Arial" w:cs="Arial"/>
          <w:sz w:val="21"/>
        </w:rPr>
        <w:t xml:space="preserve"> </w:t>
      </w:r>
      <w:r>
        <w:t xml:space="preserve">XRD, and EDX </w:t>
      </w:r>
      <w:r>
        <w:t xml:space="preserve">results revealed that the good dispersion of RRE, </w:t>
      </w:r>
      <w:proofErr w:type="spellStart"/>
      <w:r>
        <w:t>ZnO</w:t>
      </w:r>
      <w:proofErr w:type="spellEnd"/>
      <w:r>
        <w:t xml:space="preserve">, and LCON in the GE matrix led to an even and smooth structure in the optimized film. The </w:t>
      </w:r>
      <w:proofErr w:type="spellStart"/>
      <w:r>
        <w:t>colorful</w:t>
      </w:r>
      <w:proofErr w:type="spellEnd"/>
      <w:r>
        <w:t xml:space="preserve"> patterns were successfully printed on the film as the ‘edible label’. The optimized films improved the </w:t>
      </w:r>
      <w:r>
        <w:t>postharvest quality and reduced the anthracnose of mango during the storage period. According to these findings, this study demonstrated that the optimized GE/RRE/</w:t>
      </w:r>
      <w:proofErr w:type="spellStart"/>
      <w:r>
        <w:t>ZnO</w:t>
      </w:r>
      <w:proofErr w:type="spellEnd"/>
      <w:r>
        <w:t>/LCON film with written patterns could be used as an active film for mango preservation pa</w:t>
      </w:r>
      <w:r>
        <w:t xml:space="preserve">ckaging. </w:t>
      </w:r>
    </w:p>
    <w:p w14:paraId="50699FEC" w14:textId="77777777" w:rsidR="00367448" w:rsidRDefault="000B472C">
      <w:pPr>
        <w:pStyle w:val="Heading1"/>
        <w:ind w:left="-5" w:right="1545"/>
      </w:pPr>
      <w:r>
        <w:t xml:space="preserve">Acknowledgments </w:t>
      </w:r>
    </w:p>
    <w:p w14:paraId="7F290210" w14:textId="77777777" w:rsidR="00367448" w:rsidRDefault="000B472C">
      <w:pPr>
        <w:spacing w:after="219" w:line="259" w:lineRule="auto"/>
        <w:ind w:left="-5" w:right="60"/>
      </w:pPr>
      <w:r>
        <w:t xml:space="preserve">This study was supported by the National Natural Science Foundation of China (3210161415, 31801631, </w:t>
      </w:r>
    </w:p>
    <w:p w14:paraId="63411E24" w14:textId="77777777" w:rsidR="00367448" w:rsidRDefault="000B472C">
      <w:pPr>
        <w:spacing w:after="239" w:line="259" w:lineRule="auto"/>
        <w:ind w:left="-5" w:right="60"/>
      </w:pPr>
      <w:r>
        <w:t>31671844); Postgraduate Research &amp; Practice Innovation Program of Jiangsu Province (KYCX21_3395</w:t>
      </w:r>
      <w:proofErr w:type="gramStart"/>
      <w:r>
        <w:t>);</w:t>
      </w:r>
      <w:proofErr w:type="gramEnd"/>
      <w:r>
        <w:rPr>
          <w:rFonts w:ascii="Arial" w:eastAsia="Arial" w:hAnsi="Arial" w:cs="Arial"/>
          <w:sz w:val="21"/>
        </w:rPr>
        <w:t xml:space="preserve">  </w:t>
      </w:r>
    </w:p>
    <w:p w14:paraId="542E2E82" w14:textId="77777777" w:rsidR="00367448" w:rsidRDefault="000B472C">
      <w:pPr>
        <w:spacing w:after="247" w:line="259" w:lineRule="auto"/>
        <w:ind w:left="-5" w:right="1545"/>
        <w:jc w:val="left"/>
      </w:pPr>
      <w:r>
        <w:rPr>
          <w:b/>
          <w:sz w:val="24"/>
        </w:rPr>
        <w:t>Supplementary data to this a</w:t>
      </w:r>
      <w:r>
        <w:rPr>
          <w:b/>
          <w:sz w:val="24"/>
        </w:rPr>
        <w:t xml:space="preserve">rticle </w:t>
      </w:r>
    </w:p>
    <w:p w14:paraId="0ABB0C7E" w14:textId="77777777" w:rsidR="00367448" w:rsidRDefault="000B472C">
      <w:pPr>
        <w:pStyle w:val="Heading1"/>
        <w:ind w:left="-5" w:right="1545"/>
      </w:pPr>
      <w:r>
        <w:t xml:space="preserve">Reference </w:t>
      </w:r>
    </w:p>
    <w:p w14:paraId="44DAFA64" w14:textId="77777777" w:rsidR="00367448" w:rsidRDefault="000B472C">
      <w:pPr>
        <w:spacing w:line="324" w:lineRule="auto"/>
        <w:ind w:left="705" w:right="60" w:hanging="720"/>
      </w:pPr>
      <w:r>
        <w:t xml:space="preserve">Aloui, H., Licciardello, F., </w:t>
      </w:r>
      <w:proofErr w:type="spellStart"/>
      <w:r>
        <w:t>Khwaldia</w:t>
      </w:r>
      <w:proofErr w:type="spellEnd"/>
      <w:r>
        <w:t xml:space="preserve">, K., Hamdi, M., &amp; Restuccia, C. (2015). Physical properties and antifungal activity of bioactive films containing </w:t>
      </w:r>
      <w:proofErr w:type="spellStart"/>
      <w:r>
        <w:t>Wickerhamomyces</w:t>
      </w:r>
      <w:proofErr w:type="spellEnd"/>
      <w:r>
        <w:t xml:space="preserve"> </w:t>
      </w:r>
      <w:proofErr w:type="spellStart"/>
      <w:r>
        <w:t>anomalus</w:t>
      </w:r>
      <w:proofErr w:type="spellEnd"/>
      <w:r>
        <w:t xml:space="preserve"> killer yeast and their application for preservation of orang</w:t>
      </w:r>
      <w:r>
        <w:t xml:space="preserve">es and control of postharvest green </w:t>
      </w:r>
      <w:proofErr w:type="spellStart"/>
      <w:r>
        <w:t>mold</w:t>
      </w:r>
      <w:proofErr w:type="spellEnd"/>
      <w:r>
        <w:t xml:space="preserve"> caused by Penicillium </w:t>
      </w:r>
      <w:proofErr w:type="spellStart"/>
      <w:r>
        <w:t>digitatum</w:t>
      </w:r>
      <w:proofErr w:type="spellEnd"/>
      <w:r>
        <w:t xml:space="preserve">. </w:t>
      </w:r>
      <w:r>
        <w:rPr>
          <w:i/>
        </w:rPr>
        <w:t>International Journal of Food Microbiology, 200</w:t>
      </w:r>
      <w:r>
        <w:t xml:space="preserve">, 22-30. </w:t>
      </w:r>
    </w:p>
    <w:p w14:paraId="1FC4A625" w14:textId="77777777" w:rsidR="00367448" w:rsidRDefault="000B472C">
      <w:pPr>
        <w:spacing w:line="324" w:lineRule="auto"/>
        <w:ind w:left="705" w:right="60" w:hanging="720"/>
      </w:pPr>
      <w:r>
        <w:t xml:space="preserve">Arfat, Y. A., Ahmed, J., Hiremath, N., Auras, R., &amp; Joseph, A. (2017). Thermo-mechanical, rheological, </w:t>
      </w:r>
      <w:proofErr w:type="gramStart"/>
      <w:r>
        <w:t>structural</w:t>
      </w:r>
      <w:proofErr w:type="gramEnd"/>
      <w:r>
        <w:t xml:space="preserve"> and antimic</w:t>
      </w:r>
      <w:r>
        <w:t xml:space="preserve">robial properties of </w:t>
      </w:r>
      <w:proofErr w:type="spellStart"/>
      <w:r>
        <w:t>bionanocomposite</w:t>
      </w:r>
      <w:proofErr w:type="spellEnd"/>
      <w:r>
        <w:t xml:space="preserve"> films based on fish skin </w:t>
      </w:r>
      <w:proofErr w:type="spellStart"/>
      <w:r>
        <w:t>gelatin</w:t>
      </w:r>
      <w:proofErr w:type="spellEnd"/>
      <w:r>
        <w:t xml:space="preserve"> and silver-copper nanoparticles. </w:t>
      </w:r>
      <w:r>
        <w:rPr>
          <w:i/>
        </w:rPr>
        <w:t>Food Hydrocolloids, 62</w:t>
      </w:r>
      <w:r>
        <w:t xml:space="preserve">, 191-202. </w:t>
      </w:r>
    </w:p>
    <w:p w14:paraId="5626AEC9" w14:textId="77777777" w:rsidR="00367448" w:rsidRDefault="000B472C">
      <w:pPr>
        <w:spacing w:line="324" w:lineRule="auto"/>
        <w:ind w:left="705" w:right="60" w:hanging="720"/>
      </w:pPr>
      <w:proofErr w:type="spellStart"/>
      <w:r>
        <w:lastRenderedPageBreak/>
        <w:t>Azarifar</w:t>
      </w:r>
      <w:proofErr w:type="spellEnd"/>
      <w:r>
        <w:t xml:space="preserve">, M., Ghanbarzadeh, B., </w:t>
      </w:r>
      <w:proofErr w:type="spellStart"/>
      <w:r>
        <w:t>Sowti</w:t>
      </w:r>
      <w:proofErr w:type="spellEnd"/>
      <w:r>
        <w:t xml:space="preserve"> </w:t>
      </w:r>
      <w:proofErr w:type="spellStart"/>
      <w:r>
        <w:t>Khiabani</w:t>
      </w:r>
      <w:proofErr w:type="spellEnd"/>
      <w:r>
        <w:t xml:space="preserve">, M., </w:t>
      </w:r>
      <w:proofErr w:type="spellStart"/>
      <w:r>
        <w:t>Akhondzadeh</w:t>
      </w:r>
      <w:proofErr w:type="spellEnd"/>
      <w:r>
        <w:t xml:space="preserve"> Basti, A., </w:t>
      </w:r>
      <w:proofErr w:type="spellStart"/>
      <w:r>
        <w:t>Abdulkhani</w:t>
      </w:r>
      <w:proofErr w:type="spellEnd"/>
      <w:r>
        <w:t xml:space="preserve">, A., Noshirvani, N., &amp; Hosseini, M. (2019). The optimization of </w:t>
      </w:r>
      <w:proofErr w:type="spellStart"/>
      <w:r>
        <w:t>gelatin</w:t>
      </w:r>
      <w:proofErr w:type="spellEnd"/>
      <w:r>
        <w:t xml:space="preserve">-CMC based active films containing chitin nanofiber and </w:t>
      </w:r>
      <w:proofErr w:type="spellStart"/>
      <w:r>
        <w:t>Trachyspermum</w:t>
      </w:r>
      <w:proofErr w:type="spellEnd"/>
      <w:r>
        <w:t xml:space="preserve"> </w:t>
      </w:r>
      <w:proofErr w:type="spellStart"/>
      <w:r>
        <w:t>ammi</w:t>
      </w:r>
      <w:proofErr w:type="spellEnd"/>
      <w:r>
        <w:t xml:space="preserve"> essential oil by respons</w:t>
      </w:r>
      <w:r>
        <w:t xml:space="preserve">e surface methodology. </w:t>
      </w:r>
      <w:r>
        <w:rPr>
          <w:i/>
        </w:rPr>
        <w:t>Carbohydrate Polymers, 208</w:t>
      </w:r>
      <w:r>
        <w:t xml:space="preserve">, 457-468. </w:t>
      </w:r>
    </w:p>
    <w:p w14:paraId="250C2A97" w14:textId="77777777" w:rsidR="00367448" w:rsidRDefault="000B472C">
      <w:pPr>
        <w:spacing w:line="325" w:lineRule="auto"/>
        <w:ind w:left="705" w:right="60" w:hanging="720"/>
      </w:pPr>
      <w:r>
        <w:t xml:space="preserve">Benamar-Aissa, B., </w:t>
      </w:r>
      <w:proofErr w:type="spellStart"/>
      <w:r>
        <w:t>Gourine</w:t>
      </w:r>
      <w:proofErr w:type="spellEnd"/>
      <w:r>
        <w:t xml:space="preserve">, N., </w:t>
      </w:r>
      <w:proofErr w:type="spellStart"/>
      <w:r>
        <w:t>Ouinten</w:t>
      </w:r>
      <w:proofErr w:type="spellEnd"/>
      <w:r>
        <w:t xml:space="preserve">, M., Harrat, M., </w:t>
      </w:r>
      <w:proofErr w:type="spellStart"/>
      <w:r>
        <w:t>Benarfa</w:t>
      </w:r>
      <w:proofErr w:type="spellEnd"/>
      <w:r>
        <w:t xml:space="preserve">, A., &amp; </w:t>
      </w:r>
      <w:proofErr w:type="spellStart"/>
      <w:r>
        <w:t>Yousfi</w:t>
      </w:r>
      <w:proofErr w:type="spellEnd"/>
      <w:r>
        <w:t>, M. (2023). Synergistic effects of essential oils and phenolic extracts on antioxidant activities responses using tw</w:t>
      </w:r>
      <w:r>
        <w:t xml:space="preserve">o Artemisia species (A. campestris and A. </w:t>
      </w:r>
      <w:proofErr w:type="spellStart"/>
      <w:r>
        <w:t>herba</w:t>
      </w:r>
      <w:proofErr w:type="spellEnd"/>
      <w:r>
        <w:t xml:space="preserve"> alba) combined with Citrus aurantium. </w:t>
      </w:r>
      <w:proofErr w:type="spellStart"/>
      <w:r>
        <w:rPr>
          <w:i/>
        </w:rPr>
        <w:t>Biocatalysis</w:t>
      </w:r>
      <w:proofErr w:type="spellEnd"/>
      <w:r>
        <w:rPr>
          <w:i/>
        </w:rPr>
        <w:t xml:space="preserve"> and Agricultural Biotechnology, 47</w:t>
      </w:r>
      <w:r>
        <w:t xml:space="preserve">, 102570. </w:t>
      </w:r>
    </w:p>
    <w:p w14:paraId="5ECAA6F7" w14:textId="77777777" w:rsidR="00367448" w:rsidRDefault="000B472C">
      <w:pPr>
        <w:spacing w:line="336" w:lineRule="auto"/>
        <w:ind w:left="705" w:right="60" w:hanging="720"/>
      </w:pPr>
      <w:r>
        <w:t>Cen, S., Li, Z., Guo, Z., Shi, J., Huang, X., Zou, X., &amp; Holmes, M. (2023). Fabrication of Pickering emulsions s</w:t>
      </w:r>
      <w:r>
        <w:t xml:space="preserve">tabilized by citrus pectin modified with β-cyclodextrin and its application in 3D printing. </w:t>
      </w:r>
      <w:r>
        <w:rPr>
          <w:i/>
        </w:rPr>
        <w:t>Carbohydrate Polymers</w:t>
      </w:r>
      <w:r>
        <w:t xml:space="preserve">, 120833. </w:t>
      </w:r>
    </w:p>
    <w:p w14:paraId="1F742FD8" w14:textId="77777777" w:rsidR="00367448" w:rsidRDefault="000B472C">
      <w:pPr>
        <w:spacing w:line="324" w:lineRule="auto"/>
        <w:ind w:left="705" w:right="60" w:hanging="720"/>
      </w:pPr>
      <w:r>
        <w:t>Chen, L., Zheng, K., Tian, X., Hu, K., Wang, R., Liu, C., Li, Y., &amp; Cui, P. (2010). Double Glass Transitions and Interfacial Immobil</w:t>
      </w:r>
      <w:r>
        <w:t xml:space="preserve">ized Layer in in-Situ-Synthesized </w:t>
      </w:r>
      <w:proofErr w:type="gramStart"/>
      <w:r>
        <w:t>Poly(</w:t>
      </w:r>
      <w:proofErr w:type="gramEnd"/>
      <w:r>
        <w:t xml:space="preserve">vinyl alcohol)/Silica Nanocomposites. </w:t>
      </w:r>
      <w:r>
        <w:rPr>
          <w:i/>
        </w:rPr>
        <w:t>Macromolecules, 43</w:t>
      </w:r>
      <w:r>
        <w:t xml:space="preserve">(2), 1076-1082. </w:t>
      </w:r>
    </w:p>
    <w:p w14:paraId="475C2A57" w14:textId="77777777" w:rsidR="00367448" w:rsidRDefault="000B472C">
      <w:pPr>
        <w:spacing w:line="324" w:lineRule="auto"/>
        <w:ind w:left="705" w:right="60" w:hanging="720"/>
      </w:pPr>
      <w:proofErr w:type="spellStart"/>
      <w:r>
        <w:t>Etxabide</w:t>
      </w:r>
      <w:proofErr w:type="spellEnd"/>
      <w:r>
        <w:t xml:space="preserve">, A., Maté, J. I., &amp; Kilmartin, P. A. (2021). Effect of curcumin, betanin and anthocyanin containing colourants addition on </w:t>
      </w:r>
      <w:proofErr w:type="spellStart"/>
      <w:r>
        <w:t>gelatin</w:t>
      </w:r>
      <w:proofErr w:type="spellEnd"/>
      <w:r>
        <w:t xml:space="preserve"> film</w:t>
      </w:r>
      <w:r>
        <w:t xml:space="preserve">s properties for intelligent films development. </w:t>
      </w:r>
      <w:r>
        <w:rPr>
          <w:i/>
        </w:rPr>
        <w:t>Food Hydrocolloids, 115</w:t>
      </w:r>
      <w:r>
        <w:t xml:space="preserve">, 106593. </w:t>
      </w:r>
    </w:p>
    <w:p w14:paraId="35D12046" w14:textId="77777777" w:rsidR="00367448" w:rsidRDefault="000B472C">
      <w:pPr>
        <w:spacing w:line="324" w:lineRule="auto"/>
        <w:ind w:left="705" w:right="60" w:hanging="720"/>
      </w:pPr>
      <w:r>
        <w:t xml:space="preserve">Fan, S., Wang, D., Wen, X., Li, X., Fang, F., Richel, A., Xiao, N., </w:t>
      </w:r>
      <w:proofErr w:type="spellStart"/>
      <w:r>
        <w:t>Fauconnier</w:t>
      </w:r>
      <w:proofErr w:type="spellEnd"/>
      <w:r>
        <w:t>, M.-L., Hou, C., &amp; Zhang, D. (2023). Incorporation of cinnamon essential oil-loaded Pickering e</w:t>
      </w:r>
      <w:r>
        <w:t>mulsion for improving antimicrobial properties and control release of chitosan/</w:t>
      </w:r>
      <w:proofErr w:type="spellStart"/>
      <w:r>
        <w:t>gelatin</w:t>
      </w:r>
      <w:proofErr w:type="spellEnd"/>
      <w:r>
        <w:t xml:space="preserve"> films. </w:t>
      </w:r>
      <w:r>
        <w:rPr>
          <w:i/>
        </w:rPr>
        <w:t>Food Hydrocolloids, 138</w:t>
      </w:r>
      <w:r>
        <w:t xml:space="preserve">, 108438. </w:t>
      </w:r>
    </w:p>
    <w:p w14:paraId="32D00103" w14:textId="77777777" w:rsidR="00367448" w:rsidRDefault="000B472C">
      <w:pPr>
        <w:spacing w:line="324" w:lineRule="auto"/>
        <w:ind w:left="705" w:right="60" w:hanging="720"/>
      </w:pPr>
      <w:proofErr w:type="spellStart"/>
      <w:r>
        <w:t>Gasti</w:t>
      </w:r>
      <w:proofErr w:type="spellEnd"/>
      <w:r>
        <w:t xml:space="preserve">, T., Dixit, S., </w:t>
      </w:r>
      <w:proofErr w:type="spellStart"/>
      <w:r>
        <w:t>Hiremani</w:t>
      </w:r>
      <w:proofErr w:type="spellEnd"/>
      <w:r>
        <w:t xml:space="preserve">, V. D., </w:t>
      </w:r>
      <w:proofErr w:type="spellStart"/>
      <w:r>
        <w:t>Chougale</w:t>
      </w:r>
      <w:proofErr w:type="spellEnd"/>
      <w:r>
        <w:t xml:space="preserve">, R. B., Masti, S. P., Vootla, S. K., &amp; </w:t>
      </w:r>
      <w:proofErr w:type="spellStart"/>
      <w:r>
        <w:t>Mudigoudra</w:t>
      </w:r>
      <w:proofErr w:type="spellEnd"/>
      <w:r>
        <w:t>, B. S. (2022). Chitosan/</w:t>
      </w:r>
      <w:proofErr w:type="gramStart"/>
      <w:r>
        <w:t>pullul</w:t>
      </w:r>
      <w:r>
        <w:t>an based</w:t>
      </w:r>
      <w:proofErr w:type="gramEnd"/>
      <w:r>
        <w:t xml:space="preserve"> films incorporated with clove essential oil loaded chitosan-</w:t>
      </w:r>
      <w:proofErr w:type="spellStart"/>
      <w:r>
        <w:t>ZnO</w:t>
      </w:r>
      <w:proofErr w:type="spellEnd"/>
      <w:r>
        <w:t xml:space="preserve"> hybrid nanoparticles for active food packaging. </w:t>
      </w:r>
      <w:r>
        <w:rPr>
          <w:i/>
        </w:rPr>
        <w:t>Carbohydrate Polymers, 277</w:t>
      </w:r>
      <w:r>
        <w:t xml:space="preserve">, 118866. </w:t>
      </w:r>
    </w:p>
    <w:p w14:paraId="70C392EC" w14:textId="77777777" w:rsidR="00367448" w:rsidRDefault="000B472C">
      <w:pPr>
        <w:spacing w:line="324" w:lineRule="auto"/>
        <w:ind w:left="705" w:right="60" w:hanging="720"/>
      </w:pPr>
      <w:r>
        <w:t>Jia, Y., Du, J., Li, K., &amp; Li, C. (2022). Emulsification mechanism of persimmon pectin with promis</w:t>
      </w:r>
      <w:r>
        <w:t xml:space="preserve">ing emulsification capability and stability. </w:t>
      </w:r>
      <w:r>
        <w:rPr>
          <w:i/>
        </w:rPr>
        <w:t>Food Hydrocolloids, 131</w:t>
      </w:r>
      <w:r>
        <w:t xml:space="preserve">, 107727. </w:t>
      </w:r>
    </w:p>
    <w:p w14:paraId="19E868D7" w14:textId="77777777" w:rsidR="00367448" w:rsidRDefault="000B472C">
      <w:pPr>
        <w:spacing w:line="324" w:lineRule="auto"/>
        <w:ind w:left="705" w:right="60" w:hanging="720"/>
      </w:pPr>
      <w:r>
        <w:t xml:space="preserve">Lee, D., Park, D., Shin, K., Seo, H. M., Lee, H., Choi, Y., &amp; Kim, J. W. (2021). </w:t>
      </w:r>
      <w:proofErr w:type="spellStart"/>
      <w:r>
        <w:t>ZnO</w:t>
      </w:r>
      <w:proofErr w:type="spellEnd"/>
      <w:r>
        <w:t xml:space="preserve"> nanoparticles-laden cellulose nanofibers-</w:t>
      </w:r>
      <w:proofErr w:type="spellStart"/>
      <w:r>
        <w:t>armored</w:t>
      </w:r>
      <w:proofErr w:type="spellEnd"/>
      <w:r>
        <w:t xml:space="preserve"> Pickering emulsions with improved UV protec</w:t>
      </w:r>
      <w:r>
        <w:t xml:space="preserve">tion and water resistance. </w:t>
      </w:r>
      <w:r>
        <w:rPr>
          <w:i/>
        </w:rPr>
        <w:t>Journal of Industrial and Engineering Chemistry, 96</w:t>
      </w:r>
      <w:r>
        <w:t xml:space="preserve">, 219-225. </w:t>
      </w:r>
    </w:p>
    <w:p w14:paraId="040AB263" w14:textId="77777777" w:rsidR="00367448" w:rsidRDefault="000B472C">
      <w:pPr>
        <w:spacing w:line="324" w:lineRule="auto"/>
        <w:ind w:left="705" w:right="60" w:hanging="720"/>
      </w:pPr>
      <w:r>
        <w:t xml:space="preserve">Li, Y., Kong, W., Li, M., Liu, H., Zhao, X., Yang, S., &amp; Yang, M. (2016). </w:t>
      </w:r>
      <w:proofErr w:type="spellStart"/>
      <w:r>
        <w:t>Litsea</w:t>
      </w:r>
      <w:proofErr w:type="spellEnd"/>
      <w:r>
        <w:t xml:space="preserve"> cubeba essential oil as the potential natural fumigant: Inhibition of Aspergillus fla</w:t>
      </w:r>
      <w:r>
        <w:t xml:space="preserve">vus and AFB1 production in </w:t>
      </w:r>
      <w:proofErr w:type="spellStart"/>
      <w:r>
        <w:t>licorice</w:t>
      </w:r>
      <w:proofErr w:type="spellEnd"/>
      <w:r>
        <w:t xml:space="preserve">. </w:t>
      </w:r>
      <w:r>
        <w:rPr>
          <w:i/>
        </w:rPr>
        <w:t>Industrial Crops and Products, 80</w:t>
      </w:r>
      <w:r>
        <w:t xml:space="preserve">, 186-193. </w:t>
      </w:r>
    </w:p>
    <w:p w14:paraId="296A2EDF" w14:textId="77777777" w:rsidR="00367448" w:rsidRDefault="000B472C">
      <w:pPr>
        <w:spacing w:line="324" w:lineRule="auto"/>
        <w:ind w:left="705" w:right="60" w:hanging="720"/>
      </w:pPr>
      <w:r>
        <w:t>Liu, Y., Weng, P., Liu, Y., Wu, Z., Wang, L., &amp; Liu, L. (2022). Citrus pectin research advances: Derived as a biomaterial in the construction and applications of micro/nano-d</w:t>
      </w:r>
      <w:r>
        <w:t xml:space="preserve">elivery systems. </w:t>
      </w:r>
      <w:r>
        <w:rPr>
          <w:i/>
        </w:rPr>
        <w:t>Food Hydrocolloids, 133</w:t>
      </w:r>
      <w:r>
        <w:t xml:space="preserve">, 107910. </w:t>
      </w:r>
    </w:p>
    <w:p w14:paraId="6994EF9C" w14:textId="77777777" w:rsidR="00367448" w:rsidRDefault="000B472C">
      <w:pPr>
        <w:spacing w:line="324" w:lineRule="auto"/>
        <w:ind w:left="705" w:right="60" w:hanging="720"/>
      </w:pPr>
      <w:r>
        <w:t>Muñoz-Almagro, N., Vendrell-Calatayud, M., Méndez-</w:t>
      </w:r>
      <w:proofErr w:type="spellStart"/>
      <w:r>
        <w:t>Albiñana</w:t>
      </w:r>
      <w:proofErr w:type="spellEnd"/>
      <w:r>
        <w:t xml:space="preserve">, P., Moreno, R., Cano, M. P., &amp; </w:t>
      </w:r>
      <w:proofErr w:type="spellStart"/>
      <w:r>
        <w:t>Villamiel</w:t>
      </w:r>
      <w:proofErr w:type="spellEnd"/>
      <w:r>
        <w:t>, M. (2021). Extraction optimization and structural characterization of pectin from persimmon fruit (Dios</w:t>
      </w:r>
      <w:r>
        <w:t xml:space="preserve">pyros kaki Thunb. var. Rojo brillante). </w:t>
      </w:r>
      <w:r>
        <w:rPr>
          <w:i/>
        </w:rPr>
        <w:t>Carbohydrate Polymers, 272</w:t>
      </w:r>
      <w:r>
        <w:t xml:space="preserve">, 118411. </w:t>
      </w:r>
    </w:p>
    <w:p w14:paraId="11B92245" w14:textId="77777777" w:rsidR="00367448" w:rsidRDefault="000B472C">
      <w:pPr>
        <w:spacing w:line="324" w:lineRule="auto"/>
        <w:ind w:left="705" w:right="60" w:hanging="720"/>
      </w:pPr>
      <w:r>
        <w:t xml:space="preserve">Nikolic, M. V., Vasiljevic, Z. Z., Auger, S., &amp; Vidic, J. (2021). Metal oxide nanoparticles for safe active and intelligent food packaging. </w:t>
      </w:r>
      <w:r>
        <w:rPr>
          <w:i/>
        </w:rPr>
        <w:t>Trends in Food Science &amp; Technology, 11</w:t>
      </w:r>
      <w:r>
        <w:rPr>
          <w:i/>
        </w:rPr>
        <w:t>6</w:t>
      </w:r>
      <w:r>
        <w:t xml:space="preserve">, 655-668. </w:t>
      </w:r>
    </w:p>
    <w:p w14:paraId="06646871" w14:textId="77777777" w:rsidR="00367448" w:rsidRDefault="000B472C">
      <w:pPr>
        <w:spacing w:line="324" w:lineRule="auto"/>
        <w:ind w:left="705" w:right="60" w:hanging="720"/>
      </w:pPr>
      <w:r>
        <w:t xml:space="preserve">Riahi, Z., Priyadarshi, R., Rhim, J.-W., &amp; Bagheri, R. (2021). </w:t>
      </w:r>
      <w:proofErr w:type="spellStart"/>
      <w:r>
        <w:t>Gelatin</w:t>
      </w:r>
      <w:proofErr w:type="spellEnd"/>
      <w:r>
        <w:t xml:space="preserve">-based functional films integrated with grapefruit seed extract and TiO2 for active food packaging applications. </w:t>
      </w:r>
      <w:r>
        <w:rPr>
          <w:i/>
        </w:rPr>
        <w:t>Food Hydrocolloids, 112</w:t>
      </w:r>
      <w:r>
        <w:t xml:space="preserve">, 106314. </w:t>
      </w:r>
    </w:p>
    <w:p w14:paraId="55077371" w14:textId="77777777" w:rsidR="00367448" w:rsidRDefault="000B472C">
      <w:pPr>
        <w:spacing w:line="324" w:lineRule="auto"/>
        <w:ind w:left="705" w:right="60" w:hanging="720"/>
      </w:pPr>
      <w:r>
        <w:lastRenderedPageBreak/>
        <w:t xml:space="preserve">Romero, J., Albertos, I., </w:t>
      </w:r>
      <w:proofErr w:type="spellStart"/>
      <w:r>
        <w:t>Díez</w:t>
      </w:r>
      <w:proofErr w:type="spellEnd"/>
      <w:r>
        <w:t xml:space="preserve">-Méndez, A., &amp; Poveda, J. (2022). Control of postharvest diseases in berries through edible coatings and bacterial probiotics. </w:t>
      </w:r>
      <w:r>
        <w:rPr>
          <w:i/>
        </w:rPr>
        <w:t xml:space="preserve">Scientia </w:t>
      </w:r>
      <w:proofErr w:type="spellStart"/>
      <w:r>
        <w:rPr>
          <w:i/>
        </w:rPr>
        <w:t>Horticulturae</w:t>
      </w:r>
      <w:proofErr w:type="spellEnd"/>
      <w:r>
        <w:rPr>
          <w:i/>
        </w:rPr>
        <w:t>, 304</w:t>
      </w:r>
      <w:r>
        <w:t xml:space="preserve">, 111326. </w:t>
      </w:r>
    </w:p>
    <w:p w14:paraId="19E49F54" w14:textId="77777777" w:rsidR="00367448" w:rsidRDefault="000B472C">
      <w:pPr>
        <w:spacing w:line="324" w:lineRule="auto"/>
        <w:ind w:left="705" w:right="60" w:hanging="720"/>
      </w:pPr>
      <w:r>
        <w:t xml:space="preserve">Roy, S., Priyadarshi, R., &amp; Rhim, J.-W. (2022). </w:t>
      </w:r>
      <w:proofErr w:type="spellStart"/>
      <w:r>
        <w:t>Gelatin</w:t>
      </w:r>
      <w:proofErr w:type="spellEnd"/>
      <w:r>
        <w:t>/agar-based multifunctional film</w:t>
      </w:r>
      <w:r>
        <w:t xml:space="preserve"> integrated with copper-doped zinc oxide nanoparticles and clove essential oil Pickering emulsion for </w:t>
      </w:r>
      <w:proofErr w:type="gramStart"/>
      <w:r>
        <w:t>enhancing</w:t>
      </w:r>
      <w:proofErr w:type="gramEnd"/>
      <w:r>
        <w:t xml:space="preserve"> </w:t>
      </w:r>
    </w:p>
    <w:p w14:paraId="72C114DB" w14:textId="77777777" w:rsidR="00367448" w:rsidRDefault="000B472C">
      <w:pPr>
        <w:spacing w:after="63" w:line="259" w:lineRule="auto"/>
        <w:ind w:left="730" w:right="60"/>
      </w:pPr>
      <w:r>
        <w:t xml:space="preserve">the shelf life of pork meat. </w:t>
      </w:r>
      <w:r>
        <w:rPr>
          <w:i/>
        </w:rPr>
        <w:t>Food Research International, 160</w:t>
      </w:r>
      <w:r>
        <w:t xml:space="preserve">, 111690. </w:t>
      </w:r>
    </w:p>
    <w:p w14:paraId="744A105D" w14:textId="77777777" w:rsidR="00367448" w:rsidRDefault="000B472C">
      <w:pPr>
        <w:spacing w:line="324" w:lineRule="auto"/>
        <w:ind w:left="705" w:right="60" w:hanging="720"/>
      </w:pPr>
      <w:r>
        <w:t>Roy, S., &amp; Rhim, J.-</w:t>
      </w:r>
      <w:r>
        <w:t xml:space="preserve">W. (2021). Carrageenan/agar-based functional film integrated with zinc </w:t>
      </w:r>
      <w:proofErr w:type="spellStart"/>
      <w:r>
        <w:t>sulfide</w:t>
      </w:r>
      <w:proofErr w:type="spellEnd"/>
      <w:r>
        <w:t xml:space="preserve"> nanoparticles and Pickering emulsion of tea tree essential oil for active packaging applications. </w:t>
      </w:r>
      <w:r>
        <w:rPr>
          <w:i/>
        </w:rPr>
        <w:t>International Journal of Biological Macromolecules, 193</w:t>
      </w:r>
      <w:r>
        <w:t xml:space="preserve">, 2038-2046. </w:t>
      </w:r>
    </w:p>
    <w:p w14:paraId="5862B4E6" w14:textId="77777777" w:rsidR="00367448" w:rsidRDefault="000B472C">
      <w:pPr>
        <w:spacing w:line="324" w:lineRule="auto"/>
        <w:ind w:left="705" w:right="60" w:hanging="720"/>
      </w:pPr>
      <w:r>
        <w:t>Sani, I. K</w:t>
      </w:r>
      <w:r>
        <w:t xml:space="preserve">., </w:t>
      </w:r>
      <w:proofErr w:type="spellStart"/>
      <w:r>
        <w:t>Pirsa</w:t>
      </w:r>
      <w:proofErr w:type="spellEnd"/>
      <w:r>
        <w:t xml:space="preserve">, S., &amp; </w:t>
      </w:r>
      <w:proofErr w:type="spellStart"/>
      <w:r>
        <w:t>Tağı</w:t>
      </w:r>
      <w:proofErr w:type="spellEnd"/>
      <w:r>
        <w:t xml:space="preserve">, Ş. (2019). Preparation of chitosan/zinc oxide/Melissa officinalis essential oil nano-composite film and evaluation of physical, </w:t>
      </w:r>
      <w:proofErr w:type="gramStart"/>
      <w:r>
        <w:t>mechanical</w:t>
      </w:r>
      <w:proofErr w:type="gramEnd"/>
      <w:r>
        <w:t xml:space="preserve"> and antimicrobial properties by response surface method. </w:t>
      </w:r>
      <w:r>
        <w:rPr>
          <w:i/>
        </w:rPr>
        <w:t>Polymer Testing, 79</w:t>
      </w:r>
      <w:r>
        <w:t xml:space="preserve">, 106004. </w:t>
      </w:r>
    </w:p>
    <w:p w14:paraId="5DC2B1CC" w14:textId="77777777" w:rsidR="00367448" w:rsidRDefault="000B472C">
      <w:pPr>
        <w:spacing w:line="324" w:lineRule="auto"/>
        <w:ind w:left="705" w:right="60" w:hanging="720"/>
      </w:pPr>
      <w:r>
        <w:t>Shah, S.</w:t>
      </w:r>
      <w:r>
        <w:t xml:space="preserve">, Hashmi, M. S., Qazi, I. M., Durrani, Y., </w:t>
      </w:r>
      <w:proofErr w:type="spellStart"/>
      <w:r>
        <w:t>Sarkhosh</w:t>
      </w:r>
      <w:proofErr w:type="spellEnd"/>
      <w:r>
        <w:t xml:space="preserve">, A., Hussain, I., &amp; Brecht, J. K. (2021). </w:t>
      </w:r>
      <w:proofErr w:type="spellStart"/>
      <w:r>
        <w:t>Prestorage</w:t>
      </w:r>
      <w:proofErr w:type="spellEnd"/>
      <w:r>
        <w:t xml:space="preserve"> chitosan-thyme oil coating control anthracnose in mango fruit. </w:t>
      </w:r>
      <w:r>
        <w:rPr>
          <w:i/>
        </w:rPr>
        <w:t xml:space="preserve">Scientia </w:t>
      </w:r>
      <w:proofErr w:type="spellStart"/>
      <w:r>
        <w:rPr>
          <w:i/>
        </w:rPr>
        <w:t>Horticulturae</w:t>
      </w:r>
      <w:proofErr w:type="spellEnd"/>
      <w:r>
        <w:rPr>
          <w:i/>
        </w:rPr>
        <w:t>, 284</w:t>
      </w:r>
      <w:r>
        <w:t xml:space="preserve">, 110139. </w:t>
      </w:r>
    </w:p>
    <w:p w14:paraId="112BBB93" w14:textId="77777777" w:rsidR="00367448" w:rsidRDefault="000B472C">
      <w:pPr>
        <w:spacing w:line="324" w:lineRule="auto"/>
        <w:ind w:left="705" w:right="60" w:hanging="720"/>
      </w:pPr>
      <w:r>
        <w:t>Shankar, S., Teng, X., Li, G., &amp; Rhim, J.-W. (2015</w:t>
      </w:r>
      <w:r>
        <w:t xml:space="preserve">). Preparation, characterization, and antimicrobial activity of </w:t>
      </w:r>
      <w:proofErr w:type="spellStart"/>
      <w:r>
        <w:t>gelatin</w:t>
      </w:r>
      <w:proofErr w:type="spellEnd"/>
      <w:r>
        <w:t>/</w:t>
      </w:r>
      <w:proofErr w:type="spellStart"/>
      <w:r>
        <w:t>ZnO</w:t>
      </w:r>
      <w:proofErr w:type="spellEnd"/>
      <w:r>
        <w:t xml:space="preserve"> nanocomposite films. </w:t>
      </w:r>
      <w:r>
        <w:rPr>
          <w:i/>
        </w:rPr>
        <w:t>Food Hydrocolloids, 45</w:t>
      </w:r>
      <w:r>
        <w:t xml:space="preserve">, 264-271. </w:t>
      </w:r>
    </w:p>
    <w:p w14:paraId="55C7AF6C" w14:textId="77777777" w:rsidR="00367448" w:rsidRDefault="000B472C">
      <w:pPr>
        <w:spacing w:line="325" w:lineRule="auto"/>
        <w:ind w:left="705" w:right="60" w:hanging="720"/>
      </w:pPr>
      <w:r>
        <w:t xml:space="preserve">Sun, Q., Li, J., &amp; Le, T. (2018). Zinc Oxide Nanoparticle as a Novel Class of Antifungal Agents: Current Advances and Future </w:t>
      </w:r>
      <w:r>
        <w:t xml:space="preserve">Perspectives. </w:t>
      </w:r>
      <w:r>
        <w:rPr>
          <w:i/>
        </w:rPr>
        <w:t>Journal of Agricultural and Food Chemistry, 66</w:t>
      </w:r>
      <w:r>
        <w:t xml:space="preserve">(43), 1120911220. </w:t>
      </w:r>
    </w:p>
    <w:p w14:paraId="68A1A4D6" w14:textId="77777777" w:rsidR="00367448" w:rsidRDefault="000B472C">
      <w:pPr>
        <w:spacing w:line="324" w:lineRule="auto"/>
        <w:ind w:left="705" w:right="60" w:hanging="720"/>
      </w:pPr>
      <w:r>
        <w:t xml:space="preserve">Vogler, E. A. (1998). Structure and reactivity of water at biomaterial surfaces. </w:t>
      </w:r>
      <w:r>
        <w:rPr>
          <w:i/>
        </w:rPr>
        <w:t>Advances in Colloid and Interface Science, 74</w:t>
      </w:r>
      <w:r>
        <w:t xml:space="preserve">(1), 69-117. </w:t>
      </w:r>
    </w:p>
    <w:p w14:paraId="1C3DA772" w14:textId="77777777" w:rsidR="00367448" w:rsidRDefault="000B472C">
      <w:pPr>
        <w:spacing w:line="324" w:lineRule="auto"/>
        <w:ind w:left="705" w:right="60" w:hanging="720"/>
      </w:pPr>
      <w:r>
        <w:t xml:space="preserve">Wang, H., Yang, Z., Ying, G., Yang, M., Nian, Y., Wei, F., &amp; Kong, W. (2018). Antifungal evaluation of plant essential oils and their major components against toxigenic fungi. </w:t>
      </w:r>
      <w:r>
        <w:rPr>
          <w:i/>
        </w:rPr>
        <w:t>Industrial Crops and Products, 120</w:t>
      </w:r>
      <w:r>
        <w:t xml:space="preserve">, 180-186. </w:t>
      </w:r>
    </w:p>
    <w:p w14:paraId="044D8401" w14:textId="77777777" w:rsidR="00367448" w:rsidRDefault="000B472C">
      <w:pPr>
        <w:spacing w:line="324" w:lineRule="auto"/>
        <w:ind w:left="705" w:right="60" w:hanging="720"/>
      </w:pPr>
      <w:r>
        <w:t>Wang, T., Yang, Z., Zhang, C., Zha</w:t>
      </w:r>
      <w:r>
        <w:t xml:space="preserve">i, X., Zhang, X., Huang, X., Li, Z., Zhang, X., Zou, X., &amp; Shi, J. (2022). Chitosan-cinnamon essential oil/sodium alginate-TiO2 bilayer films with enhanced bioactive retention property: Application for mango preservation. </w:t>
      </w:r>
      <w:r>
        <w:rPr>
          <w:i/>
        </w:rPr>
        <w:t>International Journal of Biologica</w:t>
      </w:r>
      <w:r>
        <w:rPr>
          <w:i/>
        </w:rPr>
        <w:t>l Macromolecules, 222</w:t>
      </w:r>
      <w:r>
        <w:t xml:space="preserve">, 2843-2854. </w:t>
      </w:r>
    </w:p>
    <w:p w14:paraId="2CCDC7B2" w14:textId="77777777" w:rsidR="00367448" w:rsidRDefault="000B472C">
      <w:pPr>
        <w:spacing w:line="325" w:lineRule="auto"/>
        <w:ind w:left="705" w:right="60" w:hanging="720"/>
      </w:pPr>
      <w:r>
        <w:t xml:space="preserve">Wei, Y.-C., Cheng, C.-H., Ho, Y.-C., Tsai, M.-L., &amp; Mi, F.-L. (2017). Active </w:t>
      </w:r>
      <w:proofErr w:type="spellStart"/>
      <w:r>
        <w:t>gellan</w:t>
      </w:r>
      <w:proofErr w:type="spellEnd"/>
      <w:r>
        <w:t xml:space="preserve"> gum/purple sweet potato composite films capable of monitoring pH variations. </w:t>
      </w:r>
      <w:r>
        <w:rPr>
          <w:i/>
        </w:rPr>
        <w:t>Food Hydrocolloids, 69</w:t>
      </w:r>
      <w:r>
        <w:t xml:space="preserve">, 491-502. </w:t>
      </w:r>
    </w:p>
    <w:p w14:paraId="6D72CD61" w14:textId="77777777" w:rsidR="00367448" w:rsidRDefault="000B472C">
      <w:pPr>
        <w:spacing w:line="324" w:lineRule="auto"/>
        <w:ind w:left="705" w:right="60" w:hanging="720"/>
      </w:pPr>
      <w:r>
        <w:t>Wu, J., Sun, Q., Huang, H.</w:t>
      </w:r>
      <w:r>
        <w:t xml:space="preserve">, Duan, Y., Xiao, G., &amp; Le, T. (2019). Enhanced </w:t>
      </w:r>
      <w:proofErr w:type="spellStart"/>
      <w:r>
        <w:t>physico</w:t>
      </w:r>
      <w:proofErr w:type="spellEnd"/>
      <w:r>
        <w:t xml:space="preserve">-mechanical, barrier and antifungal properties of soy protein isolate film by incorporating both plant-sourced cinnamaldehyde and facile synthesized zinc oxide nanosheets. </w:t>
      </w:r>
      <w:r>
        <w:rPr>
          <w:i/>
        </w:rPr>
        <w:t xml:space="preserve">Colloids and Surfaces B: </w:t>
      </w:r>
      <w:proofErr w:type="spellStart"/>
      <w:r>
        <w:rPr>
          <w:i/>
        </w:rPr>
        <w:t>Bioi</w:t>
      </w:r>
      <w:r>
        <w:rPr>
          <w:i/>
        </w:rPr>
        <w:t>nterfaces</w:t>
      </w:r>
      <w:proofErr w:type="spellEnd"/>
      <w:r>
        <w:rPr>
          <w:i/>
        </w:rPr>
        <w:t>, 180</w:t>
      </w:r>
      <w:r>
        <w:t xml:space="preserve">, 31-38. </w:t>
      </w:r>
    </w:p>
    <w:p w14:paraId="683DFAA5" w14:textId="77777777" w:rsidR="00367448" w:rsidRDefault="000B472C">
      <w:pPr>
        <w:spacing w:line="324" w:lineRule="auto"/>
        <w:ind w:left="705" w:right="60" w:hanging="720"/>
      </w:pPr>
      <w:r>
        <w:t xml:space="preserve">Xu, J., He, M., Wei, C., Duan, M., Yu, S., Li, D., Zhong, W., Tong, C., Pang, J., &amp; Wu, C. (2023). Konjac glucomannan films with Pickering emulsion stabilized by TEMPO-oxidized chitin nanocrystal for active food packaging. </w:t>
      </w:r>
      <w:r>
        <w:rPr>
          <w:i/>
        </w:rPr>
        <w:t>Food Hydr</w:t>
      </w:r>
      <w:r>
        <w:rPr>
          <w:i/>
        </w:rPr>
        <w:t>ocolloids, 139</w:t>
      </w:r>
      <w:r>
        <w:t xml:space="preserve">, 108539. </w:t>
      </w:r>
    </w:p>
    <w:p w14:paraId="2CC58840" w14:textId="77777777" w:rsidR="00367448" w:rsidRDefault="000B472C">
      <w:pPr>
        <w:spacing w:after="0" w:line="324" w:lineRule="auto"/>
        <w:ind w:left="715" w:hanging="730"/>
        <w:jc w:val="left"/>
      </w:pPr>
      <w:r>
        <w:t xml:space="preserve">Yang, Z., Li, C., Wang, T., Li, Z., Zou, X., Huang, X., Zhai, X., Shi, J., Shen, T., Gong, Y., Holmes, M., &amp; Povey, M. (2023). Novel </w:t>
      </w:r>
      <w:proofErr w:type="spellStart"/>
      <w:r>
        <w:t>gellan</w:t>
      </w:r>
      <w:proofErr w:type="spellEnd"/>
      <w:r>
        <w:t xml:space="preserve"> gum-based probiotic film with enhanced biological activity and probiotic viability: Applica</w:t>
      </w:r>
      <w:r>
        <w:t xml:space="preserve">tion for fresh-cut apples and potatoes. </w:t>
      </w:r>
      <w:r>
        <w:rPr>
          <w:i/>
        </w:rPr>
        <w:t>International Journal of Biological Macromolecules, 239</w:t>
      </w:r>
      <w:r>
        <w:t xml:space="preserve">, 124128. </w:t>
      </w:r>
    </w:p>
    <w:p w14:paraId="3108BFD7" w14:textId="77777777" w:rsidR="00367448" w:rsidRDefault="000B472C">
      <w:pPr>
        <w:spacing w:line="324" w:lineRule="auto"/>
        <w:ind w:left="705" w:right="60" w:hanging="720"/>
      </w:pPr>
      <w:r>
        <w:t>Yang, Z., Li, M., Zhai, X., Zhao, L., Tahir, H. E., Shi, J., Zou, X., Huang, X., Li, Z., &amp; Xiao, J. (2022). Development and characterization of sodium</w:t>
      </w:r>
      <w:r>
        <w:t xml:space="preserve"> alginate/tea tree essential oil </w:t>
      </w:r>
      <w:proofErr w:type="spellStart"/>
      <w:r>
        <w:t>nanoemulsion</w:t>
      </w:r>
      <w:proofErr w:type="spellEnd"/>
      <w:r>
        <w:t xml:space="preserve"> active </w:t>
      </w:r>
      <w:r>
        <w:lastRenderedPageBreak/>
        <w:t xml:space="preserve">film containing TiO2 nanoparticles for banana packaging. </w:t>
      </w:r>
      <w:r>
        <w:rPr>
          <w:i/>
        </w:rPr>
        <w:t>International Journal of Biological Macromolecules, 213</w:t>
      </w:r>
      <w:r>
        <w:t xml:space="preserve">, 145-154. </w:t>
      </w:r>
    </w:p>
    <w:p w14:paraId="37B4649C" w14:textId="77777777" w:rsidR="00367448" w:rsidRDefault="000B472C">
      <w:pPr>
        <w:spacing w:after="63" w:line="324" w:lineRule="auto"/>
        <w:ind w:left="705" w:right="60" w:hanging="720"/>
      </w:pPr>
      <w:r>
        <w:t>Yang, Z., Zhai, X., Zhang, C., Shi, J., Huang, X., Li, Z., Zou, X., Gong, Y., H</w:t>
      </w:r>
      <w:r>
        <w:t xml:space="preserve">olmes, M., Povey, M., &amp; Xiao, J. (2022). Agar/TiO2/radish anthocyanin/neem essential oil </w:t>
      </w:r>
      <w:proofErr w:type="spellStart"/>
      <w:r>
        <w:t>bionanocomposite</w:t>
      </w:r>
      <w:proofErr w:type="spellEnd"/>
      <w:r>
        <w:t xml:space="preserve"> bilayer films with improved bioactive capability and electrochemical writing property for banana preservation. </w:t>
      </w:r>
      <w:r>
        <w:rPr>
          <w:i/>
        </w:rPr>
        <w:t>Food Hydrocolloids, 123</w:t>
      </w:r>
      <w:r>
        <w:t xml:space="preserve">, 107187. </w:t>
      </w:r>
    </w:p>
    <w:p w14:paraId="1E8495C8" w14:textId="77777777" w:rsidR="00367448" w:rsidRDefault="000B472C">
      <w:pPr>
        <w:spacing w:line="324" w:lineRule="auto"/>
        <w:ind w:left="705" w:right="60" w:hanging="720"/>
      </w:pPr>
      <w:r>
        <w:t>Yang,</w:t>
      </w:r>
      <w:r>
        <w:t xml:space="preserve"> Z., Zou, X., Li, Z., Huang, X., &amp; Tahir, H. E. (2019). Improved Postharvest Quality of Cold Stored Blueberry by Edible Coating Based on Composite Gum Arabic/Roselle Extract. </w:t>
      </w:r>
      <w:r>
        <w:rPr>
          <w:i/>
        </w:rPr>
        <w:t>Food and Bioprocess Technology, 12</w:t>
      </w:r>
      <w:r>
        <w:t xml:space="preserve">(1). </w:t>
      </w:r>
    </w:p>
    <w:p w14:paraId="5F72DCB7" w14:textId="77777777" w:rsidR="00367448" w:rsidRDefault="000B472C">
      <w:pPr>
        <w:spacing w:line="324" w:lineRule="auto"/>
        <w:ind w:left="705" w:right="60" w:hanging="720"/>
      </w:pPr>
      <w:r>
        <w:t>Zhao, G., Wang, S., Li, Y., Yang, L., &amp; S</w:t>
      </w:r>
      <w:r>
        <w:t xml:space="preserve">ong, H. (2023). Properties and microstructure of </w:t>
      </w:r>
      <w:proofErr w:type="spellStart"/>
      <w:r>
        <w:t>pickering</w:t>
      </w:r>
      <w:proofErr w:type="spellEnd"/>
      <w:r>
        <w:t xml:space="preserve"> emulsion synergistically stabilized by silica particles and soy hull polysaccharides. </w:t>
      </w:r>
      <w:r>
        <w:rPr>
          <w:i/>
        </w:rPr>
        <w:t>Food Hydrocolloids, 134</w:t>
      </w:r>
      <w:r>
        <w:t xml:space="preserve">, 108084. </w:t>
      </w:r>
    </w:p>
    <w:p w14:paraId="548A481F" w14:textId="77777777" w:rsidR="00367448" w:rsidRDefault="000B472C">
      <w:pPr>
        <w:spacing w:line="324" w:lineRule="auto"/>
        <w:ind w:left="705" w:right="60" w:hanging="720"/>
      </w:pPr>
      <w:r>
        <w:t>Zhao, P., Yan, X., Cheng, M., Wang, Y., Wang, Y., Wang, K., Wang, X., &amp; Wang,</w:t>
      </w:r>
      <w:r>
        <w:t xml:space="preserve"> J. (2023). Effect of Pickering emulsion on the physical properties, </w:t>
      </w:r>
      <w:proofErr w:type="gramStart"/>
      <w:r>
        <w:t>microstructure</w:t>
      </w:r>
      <w:proofErr w:type="gramEnd"/>
      <w:r>
        <w:t xml:space="preserve"> and bioactivity of corn starch/cassia gum composite films. </w:t>
      </w:r>
      <w:r>
        <w:rPr>
          <w:i/>
        </w:rPr>
        <w:t>Food Hydrocolloids, 141</w:t>
      </w:r>
      <w:r>
        <w:t xml:space="preserve">, 108713. </w:t>
      </w:r>
    </w:p>
    <w:p w14:paraId="57FDBFD3" w14:textId="77777777" w:rsidR="00367448" w:rsidRDefault="000B472C">
      <w:pPr>
        <w:spacing w:after="176" w:line="324" w:lineRule="auto"/>
        <w:ind w:left="705" w:right="60" w:hanging="720"/>
      </w:pPr>
      <w:r>
        <w:t xml:space="preserve">Zhao, Y., An, J., Su, H., Li, B., Liang, D., &amp; Huang, C. (2022). Antimicrobial </w:t>
      </w:r>
      <w:r>
        <w:t xml:space="preserve">food packaging integrating polysaccharide-based substrates with green antimicrobial agents: A sustainable path. </w:t>
      </w:r>
      <w:r>
        <w:rPr>
          <w:i/>
        </w:rPr>
        <w:t>Food Research International, 155</w:t>
      </w:r>
      <w:r>
        <w:t xml:space="preserve">, 111096. </w:t>
      </w:r>
    </w:p>
    <w:p w14:paraId="3CB4F771" w14:textId="77777777" w:rsidR="00367448" w:rsidRDefault="000B472C">
      <w:pPr>
        <w:spacing w:after="0" w:line="259" w:lineRule="auto"/>
        <w:ind w:left="0" w:firstLine="0"/>
        <w:jc w:val="left"/>
      </w:pPr>
      <w:r>
        <w:rPr>
          <w:b/>
          <w:sz w:val="24"/>
        </w:rPr>
        <w:t xml:space="preserve"> </w:t>
      </w:r>
    </w:p>
    <w:p w14:paraId="05857236" w14:textId="77777777" w:rsidR="00367448" w:rsidRDefault="00367448">
      <w:pPr>
        <w:sectPr w:rsidR="00367448">
          <w:headerReference w:type="even" r:id="rId16"/>
          <w:headerReference w:type="default" r:id="rId17"/>
          <w:headerReference w:type="first" r:id="rId18"/>
          <w:pgSz w:w="11906" w:h="16838"/>
          <w:pgMar w:top="1488" w:right="1732" w:bottom="1472" w:left="1800" w:header="720" w:footer="720" w:gutter="0"/>
          <w:lnNumType w:countBy="1" w:start="28" w:restart="continuous"/>
          <w:cols w:space="720"/>
        </w:sectPr>
      </w:pPr>
    </w:p>
    <w:p w14:paraId="6B7B3205" w14:textId="77777777" w:rsidR="00367448" w:rsidRDefault="000B472C">
      <w:pPr>
        <w:spacing w:after="243" w:line="259" w:lineRule="auto"/>
        <w:ind w:left="-17" w:right="-14" w:firstLine="0"/>
        <w:jc w:val="left"/>
      </w:pPr>
      <w:r>
        <w:rPr>
          <w:noProof/>
        </w:rPr>
        <w:lastRenderedPageBreak/>
        <w:drawing>
          <wp:inline distT="0" distB="0" distL="0" distR="0" wp14:anchorId="5BB83017" wp14:editId="4419CA48">
            <wp:extent cx="5751577" cy="3781044"/>
            <wp:effectExtent l="0" t="0" r="0" b="0"/>
            <wp:docPr id="8278" name="Picture 8278"/>
            <wp:cNvGraphicFramePr/>
            <a:graphic xmlns:a="http://schemas.openxmlformats.org/drawingml/2006/main">
              <a:graphicData uri="http://schemas.openxmlformats.org/drawingml/2006/picture">
                <pic:pic xmlns:pic="http://schemas.openxmlformats.org/drawingml/2006/picture">
                  <pic:nvPicPr>
                    <pic:cNvPr id="8278" name="Picture 8278"/>
                    <pic:cNvPicPr/>
                  </pic:nvPicPr>
                  <pic:blipFill>
                    <a:blip r:embed="rId19"/>
                    <a:stretch>
                      <a:fillRect/>
                    </a:stretch>
                  </pic:blipFill>
                  <pic:spPr>
                    <a:xfrm>
                      <a:off x="0" y="0"/>
                      <a:ext cx="5751577" cy="3781044"/>
                    </a:xfrm>
                    <a:prstGeom prst="rect">
                      <a:avLst/>
                    </a:prstGeom>
                  </pic:spPr>
                </pic:pic>
              </a:graphicData>
            </a:graphic>
          </wp:inline>
        </w:drawing>
      </w:r>
    </w:p>
    <w:p w14:paraId="703AD0B1" w14:textId="77777777" w:rsidR="00367448" w:rsidRDefault="000B472C">
      <w:pPr>
        <w:spacing w:after="0" w:line="259" w:lineRule="auto"/>
        <w:ind w:left="4513" w:firstLine="0"/>
      </w:pPr>
      <w:r>
        <w:rPr>
          <w:rFonts w:ascii="Arial" w:eastAsia="Arial" w:hAnsi="Arial" w:cs="Arial"/>
          <w:sz w:val="21"/>
        </w:rPr>
        <w:t xml:space="preserve"> </w:t>
      </w:r>
      <w:r>
        <w:br w:type="page"/>
      </w:r>
    </w:p>
    <w:p w14:paraId="1B64FF47" w14:textId="77777777" w:rsidR="00367448" w:rsidRDefault="000B472C">
      <w:pPr>
        <w:spacing w:after="246" w:line="259" w:lineRule="auto"/>
        <w:ind w:left="34" w:firstLine="0"/>
        <w:jc w:val="left"/>
      </w:pPr>
      <w:r>
        <w:rPr>
          <w:noProof/>
        </w:rPr>
        <w:lastRenderedPageBreak/>
        <w:drawing>
          <wp:inline distT="0" distB="0" distL="0" distR="0" wp14:anchorId="2C720386" wp14:editId="2CFDFD94">
            <wp:extent cx="5687569" cy="3351276"/>
            <wp:effectExtent l="0" t="0" r="0" b="0"/>
            <wp:docPr id="8291" name="Picture 8291"/>
            <wp:cNvGraphicFramePr/>
            <a:graphic xmlns:a="http://schemas.openxmlformats.org/drawingml/2006/main">
              <a:graphicData uri="http://schemas.openxmlformats.org/drawingml/2006/picture">
                <pic:pic xmlns:pic="http://schemas.openxmlformats.org/drawingml/2006/picture">
                  <pic:nvPicPr>
                    <pic:cNvPr id="8291" name="Picture 8291"/>
                    <pic:cNvPicPr/>
                  </pic:nvPicPr>
                  <pic:blipFill>
                    <a:blip r:embed="rId20"/>
                    <a:stretch>
                      <a:fillRect/>
                    </a:stretch>
                  </pic:blipFill>
                  <pic:spPr>
                    <a:xfrm>
                      <a:off x="0" y="0"/>
                      <a:ext cx="5687569" cy="3351276"/>
                    </a:xfrm>
                    <a:prstGeom prst="rect">
                      <a:avLst/>
                    </a:prstGeom>
                  </pic:spPr>
                </pic:pic>
              </a:graphicData>
            </a:graphic>
          </wp:inline>
        </w:drawing>
      </w:r>
    </w:p>
    <w:p w14:paraId="0CA20CB4" w14:textId="77777777" w:rsidR="00367448" w:rsidRDefault="000B472C">
      <w:pPr>
        <w:spacing w:after="0" w:line="259" w:lineRule="auto"/>
        <w:ind w:left="4513" w:firstLine="0"/>
      </w:pPr>
      <w:r>
        <w:rPr>
          <w:rFonts w:ascii="Arial" w:eastAsia="Arial" w:hAnsi="Arial" w:cs="Arial"/>
          <w:sz w:val="21"/>
        </w:rPr>
        <w:t xml:space="preserve"> </w:t>
      </w:r>
      <w:r>
        <w:br w:type="page"/>
      </w:r>
    </w:p>
    <w:p w14:paraId="3FCE1AED" w14:textId="77777777" w:rsidR="00367448" w:rsidRDefault="000B472C">
      <w:pPr>
        <w:spacing w:after="256" w:line="259" w:lineRule="auto"/>
        <w:ind w:left="-768" w:right="-766" w:firstLine="0"/>
        <w:jc w:val="left"/>
      </w:pPr>
      <w:r>
        <w:rPr>
          <w:noProof/>
        </w:rPr>
        <w:lastRenderedPageBreak/>
        <w:drawing>
          <wp:inline distT="0" distB="0" distL="0" distR="0" wp14:anchorId="26F5DEB3" wp14:editId="416D3AE4">
            <wp:extent cx="6705600" cy="6050280"/>
            <wp:effectExtent l="0" t="0" r="0" b="0"/>
            <wp:docPr id="8304" name="Picture 8304"/>
            <wp:cNvGraphicFramePr/>
            <a:graphic xmlns:a="http://schemas.openxmlformats.org/drawingml/2006/main">
              <a:graphicData uri="http://schemas.openxmlformats.org/drawingml/2006/picture">
                <pic:pic xmlns:pic="http://schemas.openxmlformats.org/drawingml/2006/picture">
                  <pic:nvPicPr>
                    <pic:cNvPr id="8304" name="Picture 8304"/>
                    <pic:cNvPicPr/>
                  </pic:nvPicPr>
                  <pic:blipFill>
                    <a:blip r:embed="rId21"/>
                    <a:stretch>
                      <a:fillRect/>
                    </a:stretch>
                  </pic:blipFill>
                  <pic:spPr>
                    <a:xfrm>
                      <a:off x="0" y="0"/>
                      <a:ext cx="6705600" cy="6050280"/>
                    </a:xfrm>
                    <a:prstGeom prst="rect">
                      <a:avLst/>
                    </a:prstGeom>
                  </pic:spPr>
                </pic:pic>
              </a:graphicData>
            </a:graphic>
          </wp:inline>
        </w:drawing>
      </w:r>
    </w:p>
    <w:p w14:paraId="60EBBF27" w14:textId="77777777" w:rsidR="00367448" w:rsidRDefault="000B472C">
      <w:pPr>
        <w:spacing w:after="0" w:line="259" w:lineRule="auto"/>
        <w:ind w:left="360" w:firstLine="0"/>
      </w:pPr>
      <w:r>
        <w:rPr>
          <w:rFonts w:ascii="Arial" w:eastAsia="Arial" w:hAnsi="Arial" w:cs="Arial"/>
          <w:sz w:val="21"/>
        </w:rPr>
        <w:t xml:space="preserve"> </w:t>
      </w:r>
    </w:p>
    <w:p w14:paraId="4F1118D4" w14:textId="77777777" w:rsidR="00367448" w:rsidRDefault="000B472C">
      <w:pPr>
        <w:spacing w:after="246" w:line="259" w:lineRule="auto"/>
        <w:ind w:left="-497" w:right="-485" w:firstLine="0"/>
        <w:jc w:val="left"/>
      </w:pPr>
      <w:r>
        <w:rPr>
          <w:noProof/>
        </w:rPr>
        <w:lastRenderedPageBreak/>
        <w:drawing>
          <wp:inline distT="0" distB="0" distL="0" distR="0" wp14:anchorId="167909B5" wp14:editId="3C76262B">
            <wp:extent cx="6355080" cy="3808476"/>
            <wp:effectExtent l="0" t="0" r="0" b="0"/>
            <wp:docPr id="8317" name="Picture 8317"/>
            <wp:cNvGraphicFramePr/>
            <a:graphic xmlns:a="http://schemas.openxmlformats.org/drawingml/2006/main">
              <a:graphicData uri="http://schemas.openxmlformats.org/drawingml/2006/picture">
                <pic:pic xmlns:pic="http://schemas.openxmlformats.org/drawingml/2006/picture">
                  <pic:nvPicPr>
                    <pic:cNvPr id="8317" name="Picture 8317"/>
                    <pic:cNvPicPr/>
                  </pic:nvPicPr>
                  <pic:blipFill>
                    <a:blip r:embed="rId22"/>
                    <a:stretch>
                      <a:fillRect/>
                    </a:stretch>
                  </pic:blipFill>
                  <pic:spPr>
                    <a:xfrm>
                      <a:off x="0" y="0"/>
                      <a:ext cx="6355080" cy="3808476"/>
                    </a:xfrm>
                    <a:prstGeom prst="rect">
                      <a:avLst/>
                    </a:prstGeom>
                  </pic:spPr>
                </pic:pic>
              </a:graphicData>
            </a:graphic>
          </wp:inline>
        </w:drawing>
      </w:r>
    </w:p>
    <w:p w14:paraId="5DF258CD" w14:textId="77777777" w:rsidR="00367448" w:rsidRDefault="000B472C">
      <w:pPr>
        <w:spacing w:after="0" w:line="259" w:lineRule="auto"/>
        <w:ind w:left="360" w:firstLine="0"/>
      </w:pPr>
      <w:r>
        <w:rPr>
          <w:rFonts w:ascii="Arial" w:eastAsia="Arial" w:hAnsi="Arial" w:cs="Arial"/>
          <w:sz w:val="21"/>
        </w:rPr>
        <w:t xml:space="preserve"> </w:t>
      </w:r>
      <w:r>
        <w:br w:type="page"/>
      </w:r>
    </w:p>
    <w:p w14:paraId="35459DDE" w14:textId="77777777" w:rsidR="00367448" w:rsidRDefault="000B472C">
      <w:pPr>
        <w:spacing w:after="243" w:line="259" w:lineRule="auto"/>
        <w:ind w:left="-451" w:right="-439" w:firstLine="0"/>
        <w:jc w:val="left"/>
      </w:pPr>
      <w:r>
        <w:rPr>
          <w:noProof/>
        </w:rPr>
        <w:lastRenderedPageBreak/>
        <w:drawing>
          <wp:inline distT="0" distB="0" distL="0" distR="0" wp14:anchorId="1BA3090E" wp14:editId="589F11DC">
            <wp:extent cx="6297168" cy="3698748"/>
            <wp:effectExtent l="0" t="0" r="0" b="0"/>
            <wp:docPr id="8330" name="Picture 8330"/>
            <wp:cNvGraphicFramePr/>
            <a:graphic xmlns:a="http://schemas.openxmlformats.org/drawingml/2006/main">
              <a:graphicData uri="http://schemas.openxmlformats.org/drawingml/2006/picture">
                <pic:pic xmlns:pic="http://schemas.openxmlformats.org/drawingml/2006/picture">
                  <pic:nvPicPr>
                    <pic:cNvPr id="8330" name="Picture 8330"/>
                    <pic:cNvPicPr/>
                  </pic:nvPicPr>
                  <pic:blipFill>
                    <a:blip r:embed="rId23"/>
                    <a:stretch>
                      <a:fillRect/>
                    </a:stretch>
                  </pic:blipFill>
                  <pic:spPr>
                    <a:xfrm>
                      <a:off x="0" y="0"/>
                      <a:ext cx="6297168" cy="3698748"/>
                    </a:xfrm>
                    <a:prstGeom prst="rect">
                      <a:avLst/>
                    </a:prstGeom>
                  </pic:spPr>
                </pic:pic>
              </a:graphicData>
            </a:graphic>
          </wp:inline>
        </w:drawing>
      </w:r>
    </w:p>
    <w:p w14:paraId="4AC62EFB" w14:textId="77777777" w:rsidR="00367448" w:rsidRDefault="000B472C">
      <w:pPr>
        <w:spacing w:after="0" w:line="259" w:lineRule="auto"/>
        <w:ind w:left="360" w:firstLine="0"/>
      </w:pPr>
      <w:r>
        <w:rPr>
          <w:rFonts w:ascii="Arial" w:eastAsia="Arial" w:hAnsi="Arial" w:cs="Arial"/>
          <w:sz w:val="21"/>
        </w:rPr>
        <w:t xml:space="preserve"> </w:t>
      </w:r>
      <w:r>
        <w:br w:type="page"/>
      </w:r>
    </w:p>
    <w:p w14:paraId="30052B27" w14:textId="77777777" w:rsidR="00367448" w:rsidRDefault="000B472C">
      <w:pPr>
        <w:spacing w:after="243" w:line="259" w:lineRule="auto"/>
        <w:ind w:left="-1073" w:right="-1070" w:firstLine="0"/>
        <w:jc w:val="left"/>
      </w:pPr>
      <w:r>
        <w:rPr>
          <w:noProof/>
        </w:rPr>
        <w:lastRenderedPageBreak/>
        <w:drawing>
          <wp:inline distT="0" distB="0" distL="0" distR="0" wp14:anchorId="697D1277" wp14:editId="7E3A4E7F">
            <wp:extent cx="7092696" cy="3887724"/>
            <wp:effectExtent l="0" t="0" r="0" b="0"/>
            <wp:docPr id="8343" name="Picture 8343"/>
            <wp:cNvGraphicFramePr/>
            <a:graphic xmlns:a="http://schemas.openxmlformats.org/drawingml/2006/main">
              <a:graphicData uri="http://schemas.openxmlformats.org/drawingml/2006/picture">
                <pic:pic xmlns:pic="http://schemas.openxmlformats.org/drawingml/2006/picture">
                  <pic:nvPicPr>
                    <pic:cNvPr id="8343" name="Picture 8343"/>
                    <pic:cNvPicPr/>
                  </pic:nvPicPr>
                  <pic:blipFill>
                    <a:blip r:embed="rId24"/>
                    <a:stretch>
                      <a:fillRect/>
                    </a:stretch>
                  </pic:blipFill>
                  <pic:spPr>
                    <a:xfrm>
                      <a:off x="0" y="0"/>
                      <a:ext cx="7092696" cy="3887724"/>
                    </a:xfrm>
                    <a:prstGeom prst="rect">
                      <a:avLst/>
                    </a:prstGeom>
                  </pic:spPr>
                </pic:pic>
              </a:graphicData>
            </a:graphic>
          </wp:inline>
        </w:drawing>
      </w:r>
    </w:p>
    <w:p w14:paraId="51553415" w14:textId="77777777" w:rsidR="00367448" w:rsidRDefault="000B472C">
      <w:pPr>
        <w:spacing w:after="0" w:line="259" w:lineRule="auto"/>
        <w:ind w:left="360" w:firstLine="0"/>
      </w:pPr>
      <w:r>
        <w:rPr>
          <w:rFonts w:ascii="Arial" w:eastAsia="Arial" w:hAnsi="Arial" w:cs="Arial"/>
          <w:sz w:val="21"/>
        </w:rPr>
        <w:t xml:space="preserve"> </w:t>
      </w:r>
      <w:r>
        <w:br w:type="page"/>
      </w:r>
    </w:p>
    <w:p w14:paraId="4CBBFD51" w14:textId="77777777" w:rsidR="00367448" w:rsidRDefault="000B472C">
      <w:pPr>
        <w:spacing w:after="243" w:line="259" w:lineRule="auto"/>
        <w:ind w:left="-1289" w:right="-1286" w:firstLine="0"/>
        <w:jc w:val="left"/>
      </w:pPr>
      <w:r>
        <w:rPr>
          <w:noProof/>
        </w:rPr>
        <w:lastRenderedPageBreak/>
        <w:drawing>
          <wp:inline distT="0" distB="0" distL="0" distR="0" wp14:anchorId="1DE2543A" wp14:editId="0EC5F2BD">
            <wp:extent cx="7367016" cy="4492752"/>
            <wp:effectExtent l="0" t="0" r="0" b="0"/>
            <wp:docPr id="8356" name="Picture 8356"/>
            <wp:cNvGraphicFramePr/>
            <a:graphic xmlns:a="http://schemas.openxmlformats.org/drawingml/2006/main">
              <a:graphicData uri="http://schemas.openxmlformats.org/drawingml/2006/picture">
                <pic:pic xmlns:pic="http://schemas.openxmlformats.org/drawingml/2006/picture">
                  <pic:nvPicPr>
                    <pic:cNvPr id="8356" name="Picture 8356"/>
                    <pic:cNvPicPr/>
                  </pic:nvPicPr>
                  <pic:blipFill>
                    <a:blip r:embed="rId25"/>
                    <a:stretch>
                      <a:fillRect/>
                    </a:stretch>
                  </pic:blipFill>
                  <pic:spPr>
                    <a:xfrm>
                      <a:off x="0" y="0"/>
                      <a:ext cx="7367016" cy="4492752"/>
                    </a:xfrm>
                    <a:prstGeom prst="rect">
                      <a:avLst/>
                    </a:prstGeom>
                  </pic:spPr>
                </pic:pic>
              </a:graphicData>
            </a:graphic>
          </wp:inline>
        </w:drawing>
      </w:r>
    </w:p>
    <w:p w14:paraId="62F1F7A5" w14:textId="77777777" w:rsidR="00367448" w:rsidRDefault="000B472C">
      <w:pPr>
        <w:spacing w:after="0" w:line="259" w:lineRule="auto"/>
        <w:ind w:left="360" w:firstLine="0"/>
      </w:pPr>
      <w:r>
        <w:rPr>
          <w:rFonts w:ascii="Arial" w:eastAsia="Arial" w:hAnsi="Arial" w:cs="Arial"/>
          <w:sz w:val="21"/>
        </w:rPr>
        <w:t xml:space="preserve"> </w:t>
      </w:r>
    </w:p>
    <w:p w14:paraId="77B6725E" w14:textId="77777777" w:rsidR="00367448" w:rsidRDefault="000B472C">
      <w:pPr>
        <w:spacing w:after="244" w:line="259" w:lineRule="auto"/>
        <w:ind w:left="-737" w:right="-737" w:firstLine="0"/>
        <w:jc w:val="left"/>
      </w:pPr>
      <w:r>
        <w:rPr>
          <w:noProof/>
        </w:rPr>
        <w:lastRenderedPageBreak/>
        <w:drawing>
          <wp:inline distT="0" distB="0" distL="0" distR="0" wp14:anchorId="5AFE02F1" wp14:editId="5DC3BFED">
            <wp:extent cx="6667500" cy="7188708"/>
            <wp:effectExtent l="0" t="0" r="0" b="0"/>
            <wp:docPr id="8369" name="Picture 8369"/>
            <wp:cNvGraphicFramePr/>
            <a:graphic xmlns:a="http://schemas.openxmlformats.org/drawingml/2006/main">
              <a:graphicData uri="http://schemas.openxmlformats.org/drawingml/2006/picture">
                <pic:pic xmlns:pic="http://schemas.openxmlformats.org/drawingml/2006/picture">
                  <pic:nvPicPr>
                    <pic:cNvPr id="8369" name="Picture 8369"/>
                    <pic:cNvPicPr/>
                  </pic:nvPicPr>
                  <pic:blipFill>
                    <a:blip r:embed="rId26"/>
                    <a:stretch>
                      <a:fillRect/>
                    </a:stretch>
                  </pic:blipFill>
                  <pic:spPr>
                    <a:xfrm>
                      <a:off x="0" y="0"/>
                      <a:ext cx="6667500" cy="7188708"/>
                    </a:xfrm>
                    <a:prstGeom prst="rect">
                      <a:avLst/>
                    </a:prstGeom>
                  </pic:spPr>
                </pic:pic>
              </a:graphicData>
            </a:graphic>
          </wp:inline>
        </w:drawing>
      </w:r>
    </w:p>
    <w:p w14:paraId="2D4E82E6" w14:textId="77777777" w:rsidR="00367448" w:rsidRDefault="000B472C">
      <w:pPr>
        <w:spacing w:after="0" w:line="259" w:lineRule="auto"/>
        <w:ind w:left="360" w:firstLine="0"/>
      </w:pPr>
      <w:r>
        <w:rPr>
          <w:rFonts w:ascii="Arial" w:eastAsia="Arial" w:hAnsi="Arial" w:cs="Arial"/>
          <w:sz w:val="21"/>
        </w:rPr>
        <w:t xml:space="preserve"> </w:t>
      </w:r>
    </w:p>
    <w:p w14:paraId="38008A0C" w14:textId="77777777" w:rsidR="00367448" w:rsidRDefault="000B472C">
      <w:pPr>
        <w:spacing w:after="243" w:line="259" w:lineRule="auto"/>
        <w:ind w:left="-871" w:right="-864" w:firstLine="0"/>
        <w:jc w:val="left"/>
      </w:pPr>
      <w:r>
        <w:rPr>
          <w:noProof/>
        </w:rPr>
        <w:lastRenderedPageBreak/>
        <w:drawing>
          <wp:inline distT="0" distB="0" distL="0" distR="0" wp14:anchorId="39A6C1E9" wp14:editId="4D69E72D">
            <wp:extent cx="6833616" cy="4210812"/>
            <wp:effectExtent l="0" t="0" r="0" b="0"/>
            <wp:docPr id="8382" name="Picture 8382"/>
            <wp:cNvGraphicFramePr/>
            <a:graphic xmlns:a="http://schemas.openxmlformats.org/drawingml/2006/main">
              <a:graphicData uri="http://schemas.openxmlformats.org/drawingml/2006/picture">
                <pic:pic xmlns:pic="http://schemas.openxmlformats.org/drawingml/2006/picture">
                  <pic:nvPicPr>
                    <pic:cNvPr id="8382" name="Picture 8382"/>
                    <pic:cNvPicPr/>
                  </pic:nvPicPr>
                  <pic:blipFill>
                    <a:blip r:embed="rId27"/>
                    <a:stretch>
                      <a:fillRect/>
                    </a:stretch>
                  </pic:blipFill>
                  <pic:spPr>
                    <a:xfrm>
                      <a:off x="0" y="0"/>
                      <a:ext cx="6833616" cy="4210812"/>
                    </a:xfrm>
                    <a:prstGeom prst="rect">
                      <a:avLst/>
                    </a:prstGeom>
                  </pic:spPr>
                </pic:pic>
              </a:graphicData>
            </a:graphic>
          </wp:inline>
        </w:drawing>
      </w:r>
    </w:p>
    <w:p w14:paraId="07BCB5B2" w14:textId="77777777" w:rsidR="00367448" w:rsidRDefault="000B472C">
      <w:pPr>
        <w:spacing w:after="0" w:line="259" w:lineRule="auto"/>
        <w:ind w:left="360" w:firstLine="0"/>
      </w:pPr>
      <w:r>
        <w:rPr>
          <w:rFonts w:ascii="Arial" w:eastAsia="Arial" w:hAnsi="Arial" w:cs="Arial"/>
          <w:sz w:val="21"/>
        </w:rPr>
        <w:t xml:space="preserve"> </w:t>
      </w:r>
    </w:p>
    <w:p w14:paraId="6D931E24" w14:textId="77777777" w:rsidR="00367448" w:rsidRDefault="00367448">
      <w:pPr>
        <w:sectPr w:rsidR="00367448">
          <w:headerReference w:type="even" r:id="rId28"/>
          <w:headerReference w:type="default" r:id="rId29"/>
          <w:headerReference w:type="first" r:id="rId30"/>
          <w:pgSz w:w="11906" w:h="16838"/>
          <w:pgMar w:top="1440" w:right="1440" w:bottom="1440" w:left="1440" w:header="26" w:footer="720" w:gutter="0"/>
          <w:pgNumType w:start="1"/>
          <w:cols w:space="720"/>
        </w:sectPr>
      </w:pPr>
    </w:p>
    <w:p w14:paraId="3FF838EC" w14:textId="77777777" w:rsidR="00367448" w:rsidRDefault="000B472C">
      <w:pPr>
        <w:tabs>
          <w:tab w:val="right" w:pos="11326"/>
        </w:tabs>
        <w:spacing w:after="1254" w:line="259" w:lineRule="auto"/>
        <w:ind w:left="0" w:firstLine="0"/>
        <w:jc w:val="left"/>
      </w:pPr>
      <w:r>
        <w:rPr>
          <w:rFonts w:ascii="Arial" w:eastAsia="Arial" w:hAnsi="Arial" w:cs="Arial"/>
        </w:rPr>
        <w:lastRenderedPageBreak/>
        <w:t>Figure captions</w:t>
      </w:r>
      <w:r>
        <w:rPr>
          <w:rFonts w:ascii="Arial" w:eastAsia="Arial" w:hAnsi="Arial" w:cs="Arial"/>
        </w:rPr>
        <w:tab/>
      </w:r>
      <w:hyperlink r:id="rId31">
        <w:r>
          <w:rPr>
            <w:rFonts w:ascii="Arial" w:eastAsia="Arial" w:hAnsi="Arial" w:cs="Arial"/>
            <w:color w:val="003399"/>
          </w:rPr>
          <w:t>Click here to access/</w:t>
        </w:r>
        <w:proofErr w:type="spellStart"/>
        <w:r>
          <w:rPr>
            <w:rFonts w:ascii="Arial" w:eastAsia="Arial" w:hAnsi="Arial" w:cs="Arial"/>
            <w:color w:val="003399"/>
          </w:rPr>
          <w:t>download;Figure;Figure</w:t>
        </w:r>
        <w:proofErr w:type="spellEnd"/>
        <w:r>
          <w:rPr>
            <w:rFonts w:ascii="Arial" w:eastAsia="Arial" w:hAnsi="Arial" w:cs="Arial"/>
            <w:color w:val="003399"/>
          </w:rPr>
          <w:t xml:space="preserve"> captions.doc</w:t>
        </w:r>
      </w:hyperlink>
    </w:p>
    <w:p w14:paraId="30AC9AAA" w14:textId="77777777" w:rsidR="00367448" w:rsidRDefault="000B472C">
      <w:pPr>
        <w:spacing w:after="219" w:line="259" w:lineRule="auto"/>
        <w:ind w:right="60"/>
      </w:pPr>
      <w:r>
        <w:t>Fig. 1. Schematic of the fabrica</w:t>
      </w:r>
      <w:r>
        <w:t xml:space="preserve">tion of </w:t>
      </w:r>
      <w:proofErr w:type="spellStart"/>
      <w:r>
        <w:rPr>
          <w:i/>
        </w:rPr>
        <w:t>Litsea</w:t>
      </w:r>
      <w:proofErr w:type="spellEnd"/>
      <w:r>
        <w:rPr>
          <w:i/>
        </w:rPr>
        <w:t xml:space="preserve"> cubeba</w:t>
      </w:r>
      <w:r>
        <w:t xml:space="preserve"> oil Pickering emulsion (A) and film (B). </w:t>
      </w:r>
    </w:p>
    <w:p w14:paraId="68B638EF" w14:textId="77777777" w:rsidR="00367448" w:rsidRDefault="000B472C">
      <w:pPr>
        <w:spacing w:after="220" w:line="259" w:lineRule="auto"/>
        <w:ind w:right="60"/>
      </w:pPr>
      <w:r>
        <w:t>Fig. 2. Optical microscope observation (A),</w:t>
      </w:r>
      <w:r>
        <w:rPr>
          <w:rFonts w:ascii="Arial" w:eastAsia="Arial" w:hAnsi="Arial" w:cs="Arial"/>
          <w:sz w:val="21"/>
        </w:rPr>
        <w:t xml:space="preserve"> </w:t>
      </w:r>
      <w:r>
        <w:t xml:space="preserve">confocal laser scanning microscopic (B), droplet size and </w:t>
      </w:r>
    </w:p>
    <w:p w14:paraId="31B3061C" w14:textId="77777777" w:rsidR="00367448" w:rsidRDefault="000B472C">
      <w:pPr>
        <w:spacing w:after="220" w:line="259" w:lineRule="auto"/>
        <w:ind w:right="60"/>
      </w:pPr>
      <w:r>
        <w:t xml:space="preserve">Zeta-potential (C) of </w:t>
      </w:r>
      <w:proofErr w:type="spellStart"/>
      <w:r>
        <w:rPr>
          <w:i/>
        </w:rPr>
        <w:t>Litsea</w:t>
      </w:r>
      <w:proofErr w:type="spellEnd"/>
      <w:r>
        <w:rPr>
          <w:i/>
        </w:rPr>
        <w:t xml:space="preserve"> cubeba</w:t>
      </w:r>
      <w:r>
        <w:t xml:space="preserve"> oil Pickering emulsion</w:t>
      </w:r>
      <w:r>
        <w:rPr>
          <w:rFonts w:ascii="Arial" w:eastAsia="Arial" w:hAnsi="Arial" w:cs="Arial"/>
          <w:sz w:val="21"/>
        </w:rPr>
        <w:t xml:space="preserve"> </w:t>
      </w:r>
      <w:r>
        <w:t>on day 0 and optical microscop</w:t>
      </w:r>
      <w:r>
        <w:t xml:space="preserve">e observation </w:t>
      </w:r>
    </w:p>
    <w:p w14:paraId="3BFE3F7B" w14:textId="77777777" w:rsidR="00367448" w:rsidRDefault="000B472C">
      <w:pPr>
        <w:ind w:right="505"/>
      </w:pPr>
      <w:r>
        <w:t>(D), confocal laser scanning microscopic (E),</w:t>
      </w:r>
      <w:r>
        <w:rPr>
          <w:rFonts w:ascii="Arial" w:eastAsia="Arial" w:hAnsi="Arial" w:cs="Arial"/>
          <w:sz w:val="21"/>
        </w:rPr>
        <w:t xml:space="preserve"> </w:t>
      </w:r>
      <w:r>
        <w:t xml:space="preserve">droplet size and Zeta-potential (F) of </w:t>
      </w:r>
      <w:proofErr w:type="spellStart"/>
      <w:r>
        <w:rPr>
          <w:i/>
        </w:rPr>
        <w:t>Litsea</w:t>
      </w:r>
      <w:proofErr w:type="spellEnd"/>
      <w:r>
        <w:rPr>
          <w:i/>
        </w:rPr>
        <w:t xml:space="preserve"> cubeba</w:t>
      </w:r>
      <w:r>
        <w:t xml:space="preserve"> oil Pickering emulsion on day 15. </w:t>
      </w:r>
    </w:p>
    <w:p w14:paraId="23D62D53" w14:textId="77777777" w:rsidR="00367448" w:rsidRDefault="000B472C">
      <w:pPr>
        <w:ind w:right="986"/>
      </w:pPr>
      <w:r>
        <w:t>Fig. 3. The combined effects of the three independent variables on the antifungal (A), antibacterial (B) an</w:t>
      </w:r>
      <w:r>
        <w:t xml:space="preserve">d antioxidant (C) properties of the tested films. </w:t>
      </w:r>
    </w:p>
    <w:p w14:paraId="6A95823F" w14:textId="77777777" w:rsidR="00367448" w:rsidRDefault="000B472C">
      <w:pPr>
        <w:ind w:right="1125"/>
      </w:pPr>
      <w:r>
        <w:t xml:space="preserve">Fig. 4. The combined effects of the three independent variables on the tensile strength (A) and elongation at break (B) of the tested films. </w:t>
      </w:r>
    </w:p>
    <w:p w14:paraId="04B29477" w14:textId="77777777" w:rsidR="00367448" w:rsidRDefault="000B472C">
      <w:pPr>
        <w:ind w:right="829"/>
      </w:pPr>
      <w:r>
        <w:t>Fig. 5. The combined effects of the three independent variables</w:t>
      </w:r>
      <w:r>
        <w:t xml:space="preserve"> on the water vapor permeability (A) and water contact angle (B) of the tested films. </w:t>
      </w:r>
    </w:p>
    <w:p w14:paraId="51F64A15" w14:textId="77777777" w:rsidR="00367448" w:rsidRDefault="000B472C">
      <w:pPr>
        <w:ind w:right="1320"/>
      </w:pPr>
      <w:r>
        <w:t>Fig. 6.</w:t>
      </w:r>
      <w:r>
        <w:rPr>
          <w:rFonts w:ascii="Arial" w:eastAsia="Arial" w:hAnsi="Arial" w:cs="Arial"/>
        </w:rPr>
        <w:t xml:space="preserve"> </w:t>
      </w:r>
      <w:r>
        <w:t>The cross-section (A) and surface (B) of GE, GE/RRE, GE/RRE/</w:t>
      </w:r>
      <w:proofErr w:type="spellStart"/>
      <w:r>
        <w:t>ZnO</w:t>
      </w:r>
      <w:proofErr w:type="spellEnd"/>
      <w:r>
        <w:t>, and GE/RRE/</w:t>
      </w:r>
      <w:proofErr w:type="spellStart"/>
      <w:r>
        <w:t>ZnO</w:t>
      </w:r>
      <w:proofErr w:type="spellEnd"/>
      <w:r>
        <w:t xml:space="preserve">/LCON film, EDX (C) and morphology (D) of </w:t>
      </w:r>
      <w:proofErr w:type="spellStart"/>
      <w:r>
        <w:t>ZnO</w:t>
      </w:r>
      <w:proofErr w:type="spellEnd"/>
      <w:r>
        <w:t xml:space="preserve"> nanoparticles, white-light and fluor</w:t>
      </w:r>
      <w:r>
        <w:t>escence photograph (B) of the GE/RRE/</w:t>
      </w:r>
      <w:proofErr w:type="spellStart"/>
      <w:r>
        <w:t>ZnO</w:t>
      </w:r>
      <w:proofErr w:type="spellEnd"/>
      <w:r>
        <w:t xml:space="preserve">/LCON film-solution. </w:t>
      </w:r>
    </w:p>
    <w:p w14:paraId="7084F1F3" w14:textId="77777777" w:rsidR="00367448" w:rsidRDefault="000B472C">
      <w:pPr>
        <w:ind w:right="1003"/>
      </w:pPr>
      <w:r>
        <w:t>Fig. 7.</w:t>
      </w:r>
      <w:r>
        <w:rPr>
          <w:rFonts w:ascii="Arial" w:eastAsia="Arial" w:hAnsi="Arial" w:cs="Arial"/>
        </w:rPr>
        <w:t xml:space="preserve"> </w:t>
      </w:r>
      <w:r>
        <w:t xml:space="preserve">The FTIR spectrum (A), enlarged image of FTIR spectrum (B), X-ray diffraction patterns of </w:t>
      </w:r>
      <w:proofErr w:type="spellStart"/>
      <w:r>
        <w:t>ZnO</w:t>
      </w:r>
      <w:proofErr w:type="spellEnd"/>
      <w:r>
        <w:t xml:space="preserve"> (C) and different films (D). </w:t>
      </w:r>
    </w:p>
    <w:p w14:paraId="3742EDD1" w14:textId="77777777" w:rsidR="00367448" w:rsidRDefault="000B472C">
      <w:pPr>
        <w:ind w:right="694"/>
      </w:pPr>
      <w:r>
        <w:t xml:space="preserve">Fig. 8. The </w:t>
      </w:r>
      <w:proofErr w:type="spellStart"/>
      <w:r>
        <w:t>colorful</w:t>
      </w:r>
      <w:proofErr w:type="spellEnd"/>
      <w:r>
        <w:t xml:space="preserve"> letters ‘Mango’ (A), ‘Film’ (B), ’15 d’ (</w:t>
      </w:r>
      <w:r>
        <w:t xml:space="preserve">C), </w:t>
      </w:r>
      <w:proofErr w:type="spellStart"/>
      <w:r>
        <w:t>colored</w:t>
      </w:r>
      <w:proofErr w:type="spellEnd"/>
      <w:r>
        <w:t xml:space="preserve"> triangle (D) and electrochemical writing principle (E) on the film. </w:t>
      </w:r>
    </w:p>
    <w:p w14:paraId="1DAA2C31" w14:textId="77777777" w:rsidR="00367448" w:rsidRDefault="000B472C">
      <w:pPr>
        <w:ind w:right="693"/>
      </w:pPr>
      <w:r>
        <w:t>Fig. 9. The effect of optimized films on the appearance quality (A), weight loss (B) and firmness (C)</w:t>
      </w:r>
      <w:proofErr w:type="gramStart"/>
      <w:r>
        <w:t>, ,</w:t>
      </w:r>
      <w:proofErr w:type="gramEnd"/>
      <w:r>
        <w:t xml:space="preserve"> </w:t>
      </w:r>
      <w:r>
        <w:t xml:space="preserve">disease incidence (D), and disease severity (E) of mango during the storage period. (C: control group, T: </w:t>
      </w:r>
    </w:p>
    <w:p w14:paraId="246E0F4C" w14:textId="77777777" w:rsidR="00367448" w:rsidRDefault="000B472C">
      <w:pPr>
        <w:spacing w:after="142" w:line="259" w:lineRule="auto"/>
        <w:ind w:right="60"/>
      </w:pPr>
      <w:r>
        <w:t xml:space="preserve">treatment group) </w:t>
      </w:r>
    </w:p>
    <w:p w14:paraId="2D4D92A1" w14:textId="77777777" w:rsidR="00367448" w:rsidRDefault="000B472C">
      <w:pPr>
        <w:spacing w:after="233" w:line="259" w:lineRule="auto"/>
        <w:ind w:left="1700" w:firstLine="0"/>
        <w:jc w:val="left"/>
      </w:pPr>
      <w:r>
        <w:t xml:space="preserve"> </w:t>
      </w:r>
    </w:p>
    <w:p w14:paraId="13FEF0ED" w14:textId="77777777" w:rsidR="00367448" w:rsidRDefault="000B472C">
      <w:pPr>
        <w:spacing w:after="0" w:line="259" w:lineRule="auto"/>
        <w:ind w:left="438" w:firstLine="0"/>
        <w:jc w:val="center"/>
      </w:pPr>
      <w:r>
        <w:rPr>
          <w:rFonts w:ascii="Arial" w:eastAsia="Arial" w:hAnsi="Arial" w:cs="Arial"/>
          <w:sz w:val="21"/>
        </w:rPr>
        <w:lastRenderedPageBreak/>
        <w:t xml:space="preserve"> </w:t>
      </w:r>
    </w:p>
    <w:p w14:paraId="366D5DAF" w14:textId="77777777" w:rsidR="00367448" w:rsidRDefault="000B472C">
      <w:pPr>
        <w:spacing w:after="219" w:line="259" w:lineRule="auto"/>
        <w:ind w:left="1830" w:right="60"/>
      </w:pPr>
      <w:r>
        <w:t xml:space="preserve">Table 1. Phytochemical compounds, </w:t>
      </w:r>
      <w:proofErr w:type="gramStart"/>
      <w:r>
        <w:t>antioxidant</w:t>
      </w:r>
      <w:proofErr w:type="gramEnd"/>
      <w:r>
        <w:t xml:space="preserve"> and antimicrobial capability of red roselle (</w:t>
      </w:r>
      <w:r>
        <w:rPr>
          <w:i/>
        </w:rPr>
        <w:t xml:space="preserve">Hibiscus </w:t>
      </w:r>
    </w:p>
    <w:p w14:paraId="1CAFD526" w14:textId="77777777" w:rsidR="00367448" w:rsidRDefault="000B472C">
      <w:pPr>
        <w:spacing w:after="0" w:line="259" w:lineRule="auto"/>
        <w:ind w:left="388" w:right="1"/>
        <w:jc w:val="center"/>
      </w:pPr>
      <w:r>
        <w:rPr>
          <w:i/>
        </w:rPr>
        <w:t>sabdariffa L.</w:t>
      </w:r>
      <w:r>
        <w:t>) extracts (Y</w:t>
      </w:r>
      <w:r>
        <w:t xml:space="preserve">ang, Zou, Li, Huang, &amp; Tahir, 2019) </w:t>
      </w:r>
    </w:p>
    <w:p w14:paraId="2090CCBA" w14:textId="77777777" w:rsidR="00367448" w:rsidRDefault="000B472C">
      <w:pPr>
        <w:spacing w:after="126" w:line="259" w:lineRule="auto"/>
        <w:ind w:left="601" w:firstLine="0"/>
        <w:jc w:val="left"/>
      </w:pPr>
      <w:r>
        <w:rPr>
          <w:rFonts w:ascii="Calibri" w:eastAsia="Calibri" w:hAnsi="Calibri" w:cs="Calibri"/>
          <w:noProof/>
          <w:sz w:val="22"/>
        </w:rPr>
        <mc:AlternateContent>
          <mc:Choice Requires="wpg">
            <w:drawing>
              <wp:inline distT="0" distB="0" distL="0" distR="0" wp14:anchorId="72D699E3" wp14:editId="2DDA92ED">
                <wp:extent cx="6662548" cy="12192"/>
                <wp:effectExtent l="0" t="0" r="0" b="0"/>
                <wp:docPr id="61736" name="Group 61736"/>
                <wp:cNvGraphicFramePr/>
                <a:graphic xmlns:a="http://schemas.openxmlformats.org/drawingml/2006/main">
                  <a:graphicData uri="http://schemas.microsoft.com/office/word/2010/wordprocessingGroup">
                    <wpg:wgp>
                      <wpg:cNvGrpSpPr/>
                      <wpg:grpSpPr>
                        <a:xfrm>
                          <a:off x="0" y="0"/>
                          <a:ext cx="6662548" cy="12192"/>
                          <a:chOff x="0" y="0"/>
                          <a:chExt cx="6662548" cy="12192"/>
                        </a:xfrm>
                      </wpg:grpSpPr>
                      <wps:wsp>
                        <wps:cNvPr id="63935" name="Shape 63935"/>
                        <wps:cNvSpPr/>
                        <wps:spPr>
                          <a:xfrm>
                            <a:off x="0" y="0"/>
                            <a:ext cx="631241" cy="12192"/>
                          </a:xfrm>
                          <a:custGeom>
                            <a:avLst/>
                            <a:gdLst/>
                            <a:ahLst/>
                            <a:cxnLst/>
                            <a:rect l="0" t="0" r="0" b="0"/>
                            <a:pathLst>
                              <a:path w="631241" h="12192">
                                <a:moveTo>
                                  <a:pt x="0" y="0"/>
                                </a:moveTo>
                                <a:lnTo>
                                  <a:pt x="631241" y="0"/>
                                </a:lnTo>
                                <a:lnTo>
                                  <a:pt x="631241"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63936" name="Shape 63936"/>
                        <wps:cNvSpPr/>
                        <wps:spPr>
                          <a:xfrm>
                            <a:off x="631241"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63937" name="Shape 63937"/>
                        <wps:cNvSpPr/>
                        <wps:spPr>
                          <a:xfrm>
                            <a:off x="643433" y="0"/>
                            <a:ext cx="707136" cy="12192"/>
                          </a:xfrm>
                          <a:custGeom>
                            <a:avLst/>
                            <a:gdLst/>
                            <a:ahLst/>
                            <a:cxnLst/>
                            <a:rect l="0" t="0" r="0" b="0"/>
                            <a:pathLst>
                              <a:path w="707136" h="12192">
                                <a:moveTo>
                                  <a:pt x="0" y="0"/>
                                </a:moveTo>
                                <a:lnTo>
                                  <a:pt x="707136" y="0"/>
                                </a:lnTo>
                                <a:lnTo>
                                  <a:pt x="707136"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63938" name="Shape 63938"/>
                        <wps:cNvSpPr/>
                        <wps:spPr>
                          <a:xfrm>
                            <a:off x="1350518"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63939" name="Shape 63939"/>
                        <wps:cNvSpPr/>
                        <wps:spPr>
                          <a:xfrm>
                            <a:off x="1362710" y="0"/>
                            <a:ext cx="708660" cy="12192"/>
                          </a:xfrm>
                          <a:custGeom>
                            <a:avLst/>
                            <a:gdLst/>
                            <a:ahLst/>
                            <a:cxnLst/>
                            <a:rect l="0" t="0" r="0" b="0"/>
                            <a:pathLst>
                              <a:path w="708660" h="12192">
                                <a:moveTo>
                                  <a:pt x="0" y="0"/>
                                </a:moveTo>
                                <a:lnTo>
                                  <a:pt x="708660" y="0"/>
                                </a:lnTo>
                                <a:lnTo>
                                  <a:pt x="708660"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63940" name="Shape 63940"/>
                        <wps:cNvSpPr/>
                        <wps:spPr>
                          <a:xfrm>
                            <a:off x="2071370" y="0"/>
                            <a:ext cx="12497" cy="12192"/>
                          </a:xfrm>
                          <a:custGeom>
                            <a:avLst/>
                            <a:gdLst/>
                            <a:ahLst/>
                            <a:cxnLst/>
                            <a:rect l="0" t="0" r="0" b="0"/>
                            <a:pathLst>
                              <a:path w="12497" h="12192">
                                <a:moveTo>
                                  <a:pt x="0" y="0"/>
                                </a:moveTo>
                                <a:lnTo>
                                  <a:pt x="12497" y="0"/>
                                </a:lnTo>
                                <a:lnTo>
                                  <a:pt x="12497"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63941" name="Shape 63941"/>
                        <wps:cNvSpPr/>
                        <wps:spPr>
                          <a:xfrm>
                            <a:off x="2083943" y="0"/>
                            <a:ext cx="797052" cy="12192"/>
                          </a:xfrm>
                          <a:custGeom>
                            <a:avLst/>
                            <a:gdLst/>
                            <a:ahLst/>
                            <a:cxnLst/>
                            <a:rect l="0" t="0" r="0" b="0"/>
                            <a:pathLst>
                              <a:path w="797052" h="12192">
                                <a:moveTo>
                                  <a:pt x="0" y="0"/>
                                </a:moveTo>
                                <a:lnTo>
                                  <a:pt x="797052" y="0"/>
                                </a:lnTo>
                                <a:lnTo>
                                  <a:pt x="797052"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63942" name="Shape 63942"/>
                        <wps:cNvSpPr/>
                        <wps:spPr>
                          <a:xfrm>
                            <a:off x="2880995"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63943" name="Shape 63943"/>
                        <wps:cNvSpPr/>
                        <wps:spPr>
                          <a:xfrm>
                            <a:off x="2893187" y="0"/>
                            <a:ext cx="798576" cy="12192"/>
                          </a:xfrm>
                          <a:custGeom>
                            <a:avLst/>
                            <a:gdLst/>
                            <a:ahLst/>
                            <a:cxnLst/>
                            <a:rect l="0" t="0" r="0" b="0"/>
                            <a:pathLst>
                              <a:path w="798576" h="12192">
                                <a:moveTo>
                                  <a:pt x="0" y="0"/>
                                </a:moveTo>
                                <a:lnTo>
                                  <a:pt x="798576" y="0"/>
                                </a:lnTo>
                                <a:lnTo>
                                  <a:pt x="798576"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63944" name="Shape 63944"/>
                        <wps:cNvSpPr/>
                        <wps:spPr>
                          <a:xfrm>
                            <a:off x="3691763"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63945" name="Shape 63945"/>
                        <wps:cNvSpPr/>
                        <wps:spPr>
                          <a:xfrm>
                            <a:off x="3703955" y="0"/>
                            <a:ext cx="707441" cy="12192"/>
                          </a:xfrm>
                          <a:custGeom>
                            <a:avLst/>
                            <a:gdLst/>
                            <a:ahLst/>
                            <a:cxnLst/>
                            <a:rect l="0" t="0" r="0" b="0"/>
                            <a:pathLst>
                              <a:path w="707441" h="12192">
                                <a:moveTo>
                                  <a:pt x="0" y="0"/>
                                </a:moveTo>
                                <a:lnTo>
                                  <a:pt x="707441" y="0"/>
                                </a:lnTo>
                                <a:lnTo>
                                  <a:pt x="707441"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63946" name="Shape 63946"/>
                        <wps:cNvSpPr/>
                        <wps:spPr>
                          <a:xfrm>
                            <a:off x="4411345"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63947" name="Shape 63947"/>
                        <wps:cNvSpPr/>
                        <wps:spPr>
                          <a:xfrm>
                            <a:off x="4423537" y="0"/>
                            <a:ext cx="798576" cy="12192"/>
                          </a:xfrm>
                          <a:custGeom>
                            <a:avLst/>
                            <a:gdLst/>
                            <a:ahLst/>
                            <a:cxnLst/>
                            <a:rect l="0" t="0" r="0" b="0"/>
                            <a:pathLst>
                              <a:path w="798576" h="12192">
                                <a:moveTo>
                                  <a:pt x="0" y="0"/>
                                </a:moveTo>
                                <a:lnTo>
                                  <a:pt x="798576" y="0"/>
                                </a:lnTo>
                                <a:lnTo>
                                  <a:pt x="798576"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63948" name="Shape 63948"/>
                        <wps:cNvSpPr/>
                        <wps:spPr>
                          <a:xfrm>
                            <a:off x="5222113"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63949" name="Shape 63949"/>
                        <wps:cNvSpPr/>
                        <wps:spPr>
                          <a:xfrm>
                            <a:off x="5234305" y="0"/>
                            <a:ext cx="1428242" cy="12192"/>
                          </a:xfrm>
                          <a:custGeom>
                            <a:avLst/>
                            <a:gdLst/>
                            <a:ahLst/>
                            <a:cxnLst/>
                            <a:rect l="0" t="0" r="0" b="0"/>
                            <a:pathLst>
                              <a:path w="1428242" h="12192">
                                <a:moveTo>
                                  <a:pt x="0" y="0"/>
                                </a:moveTo>
                                <a:lnTo>
                                  <a:pt x="1428242" y="0"/>
                                </a:lnTo>
                                <a:lnTo>
                                  <a:pt x="1428242"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g:wgp>
                  </a:graphicData>
                </a:graphic>
              </wp:inline>
            </w:drawing>
          </mc:Choice>
          <mc:Fallback xmlns:a="http://schemas.openxmlformats.org/drawingml/2006/main">
            <w:pict>
              <v:group id="Group 61736" style="width:524.61pt;height:0.960022pt;mso-position-horizontal-relative:char;mso-position-vertical-relative:line" coordsize="66625,121">
                <v:shape id="Shape 63950" style="position:absolute;width:6312;height:121;left:0;top:0;" coordsize="631241,12192" path="m0,0l631241,0l631241,12192l0,12192l0,0">
                  <v:stroke weight="0pt" endcap="flat" joinstyle="miter" miterlimit="10" on="false" color="#000000" opacity="0"/>
                  <v:fill on="true" color="#9bbb59"/>
                </v:shape>
                <v:shape id="Shape 63951" style="position:absolute;width:121;height:121;left:6312;top:0;" coordsize="12192,12192" path="m0,0l12192,0l12192,12192l0,12192l0,0">
                  <v:stroke weight="0pt" endcap="flat" joinstyle="miter" miterlimit="10" on="false" color="#000000" opacity="0"/>
                  <v:fill on="true" color="#9bbb59"/>
                </v:shape>
                <v:shape id="Shape 63952" style="position:absolute;width:7071;height:121;left:6434;top:0;" coordsize="707136,12192" path="m0,0l707136,0l707136,12192l0,12192l0,0">
                  <v:stroke weight="0pt" endcap="flat" joinstyle="miter" miterlimit="10" on="false" color="#000000" opacity="0"/>
                  <v:fill on="true" color="#9bbb59"/>
                </v:shape>
                <v:shape id="Shape 63953" style="position:absolute;width:121;height:121;left:13505;top:0;" coordsize="12192,12192" path="m0,0l12192,0l12192,12192l0,12192l0,0">
                  <v:stroke weight="0pt" endcap="flat" joinstyle="miter" miterlimit="10" on="false" color="#000000" opacity="0"/>
                  <v:fill on="true" color="#9bbb59"/>
                </v:shape>
                <v:shape id="Shape 63954" style="position:absolute;width:7086;height:121;left:13627;top:0;" coordsize="708660,12192" path="m0,0l708660,0l708660,12192l0,12192l0,0">
                  <v:stroke weight="0pt" endcap="flat" joinstyle="miter" miterlimit="10" on="false" color="#000000" opacity="0"/>
                  <v:fill on="true" color="#9bbb59"/>
                </v:shape>
                <v:shape id="Shape 63955" style="position:absolute;width:124;height:121;left:20713;top:0;" coordsize="12497,12192" path="m0,0l12497,0l12497,12192l0,12192l0,0">
                  <v:stroke weight="0pt" endcap="flat" joinstyle="miter" miterlimit="10" on="false" color="#000000" opacity="0"/>
                  <v:fill on="true" color="#9bbb59"/>
                </v:shape>
                <v:shape id="Shape 63956" style="position:absolute;width:7970;height:121;left:20839;top:0;" coordsize="797052,12192" path="m0,0l797052,0l797052,12192l0,12192l0,0">
                  <v:stroke weight="0pt" endcap="flat" joinstyle="miter" miterlimit="10" on="false" color="#000000" opacity="0"/>
                  <v:fill on="true" color="#9bbb59"/>
                </v:shape>
                <v:shape id="Shape 63957" style="position:absolute;width:121;height:121;left:28809;top:0;" coordsize="12192,12192" path="m0,0l12192,0l12192,12192l0,12192l0,0">
                  <v:stroke weight="0pt" endcap="flat" joinstyle="miter" miterlimit="10" on="false" color="#000000" opacity="0"/>
                  <v:fill on="true" color="#9bbb59"/>
                </v:shape>
                <v:shape id="Shape 63958" style="position:absolute;width:7985;height:121;left:28931;top:0;" coordsize="798576,12192" path="m0,0l798576,0l798576,12192l0,12192l0,0">
                  <v:stroke weight="0pt" endcap="flat" joinstyle="miter" miterlimit="10" on="false" color="#000000" opacity="0"/>
                  <v:fill on="true" color="#9bbb59"/>
                </v:shape>
                <v:shape id="Shape 63959" style="position:absolute;width:121;height:121;left:36917;top:0;" coordsize="12192,12192" path="m0,0l12192,0l12192,12192l0,12192l0,0">
                  <v:stroke weight="0pt" endcap="flat" joinstyle="miter" miterlimit="10" on="false" color="#000000" opacity="0"/>
                  <v:fill on="true" color="#9bbb59"/>
                </v:shape>
                <v:shape id="Shape 63960" style="position:absolute;width:7074;height:121;left:37039;top:0;" coordsize="707441,12192" path="m0,0l707441,0l707441,12192l0,12192l0,0">
                  <v:stroke weight="0pt" endcap="flat" joinstyle="miter" miterlimit="10" on="false" color="#000000" opacity="0"/>
                  <v:fill on="true" color="#9bbb59"/>
                </v:shape>
                <v:shape id="Shape 63961" style="position:absolute;width:121;height:121;left:44113;top:0;" coordsize="12192,12192" path="m0,0l12192,0l12192,12192l0,12192l0,0">
                  <v:stroke weight="0pt" endcap="flat" joinstyle="miter" miterlimit="10" on="false" color="#000000" opacity="0"/>
                  <v:fill on="true" color="#9bbb59"/>
                </v:shape>
                <v:shape id="Shape 63962" style="position:absolute;width:7985;height:121;left:44235;top:0;" coordsize="798576,12192" path="m0,0l798576,0l798576,12192l0,12192l0,0">
                  <v:stroke weight="0pt" endcap="flat" joinstyle="miter" miterlimit="10" on="false" color="#000000" opacity="0"/>
                  <v:fill on="true" color="#9bbb59"/>
                </v:shape>
                <v:shape id="Shape 63963" style="position:absolute;width:121;height:121;left:52221;top:0;" coordsize="12192,12192" path="m0,0l12192,0l12192,12192l0,12192l0,0">
                  <v:stroke weight="0pt" endcap="flat" joinstyle="miter" miterlimit="10" on="false" color="#000000" opacity="0"/>
                  <v:fill on="true" color="#9bbb59"/>
                </v:shape>
                <v:shape id="Shape 63964" style="position:absolute;width:14282;height:121;left:52343;top:0;" coordsize="1428242,12192" path="m0,0l1428242,0l1428242,12192l0,12192l0,0">
                  <v:stroke weight="0pt" endcap="flat" joinstyle="miter" miterlimit="10" on="false" color="#000000" opacity="0"/>
                  <v:fill on="true" color="#9bbb59"/>
                </v:shape>
              </v:group>
            </w:pict>
          </mc:Fallback>
        </mc:AlternateContent>
      </w:r>
    </w:p>
    <w:p w14:paraId="6E0ABEB4" w14:textId="77777777" w:rsidR="00367448" w:rsidRDefault="000B472C">
      <w:pPr>
        <w:tabs>
          <w:tab w:val="center" w:pos="1063"/>
          <w:tab w:val="center" w:pos="2116"/>
          <w:tab w:val="center" w:pos="3041"/>
          <w:tab w:val="center" w:pos="4176"/>
          <w:tab w:val="center" w:pos="5451"/>
          <w:tab w:val="center" w:pos="6779"/>
          <w:tab w:val="center" w:pos="7904"/>
          <w:tab w:val="center" w:pos="9957"/>
        </w:tabs>
        <w:spacing w:line="259" w:lineRule="auto"/>
        <w:ind w:left="0" w:firstLine="0"/>
        <w:jc w:val="left"/>
      </w:pPr>
      <w:r>
        <w:rPr>
          <w:rFonts w:ascii="Calibri" w:eastAsia="Calibri" w:hAnsi="Calibri" w:cs="Calibri"/>
          <w:sz w:val="22"/>
        </w:rPr>
        <w:tab/>
      </w:r>
      <w:r>
        <w:rPr>
          <w:b/>
        </w:rPr>
        <w:t xml:space="preserve">Samples </w:t>
      </w:r>
      <w:r>
        <w:rPr>
          <w:b/>
        </w:rPr>
        <w:tab/>
      </w:r>
      <w:r>
        <w:t xml:space="preserve">Vitamin C </w:t>
      </w:r>
      <w:r>
        <w:tab/>
        <w:t xml:space="preserve">Total </w:t>
      </w:r>
      <w:r>
        <w:tab/>
      </w:r>
      <w:proofErr w:type="spellStart"/>
      <w:r>
        <w:t>Total</w:t>
      </w:r>
      <w:proofErr w:type="spellEnd"/>
      <w:r>
        <w:t xml:space="preserve"> </w:t>
      </w:r>
      <w:r>
        <w:tab/>
      </w:r>
      <w:proofErr w:type="spellStart"/>
      <w:r>
        <w:t>Total</w:t>
      </w:r>
      <w:proofErr w:type="spellEnd"/>
      <w:r>
        <w:t xml:space="preserve"> </w:t>
      </w:r>
      <w:r>
        <w:tab/>
      </w:r>
      <w:proofErr w:type="gramStart"/>
      <w:r>
        <w:t xml:space="preserve">DPPH  </w:t>
      </w:r>
      <w:r>
        <w:tab/>
      </w:r>
      <w:proofErr w:type="gramEnd"/>
      <w:r>
        <w:t xml:space="preserve">FRAP  </w:t>
      </w:r>
      <w:r>
        <w:tab/>
        <w:t xml:space="preserve">Inhibitory zone (mm) </w:t>
      </w:r>
    </w:p>
    <w:tbl>
      <w:tblPr>
        <w:tblStyle w:val="TableGrid"/>
        <w:tblW w:w="10507" w:type="dxa"/>
        <w:tblInd w:w="586" w:type="dxa"/>
        <w:tblCellMar>
          <w:top w:w="115" w:type="dxa"/>
          <w:left w:w="0" w:type="dxa"/>
          <w:bottom w:w="0" w:type="dxa"/>
          <w:right w:w="115" w:type="dxa"/>
        </w:tblCellMar>
        <w:tblLook w:val="04A0" w:firstRow="1" w:lastRow="0" w:firstColumn="1" w:lastColumn="0" w:noHBand="0" w:noVBand="1"/>
      </w:tblPr>
      <w:tblGrid>
        <w:gridCol w:w="1117"/>
        <w:gridCol w:w="1133"/>
        <w:gridCol w:w="1136"/>
        <w:gridCol w:w="1274"/>
        <w:gridCol w:w="1277"/>
        <w:gridCol w:w="1133"/>
        <w:gridCol w:w="1277"/>
        <w:gridCol w:w="1133"/>
        <w:gridCol w:w="1027"/>
      </w:tblGrid>
      <w:tr w:rsidR="00367448" w14:paraId="03FD0851" w14:textId="77777777">
        <w:trPr>
          <w:trHeight w:val="1404"/>
        </w:trPr>
        <w:tc>
          <w:tcPr>
            <w:tcW w:w="1116" w:type="dxa"/>
            <w:tcBorders>
              <w:top w:val="nil"/>
              <w:left w:val="nil"/>
              <w:bottom w:val="single" w:sz="8" w:space="0" w:color="9BBB59"/>
              <w:right w:val="nil"/>
            </w:tcBorders>
          </w:tcPr>
          <w:p w14:paraId="2D42F601" w14:textId="77777777" w:rsidR="00367448" w:rsidRDefault="00367448">
            <w:pPr>
              <w:spacing w:after="160" w:line="259" w:lineRule="auto"/>
              <w:ind w:left="0" w:firstLine="0"/>
              <w:jc w:val="left"/>
            </w:pPr>
          </w:p>
        </w:tc>
        <w:tc>
          <w:tcPr>
            <w:tcW w:w="1133" w:type="dxa"/>
            <w:tcBorders>
              <w:top w:val="nil"/>
              <w:left w:val="nil"/>
              <w:bottom w:val="single" w:sz="8" w:space="0" w:color="9BBB59"/>
              <w:right w:val="nil"/>
            </w:tcBorders>
          </w:tcPr>
          <w:p w14:paraId="7CE44C84" w14:textId="77777777" w:rsidR="00367448" w:rsidRDefault="000B472C">
            <w:pPr>
              <w:spacing w:after="0" w:line="259" w:lineRule="auto"/>
              <w:ind w:left="0" w:firstLine="0"/>
              <w:jc w:val="left"/>
            </w:pPr>
            <w:r>
              <w:t xml:space="preserve">mg/100g </w:t>
            </w:r>
          </w:p>
        </w:tc>
        <w:tc>
          <w:tcPr>
            <w:tcW w:w="1136" w:type="dxa"/>
            <w:tcBorders>
              <w:top w:val="nil"/>
              <w:left w:val="nil"/>
              <w:bottom w:val="single" w:sz="8" w:space="0" w:color="9BBB59"/>
              <w:right w:val="nil"/>
            </w:tcBorders>
            <w:vAlign w:val="center"/>
          </w:tcPr>
          <w:p w14:paraId="5D586115" w14:textId="77777777" w:rsidR="00367448" w:rsidRDefault="000B472C">
            <w:pPr>
              <w:spacing w:after="0" w:line="259" w:lineRule="auto"/>
              <w:ind w:left="0" w:firstLine="0"/>
              <w:jc w:val="left"/>
            </w:pPr>
            <w:r>
              <w:t xml:space="preserve">flavonoid content mg/100g </w:t>
            </w:r>
          </w:p>
        </w:tc>
        <w:tc>
          <w:tcPr>
            <w:tcW w:w="1274" w:type="dxa"/>
            <w:tcBorders>
              <w:top w:val="nil"/>
              <w:left w:val="nil"/>
              <w:bottom w:val="single" w:sz="8" w:space="0" w:color="9BBB59"/>
              <w:right w:val="nil"/>
            </w:tcBorders>
            <w:vAlign w:val="center"/>
          </w:tcPr>
          <w:p w14:paraId="229149A8" w14:textId="77777777" w:rsidR="00367448" w:rsidRDefault="000B472C">
            <w:pPr>
              <w:spacing w:after="0" w:line="259" w:lineRule="auto"/>
              <w:ind w:left="0" w:firstLine="0"/>
              <w:jc w:val="left"/>
            </w:pPr>
            <w:r>
              <w:t xml:space="preserve">anthocyanin content mg/100g </w:t>
            </w:r>
          </w:p>
        </w:tc>
        <w:tc>
          <w:tcPr>
            <w:tcW w:w="1277" w:type="dxa"/>
            <w:tcBorders>
              <w:top w:val="nil"/>
              <w:left w:val="nil"/>
              <w:bottom w:val="single" w:sz="8" w:space="0" w:color="9BBB59"/>
              <w:right w:val="nil"/>
            </w:tcBorders>
            <w:vAlign w:val="center"/>
          </w:tcPr>
          <w:p w14:paraId="3AC38281" w14:textId="77777777" w:rsidR="00367448" w:rsidRDefault="000B472C">
            <w:pPr>
              <w:spacing w:after="0" w:line="259" w:lineRule="auto"/>
              <w:ind w:left="0" w:firstLine="0"/>
              <w:jc w:val="left"/>
            </w:pPr>
            <w:r>
              <w:t xml:space="preserve">polyphenol content mg/100g </w:t>
            </w:r>
          </w:p>
        </w:tc>
        <w:tc>
          <w:tcPr>
            <w:tcW w:w="1133" w:type="dxa"/>
            <w:tcBorders>
              <w:top w:val="nil"/>
              <w:left w:val="nil"/>
              <w:bottom w:val="single" w:sz="8" w:space="0" w:color="9BBB59"/>
              <w:right w:val="nil"/>
            </w:tcBorders>
            <w:vAlign w:val="center"/>
          </w:tcPr>
          <w:p w14:paraId="79726BD9" w14:textId="77777777" w:rsidR="00367448" w:rsidRDefault="000B472C">
            <w:pPr>
              <w:spacing w:after="0"/>
              <w:ind w:left="0" w:firstLine="0"/>
              <w:jc w:val="left"/>
            </w:pPr>
            <w:r>
              <w:t xml:space="preserve">free radical scavenging </w:t>
            </w:r>
          </w:p>
          <w:p w14:paraId="35A04DA2" w14:textId="77777777" w:rsidR="00367448" w:rsidRDefault="000B472C">
            <w:pPr>
              <w:spacing w:after="0" w:line="259" w:lineRule="auto"/>
              <w:ind w:left="0" w:firstLine="0"/>
              <w:jc w:val="left"/>
            </w:pPr>
            <w:r>
              <w:t xml:space="preserve">% </w:t>
            </w:r>
          </w:p>
        </w:tc>
        <w:tc>
          <w:tcPr>
            <w:tcW w:w="1277" w:type="dxa"/>
            <w:tcBorders>
              <w:top w:val="nil"/>
              <w:left w:val="nil"/>
              <w:bottom w:val="single" w:sz="8" w:space="0" w:color="9BBB59"/>
              <w:right w:val="nil"/>
            </w:tcBorders>
          </w:tcPr>
          <w:p w14:paraId="61CF059C" w14:textId="77777777" w:rsidR="00367448" w:rsidRDefault="000B472C">
            <w:pPr>
              <w:spacing w:after="219" w:line="259" w:lineRule="auto"/>
              <w:ind w:left="0" w:firstLine="0"/>
              <w:jc w:val="left"/>
            </w:pPr>
            <w:r>
              <w:t xml:space="preserve">mM </w:t>
            </w:r>
          </w:p>
          <w:p w14:paraId="5E170FA1" w14:textId="77777777" w:rsidR="00367448" w:rsidRDefault="000B472C">
            <w:pPr>
              <w:spacing w:after="0" w:line="259" w:lineRule="auto"/>
              <w:ind w:left="0" w:firstLine="0"/>
              <w:jc w:val="left"/>
            </w:pPr>
            <w:proofErr w:type="gramStart"/>
            <w:r>
              <w:t>Fe(</w:t>
            </w:r>
            <w:proofErr w:type="gramEnd"/>
            <w:r>
              <w:t xml:space="preserve">II)/100g </w:t>
            </w:r>
          </w:p>
        </w:tc>
        <w:tc>
          <w:tcPr>
            <w:tcW w:w="1133" w:type="dxa"/>
            <w:tcBorders>
              <w:top w:val="single" w:sz="8" w:space="0" w:color="9BBB59"/>
              <w:left w:val="nil"/>
              <w:bottom w:val="single" w:sz="8" w:space="0" w:color="9BBB59"/>
              <w:right w:val="nil"/>
            </w:tcBorders>
          </w:tcPr>
          <w:p w14:paraId="35BF8B26" w14:textId="77777777" w:rsidR="00367448" w:rsidRDefault="000B472C">
            <w:pPr>
              <w:spacing w:after="0" w:line="259" w:lineRule="auto"/>
              <w:ind w:left="0" w:firstLine="0"/>
              <w:jc w:val="left"/>
            </w:pPr>
            <w:r>
              <w:rPr>
                <w:i/>
              </w:rPr>
              <w:t xml:space="preserve">E. coli </w:t>
            </w:r>
          </w:p>
        </w:tc>
        <w:tc>
          <w:tcPr>
            <w:tcW w:w="1027" w:type="dxa"/>
            <w:tcBorders>
              <w:top w:val="single" w:sz="8" w:space="0" w:color="9BBB59"/>
              <w:left w:val="nil"/>
              <w:bottom w:val="single" w:sz="8" w:space="0" w:color="9BBB59"/>
              <w:right w:val="nil"/>
            </w:tcBorders>
          </w:tcPr>
          <w:p w14:paraId="104A0DB8" w14:textId="77777777" w:rsidR="00367448" w:rsidRDefault="000B472C">
            <w:pPr>
              <w:spacing w:after="0" w:line="259" w:lineRule="auto"/>
              <w:ind w:left="0" w:firstLine="0"/>
              <w:jc w:val="left"/>
            </w:pPr>
            <w:r>
              <w:rPr>
                <w:i/>
              </w:rPr>
              <w:t xml:space="preserve">S. aureus </w:t>
            </w:r>
          </w:p>
        </w:tc>
      </w:tr>
      <w:tr w:rsidR="00367448" w14:paraId="44E9CE46" w14:textId="77777777">
        <w:trPr>
          <w:trHeight w:val="1426"/>
        </w:trPr>
        <w:tc>
          <w:tcPr>
            <w:tcW w:w="1116" w:type="dxa"/>
            <w:tcBorders>
              <w:top w:val="single" w:sz="8" w:space="0" w:color="9BBB59"/>
              <w:left w:val="nil"/>
              <w:bottom w:val="single" w:sz="8" w:space="0" w:color="9BBB59"/>
              <w:right w:val="nil"/>
            </w:tcBorders>
            <w:vAlign w:val="center"/>
          </w:tcPr>
          <w:p w14:paraId="1D34AEF2" w14:textId="77777777" w:rsidR="00367448" w:rsidRDefault="000B472C">
            <w:pPr>
              <w:spacing w:after="219" w:line="259" w:lineRule="auto"/>
              <w:ind w:left="122" w:firstLine="0"/>
              <w:jc w:val="left"/>
            </w:pPr>
            <w:r>
              <w:t xml:space="preserve">Red </w:t>
            </w:r>
          </w:p>
          <w:p w14:paraId="09283124" w14:textId="77777777" w:rsidR="00367448" w:rsidRDefault="000B472C">
            <w:pPr>
              <w:spacing w:after="0" w:line="259" w:lineRule="auto"/>
              <w:ind w:left="122" w:firstLine="0"/>
              <w:jc w:val="left"/>
            </w:pPr>
            <w:r>
              <w:t xml:space="preserve">roselle extract  </w:t>
            </w:r>
          </w:p>
        </w:tc>
        <w:tc>
          <w:tcPr>
            <w:tcW w:w="1133" w:type="dxa"/>
            <w:tcBorders>
              <w:top w:val="single" w:sz="8" w:space="0" w:color="9BBB59"/>
              <w:left w:val="nil"/>
              <w:bottom w:val="single" w:sz="8" w:space="0" w:color="9BBB59"/>
              <w:right w:val="nil"/>
            </w:tcBorders>
            <w:vAlign w:val="center"/>
          </w:tcPr>
          <w:p w14:paraId="65F1E088" w14:textId="77777777" w:rsidR="00367448" w:rsidRDefault="000B472C">
            <w:pPr>
              <w:spacing w:after="0" w:line="259" w:lineRule="auto"/>
              <w:ind w:left="0" w:firstLine="0"/>
              <w:jc w:val="left"/>
            </w:pPr>
            <w:r>
              <w:rPr>
                <w:sz w:val="21"/>
              </w:rPr>
              <w:t xml:space="preserve">11.0 ± 0.0 </w:t>
            </w:r>
          </w:p>
        </w:tc>
        <w:tc>
          <w:tcPr>
            <w:tcW w:w="1136" w:type="dxa"/>
            <w:tcBorders>
              <w:top w:val="single" w:sz="8" w:space="0" w:color="9BBB59"/>
              <w:left w:val="nil"/>
              <w:bottom w:val="single" w:sz="8" w:space="0" w:color="9BBB59"/>
              <w:right w:val="nil"/>
            </w:tcBorders>
            <w:vAlign w:val="center"/>
          </w:tcPr>
          <w:p w14:paraId="0B3FB2ED" w14:textId="77777777" w:rsidR="00367448" w:rsidRDefault="000B472C">
            <w:pPr>
              <w:spacing w:after="0" w:line="259" w:lineRule="auto"/>
              <w:ind w:left="0" w:firstLine="0"/>
              <w:jc w:val="left"/>
            </w:pPr>
            <w:r>
              <w:rPr>
                <w:sz w:val="21"/>
              </w:rPr>
              <w:t xml:space="preserve">26.5 ± 0.8 </w:t>
            </w:r>
          </w:p>
        </w:tc>
        <w:tc>
          <w:tcPr>
            <w:tcW w:w="1274" w:type="dxa"/>
            <w:tcBorders>
              <w:top w:val="single" w:sz="8" w:space="0" w:color="9BBB59"/>
              <w:left w:val="nil"/>
              <w:bottom w:val="single" w:sz="8" w:space="0" w:color="9BBB59"/>
              <w:right w:val="nil"/>
            </w:tcBorders>
            <w:vAlign w:val="center"/>
          </w:tcPr>
          <w:p w14:paraId="25BFE8B2" w14:textId="77777777" w:rsidR="00367448" w:rsidRDefault="000B472C">
            <w:pPr>
              <w:spacing w:after="0" w:line="259" w:lineRule="auto"/>
              <w:ind w:left="0" w:firstLine="0"/>
              <w:jc w:val="left"/>
            </w:pPr>
            <w:r>
              <w:rPr>
                <w:sz w:val="21"/>
              </w:rPr>
              <w:t xml:space="preserve">33.0 ± 0.4 </w:t>
            </w:r>
          </w:p>
        </w:tc>
        <w:tc>
          <w:tcPr>
            <w:tcW w:w="1277" w:type="dxa"/>
            <w:tcBorders>
              <w:top w:val="single" w:sz="8" w:space="0" w:color="9BBB59"/>
              <w:left w:val="nil"/>
              <w:bottom w:val="single" w:sz="8" w:space="0" w:color="9BBB59"/>
              <w:right w:val="nil"/>
            </w:tcBorders>
            <w:vAlign w:val="center"/>
          </w:tcPr>
          <w:p w14:paraId="4E4EA9CA" w14:textId="77777777" w:rsidR="00367448" w:rsidRDefault="000B472C">
            <w:pPr>
              <w:spacing w:after="0" w:line="259" w:lineRule="auto"/>
              <w:ind w:left="0" w:firstLine="0"/>
              <w:jc w:val="left"/>
            </w:pPr>
            <w:r>
              <w:rPr>
                <w:sz w:val="21"/>
              </w:rPr>
              <w:t xml:space="preserve">148.2 ± 1.1 </w:t>
            </w:r>
          </w:p>
        </w:tc>
        <w:tc>
          <w:tcPr>
            <w:tcW w:w="1133" w:type="dxa"/>
            <w:tcBorders>
              <w:top w:val="single" w:sz="8" w:space="0" w:color="9BBB59"/>
              <w:left w:val="nil"/>
              <w:bottom w:val="single" w:sz="8" w:space="0" w:color="9BBB59"/>
              <w:right w:val="nil"/>
            </w:tcBorders>
            <w:vAlign w:val="center"/>
          </w:tcPr>
          <w:p w14:paraId="3AD47BE8" w14:textId="77777777" w:rsidR="00367448" w:rsidRDefault="000B472C">
            <w:pPr>
              <w:spacing w:after="0" w:line="259" w:lineRule="auto"/>
              <w:ind w:left="0" w:firstLine="0"/>
              <w:jc w:val="left"/>
            </w:pPr>
            <w:r>
              <w:rPr>
                <w:sz w:val="21"/>
              </w:rPr>
              <w:t xml:space="preserve">72.3 ± 1.8 </w:t>
            </w:r>
          </w:p>
        </w:tc>
        <w:tc>
          <w:tcPr>
            <w:tcW w:w="1277" w:type="dxa"/>
            <w:tcBorders>
              <w:top w:val="single" w:sz="8" w:space="0" w:color="9BBB59"/>
              <w:left w:val="nil"/>
              <w:bottom w:val="single" w:sz="8" w:space="0" w:color="9BBB59"/>
              <w:right w:val="nil"/>
            </w:tcBorders>
            <w:vAlign w:val="center"/>
          </w:tcPr>
          <w:p w14:paraId="04A23EBD" w14:textId="77777777" w:rsidR="00367448" w:rsidRDefault="000B472C">
            <w:pPr>
              <w:spacing w:after="0" w:line="259" w:lineRule="auto"/>
              <w:ind w:left="0" w:firstLine="0"/>
              <w:jc w:val="left"/>
            </w:pPr>
            <w:r>
              <w:rPr>
                <w:sz w:val="21"/>
              </w:rPr>
              <w:t xml:space="preserve">139.3 ± 1.34 </w:t>
            </w:r>
          </w:p>
        </w:tc>
        <w:tc>
          <w:tcPr>
            <w:tcW w:w="1133" w:type="dxa"/>
            <w:tcBorders>
              <w:top w:val="single" w:sz="8" w:space="0" w:color="9BBB59"/>
              <w:left w:val="nil"/>
              <w:bottom w:val="single" w:sz="8" w:space="0" w:color="9BBB59"/>
              <w:right w:val="nil"/>
            </w:tcBorders>
            <w:vAlign w:val="center"/>
          </w:tcPr>
          <w:p w14:paraId="5F4D88C3" w14:textId="77777777" w:rsidR="00367448" w:rsidRDefault="000B472C">
            <w:pPr>
              <w:spacing w:after="0" w:line="259" w:lineRule="auto"/>
              <w:ind w:left="0" w:firstLine="0"/>
              <w:jc w:val="left"/>
            </w:pPr>
            <w:r>
              <w:t xml:space="preserve">15.7 ± 0.0 </w:t>
            </w:r>
          </w:p>
        </w:tc>
        <w:tc>
          <w:tcPr>
            <w:tcW w:w="1027" w:type="dxa"/>
            <w:tcBorders>
              <w:top w:val="single" w:sz="8" w:space="0" w:color="9BBB59"/>
              <w:left w:val="nil"/>
              <w:bottom w:val="single" w:sz="8" w:space="0" w:color="9BBB59"/>
              <w:right w:val="nil"/>
            </w:tcBorders>
            <w:vAlign w:val="center"/>
          </w:tcPr>
          <w:p w14:paraId="3C849235" w14:textId="77777777" w:rsidR="00367448" w:rsidRDefault="000B472C">
            <w:pPr>
              <w:spacing w:after="0" w:line="259" w:lineRule="auto"/>
              <w:ind w:left="0" w:firstLine="0"/>
              <w:jc w:val="left"/>
            </w:pPr>
            <w:r>
              <w:t xml:space="preserve">14.2 ± 0.1 </w:t>
            </w:r>
          </w:p>
        </w:tc>
      </w:tr>
    </w:tbl>
    <w:p w14:paraId="589B3728" w14:textId="77777777" w:rsidR="00367448" w:rsidRDefault="000B472C">
      <w:pPr>
        <w:spacing w:after="166" w:line="259" w:lineRule="auto"/>
        <w:ind w:left="1695"/>
      </w:pPr>
      <w:r>
        <w:rPr>
          <w:sz w:val="18"/>
        </w:rPr>
        <w:t>Data are reported as average values and standard deviations obtained from three replicates.</w:t>
      </w:r>
      <w:r>
        <w:rPr>
          <w:rFonts w:ascii="Arial" w:eastAsia="Arial" w:hAnsi="Arial" w:cs="Arial"/>
        </w:rPr>
        <w:t xml:space="preserve"> </w:t>
      </w:r>
    </w:p>
    <w:p w14:paraId="559FF0AB" w14:textId="77777777" w:rsidR="00367448" w:rsidRDefault="000B472C">
      <w:pPr>
        <w:spacing w:after="0" w:line="259" w:lineRule="auto"/>
        <w:ind w:left="429" w:firstLine="0"/>
        <w:jc w:val="center"/>
      </w:pPr>
      <w:r>
        <w:t xml:space="preserve"> </w:t>
      </w:r>
      <w:r>
        <w:br w:type="page"/>
      </w:r>
    </w:p>
    <w:p w14:paraId="73E0A29D" w14:textId="77777777" w:rsidR="00367448" w:rsidRDefault="000B472C">
      <w:pPr>
        <w:spacing w:after="207" w:line="259" w:lineRule="auto"/>
        <w:ind w:left="10" w:right="1618"/>
        <w:jc w:val="right"/>
      </w:pPr>
      <w:r>
        <w:rPr>
          <w:sz w:val="21"/>
        </w:rPr>
        <w:lastRenderedPageBreak/>
        <w:t xml:space="preserve">Table 2. </w:t>
      </w:r>
      <w:r>
        <w:t xml:space="preserve">Comparison of the effect of various packaging materials on weight loss and firmness of </w:t>
      </w:r>
    </w:p>
    <w:p w14:paraId="0BCB60B7" w14:textId="77777777" w:rsidR="00367448" w:rsidRDefault="000B472C">
      <w:pPr>
        <w:spacing w:after="0" w:line="259" w:lineRule="auto"/>
        <w:ind w:left="388"/>
        <w:jc w:val="center"/>
      </w:pPr>
      <w:r>
        <w:t xml:space="preserve">mango  </w:t>
      </w:r>
    </w:p>
    <w:tbl>
      <w:tblPr>
        <w:tblStyle w:val="TableGrid"/>
        <w:tblW w:w="9835" w:type="dxa"/>
        <w:tblInd w:w="930" w:type="dxa"/>
        <w:tblCellMar>
          <w:top w:w="109" w:type="dxa"/>
          <w:left w:w="0" w:type="dxa"/>
          <w:bottom w:w="0" w:type="dxa"/>
          <w:right w:w="159" w:type="dxa"/>
        </w:tblCellMar>
        <w:tblLook w:val="04A0" w:firstRow="1" w:lastRow="0" w:firstColumn="1" w:lastColumn="0" w:noHBand="0" w:noVBand="1"/>
      </w:tblPr>
      <w:tblGrid>
        <w:gridCol w:w="3844"/>
        <w:gridCol w:w="1985"/>
        <w:gridCol w:w="1562"/>
        <w:gridCol w:w="1419"/>
        <w:gridCol w:w="1025"/>
      </w:tblGrid>
      <w:tr w:rsidR="00367448" w14:paraId="43174003" w14:textId="77777777">
        <w:trPr>
          <w:trHeight w:val="487"/>
        </w:trPr>
        <w:tc>
          <w:tcPr>
            <w:tcW w:w="3843" w:type="dxa"/>
            <w:tcBorders>
              <w:top w:val="single" w:sz="8" w:space="0" w:color="9BBB59"/>
              <w:left w:val="nil"/>
              <w:bottom w:val="single" w:sz="8" w:space="0" w:color="9BBB59"/>
              <w:right w:val="nil"/>
            </w:tcBorders>
            <w:vAlign w:val="center"/>
          </w:tcPr>
          <w:p w14:paraId="144A13BE" w14:textId="77777777" w:rsidR="00367448" w:rsidRDefault="000B472C">
            <w:pPr>
              <w:spacing w:after="0" w:line="259" w:lineRule="auto"/>
              <w:ind w:left="122" w:firstLine="0"/>
              <w:jc w:val="left"/>
            </w:pPr>
            <w:r>
              <w:rPr>
                <w:b/>
              </w:rPr>
              <w:t xml:space="preserve">Packaging materials </w:t>
            </w:r>
          </w:p>
        </w:tc>
        <w:tc>
          <w:tcPr>
            <w:tcW w:w="1985" w:type="dxa"/>
            <w:tcBorders>
              <w:top w:val="single" w:sz="8" w:space="0" w:color="9BBB59"/>
              <w:left w:val="nil"/>
              <w:bottom w:val="single" w:sz="8" w:space="0" w:color="9BBB59"/>
              <w:right w:val="nil"/>
            </w:tcBorders>
            <w:vAlign w:val="center"/>
          </w:tcPr>
          <w:p w14:paraId="78E40988" w14:textId="77777777" w:rsidR="00367448" w:rsidRDefault="000B472C">
            <w:pPr>
              <w:spacing w:after="0" w:line="259" w:lineRule="auto"/>
              <w:ind w:left="0" w:firstLine="0"/>
              <w:jc w:val="left"/>
            </w:pPr>
            <w:r>
              <w:t xml:space="preserve">Storage conditions </w:t>
            </w:r>
          </w:p>
        </w:tc>
        <w:tc>
          <w:tcPr>
            <w:tcW w:w="1562" w:type="dxa"/>
            <w:tcBorders>
              <w:top w:val="single" w:sz="8" w:space="0" w:color="9BBB59"/>
              <w:left w:val="nil"/>
              <w:bottom w:val="single" w:sz="8" w:space="0" w:color="9BBB59"/>
              <w:right w:val="nil"/>
            </w:tcBorders>
            <w:vAlign w:val="center"/>
          </w:tcPr>
          <w:p w14:paraId="5F4E985F" w14:textId="77777777" w:rsidR="00367448" w:rsidRDefault="000B472C">
            <w:pPr>
              <w:spacing w:after="0" w:line="259" w:lineRule="auto"/>
              <w:ind w:left="0" w:firstLine="0"/>
              <w:jc w:val="left"/>
            </w:pPr>
            <w:r>
              <w:t xml:space="preserve">Weight loss (%) </w:t>
            </w:r>
          </w:p>
        </w:tc>
        <w:tc>
          <w:tcPr>
            <w:tcW w:w="1419" w:type="dxa"/>
            <w:tcBorders>
              <w:top w:val="single" w:sz="8" w:space="0" w:color="9BBB59"/>
              <w:left w:val="nil"/>
              <w:bottom w:val="single" w:sz="8" w:space="0" w:color="9BBB59"/>
              <w:right w:val="nil"/>
            </w:tcBorders>
            <w:vAlign w:val="center"/>
          </w:tcPr>
          <w:p w14:paraId="653858FD" w14:textId="77777777" w:rsidR="00367448" w:rsidRDefault="000B472C">
            <w:pPr>
              <w:spacing w:after="0" w:line="259" w:lineRule="auto"/>
              <w:ind w:left="0" w:firstLine="0"/>
              <w:jc w:val="left"/>
            </w:pPr>
            <w:r>
              <w:t xml:space="preserve">Firmness (N) </w:t>
            </w:r>
          </w:p>
        </w:tc>
        <w:tc>
          <w:tcPr>
            <w:tcW w:w="1025" w:type="dxa"/>
            <w:tcBorders>
              <w:top w:val="single" w:sz="8" w:space="0" w:color="9BBB59"/>
              <w:left w:val="nil"/>
              <w:bottom w:val="single" w:sz="8" w:space="0" w:color="9BBB59"/>
              <w:right w:val="nil"/>
            </w:tcBorders>
            <w:vAlign w:val="center"/>
          </w:tcPr>
          <w:p w14:paraId="3DBAD201" w14:textId="77777777" w:rsidR="00367448" w:rsidRDefault="000B472C">
            <w:pPr>
              <w:spacing w:after="0" w:line="259" w:lineRule="auto"/>
              <w:ind w:left="0" w:firstLine="0"/>
              <w:jc w:val="left"/>
            </w:pPr>
            <w:r>
              <w:t xml:space="preserve">Reference </w:t>
            </w:r>
          </w:p>
        </w:tc>
      </w:tr>
      <w:tr w:rsidR="00367448" w14:paraId="44D5A9B1" w14:textId="77777777">
        <w:trPr>
          <w:trHeight w:val="484"/>
        </w:trPr>
        <w:tc>
          <w:tcPr>
            <w:tcW w:w="3843" w:type="dxa"/>
            <w:tcBorders>
              <w:top w:val="single" w:sz="8" w:space="0" w:color="9BBB59"/>
              <w:left w:val="nil"/>
              <w:bottom w:val="nil"/>
              <w:right w:val="nil"/>
            </w:tcBorders>
            <w:vAlign w:val="center"/>
          </w:tcPr>
          <w:p w14:paraId="6DFF9026" w14:textId="77777777" w:rsidR="00367448" w:rsidRDefault="000B472C">
            <w:pPr>
              <w:spacing w:after="0" w:line="259" w:lineRule="auto"/>
              <w:ind w:left="122" w:firstLine="0"/>
              <w:jc w:val="left"/>
            </w:pPr>
            <w:r>
              <w:t>Shellac/tannic acid</w:t>
            </w:r>
            <w:r>
              <w:rPr>
                <w:b/>
              </w:rPr>
              <w:t xml:space="preserve"> </w:t>
            </w:r>
          </w:p>
        </w:tc>
        <w:tc>
          <w:tcPr>
            <w:tcW w:w="1985" w:type="dxa"/>
            <w:tcBorders>
              <w:top w:val="single" w:sz="8" w:space="0" w:color="9BBB59"/>
              <w:left w:val="nil"/>
              <w:bottom w:val="nil"/>
              <w:right w:val="nil"/>
            </w:tcBorders>
            <w:vAlign w:val="center"/>
          </w:tcPr>
          <w:p w14:paraId="0049F293" w14:textId="77777777" w:rsidR="00367448" w:rsidRDefault="000B472C">
            <w:pPr>
              <w:tabs>
                <w:tab w:val="center" w:pos="1208"/>
              </w:tabs>
              <w:spacing w:after="0" w:line="259" w:lineRule="auto"/>
              <w:ind w:left="0" w:firstLine="0"/>
              <w:jc w:val="left"/>
            </w:pPr>
            <w:r>
              <w:t xml:space="preserve">25 ± 1.0 </w:t>
            </w:r>
            <w:r>
              <w:rPr>
                <w:noProof/>
              </w:rPr>
              <w:drawing>
                <wp:inline distT="0" distB="0" distL="0" distR="0" wp14:anchorId="35435282" wp14:editId="72C118D8">
                  <wp:extent cx="109728" cy="88392"/>
                  <wp:effectExtent l="0" t="0" r="0" b="0"/>
                  <wp:docPr id="62995" name="Picture 62995"/>
                  <wp:cNvGraphicFramePr/>
                  <a:graphic xmlns:a="http://schemas.openxmlformats.org/drawingml/2006/main">
                    <a:graphicData uri="http://schemas.openxmlformats.org/drawingml/2006/picture">
                      <pic:pic xmlns:pic="http://schemas.openxmlformats.org/drawingml/2006/picture">
                        <pic:nvPicPr>
                          <pic:cNvPr id="62995" name="Picture 62995"/>
                          <pic:cNvPicPr/>
                        </pic:nvPicPr>
                        <pic:blipFill>
                          <a:blip r:embed="rId32"/>
                          <a:stretch>
                            <a:fillRect/>
                          </a:stretch>
                        </pic:blipFill>
                        <pic:spPr>
                          <a:xfrm>
                            <a:off x="0" y="0"/>
                            <a:ext cx="109728" cy="88392"/>
                          </a:xfrm>
                          <a:prstGeom prst="rect">
                            <a:avLst/>
                          </a:prstGeom>
                        </pic:spPr>
                      </pic:pic>
                    </a:graphicData>
                  </a:graphic>
                </wp:inline>
              </w:drawing>
            </w:r>
            <w:r>
              <w:tab/>
              <w:t xml:space="preserve"> for 15 d </w:t>
            </w:r>
          </w:p>
        </w:tc>
        <w:tc>
          <w:tcPr>
            <w:tcW w:w="1562" w:type="dxa"/>
            <w:tcBorders>
              <w:top w:val="single" w:sz="8" w:space="0" w:color="9BBB59"/>
              <w:left w:val="nil"/>
              <w:bottom w:val="nil"/>
              <w:right w:val="nil"/>
            </w:tcBorders>
            <w:vAlign w:val="center"/>
          </w:tcPr>
          <w:p w14:paraId="2FEBB31E" w14:textId="77777777" w:rsidR="00367448" w:rsidRDefault="000B472C">
            <w:pPr>
              <w:spacing w:after="0" w:line="259" w:lineRule="auto"/>
              <w:ind w:left="0" w:firstLine="0"/>
              <w:jc w:val="left"/>
            </w:pPr>
            <w:r>
              <w:t xml:space="preserve">~11.70 </w:t>
            </w:r>
          </w:p>
        </w:tc>
        <w:tc>
          <w:tcPr>
            <w:tcW w:w="1419" w:type="dxa"/>
            <w:tcBorders>
              <w:top w:val="single" w:sz="8" w:space="0" w:color="9BBB59"/>
              <w:left w:val="nil"/>
              <w:bottom w:val="nil"/>
              <w:right w:val="nil"/>
            </w:tcBorders>
            <w:vAlign w:val="center"/>
          </w:tcPr>
          <w:p w14:paraId="004344D8" w14:textId="77777777" w:rsidR="00367448" w:rsidRDefault="000B472C">
            <w:pPr>
              <w:spacing w:after="0" w:line="259" w:lineRule="auto"/>
              <w:ind w:left="0" w:firstLine="0"/>
              <w:jc w:val="left"/>
            </w:pPr>
            <w:r>
              <w:t xml:space="preserve">~4.62 </w:t>
            </w:r>
          </w:p>
        </w:tc>
        <w:tc>
          <w:tcPr>
            <w:tcW w:w="1025" w:type="dxa"/>
            <w:tcBorders>
              <w:top w:val="single" w:sz="8" w:space="0" w:color="9BBB59"/>
              <w:left w:val="nil"/>
              <w:bottom w:val="nil"/>
              <w:right w:val="nil"/>
            </w:tcBorders>
            <w:vAlign w:val="center"/>
          </w:tcPr>
          <w:p w14:paraId="2FB4C426" w14:textId="77777777" w:rsidR="00367448" w:rsidRDefault="000B472C">
            <w:pPr>
              <w:spacing w:after="0" w:line="259" w:lineRule="auto"/>
              <w:ind w:left="0" w:firstLine="0"/>
              <w:jc w:val="left"/>
            </w:pPr>
            <w:r>
              <w:rPr>
                <w:b/>
              </w:rPr>
              <w:t xml:space="preserve">[1] </w:t>
            </w:r>
          </w:p>
        </w:tc>
      </w:tr>
      <w:tr w:rsidR="00367448" w14:paraId="0B141038" w14:textId="77777777">
        <w:trPr>
          <w:trHeight w:val="468"/>
        </w:trPr>
        <w:tc>
          <w:tcPr>
            <w:tcW w:w="3843" w:type="dxa"/>
            <w:tcBorders>
              <w:top w:val="nil"/>
              <w:left w:val="nil"/>
              <w:bottom w:val="nil"/>
              <w:right w:val="nil"/>
            </w:tcBorders>
            <w:vAlign w:val="center"/>
          </w:tcPr>
          <w:p w14:paraId="53DBC2E4" w14:textId="77777777" w:rsidR="00367448" w:rsidRDefault="000B472C">
            <w:pPr>
              <w:spacing w:after="0" w:line="259" w:lineRule="auto"/>
              <w:ind w:left="122" w:firstLine="0"/>
              <w:jc w:val="left"/>
            </w:pPr>
            <w:r>
              <w:t>Native starch/cationic starch</w:t>
            </w:r>
            <w:r>
              <w:rPr>
                <w:b/>
              </w:rPr>
              <w:t xml:space="preserve"> </w:t>
            </w:r>
          </w:p>
        </w:tc>
        <w:tc>
          <w:tcPr>
            <w:tcW w:w="1985" w:type="dxa"/>
            <w:tcBorders>
              <w:top w:val="nil"/>
              <w:left w:val="nil"/>
              <w:bottom w:val="nil"/>
              <w:right w:val="nil"/>
            </w:tcBorders>
            <w:vAlign w:val="center"/>
          </w:tcPr>
          <w:p w14:paraId="30D08BA2" w14:textId="77777777" w:rsidR="00367448" w:rsidRDefault="000B472C">
            <w:pPr>
              <w:spacing w:after="0" w:line="259" w:lineRule="auto"/>
              <w:ind w:left="0" w:firstLine="0"/>
              <w:jc w:val="left"/>
            </w:pPr>
            <w:r>
              <w:t xml:space="preserve">30 °C for 10 d </w:t>
            </w:r>
          </w:p>
        </w:tc>
        <w:tc>
          <w:tcPr>
            <w:tcW w:w="1562" w:type="dxa"/>
            <w:tcBorders>
              <w:top w:val="nil"/>
              <w:left w:val="nil"/>
              <w:bottom w:val="nil"/>
              <w:right w:val="nil"/>
            </w:tcBorders>
            <w:vAlign w:val="center"/>
          </w:tcPr>
          <w:p w14:paraId="4B89816B" w14:textId="77777777" w:rsidR="00367448" w:rsidRDefault="000B472C">
            <w:pPr>
              <w:spacing w:after="0" w:line="259" w:lineRule="auto"/>
              <w:ind w:left="0" w:firstLine="0"/>
              <w:jc w:val="left"/>
            </w:pPr>
            <w:r>
              <w:t xml:space="preserve">~9.0 </w:t>
            </w:r>
          </w:p>
        </w:tc>
        <w:tc>
          <w:tcPr>
            <w:tcW w:w="1419" w:type="dxa"/>
            <w:tcBorders>
              <w:top w:val="nil"/>
              <w:left w:val="nil"/>
              <w:bottom w:val="nil"/>
              <w:right w:val="nil"/>
            </w:tcBorders>
            <w:vAlign w:val="center"/>
          </w:tcPr>
          <w:p w14:paraId="7536CF38" w14:textId="77777777" w:rsidR="00367448" w:rsidRDefault="000B472C">
            <w:pPr>
              <w:spacing w:after="0" w:line="259" w:lineRule="auto"/>
              <w:ind w:left="0" w:firstLine="0"/>
              <w:jc w:val="left"/>
            </w:pPr>
            <w:r>
              <w:t xml:space="preserve">N/A </w:t>
            </w:r>
          </w:p>
        </w:tc>
        <w:tc>
          <w:tcPr>
            <w:tcW w:w="1025" w:type="dxa"/>
            <w:tcBorders>
              <w:top w:val="nil"/>
              <w:left w:val="nil"/>
              <w:bottom w:val="nil"/>
              <w:right w:val="nil"/>
            </w:tcBorders>
            <w:vAlign w:val="center"/>
          </w:tcPr>
          <w:p w14:paraId="52B88005" w14:textId="77777777" w:rsidR="00367448" w:rsidRDefault="000B472C">
            <w:pPr>
              <w:spacing w:after="0" w:line="259" w:lineRule="auto"/>
              <w:ind w:left="0" w:firstLine="0"/>
              <w:jc w:val="left"/>
            </w:pPr>
            <w:r>
              <w:rPr>
                <w:b/>
              </w:rPr>
              <w:t xml:space="preserve">[2] </w:t>
            </w:r>
          </w:p>
        </w:tc>
      </w:tr>
      <w:tr w:rsidR="00367448" w14:paraId="35B37631" w14:textId="77777777">
        <w:trPr>
          <w:trHeight w:val="934"/>
        </w:trPr>
        <w:tc>
          <w:tcPr>
            <w:tcW w:w="3843" w:type="dxa"/>
            <w:tcBorders>
              <w:top w:val="nil"/>
              <w:left w:val="nil"/>
              <w:bottom w:val="nil"/>
              <w:right w:val="nil"/>
            </w:tcBorders>
            <w:vAlign w:val="center"/>
          </w:tcPr>
          <w:p w14:paraId="1BBEE400" w14:textId="77777777" w:rsidR="00367448" w:rsidRDefault="000B472C">
            <w:pPr>
              <w:spacing w:after="0" w:line="259" w:lineRule="auto"/>
              <w:ind w:left="122" w:right="48" w:firstLine="0"/>
            </w:pPr>
            <w:r>
              <w:t xml:space="preserve">Amphiphilic chitosan/carboxymethyl </w:t>
            </w:r>
            <w:proofErr w:type="spellStart"/>
            <w:r>
              <w:t>gellan</w:t>
            </w:r>
            <w:proofErr w:type="spellEnd"/>
            <w:r>
              <w:t xml:space="preserve"> gum/mustard essential oil </w:t>
            </w:r>
          </w:p>
        </w:tc>
        <w:tc>
          <w:tcPr>
            <w:tcW w:w="1985" w:type="dxa"/>
            <w:tcBorders>
              <w:top w:val="nil"/>
              <w:left w:val="nil"/>
              <w:bottom w:val="nil"/>
              <w:right w:val="nil"/>
            </w:tcBorders>
          </w:tcPr>
          <w:p w14:paraId="053D9B8F" w14:textId="77777777" w:rsidR="00367448" w:rsidRDefault="000B472C">
            <w:pPr>
              <w:spacing w:after="0" w:line="259" w:lineRule="auto"/>
              <w:ind w:left="0" w:firstLine="0"/>
              <w:jc w:val="left"/>
            </w:pPr>
            <w:r>
              <w:t xml:space="preserve">26 °C for 20 d </w:t>
            </w:r>
          </w:p>
        </w:tc>
        <w:tc>
          <w:tcPr>
            <w:tcW w:w="1562" w:type="dxa"/>
            <w:tcBorders>
              <w:top w:val="nil"/>
              <w:left w:val="nil"/>
              <w:bottom w:val="nil"/>
              <w:right w:val="nil"/>
            </w:tcBorders>
          </w:tcPr>
          <w:p w14:paraId="27858256" w14:textId="77777777" w:rsidR="00367448" w:rsidRDefault="000B472C">
            <w:pPr>
              <w:spacing w:after="0" w:line="259" w:lineRule="auto"/>
              <w:ind w:left="0" w:firstLine="0"/>
              <w:jc w:val="left"/>
            </w:pPr>
            <w:r>
              <w:t xml:space="preserve">~17.18 </w:t>
            </w:r>
          </w:p>
        </w:tc>
        <w:tc>
          <w:tcPr>
            <w:tcW w:w="1419" w:type="dxa"/>
            <w:tcBorders>
              <w:top w:val="nil"/>
              <w:left w:val="nil"/>
              <w:bottom w:val="nil"/>
              <w:right w:val="nil"/>
            </w:tcBorders>
          </w:tcPr>
          <w:p w14:paraId="47E5D85C" w14:textId="77777777" w:rsidR="00367448" w:rsidRDefault="000B472C">
            <w:pPr>
              <w:spacing w:after="0" w:line="259" w:lineRule="auto"/>
              <w:ind w:left="0" w:firstLine="0"/>
              <w:jc w:val="left"/>
            </w:pPr>
            <w:r>
              <w:t xml:space="preserve">~5.66 </w:t>
            </w:r>
          </w:p>
        </w:tc>
        <w:tc>
          <w:tcPr>
            <w:tcW w:w="1025" w:type="dxa"/>
            <w:tcBorders>
              <w:top w:val="nil"/>
              <w:left w:val="nil"/>
              <w:bottom w:val="nil"/>
              <w:right w:val="nil"/>
            </w:tcBorders>
          </w:tcPr>
          <w:p w14:paraId="57AA2753" w14:textId="77777777" w:rsidR="00367448" w:rsidRDefault="000B472C">
            <w:pPr>
              <w:spacing w:after="0" w:line="259" w:lineRule="auto"/>
              <w:ind w:left="0" w:firstLine="0"/>
              <w:jc w:val="left"/>
            </w:pPr>
            <w:r>
              <w:rPr>
                <w:b/>
              </w:rPr>
              <w:t xml:space="preserve">[3] </w:t>
            </w:r>
          </w:p>
        </w:tc>
      </w:tr>
      <w:tr w:rsidR="00367448" w14:paraId="1AA9D786" w14:textId="77777777">
        <w:trPr>
          <w:trHeight w:val="936"/>
        </w:trPr>
        <w:tc>
          <w:tcPr>
            <w:tcW w:w="3843" w:type="dxa"/>
            <w:tcBorders>
              <w:top w:val="nil"/>
              <w:left w:val="nil"/>
              <w:bottom w:val="nil"/>
              <w:right w:val="nil"/>
            </w:tcBorders>
            <w:vAlign w:val="center"/>
          </w:tcPr>
          <w:p w14:paraId="40CA03E0" w14:textId="77777777" w:rsidR="00367448" w:rsidRDefault="000B472C">
            <w:pPr>
              <w:spacing w:after="0" w:line="259" w:lineRule="auto"/>
              <w:ind w:left="122" w:firstLine="0"/>
              <w:jc w:val="left"/>
            </w:pPr>
            <w:r>
              <w:t>Carboxymethyl chitosan/pullulan/galangal essential oil</w:t>
            </w:r>
            <w:r>
              <w:rPr>
                <w:b/>
              </w:rPr>
              <w:t xml:space="preserve"> </w:t>
            </w:r>
          </w:p>
        </w:tc>
        <w:tc>
          <w:tcPr>
            <w:tcW w:w="1985" w:type="dxa"/>
            <w:tcBorders>
              <w:top w:val="nil"/>
              <w:left w:val="nil"/>
              <w:bottom w:val="nil"/>
              <w:right w:val="nil"/>
            </w:tcBorders>
          </w:tcPr>
          <w:p w14:paraId="21038C8E" w14:textId="77777777" w:rsidR="00367448" w:rsidRDefault="000B472C">
            <w:pPr>
              <w:spacing w:after="0" w:line="259" w:lineRule="auto"/>
              <w:ind w:left="0" w:firstLine="0"/>
              <w:jc w:val="left"/>
            </w:pPr>
            <w:r>
              <w:t xml:space="preserve">25 ± 1 °C for 15 d </w:t>
            </w:r>
          </w:p>
        </w:tc>
        <w:tc>
          <w:tcPr>
            <w:tcW w:w="1562" w:type="dxa"/>
            <w:tcBorders>
              <w:top w:val="nil"/>
              <w:left w:val="nil"/>
              <w:bottom w:val="nil"/>
              <w:right w:val="nil"/>
            </w:tcBorders>
          </w:tcPr>
          <w:p w14:paraId="2033F7CF" w14:textId="77777777" w:rsidR="00367448" w:rsidRDefault="000B472C">
            <w:pPr>
              <w:spacing w:after="0" w:line="259" w:lineRule="auto"/>
              <w:ind w:left="0" w:firstLine="0"/>
              <w:jc w:val="left"/>
            </w:pPr>
            <w:r>
              <w:t xml:space="preserve">~8.72 </w:t>
            </w:r>
          </w:p>
        </w:tc>
        <w:tc>
          <w:tcPr>
            <w:tcW w:w="1419" w:type="dxa"/>
            <w:tcBorders>
              <w:top w:val="nil"/>
              <w:left w:val="nil"/>
              <w:bottom w:val="nil"/>
              <w:right w:val="nil"/>
            </w:tcBorders>
          </w:tcPr>
          <w:p w14:paraId="04B679F9" w14:textId="77777777" w:rsidR="00367448" w:rsidRDefault="000B472C">
            <w:pPr>
              <w:spacing w:after="0" w:line="259" w:lineRule="auto"/>
              <w:ind w:left="0" w:firstLine="0"/>
              <w:jc w:val="left"/>
            </w:pPr>
            <w:r>
              <w:t xml:space="preserve">~3.82 </w:t>
            </w:r>
          </w:p>
        </w:tc>
        <w:tc>
          <w:tcPr>
            <w:tcW w:w="1025" w:type="dxa"/>
            <w:tcBorders>
              <w:top w:val="nil"/>
              <w:left w:val="nil"/>
              <w:bottom w:val="nil"/>
              <w:right w:val="nil"/>
            </w:tcBorders>
          </w:tcPr>
          <w:p w14:paraId="6771FAA7" w14:textId="77777777" w:rsidR="00367448" w:rsidRDefault="000B472C">
            <w:pPr>
              <w:spacing w:after="0" w:line="259" w:lineRule="auto"/>
              <w:ind w:left="0" w:firstLine="0"/>
              <w:jc w:val="left"/>
            </w:pPr>
            <w:r>
              <w:rPr>
                <w:b/>
              </w:rPr>
              <w:t xml:space="preserve">[4] </w:t>
            </w:r>
          </w:p>
        </w:tc>
      </w:tr>
      <w:tr w:rsidR="00367448" w14:paraId="1E3C616D" w14:textId="77777777">
        <w:trPr>
          <w:trHeight w:val="471"/>
        </w:trPr>
        <w:tc>
          <w:tcPr>
            <w:tcW w:w="3843" w:type="dxa"/>
            <w:tcBorders>
              <w:top w:val="nil"/>
              <w:left w:val="nil"/>
              <w:bottom w:val="nil"/>
              <w:right w:val="nil"/>
            </w:tcBorders>
            <w:vAlign w:val="center"/>
          </w:tcPr>
          <w:p w14:paraId="00BDF704" w14:textId="77777777" w:rsidR="00367448" w:rsidRDefault="000B472C">
            <w:pPr>
              <w:spacing w:after="0" w:line="259" w:lineRule="auto"/>
              <w:ind w:left="122" w:firstLine="0"/>
              <w:jc w:val="left"/>
            </w:pPr>
            <w:r>
              <w:t>PLA/TiO</w:t>
            </w:r>
            <w:r>
              <w:rPr>
                <w:vertAlign w:val="subscript"/>
              </w:rPr>
              <w:t>2</w:t>
            </w:r>
            <w:r>
              <w:t xml:space="preserve">/Ag nanoparticles </w:t>
            </w:r>
          </w:p>
        </w:tc>
        <w:tc>
          <w:tcPr>
            <w:tcW w:w="1985" w:type="dxa"/>
            <w:tcBorders>
              <w:top w:val="nil"/>
              <w:left w:val="nil"/>
              <w:bottom w:val="nil"/>
              <w:right w:val="nil"/>
            </w:tcBorders>
            <w:vAlign w:val="center"/>
          </w:tcPr>
          <w:p w14:paraId="12BA04EF" w14:textId="77777777" w:rsidR="00367448" w:rsidRDefault="000B472C">
            <w:pPr>
              <w:spacing w:after="0" w:line="259" w:lineRule="auto"/>
              <w:ind w:left="0" w:firstLine="0"/>
              <w:jc w:val="left"/>
            </w:pPr>
            <w:r>
              <w:t xml:space="preserve">20 ± 1 °C for 15 d </w:t>
            </w:r>
          </w:p>
        </w:tc>
        <w:tc>
          <w:tcPr>
            <w:tcW w:w="1562" w:type="dxa"/>
            <w:tcBorders>
              <w:top w:val="nil"/>
              <w:left w:val="nil"/>
              <w:bottom w:val="nil"/>
              <w:right w:val="nil"/>
            </w:tcBorders>
            <w:vAlign w:val="center"/>
          </w:tcPr>
          <w:p w14:paraId="055C0C50" w14:textId="77777777" w:rsidR="00367448" w:rsidRDefault="000B472C">
            <w:pPr>
              <w:spacing w:after="0" w:line="259" w:lineRule="auto"/>
              <w:ind w:left="0" w:firstLine="0"/>
              <w:jc w:val="left"/>
            </w:pPr>
            <w:r>
              <w:t xml:space="preserve">~4.80 </w:t>
            </w:r>
          </w:p>
        </w:tc>
        <w:tc>
          <w:tcPr>
            <w:tcW w:w="1419" w:type="dxa"/>
            <w:tcBorders>
              <w:top w:val="nil"/>
              <w:left w:val="nil"/>
              <w:bottom w:val="nil"/>
              <w:right w:val="nil"/>
            </w:tcBorders>
            <w:vAlign w:val="center"/>
          </w:tcPr>
          <w:p w14:paraId="3750FC9E" w14:textId="77777777" w:rsidR="00367448" w:rsidRDefault="000B472C">
            <w:pPr>
              <w:spacing w:after="0" w:line="259" w:lineRule="auto"/>
              <w:ind w:left="0" w:firstLine="0"/>
              <w:jc w:val="left"/>
            </w:pPr>
            <w:r>
              <w:t xml:space="preserve">~7.50 </w:t>
            </w:r>
          </w:p>
        </w:tc>
        <w:tc>
          <w:tcPr>
            <w:tcW w:w="1025" w:type="dxa"/>
            <w:tcBorders>
              <w:top w:val="nil"/>
              <w:left w:val="nil"/>
              <w:bottom w:val="nil"/>
              <w:right w:val="nil"/>
            </w:tcBorders>
            <w:vAlign w:val="center"/>
          </w:tcPr>
          <w:p w14:paraId="38F8074A" w14:textId="77777777" w:rsidR="00367448" w:rsidRDefault="000B472C">
            <w:pPr>
              <w:spacing w:after="0" w:line="259" w:lineRule="auto"/>
              <w:ind w:left="0" w:firstLine="0"/>
              <w:jc w:val="left"/>
            </w:pPr>
            <w:r>
              <w:rPr>
                <w:b/>
              </w:rPr>
              <w:t xml:space="preserve">[5] </w:t>
            </w:r>
          </w:p>
        </w:tc>
      </w:tr>
      <w:tr w:rsidR="00367448" w14:paraId="243160FD" w14:textId="77777777">
        <w:trPr>
          <w:trHeight w:val="468"/>
        </w:trPr>
        <w:tc>
          <w:tcPr>
            <w:tcW w:w="3843" w:type="dxa"/>
            <w:tcBorders>
              <w:top w:val="nil"/>
              <w:left w:val="nil"/>
              <w:bottom w:val="nil"/>
              <w:right w:val="nil"/>
            </w:tcBorders>
            <w:vAlign w:val="center"/>
          </w:tcPr>
          <w:p w14:paraId="0D724747" w14:textId="77777777" w:rsidR="00367448" w:rsidRDefault="000B472C">
            <w:pPr>
              <w:spacing w:after="0" w:line="259" w:lineRule="auto"/>
              <w:ind w:left="122" w:firstLine="0"/>
              <w:jc w:val="left"/>
            </w:pPr>
            <w:r>
              <w:t xml:space="preserve">High molecular weight-chitosan </w:t>
            </w:r>
          </w:p>
        </w:tc>
        <w:tc>
          <w:tcPr>
            <w:tcW w:w="1985" w:type="dxa"/>
            <w:tcBorders>
              <w:top w:val="nil"/>
              <w:left w:val="nil"/>
              <w:bottom w:val="nil"/>
              <w:right w:val="nil"/>
            </w:tcBorders>
            <w:vAlign w:val="center"/>
          </w:tcPr>
          <w:p w14:paraId="74251681" w14:textId="77777777" w:rsidR="00367448" w:rsidRDefault="000B472C">
            <w:pPr>
              <w:spacing w:after="0" w:line="259" w:lineRule="auto"/>
              <w:ind w:left="0" w:firstLine="0"/>
              <w:jc w:val="left"/>
            </w:pPr>
            <w:r>
              <w:t xml:space="preserve">25 ± 2.0 °C for 16 d </w:t>
            </w:r>
          </w:p>
        </w:tc>
        <w:tc>
          <w:tcPr>
            <w:tcW w:w="1562" w:type="dxa"/>
            <w:tcBorders>
              <w:top w:val="nil"/>
              <w:left w:val="nil"/>
              <w:bottom w:val="nil"/>
              <w:right w:val="nil"/>
            </w:tcBorders>
            <w:vAlign w:val="center"/>
          </w:tcPr>
          <w:p w14:paraId="4DDD370B" w14:textId="77777777" w:rsidR="00367448" w:rsidRDefault="000B472C">
            <w:pPr>
              <w:spacing w:after="0" w:line="259" w:lineRule="auto"/>
              <w:ind w:left="0" w:firstLine="0"/>
              <w:jc w:val="left"/>
            </w:pPr>
            <w:r>
              <w:t xml:space="preserve">~13.59 </w:t>
            </w:r>
          </w:p>
        </w:tc>
        <w:tc>
          <w:tcPr>
            <w:tcW w:w="1419" w:type="dxa"/>
            <w:tcBorders>
              <w:top w:val="nil"/>
              <w:left w:val="nil"/>
              <w:bottom w:val="nil"/>
              <w:right w:val="nil"/>
            </w:tcBorders>
            <w:vAlign w:val="center"/>
          </w:tcPr>
          <w:p w14:paraId="3A95754B" w14:textId="77777777" w:rsidR="00367448" w:rsidRDefault="000B472C">
            <w:pPr>
              <w:spacing w:after="0" w:line="259" w:lineRule="auto"/>
              <w:ind w:left="0" w:firstLine="0"/>
              <w:jc w:val="left"/>
            </w:pPr>
            <w:r>
              <w:t xml:space="preserve">~0.68 </w:t>
            </w:r>
          </w:p>
        </w:tc>
        <w:tc>
          <w:tcPr>
            <w:tcW w:w="1025" w:type="dxa"/>
            <w:tcBorders>
              <w:top w:val="nil"/>
              <w:left w:val="nil"/>
              <w:bottom w:val="nil"/>
              <w:right w:val="nil"/>
            </w:tcBorders>
            <w:vAlign w:val="center"/>
          </w:tcPr>
          <w:p w14:paraId="12C17EFD" w14:textId="77777777" w:rsidR="00367448" w:rsidRDefault="000B472C">
            <w:pPr>
              <w:spacing w:after="0" w:line="259" w:lineRule="auto"/>
              <w:ind w:left="0" w:firstLine="0"/>
              <w:jc w:val="left"/>
            </w:pPr>
            <w:r>
              <w:rPr>
                <w:b/>
              </w:rPr>
              <w:t xml:space="preserve">[6] </w:t>
            </w:r>
          </w:p>
        </w:tc>
      </w:tr>
      <w:tr w:rsidR="00367448" w14:paraId="793D27F8" w14:textId="77777777">
        <w:trPr>
          <w:trHeight w:val="934"/>
        </w:trPr>
        <w:tc>
          <w:tcPr>
            <w:tcW w:w="3843" w:type="dxa"/>
            <w:tcBorders>
              <w:top w:val="nil"/>
              <w:left w:val="nil"/>
              <w:bottom w:val="nil"/>
              <w:right w:val="nil"/>
            </w:tcBorders>
            <w:vAlign w:val="center"/>
          </w:tcPr>
          <w:p w14:paraId="1562A2C7" w14:textId="77777777" w:rsidR="00367448" w:rsidRDefault="000B472C">
            <w:pPr>
              <w:spacing w:after="0" w:line="259" w:lineRule="auto"/>
              <w:ind w:left="122" w:firstLine="0"/>
              <w:jc w:val="left"/>
            </w:pPr>
            <w:r>
              <w:t xml:space="preserve">chitosan/polyvinyl alcohol/cinnamon essential oil </w:t>
            </w:r>
          </w:p>
        </w:tc>
        <w:tc>
          <w:tcPr>
            <w:tcW w:w="1985" w:type="dxa"/>
            <w:tcBorders>
              <w:top w:val="nil"/>
              <w:left w:val="nil"/>
              <w:bottom w:val="nil"/>
              <w:right w:val="nil"/>
            </w:tcBorders>
          </w:tcPr>
          <w:p w14:paraId="040B701B" w14:textId="77777777" w:rsidR="00367448" w:rsidRDefault="000B472C">
            <w:pPr>
              <w:spacing w:after="0" w:line="259" w:lineRule="auto"/>
              <w:ind w:left="0" w:firstLine="0"/>
              <w:jc w:val="left"/>
            </w:pPr>
            <w:r>
              <w:t xml:space="preserve">25 °C °C for 15 d  </w:t>
            </w:r>
          </w:p>
        </w:tc>
        <w:tc>
          <w:tcPr>
            <w:tcW w:w="1562" w:type="dxa"/>
            <w:tcBorders>
              <w:top w:val="nil"/>
              <w:left w:val="nil"/>
              <w:bottom w:val="nil"/>
              <w:right w:val="nil"/>
            </w:tcBorders>
          </w:tcPr>
          <w:p w14:paraId="45D87E0C" w14:textId="77777777" w:rsidR="00367448" w:rsidRDefault="000B472C">
            <w:pPr>
              <w:spacing w:after="0" w:line="259" w:lineRule="auto"/>
              <w:ind w:left="0" w:firstLine="0"/>
              <w:jc w:val="left"/>
            </w:pPr>
            <w:r>
              <w:t xml:space="preserve">~9.34 </w:t>
            </w:r>
          </w:p>
        </w:tc>
        <w:tc>
          <w:tcPr>
            <w:tcW w:w="1419" w:type="dxa"/>
            <w:tcBorders>
              <w:top w:val="nil"/>
              <w:left w:val="nil"/>
              <w:bottom w:val="nil"/>
              <w:right w:val="nil"/>
            </w:tcBorders>
          </w:tcPr>
          <w:p w14:paraId="1D685BB7" w14:textId="77777777" w:rsidR="00367448" w:rsidRDefault="000B472C">
            <w:pPr>
              <w:spacing w:after="0" w:line="259" w:lineRule="auto"/>
              <w:ind w:left="0" w:firstLine="0"/>
              <w:jc w:val="left"/>
            </w:pPr>
            <w:r>
              <w:t xml:space="preserve">~6.18 </w:t>
            </w:r>
          </w:p>
        </w:tc>
        <w:tc>
          <w:tcPr>
            <w:tcW w:w="1025" w:type="dxa"/>
            <w:tcBorders>
              <w:top w:val="nil"/>
              <w:left w:val="nil"/>
              <w:bottom w:val="nil"/>
              <w:right w:val="nil"/>
            </w:tcBorders>
          </w:tcPr>
          <w:p w14:paraId="47934EA7" w14:textId="77777777" w:rsidR="00367448" w:rsidRDefault="000B472C">
            <w:pPr>
              <w:spacing w:after="0" w:line="259" w:lineRule="auto"/>
              <w:ind w:left="0" w:firstLine="0"/>
              <w:jc w:val="left"/>
            </w:pPr>
            <w:r>
              <w:rPr>
                <w:b/>
              </w:rPr>
              <w:t xml:space="preserve">[7] </w:t>
            </w:r>
          </w:p>
        </w:tc>
      </w:tr>
      <w:tr w:rsidR="00367448" w14:paraId="62E75CF9" w14:textId="77777777">
        <w:trPr>
          <w:trHeight w:val="470"/>
        </w:trPr>
        <w:tc>
          <w:tcPr>
            <w:tcW w:w="3843" w:type="dxa"/>
            <w:tcBorders>
              <w:top w:val="nil"/>
              <w:left w:val="nil"/>
              <w:bottom w:val="nil"/>
              <w:right w:val="nil"/>
            </w:tcBorders>
            <w:vAlign w:val="center"/>
          </w:tcPr>
          <w:p w14:paraId="3A3343FD" w14:textId="77777777" w:rsidR="00367448" w:rsidRDefault="000B472C">
            <w:pPr>
              <w:spacing w:after="0" w:line="259" w:lineRule="auto"/>
              <w:ind w:left="122" w:firstLine="0"/>
              <w:jc w:val="left"/>
            </w:pPr>
            <w:r>
              <w:t xml:space="preserve">Chitosan </w:t>
            </w:r>
          </w:p>
        </w:tc>
        <w:tc>
          <w:tcPr>
            <w:tcW w:w="1985" w:type="dxa"/>
            <w:tcBorders>
              <w:top w:val="nil"/>
              <w:left w:val="nil"/>
              <w:bottom w:val="nil"/>
              <w:right w:val="nil"/>
            </w:tcBorders>
            <w:vAlign w:val="center"/>
          </w:tcPr>
          <w:p w14:paraId="5BC41427" w14:textId="77777777" w:rsidR="00367448" w:rsidRDefault="000B472C">
            <w:pPr>
              <w:spacing w:after="0" w:line="259" w:lineRule="auto"/>
              <w:ind w:left="0" w:firstLine="0"/>
              <w:jc w:val="left"/>
            </w:pPr>
            <w:r>
              <w:rPr>
                <w:color w:val="2E2E2E"/>
              </w:rPr>
              <w:t>22</w:t>
            </w:r>
            <w:r>
              <w:t xml:space="preserve"> °C for 30 d </w:t>
            </w:r>
          </w:p>
        </w:tc>
        <w:tc>
          <w:tcPr>
            <w:tcW w:w="1562" w:type="dxa"/>
            <w:tcBorders>
              <w:top w:val="nil"/>
              <w:left w:val="nil"/>
              <w:bottom w:val="nil"/>
              <w:right w:val="nil"/>
            </w:tcBorders>
            <w:vAlign w:val="center"/>
          </w:tcPr>
          <w:p w14:paraId="0C4614CE" w14:textId="77777777" w:rsidR="00367448" w:rsidRDefault="000B472C">
            <w:pPr>
              <w:spacing w:after="0" w:line="259" w:lineRule="auto"/>
              <w:ind w:left="0" w:firstLine="0"/>
              <w:jc w:val="left"/>
            </w:pPr>
            <w:r>
              <w:t xml:space="preserve">~15.04 </w:t>
            </w:r>
          </w:p>
        </w:tc>
        <w:tc>
          <w:tcPr>
            <w:tcW w:w="1419" w:type="dxa"/>
            <w:tcBorders>
              <w:top w:val="nil"/>
              <w:left w:val="nil"/>
              <w:bottom w:val="nil"/>
              <w:right w:val="nil"/>
            </w:tcBorders>
            <w:vAlign w:val="center"/>
          </w:tcPr>
          <w:p w14:paraId="7798E73E" w14:textId="77777777" w:rsidR="00367448" w:rsidRDefault="000B472C">
            <w:pPr>
              <w:spacing w:after="0" w:line="259" w:lineRule="auto"/>
              <w:ind w:left="0" w:firstLine="0"/>
              <w:jc w:val="left"/>
            </w:pPr>
            <w:r>
              <w:t xml:space="preserve">~14.52 </w:t>
            </w:r>
          </w:p>
        </w:tc>
        <w:tc>
          <w:tcPr>
            <w:tcW w:w="1025" w:type="dxa"/>
            <w:tcBorders>
              <w:top w:val="nil"/>
              <w:left w:val="nil"/>
              <w:bottom w:val="nil"/>
              <w:right w:val="nil"/>
            </w:tcBorders>
            <w:vAlign w:val="center"/>
          </w:tcPr>
          <w:p w14:paraId="3FEC2F82" w14:textId="77777777" w:rsidR="00367448" w:rsidRDefault="000B472C">
            <w:pPr>
              <w:spacing w:after="0" w:line="259" w:lineRule="auto"/>
              <w:ind w:left="0" w:firstLine="0"/>
              <w:jc w:val="left"/>
            </w:pPr>
            <w:r>
              <w:rPr>
                <w:b/>
              </w:rPr>
              <w:t xml:space="preserve">[8] </w:t>
            </w:r>
          </w:p>
        </w:tc>
      </w:tr>
      <w:tr w:rsidR="00367448" w14:paraId="4DCFEB0C" w14:textId="77777777">
        <w:trPr>
          <w:trHeight w:val="934"/>
        </w:trPr>
        <w:tc>
          <w:tcPr>
            <w:tcW w:w="3843" w:type="dxa"/>
            <w:tcBorders>
              <w:top w:val="nil"/>
              <w:left w:val="nil"/>
              <w:bottom w:val="nil"/>
              <w:right w:val="nil"/>
            </w:tcBorders>
            <w:vAlign w:val="center"/>
          </w:tcPr>
          <w:p w14:paraId="60E6B8FC" w14:textId="77777777" w:rsidR="00367448" w:rsidRDefault="000B472C">
            <w:pPr>
              <w:spacing w:after="0" w:line="259" w:lineRule="auto"/>
              <w:ind w:left="122" w:firstLine="0"/>
              <w:jc w:val="left"/>
            </w:pPr>
            <w:r>
              <w:t>Chitosan/quaternary phosphonium salt/</w:t>
            </w:r>
            <w:r>
              <w:rPr>
                <w:rFonts w:ascii="Arial" w:eastAsia="Arial" w:hAnsi="Arial" w:cs="Arial"/>
                <w:sz w:val="21"/>
              </w:rPr>
              <w:t xml:space="preserve"> </w:t>
            </w:r>
            <w:r>
              <w:t xml:space="preserve">salicylic acid  </w:t>
            </w:r>
          </w:p>
        </w:tc>
        <w:tc>
          <w:tcPr>
            <w:tcW w:w="1985" w:type="dxa"/>
            <w:tcBorders>
              <w:top w:val="nil"/>
              <w:left w:val="nil"/>
              <w:bottom w:val="nil"/>
              <w:right w:val="nil"/>
            </w:tcBorders>
          </w:tcPr>
          <w:p w14:paraId="0E539768" w14:textId="77777777" w:rsidR="00367448" w:rsidRDefault="000B472C">
            <w:pPr>
              <w:spacing w:after="0" w:line="259" w:lineRule="auto"/>
              <w:ind w:left="0" w:firstLine="0"/>
              <w:jc w:val="left"/>
            </w:pPr>
            <w:r>
              <w:t xml:space="preserve">25 °C for 20 days </w:t>
            </w:r>
          </w:p>
        </w:tc>
        <w:tc>
          <w:tcPr>
            <w:tcW w:w="1562" w:type="dxa"/>
            <w:tcBorders>
              <w:top w:val="nil"/>
              <w:left w:val="nil"/>
              <w:bottom w:val="nil"/>
              <w:right w:val="nil"/>
            </w:tcBorders>
          </w:tcPr>
          <w:p w14:paraId="37E42DEC" w14:textId="77777777" w:rsidR="00367448" w:rsidRDefault="000B472C">
            <w:pPr>
              <w:spacing w:after="0" w:line="259" w:lineRule="auto"/>
              <w:ind w:left="0" w:firstLine="0"/>
              <w:jc w:val="left"/>
            </w:pPr>
            <w:r>
              <w:t xml:space="preserve">~12.86 </w:t>
            </w:r>
          </w:p>
        </w:tc>
        <w:tc>
          <w:tcPr>
            <w:tcW w:w="1419" w:type="dxa"/>
            <w:tcBorders>
              <w:top w:val="nil"/>
              <w:left w:val="nil"/>
              <w:bottom w:val="nil"/>
              <w:right w:val="nil"/>
            </w:tcBorders>
          </w:tcPr>
          <w:p w14:paraId="47C298F7" w14:textId="77777777" w:rsidR="00367448" w:rsidRDefault="000B472C">
            <w:pPr>
              <w:spacing w:after="0" w:line="259" w:lineRule="auto"/>
              <w:ind w:left="0" w:firstLine="0"/>
              <w:jc w:val="left"/>
            </w:pPr>
            <w:r>
              <w:t xml:space="preserve">~3.68 </w:t>
            </w:r>
          </w:p>
        </w:tc>
        <w:tc>
          <w:tcPr>
            <w:tcW w:w="1025" w:type="dxa"/>
            <w:tcBorders>
              <w:top w:val="nil"/>
              <w:left w:val="nil"/>
              <w:bottom w:val="nil"/>
              <w:right w:val="nil"/>
            </w:tcBorders>
          </w:tcPr>
          <w:p w14:paraId="0F731A98" w14:textId="77777777" w:rsidR="00367448" w:rsidRDefault="000B472C">
            <w:pPr>
              <w:spacing w:after="0" w:line="259" w:lineRule="auto"/>
              <w:ind w:left="0" w:firstLine="0"/>
              <w:jc w:val="left"/>
            </w:pPr>
            <w:r>
              <w:rPr>
                <w:b/>
              </w:rPr>
              <w:t xml:space="preserve">[9] </w:t>
            </w:r>
          </w:p>
        </w:tc>
      </w:tr>
      <w:tr w:rsidR="00367448" w14:paraId="72262219" w14:textId="77777777">
        <w:trPr>
          <w:trHeight w:val="945"/>
        </w:trPr>
        <w:tc>
          <w:tcPr>
            <w:tcW w:w="3843" w:type="dxa"/>
            <w:tcBorders>
              <w:top w:val="nil"/>
              <w:left w:val="nil"/>
              <w:bottom w:val="single" w:sz="8" w:space="0" w:color="9BBB59"/>
              <w:right w:val="nil"/>
            </w:tcBorders>
            <w:vAlign w:val="center"/>
          </w:tcPr>
          <w:p w14:paraId="3C78FD2E" w14:textId="77777777" w:rsidR="00367448" w:rsidRDefault="000B472C">
            <w:pPr>
              <w:spacing w:after="0" w:line="259" w:lineRule="auto"/>
              <w:ind w:left="122" w:firstLine="0"/>
            </w:pPr>
            <w:proofErr w:type="spellStart"/>
            <w:r>
              <w:t>Gelatin</w:t>
            </w:r>
            <w:proofErr w:type="spellEnd"/>
            <w:r>
              <w:t>/red roselle extract/</w:t>
            </w:r>
            <w:proofErr w:type="spellStart"/>
            <w:r>
              <w:t>ZnO</w:t>
            </w:r>
            <w:proofErr w:type="spellEnd"/>
            <w:r>
              <w:t>/</w:t>
            </w:r>
            <w:proofErr w:type="spellStart"/>
            <w:r>
              <w:rPr>
                <w:i/>
              </w:rPr>
              <w:t>litsea</w:t>
            </w:r>
            <w:proofErr w:type="spellEnd"/>
            <w:r>
              <w:rPr>
                <w:i/>
              </w:rPr>
              <w:t xml:space="preserve"> cubeba oil</w:t>
            </w:r>
            <w:r>
              <w:t xml:space="preserve"> Pickering emulsion</w:t>
            </w:r>
            <w:r>
              <w:rPr>
                <w:b/>
              </w:rPr>
              <w:t xml:space="preserve"> </w:t>
            </w:r>
          </w:p>
        </w:tc>
        <w:tc>
          <w:tcPr>
            <w:tcW w:w="1985" w:type="dxa"/>
            <w:tcBorders>
              <w:top w:val="nil"/>
              <w:left w:val="nil"/>
              <w:bottom w:val="single" w:sz="8" w:space="0" w:color="9BBB59"/>
              <w:right w:val="nil"/>
            </w:tcBorders>
          </w:tcPr>
          <w:p w14:paraId="0895B50A" w14:textId="77777777" w:rsidR="00367448" w:rsidRDefault="000B472C">
            <w:pPr>
              <w:tabs>
                <w:tab w:val="center" w:pos="1208"/>
              </w:tabs>
              <w:spacing w:after="0" w:line="259" w:lineRule="auto"/>
              <w:ind w:left="0" w:firstLine="0"/>
              <w:jc w:val="left"/>
            </w:pPr>
            <w:r>
              <w:t xml:space="preserve">25 ± 1.0 </w:t>
            </w:r>
            <w:r>
              <w:rPr>
                <w:noProof/>
              </w:rPr>
              <w:drawing>
                <wp:inline distT="0" distB="0" distL="0" distR="0" wp14:anchorId="74E30B94" wp14:editId="4540295F">
                  <wp:extent cx="109728" cy="88392"/>
                  <wp:effectExtent l="0" t="0" r="0" b="0"/>
                  <wp:docPr id="62996" name="Picture 62996"/>
                  <wp:cNvGraphicFramePr/>
                  <a:graphic xmlns:a="http://schemas.openxmlformats.org/drawingml/2006/main">
                    <a:graphicData uri="http://schemas.openxmlformats.org/drawingml/2006/picture">
                      <pic:pic xmlns:pic="http://schemas.openxmlformats.org/drawingml/2006/picture">
                        <pic:nvPicPr>
                          <pic:cNvPr id="62996" name="Picture 62996"/>
                          <pic:cNvPicPr/>
                        </pic:nvPicPr>
                        <pic:blipFill>
                          <a:blip r:embed="rId32"/>
                          <a:stretch>
                            <a:fillRect/>
                          </a:stretch>
                        </pic:blipFill>
                        <pic:spPr>
                          <a:xfrm>
                            <a:off x="0" y="0"/>
                            <a:ext cx="109728" cy="88392"/>
                          </a:xfrm>
                          <a:prstGeom prst="rect">
                            <a:avLst/>
                          </a:prstGeom>
                        </pic:spPr>
                      </pic:pic>
                    </a:graphicData>
                  </a:graphic>
                </wp:inline>
              </w:drawing>
            </w:r>
            <w:r>
              <w:tab/>
              <w:t xml:space="preserve"> for 15 d </w:t>
            </w:r>
          </w:p>
        </w:tc>
        <w:tc>
          <w:tcPr>
            <w:tcW w:w="1562" w:type="dxa"/>
            <w:tcBorders>
              <w:top w:val="nil"/>
              <w:left w:val="nil"/>
              <w:bottom w:val="single" w:sz="8" w:space="0" w:color="9BBB59"/>
              <w:right w:val="nil"/>
            </w:tcBorders>
          </w:tcPr>
          <w:p w14:paraId="724F069D" w14:textId="77777777" w:rsidR="00367448" w:rsidRDefault="000B472C">
            <w:pPr>
              <w:spacing w:after="0" w:line="259" w:lineRule="auto"/>
              <w:ind w:left="0" w:firstLine="0"/>
              <w:jc w:val="left"/>
            </w:pPr>
            <w:r>
              <w:t xml:space="preserve">~6.18  </w:t>
            </w:r>
          </w:p>
        </w:tc>
        <w:tc>
          <w:tcPr>
            <w:tcW w:w="1419" w:type="dxa"/>
            <w:tcBorders>
              <w:top w:val="nil"/>
              <w:left w:val="nil"/>
              <w:bottom w:val="single" w:sz="8" w:space="0" w:color="9BBB59"/>
              <w:right w:val="nil"/>
            </w:tcBorders>
          </w:tcPr>
          <w:p w14:paraId="5CBDA7E6" w14:textId="77777777" w:rsidR="00367448" w:rsidRDefault="000B472C">
            <w:pPr>
              <w:spacing w:after="0" w:line="259" w:lineRule="auto"/>
              <w:ind w:left="0" w:firstLine="0"/>
              <w:jc w:val="left"/>
            </w:pPr>
            <w:r>
              <w:t xml:space="preserve">~10.81 </w:t>
            </w:r>
          </w:p>
        </w:tc>
        <w:tc>
          <w:tcPr>
            <w:tcW w:w="1025" w:type="dxa"/>
            <w:tcBorders>
              <w:top w:val="nil"/>
              <w:left w:val="nil"/>
              <w:bottom w:val="single" w:sz="8" w:space="0" w:color="9BBB59"/>
              <w:right w:val="nil"/>
            </w:tcBorders>
          </w:tcPr>
          <w:p w14:paraId="72DF0DED" w14:textId="77777777" w:rsidR="00367448" w:rsidRDefault="000B472C">
            <w:pPr>
              <w:spacing w:after="0" w:line="259" w:lineRule="auto"/>
              <w:ind w:left="0" w:firstLine="0"/>
              <w:jc w:val="left"/>
            </w:pPr>
            <w:r>
              <w:t xml:space="preserve">This work </w:t>
            </w:r>
          </w:p>
        </w:tc>
      </w:tr>
    </w:tbl>
    <w:p w14:paraId="3BF71397" w14:textId="77777777" w:rsidR="00367448" w:rsidRDefault="000B472C">
      <w:pPr>
        <w:spacing w:after="0" w:line="259" w:lineRule="auto"/>
        <w:ind w:left="1700" w:firstLine="0"/>
        <w:jc w:val="left"/>
      </w:pPr>
      <w:r>
        <w:rPr>
          <w:sz w:val="21"/>
        </w:rPr>
        <w:t xml:space="preserve"> </w:t>
      </w:r>
    </w:p>
    <w:p w14:paraId="10B76119" w14:textId="77777777" w:rsidR="00367448" w:rsidRDefault="000B472C">
      <w:pPr>
        <w:spacing w:after="207" w:line="259" w:lineRule="auto"/>
        <w:ind w:left="10" w:right="1496"/>
        <w:jc w:val="right"/>
      </w:pPr>
      <w:r>
        <w:rPr>
          <w:sz w:val="21"/>
        </w:rPr>
        <w:t xml:space="preserve">Table 3. </w:t>
      </w:r>
      <w:r>
        <w:t xml:space="preserve">Comparison of the effect of various packaging materials on controlling the anthracnose of </w:t>
      </w:r>
    </w:p>
    <w:p w14:paraId="6614BC5E" w14:textId="77777777" w:rsidR="00367448" w:rsidRDefault="000B472C">
      <w:pPr>
        <w:spacing w:after="0" w:line="259" w:lineRule="auto"/>
        <w:ind w:left="388"/>
        <w:jc w:val="center"/>
      </w:pPr>
      <w:r>
        <w:t>mango</w:t>
      </w:r>
      <w:r>
        <w:rPr>
          <w:sz w:val="21"/>
        </w:rPr>
        <w:t xml:space="preserve"> </w:t>
      </w:r>
    </w:p>
    <w:tbl>
      <w:tblPr>
        <w:tblStyle w:val="TableGrid"/>
        <w:tblW w:w="8524" w:type="dxa"/>
        <w:tblInd w:w="1259" w:type="dxa"/>
        <w:tblCellMar>
          <w:top w:w="122" w:type="dxa"/>
          <w:left w:w="0" w:type="dxa"/>
          <w:bottom w:w="0" w:type="dxa"/>
          <w:right w:w="211" w:type="dxa"/>
        </w:tblCellMar>
        <w:tblLook w:val="04A0" w:firstRow="1" w:lastRow="0" w:firstColumn="1" w:lastColumn="0" w:noHBand="0" w:noVBand="1"/>
      </w:tblPr>
      <w:tblGrid>
        <w:gridCol w:w="3954"/>
        <w:gridCol w:w="1274"/>
        <w:gridCol w:w="1846"/>
        <w:gridCol w:w="1450"/>
      </w:tblGrid>
      <w:tr w:rsidR="00367448" w14:paraId="6DC836FC" w14:textId="77777777">
        <w:trPr>
          <w:trHeight w:val="955"/>
        </w:trPr>
        <w:tc>
          <w:tcPr>
            <w:tcW w:w="3953" w:type="dxa"/>
            <w:tcBorders>
              <w:top w:val="single" w:sz="8" w:space="0" w:color="9BBB59"/>
              <w:left w:val="nil"/>
              <w:bottom w:val="single" w:sz="8" w:space="0" w:color="9BBB59"/>
              <w:right w:val="nil"/>
            </w:tcBorders>
          </w:tcPr>
          <w:p w14:paraId="448B5C82" w14:textId="77777777" w:rsidR="00367448" w:rsidRDefault="000B472C">
            <w:pPr>
              <w:spacing w:after="0" w:line="259" w:lineRule="auto"/>
              <w:ind w:left="122" w:firstLine="0"/>
              <w:jc w:val="left"/>
            </w:pPr>
            <w:r>
              <w:rPr>
                <w:b/>
              </w:rPr>
              <w:lastRenderedPageBreak/>
              <w:t xml:space="preserve">Packaging materials </w:t>
            </w:r>
          </w:p>
        </w:tc>
        <w:tc>
          <w:tcPr>
            <w:tcW w:w="1274" w:type="dxa"/>
            <w:tcBorders>
              <w:top w:val="single" w:sz="8" w:space="0" w:color="9BBB59"/>
              <w:left w:val="nil"/>
              <w:bottom w:val="single" w:sz="8" w:space="0" w:color="9BBB59"/>
              <w:right w:val="nil"/>
            </w:tcBorders>
            <w:vAlign w:val="center"/>
          </w:tcPr>
          <w:p w14:paraId="3168B275" w14:textId="77777777" w:rsidR="00367448" w:rsidRDefault="000B472C">
            <w:pPr>
              <w:spacing w:after="219" w:line="259" w:lineRule="auto"/>
              <w:ind w:left="0" w:firstLine="0"/>
              <w:jc w:val="left"/>
            </w:pPr>
            <w:r>
              <w:t xml:space="preserve">Storage time </w:t>
            </w:r>
          </w:p>
          <w:p w14:paraId="1892F412" w14:textId="77777777" w:rsidR="00367448" w:rsidRDefault="000B472C">
            <w:pPr>
              <w:spacing w:after="0" w:line="259" w:lineRule="auto"/>
              <w:ind w:left="0" w:firstLine="0"/>
              <w:jc w:val="left"/>
            </w:pPr>
            <w:r>
              <w:t xml:space="preserve">(d) </w:t>
            </w:r>
          </w:p>
        </w:tc>
        <w:tc>
          <w:tcPr>
            <w:tcW w:w="1846" w:type="dxa"/>
            <w:tcBorders>
              <w:top w:val="single" w:sz="8" w:space="0" w:color="9BBB59"/>
              <w:left w:val="nil"/>
              <w:bottom w:val="single" w:sz="8" w:space="0" w:color="9BBB59"/>
              <w:right w:val="nil"/>
            </w:tcBorders>
            <w:vAlign w:val="center"/>
          </w:tcPr>
          <w:p w14:paraId="58AA078A" w14:textId="77777777" w:rsidR="00367448" w:rsidRDefault="000B472C">
            <w:pPr>
              <w:spacing w:after="219" w:line="259" w:lineRule="auto"/>
              <w:ind w:left="0" w:firstLine="0"/>
              <w:jc w:val="left"/>
            </w:pPr>
            <w:r>
              <w:t xml:space="preserve">Disease incidence </w:t>
            </w:r>
          </w:p>
          <w:p w14:paraId="0DF03165" w14:textId="77777777" w:rsidR="00367448" w:rsidRDefault="000B472C">
            <w:pPr>
              <w:spacing w:after="0" w:line="259" w:lineRule="auto"/>
              <w:ind w:left="0" w:firstLine="0"/>
              <w:jc w:val="left"/>
            </w:pPr>
            <w:r>
              <w:t xml:space="preserve">(%) </w:t>
            </w:r>
          </w:p>
        </w:tc>
        <w:tc>
          <w:tcPr>
            <w:tcW w:w="1450" w:type="dxa"/>
            <w:tcBorders>
              <w:top w:val="single" w:sz="8" w:space="0" w:color="9BBB59"/>
              <w:left w:val="nil"/>
              <w:bottom w:val="single" w:sz="8" w:space="0" w:color="9BBB59"/>
              <w:right w:val="nil"/>
            </w:tcBorders>
          </w:tcPr>
          <w:p w14:paraId="52A3B79F" w14:textId="77777777" w:rsidR="00367448" w:rsidRDefault="000B472C">
            <w:pPr>
              <w:spacing w:after="0" w:line="259" w:lineRule="auto"/>
              <w:ind w:left="0" w:firstLine="0"/>
              <w:jc w:val="left"/>
            </w:pPr>
            <w:r>
              <w:t xml:space="preserve">Reference </w:t>
            </w:r>
          </w:p>
        </w:tc>
      </w:tr>
      <w:tr w:rsidR="00367448" w14:paraId="323002C2" w14:textId="77777777">
        <w:trPr>
          <w:trHeight w:val="949"/>
        </w:trPr>
        <w:tc>
          <w:tcPr>
            <w:tcW w:w="3953" w:type="dxa"/>
            <w:tcBorders>
              <w:top w:val="single" w:sz="8" w:space="0" w:color="9BBB59"/>
              <w:left w:val="nil"/>
              <w:bottom w:val="nil"/>
              <w:right w:val="nil"/>
            </w:tcBorders>
            <w:vAlign w:val="center"/>
          </w:tcPr>
          <w:p w14:paraId="34F254CA" w14:textId="77777777" w:rsidR="00367448" w:rsidRDefault="000B472C">
            <w:pPr>
              <w:spacing w:after="219" w:line="259" w:lineRule="auto"/>
              <w:ind w:left="122" w:firstLine="0"/>
              <w:jc w:val="left"/>
            </w:pPr>
            <w:r>
              <w:t xml:space="preserve">Chitosan/quaternary phosphonium </w:t>
            </w:r>
          </w:p>
          <w:p w14:paraId="4FAB8AF2" w14:textId="77777777" w:rsidR="00367448" w:rsidRDefault="000B472C">
            <w:pPr>
              <w:spacing w:after="0" w:line="259" w:lineRule="auto"/>
              <w:ind w:left="122" w:firstLine="0"/>
              <w:jc w:val="left"/>
            </w:pPr>
            <w:r>
              <w:t xml:space="preserve">salt/salicylic acid </w:t>
            </w:r>
          </w:p>
        </w:tc>
        <w:tc>
          <w:tcPr>
            <w:tcW w:w="1274" w:type="dxa"/>
            <w:tcBorders>
              <w:top w:val="single" w:sz="8" w:space="0" w:color="9BBB59"/>
              <w:left w:val="nil"/>
              <w:bottom w:val="nil"/>
              <w:right w:val="nil"/>
            </w:tcBorders>
          </w:tcPr>
          <w:p w14:paraId="02FE3D49" w14:textId="77777777" w:rsidR="00367448" w:rsidRDefault="000B472C">
            <w:pPr>
              <w:spacing w:after="0" w:line="259" w:lineRule="auto"/>
              <w:ind w:left="0" w:firstLine="0"/>
              <w:jc w:val="left"/>
            </w:pPr>
            <w:r>
              <w:t xml:space="preserve">20 </w:t>
            </w:r>
          </w:p>
        </w:tc>
        <w:tc>
          <w:tcPr>
            <w:tcW w:w="1846" w:type="dxa"/>
            <w:tcBorders>
              <w:top w:val="single" w:sz="8" w:space="0" w:color="9BBB59"/>
              <w:left w:val="nil"/>
              <w:bottom w:val="nil"/>
              <w:right w:val="nil"/>
            </w:tcBorders>
          </w:tcPr>
          <w:p w14:paraId="6E81C50D" w14:textId="77777777" w:rsidR="00367448" w:rsidRDefault="000B472C">
            <w:pPr>
              <w:spacing w:after="0" w:line="259" w:lineRule="auto"/>
              <w:ind w:left="0" w:firstLine="0"/>
              <w:jc w:val="left"/>
            </w:pPr>
            <w:r>
              <w:t xml:space="preserve">~52.00 </w:t>
            </w:r>
          </w:p>
        </w:tc>
        <w:tc>
          <w:tcPr>
            <w:tcW w:w="1450" w:type="dxa"/>
            <w:tcBorders>
              <w:top w:val="single" w:sz="8" w:space="0" w:color="9BBB59"/>
              <w:left w:val="nil"/>
              <w:bottom w:val="nil"/>
              <w:right w:val="nil"/>
            </w:tcBorders>
          </w:tcPr>
          <w:p w14:paraId="03717206" w14:textId="77777777" w:rsidR="00367448" w:rsidRDefault="000B472C">
            <w:pPr>
              <w:spacing w:after="0" w:line="259" w:lineRule="auto"/>
              <w:ind w:left="0" w:firstLine="0"/>
              <w:jc w:val="left"/>
            </w:pPr>
            <w:r>
              <w:t xml:space="preserve">[1] </w:t>
            </w:r>
          </w:p>
        </w:tc>
      </w:tr>
      <w:tr w:rsidR="00367448" w14:paraId="4429FE8D" w14:textId="77777777">
        <w:trPr>
          <w:trHeight w:val="468"/>
        </w:trPr>
        <w:tc>
          <w:tcPr>
            <w:tcW w:w="3953" w:type="dxa"/>
            <w:tcBorders>
              <w:top w:val="nil"/>
              <w:left w:val="nil"/>
              <w:bottom w:val="nil"/>
              <w:right w:val="nil"/>
            </w:tcBorders>
            <w:vAlign w:val="center"/>
          </w:tcPr>
          <w:p w14:paraId="76E69741" w14:textId="77777777" w:rsidR="00367448" w:rsidRDefault="000B472C">
            <w:pPr>
              <w:spacing w:after="0" w:line="259" w:lineRule="auto"/>
              <w:ind w:left="122" w:firstLine="0"/>
              <w:jc w:val="left"/>
            </w:pPr>
            <w:r>
              <w:t>Chitosan/</w:t>
            </w:r>
            <w:proofErr w:type="spellStart"/>
            <w:r>
              <w:t>lacto</w:t>
            </w:r>
            <w:proofErr w:type="spellEnd"/>
            <w:r>
              <w:t xml:space="preserve">-fermented peptides </w:t>
            </w:r>
          </w:p>
        </w:tc>
        <w:tc>
          <w:tcPr>
            <w:tcW w:w="1274" w:type="dxa"/>
            <w:tcBorders>
              <w:top w:val="nil"/>
              <w:left w:val="nil"/>
              <w:bottom w:val="nil"/>
              <w:right w:val="nil"/>
            </w:tcBorders>
            <w:vAlign w:val="center"/>
          </w:tcPr>
          <w:p w14:paraId="07457D19" w14:textId="77777777" w:rsidR="00367448" w:rsidRDefault="000B472C">
            <w:pPr>
              <w:spacing w:after="0" w:line="259" w:lineRule="auto"/>
              <w:ind w:left="0" w:firstLine="0"/>
              <w:jc w:val="left"/>
            </w:pPr>
            <w:r>
              <w:t xml:space="preserve">9 </w:t>
            </w:r>
          </w:p>
        </w:tc>
        <w:tc>
          <w:tcPr>
            <w:tcW w:w="1846" w:type="dxa"/>
            <w:tcBorders>
              <w:top w:val="nil"/>
              <w:left w:val="nil"/>
              <w:bottom w:val="nil"/>
              <w:right w:val="nil"/>
            </w:tcBorders>
            <w:vAlign w:val="center"/>
          </w:tcPr>
          <w:p w14:paraId="0FDCCB87" w14:textId="77777777" w:rsidR="00367448" w:rsidRDefault="000B472C">
            <w:pPr>
              <w:spacing w:after="0" w:line="259" w:lineRule="auto"/>
              <w:ind w:left="0" w:firstLine="0"/>
              <w:jc w:val="left"/>
            </w:pPr>
            <w:r>
              <w:t xml:space="preserve">~43.50 </w:t>
            </w:r>
          </w:p>
        </w:tc>
        <w:tc>
          <w:tcPr>
            <w:tcW w:w="1450" w:type="dxa"/>
            <w:tcBorders>
              <w:top w:val="nil"/>
              <w:left w:val="nil"/>
              <w:bottom w:val="nil"/>
              <w:right w:val="nil"/>
            </w:tcBorders>
            <w:vAlign w:val="center"/>
          </w:tcPr>
          <w:p w14:paraId="2478AA4C" w14:textId="77777777" w:rsidR="00367448" w:rsidRDefault="000B472C">
            <w:pPr>
              <w:spacing w:after="0" w:line="259" w:lineRule="auto"/>
              <w:ind w:left="0" w:firstLine="0"/>
              <w:jc w:val="left"/>
            </w:pPr>
            <w:r>
              <w:t xml:space="preserve">[2] </w:t>
            </w:r>
          </w:p>
        </w:tc>
      </w:tr>
      <w:tr w:rsidR="00367448" w14:paraId="3E34C398" w14:textId="77777777">
        <w:trPr>
          <w:trHeight w:val="468"/>
        </w:trPr>
        <w:tc>
          <w:tcPr>
            <w:tcW w:w="3953" w:type="dxa"/>
            <w:tcBorders>
              <w:top w:val="nil"/>
              <w:left w:val="nil"/>
              <w:bottom w:val="nil"/>
              <w:right w:val="nil"/>
            </w:tcBorders>
            <w:vAlign w:val="center"/>
          </w:tcPr>
          <w:p w14:paraId="1A173201" w14:textId="77777777" w:rsidR="00367448" w:rsidRDefault="000B472C">
            <w:pPr>
              <w:spacing w:after="0" w:line="259" w:lineRule="auto"/>
              <w:ind w:left="122" w:firstLine="0"/>
              <w:jc w:val="left"/>
            </w:pPr>
            <w:r>
              <w:t xml:space="preserve">Polypropylene </w:t>
            </w:r>
          </w:p>
        </w:tc>
        <w:tc>
          <w:tcPr>
            <w:tcW w:w="1274" w:type="dxa"/>
            <w:tcBorders>
              <w:top w:val="nil"/>
              <w:left w:val="nil"/>
              <w:bottom w:val="nil"/>
              <w:right w:val="nil"/>
            </w:tcBorders>
            <w:vAlign w:val="center"/>
          </w:tcPr>
          <w:p w14:paraId="06E60E7C" w14:textId="77777777" w:rsidR="00367448" w:rsidRDefault="000B472C">
            <w:pPr>
              <w:spacing w:after="0" w:line="259" w:lineRule="auto"/>
              <w:ind w:left="0" w:firstLine="0"/>
              <w:jc w:val="left"/>
            </w:pPr>
            <w:r>
              <w:t xml:space="preserve">35 </w:t>
            </w:r>
          </w:p>
        </w:tc>
        <w:tc>
          <w:tcPr>
            <w:tcW w:w="1846" w:type="dxa"/>
            <w:tcBorders>
              <w:top w:val="nil"/>
              <w:left w:val="nil"/>
              <w:bottom w:val="nil"/>
              <w:right w:val="nil"/>
            </w:tcBorders>
            <w:vAlign w:val="center"/>
          </w:tcPr>
          <w:p w14:paraId="42C64E6A" w14:textId="77777777" w:rsidR="00367448" w:rsidRDefault="000B472C">
            <w:pPr>
              <w:spacing w:after="0" w:line="259" w:lineRule="auto"/>
              <w:ind w:left="0" w:firstLine="0"/>
              <w:jc w:val="left"/>
            </w:pPr>
            <w:r>
              <w:t xml:space="preserve">~78.0 </w:t>
            </w:r>
          </w:p>
        </w:tc>
        <w:tc>
          <w:tcPr>
            <w:tcW w:w="1450" w:type="dxa"/>
            <w:tcBorders>
              <w:top w:val="nil"/>
              <w:left w:val="nil"/>
              <w:bottom w:val="nil"/>
              <w:right w:val="nil"/>
            </w:tcBorders>
            <w:vAlign w:val="center"/>
          </w:tcPr>
          <w:p w14:paraId="4CBB0828" w14:textId="77777777" w:rsidR="00367448" w:rsidRDefault="000B472C">
            <w:pPr>
              <w:spacing w:after="0" w:line="259" w:lineRule="auto"/>
              <w:ind w:left="0" w:firstLine="0"/>
              <w:jc w:val="left"/>
            </w:pPr>
            <w:r>
              <w:t xml:space="preserve">[3] </w:t>
            </w:r>
          </w:p>
        </w:tc>
      </w:tr>
      <w:tr w:rsidR="00367448" w14:paraId="3A370DEE" w14:textId="77777777">
        <w:trPr>
          <w:trHeight w:val="468"/>
        </w:trPr>
        <w:tc>
          <w:tcPr>
            <w:tcW w:w="3953" w:type="dxa"/>
            <w:tcBorders>
              <w:top w:val="nil"/>
              <w:left w:val="nil"/>
              <w:bottom w:val="nil"/>
              <w:right w:val="nil"/>
            </w:tcBorders>
            <w:vAlign w:val="center"/>
          </w:tcPr>
          <w:p w14:paraId="094068A0" w14:textId="77777777" w:rsidR="00367448" w:rsidRDefault="000B472C">
            <w:pPr>
              <w:spacing w:after="0" w:line="259" w:lineRule="auto"/>
              <w:ind w:left="122" w:firstLine="0"/>
              <w:jc w:val="left"/>
            </w:pPr>
            <w:r>
              <w:t xml:space="preserve">Chitosan </w:t>
            </w:r>
          </w:p>
        </w:tc>
        <w:tc>
          <w:tcPr>
            <w:tcW w:w="1274" w:type="dxa"/>
            <w:tcBorders>
              <w:top w:val="nil"/>
              <w:left w:val="nil"/>
              <w:bottom w:val="nil"/>
              <w:right w:val="nil"/>
            </w:tcBorders>
            <w:vAlign w:val="center"/>
          </w:tcPr>
          <w:p w14:paraId="06FA83C4" w14:textId="77777777" w:rsidR="00367448" w:rsidRDefault="000B472C">
            <w:pPr>
              <w:spacing w:after="0" w:line="259" w:lineRule="auto"/>
              <w:ind w:left="0" w:firstLine="0"/>
              <w:jc w:val="left"/>
            </w:pPr>
            <w:r>
              <w:t xml:space="preserve">8 </w:t>
            </w:r>
          </w:p>
        </w:tc>
        <w:tc>
          <w:tcPr>
            <w:tcW w:w="1846" w:type="dxa"/>
            <w:tcBorders>
              <w:top w:val="nil"/>
              <w:left w:val="nil"/>
              <w:bottom w:val="nil"/>
              <w:right w:val="nil"/>
            </w:tcBorders>
            <w:vAlign w:val="center"/>
          </w:tcPr>
          <w:p w14:paraId="539DAE2C" w14:textId="77777777" w:rsidR="00367448" w:rsidRDefault="000B472C">
            <w:pPr>
              <w:spacing w:after="0" w:line="259" w:lineRule="auto"/>
              <w:ind w:left="0" w:firstLine="0"/>
              <w:jc w:val="left"/>
            </w:pPr>
            <w:r>
              <w:t xml:space="preserve">~87.0 </w:t>
            </w:r>
          </w:p>
        </w:tc>
        <w:tc>
          <w:tcPr>
            <w:tcW w:w="1450" w:type="dxa"/>
            <w:tcBorders>
              <w:top w:val="nil"/>
              <w:left w:val="nil"/>
              <w:bottom w:val="nil"/>
              <w:right w:val="nil"/>
            </w:tcBorders>
            <w:vAlign w:val="center"/>
          </w:tcPr>
          <w:p w14:paraId="632FC21F" w14:textId="77777777" w:rsidR="00367448" w:rsidRDefault="000B472C">
            <w:pPr>
              <w:spacing w:after="0" w:line="259" w:lineRule="auto"/>
              <w:ind w:left="0" w:firstLine="0"/>
              <w:jc w:val="left"/>
            </w:pPr>
            <w:r>
              <w:t xml:space="preserve">[4] </w:t>
            </w:r>
          </w:p>
        </w:tc>
      </w:tr>
      <w:tr w:rsidR="00367448" w14:paraId="182EBBF5" w14:textId="77777777">
        <w:trPr>
          <w:trHeight w:val="470"/>
        </w:trPr>
        <w:tc>
          <w:tcPr>
            <w:tcW w:w="3953" w:type="dxa"/>
            <w:tcBorders>
              <w:top w:val="nil"/>
              <w:left w:val="nil"/>
              <w:bottom w:val="nil"/>
              <w:right w:val="nil"/>
            </w:tcBorders>
            <w:vAlign w:val="center"/>
          </w:tcPr>
          <w:p w14:paraId="6D1E482A" w14:textId="77777777" w:rsidR="00367448" w:rsidRDefault="000B472C">
            <w:pPr>
              <w:spacing w:after="0" w:line="259" w:lineRule="auto"/>
              <w:ind w:left="122" w:firstLine="0"/>
              <w:jc w:val="left"/>
            </w:pPr>
            <w:r>
              <w:t>Chitosan/nano-TiO</w:t>
            </w:r>
            <w:r>
              <w:rPr>
                <w:vertAlign w:val="subscript"/>
              </w:rPr>
              <w:t>2</w:t>
            </w:r>
            <w:r>
              <w:t xml:space="preserve"> </w:t>
            </w:r>
          </w:p>
        </w:tc>
        <w:tc>
          <w:tcPr>
            <w:tcW w:w="1274" w:type="dxa"/>
            <w:tcBorders>
              <w:top w:val="nil"/>
              <w:left w:val="nil"/>
              <w:bottom w:val="nil"/>
              <w:right w:val="nil"/>
            </w:tcBorders>
            <w:vAlign w:val="center"/>
          </w:tcPr>
          <w:p w14:paraId="3DC351E5" w14:textId="77777777" w:rsidR="00367448" w:rsidRDefault="000B472C">
            <w:pPr>
              <w:spacing w:after="0" w:line="259" w:lineRule="auto"/>
              <w:ind w:left="0" w:firstLine="0"/>
              <w:jc w:val="left"/>
            </w:pPr>
            <w:r>
              <w:t xml:space="preserve">20 </w:t>
            </w:r>
          </w:p>
        </w:tc>
        <w:tc>
          <w:tcPr>
            <w:tcW w:w="1846" w:type="dxa"/>
            <w:tcBorders>
              <w:top w:val="nil"/>
              <w:left w:val="nil"/>
              <w:bottom w:val="nil"/>
              <w:right w:val="nil"/>
            </w:tcBorders>
            <w:vAlign w:val="center"/>
          </w:tcPr>
          <w:p w14:paraId="0929818E" w14:textId="77777777" w:rsidR="00367448" w:rsidRDefault="000B472C">
            <w:pPr>
              <w:spacing w:after="0" w:line="259" w:lineRule="auto"/>
              <w:ind w:left="0" w:firstLine="0"/>
              <w:jc w:val="left"/>
            </w:pPr>
            <w:r>
              <w:t xml:space="preserve">~19.73 </w:t>
            </w:r>
          </w:p>
        </w:tc>
        <w:tc>
          <w:tcPr>
            <w:tcW w:w="1450" w:type="dxa"/>
            <w:tcBorders>
              <w:top w:val="nil"/>
              <w:left w:val="nil"/>
              <w:bottom w:val="nil"/>
              <w:right w:val="nil"/>
            </w:tcBorders>
            <w:vAlign w:val="center"/>
          </w:tcPr>
          <w:p w14:paraId="185BE361" w14:textId="77777777" w:rsidR="00367448" w:rsidRDefault="000B472C">
            <w:pPr>
              <w:spacing w:after="0" w:line="259" w:lineRule="auto"/>
              <w:ind w:left="0" w:firstLine="0"/>
              <w:jc w:val="left"/>
            </w:pPr>
            <w:r>
              <w:t xml:space="preserve">[5] </w:t>
            </w:r>
          </w:p>
        </w:tc>
      </w:tr>
      <w:tr w:rsidR="00367448" w14:paraId="45E57922" w14:textId="77777777">
        <w:trPr>
          <w:trHeight w:val="942"/>
        </w:trPr>
        <w:tc>
          <w:tcPr>
            <w:tcW w:w="3953" w:type="dxa"/>
            <w:tcBorders>
              <w:top w:val="nil"/>
              <w:left w:val="nil"/>
              <w:bottom w:val="single" w:sz="8" w:space="0" w:color="9BBB59"/>
              <w:right w:val="nil"/>
            </w:tcBorders>
            <w:vAlign w:val="center"/>
          </w:tcPr>
          <w:p w14:paraId="53ED76ED" w14:textId="77777777" w:rsidR="00367448" w:rsidRDefault="000B472C">
            <w:pPr>
              <w:spacing w:after="0" w:line="259" w:lineRule="auto"/>
              <w:ind w:left="122" w:right="5" w:firstLine="0"/>
            </w:pPr>
            <w:proofErr w:type="spellStart"/>
            <w:r>
              <w:t>Gelatin</w:t>
            </w:r>
            <w:proofErr w:type="spellEnd"/>
            <w:r>
              <w:t>/red roselle extract/</w:t>
            </w:r>
            <w:proofErr w:type="spellStart"/>
            <w:r>
              <w:t>ZnO</w:t>
            </w:r>
            <w:proofErr w:type="spellEnd"/>
            <w:r>
              <w:t>/</w:t>
            </w:r>
            <w:proofErr w:type="spellStart"/>
            <w:r>
              <w:rPr>
                <w:i/>
              </w:rPr>
              <w:t>litsea</w:t>
            </w:r>
            <w:proofErr w:type="spellEnd"/>
            <w:r>
              <w:rPr>
                <w:i/>
              </w:rPr>
              <w:t xml:space="preserve"> cubeba</w:t>
            </w:r>
            <w:r>
              <w:t xml:space="preserve"> oil Pickering emulsion </w:t>
            </w:r>
          </w:p>
        </w:tc>
        <w:tc>
          <w:tcPr>
            <w:tcW w:w="1274" w:type="dxa"/>
            <w:tcBorders>
              <w:top w:val="nil"/>
              <w:left w:val="nil"/>
              <w:bottom w:val="single" w:sz="8" w:space="0" w:color="9BBB59"/>
              <w:right w:val="nil"/>
            </w:tcBorders>
          </w:tcPr>
          <w:p w14:paraId="57F84287" w14:textId="77777777" w:rsidR="00367448" w:rsidRDefault="000B472C">
            <w:pPr>
              <w:spacing w:after="0" w:line="259" w:lineRule="auto"/>
              <w:ind w:left="0" w:firstLine="0"/>
              <w:jc w:val="left"/>
            </w:pPr>
            <w:r>
              <w:t xml:space="preserve">12  </w:t>
            </w:r>
          </w:p>
        </w:tc>
        <w:tc>
          <w:tcPr>
            <w:tcW w:w="1846" w:type="dxa"/>
            <w:tcBorders>
              <w:top w:val="nil"/>
              <w:left w:val="nil"/>
              <w:bottom w:val="single" w:sz="8" w:space="0" w:color="9BBB59"/>
              <w:right w:val="nil"/>
            </w:tcBorders>
          </w:tcPr>
          <w:p w14:paraId="6A1D2C7A" w14:textId="77777777" w:rsidR="00367448" w:rsidRDefault="000B472C">
            <w:pPr>
              <w:spacing w:after="0" w:line="259" w:lineRule="auto"/>
              <w:ind w:left="0" w:firstLine="0"/>
              <w:jc w:val="left"/>
            </w:pPr>
            <w:r>
              <w:t xml:space="preserve">~26.50 </w:t>
            </w:r>
          </w:p>
        </w:tc>
        <w:tc>
          <w:tcPr>
            <w:tcW w:w="1450" w:type="dxa"/>
            <w:tcBorders>
              <w:top w:val="nil"/>
              <w:left w:val="nil"/>
              <w:bottom w:val="single" w:sz="8" w:space="0" w:color="9BBB59"/>
              <w:right w:val="nil"/>
            </w:tcBorders>
          </w:tcPr>
          <w:p w14:paraId="7C4032B0" w14:textId="77777777" w:rsidR="00367448" w:rsidRDefault="000B472C">
            <w:pPr>
              <w:spacing w:after="0" w:line="259" w:lineRule="auto"/>
              <w:ind w:left="0" w:firstLine="0"/>
              <w:jc w:val="left"/>
            </w:pPr>
            <w:r>
              <w:t xml:space="preserve">This work </w:t>
            </w:r>
          </w:p>
        </w:tc>
      </w:tr>
    </w:tbl>
    <w:p w14:paraId="0F64D61C" w14:textId="77777777" w:rsidR="00367448" w:rsidRDefault="000B472C">
      <w:pPr>
        <w:spacing w:after="0" w:line="259" w:lineRule="auto"/>
        <w:ind w:left="1700" w:firstLine="0"/>
        <w:jc w:val="left"/>
      </w:pPr>
      <w:r>
        <w:rPr>
          <w:rFonts w:ascii="Arial" w:eastAsia="Arial" w:hAnsi="Arial" w:cs="Arial"/>
          <w:sz w:val="21"/>
        </w:rPr>
        <w:t xml:space="preserve"> </w:t>
      </w:r>
    </w:p>
    <w:p w14:paraId="2A76B1F6" w14:textId="77777777" w:rsidR="00367448" w:rsidRDefault="00367448">
      <w:pPr>
        <w:sectPr w:rsidR="00367448">
          <w:headerReference w:type="even" r:id="rId33"/>
          <w:headerReference w:type="default" r:id="rId34"/>
          <w:headerReference w:type="first" r:id="rId35"/>
          <w:pgSz w:w="11906" w:h="16838"/>
          <w:pgMar w:top="26" w:right="480" w:bottom="4804" w:left="100" w:header="26" w:footer="720" w:gutter="0"/>
          <w:pgNumType w:start="0"/>
          <w:cols w:space="720"/>
          <w:titlePg/>
        </w:sectPr>
      </w:pPr>
    </w:p>
    <w:p w14:paraId="2695F047" w14:textId="77777777" w:rsidR="00367448" w:rsidRDefault="000B472C">
      <w:pPr>
        <w:spacing w:after="1175" w:line="259" w:lineRule="auto"/>
        <w:ind w:left="0" w:firstLine="0"/>
        <w:jc w:val="left"/>
      </w:pPr>
      <w:r>
        <w:rPr>
          <w:rFonts w:ascii="Arial" w:eastAsia="Arial" w:hAnsi="Arial" w:cs="Arial"/>
        </w:rPr>
        <w:lastRenderedPageBreak/>
        <w:t>Declaration of Interest Statement</w:t>
      </w:r>
    </w:p>
    <w:p w14:paraId="612F9953" w14:textId="77777777" w:rsidR="00367448" w:rsidRDefault="000B472C">
      <w:pPr>
        <w:pStyle w:val="Heading1"/>
        <w:spacing w:after="108"/>
        <w:ind w:left="1350" w:right="1545"/>
      </w:pPr>
      <w:r>
        <w:t>Conflict of Interest</w:t>
      </w:r>
      <w:r>
        <w:rPr>
          <w:b w:val="0"/>
        </w:rPr>
        <w:t xml:space="preserve"> </w:t>
      </w:r>
    </w:p>
    <w:p w14:paraId="7A19F491" w14:textId="77777777" w:rsidR="00367448" w:rsidRDefault="000B472C">
      <w:pPr>
        <w:spacing w:after="0" w:line="357" w:lineRule="auto"/>
        <w:ind w:left="1335" w:right="-15"/>
      </w:pPr>
      <w:r>
        <w:rPr>
          <w:sz w:val="24"/>
        </w:rPr>
        <w:t xml:space="preserve">Xiaobo Zou declares that he has no conflict of interest. Zhikun Yang </w:t>
      </w:r>
      <w:r>
        <w:rPr>
          <w:sz w:val="24"/>
        </w:rPr>
        <w:t>declares that he has no conflict of interest. Jiyong Shi declares that he has no conflict of interest. Xiaodong Zhai declares that he has no conflict of interest. Xiaowei Huang declares that she has no conflict of interest. Zhihua Li declares that he has n</w:t>
      </w:r>
      <w:r>
        <w:rPr>
          <w:sz w:val="24"/>
        </w:rPr>
        <w:t xml:space="preserve">o conflict of interest. </w:t>
      </w:r>
      <w:proofErr w:type="spellStart"/>
      <w:r>
        <w:rPr>
          <w:sz w:val="24"/>
        </w:rPr>
        <w:t>Mingrui</w:t>
      </w:r>
      <w:proofErr w:type="spellEnd"/>
      <w:r>
        <w:rPr>
          <w:sz w:val="24"/>
        </w:rPr>
        <w:t xml:space="preserve"> Li declares that he has no conflict of interest. </w:t>
      </w:r>
      <w:proofErr w:type="spellStart"/>
      <w:r>
        <w:rPr>
          <w:sz w:val="24"/>
        </w:rPr>
        <w:t>Jianbo</w:t>
      </w:r>
      <w:proofErr w:type="spellEnd"/>
      <w:r>
        <w:rPr>
          <w:sz w:val="24"/>
        </w:rPr>
        <w:t xml:space="preserve"> Xiao declares that he has no conflict of interest. </w:t>
      </w:r>
      <w:proofErr w:type="spellStart"/>
      <w:r>
        <w:rPr>
          <w:sz w:val="24"/>
        </w:rPr>
        <w:t>Yanxiao</w:t>
      </w:r>
      <w:proofErr w:type="spellEnd"/>
      <w:r>
        <w:rPr>
          <w:sz w:val="24"/>
        </w:rPr>
        <w:t xml:space="preserve"> Li declares that she has no conflict of interest. Megan Povey declares that she has no conflict of interest. </w:t>
      </w:r>
      <w:r>
        <w:rPr>
          <w:sz w:val="24"/>
        </w:rPr>
        <w:t xml:space="preserve">Xin Wang declares that he has no conflict of interest. </w:t>
      </w:r>
    </w:p>
    <w:p w14:paraId="50C862B3" w14:textId="77777777" w:rsidR="00367448" w:rsidRDefault="000B472C">
      <w:pPr>
        <w:spacing w:after="159" w:line="259" w:lineRule="auto"/>
        <w:ind w:left="1340" w:firstLine="0"/>
        <w:jc w:val="left"/>
      </w:pPr>
      <w:r>
        <w:rPr>
          <w:sz w:val="24"/>
        </w:rPr>
        <w:t xml:space="preserve"> </w:t>
      </w:r>
    </w:p>
    <w:p w14:paraId="327F48F7" w14:textId="77777777" w:rsidR="00367448" w:rsidRDefault="000B472C">
      <w:pPr>
        <w:spacing w:after="156" w:line="259" w:lineRule="auto"/>
        <w:ind w:left="1340" w:firstLine="0"/>
        <w:jc w:val="left"/>
      </w:pPr>
      <w:r>
        <w:rPr>
          <w:sz w:val="24"/>
        </w:rPr>
        <w:t xml:space="preserve"> </w:t>
      </w:r>
    </w:p>
    <w:p w14:paraId="581F00B3" w14:textId="77777777" w:rsidR="00367448" w:rsidRDefault="000B472C">
      <w:pPr>
        <w:spacing w:after="148" w:line="259" w:lineRule="auto"/>
        <w:ind w:left="1340" w:firstLine="0"/>
        <w:jc w:val="left"/>
      </w:pPr>
      <w:r>
        <w:rPr>
          <w:sz w:val="24"/>
        </w:rPr>
        <w:t xml:space="preserve"> </w:t>
      </w:r>
    </w:p>
    <w:p w14:paraId="386AAC1E" w14:textId="77777777" w:rsidR="00367448" w:rsidRDefault="000B472C">
      <w:pPr>
        <w:spacing w:after="0" w:line="259" w:lineRule="auto"/>
        <w:ind w:left="1340" w:firstLine="0"/>
        <w:jc w:val="left"/>
      </w:pPr>
      <w:r>
        <w:rPr>
          <w:rFonts w:ascii="Calibri" w:eastAsia="Calibri" w:hAnsi="Calibri" w:cs="Calibri"/>
          <w:sz w:val="22"/>
        </w:rPr>
        <w:t xml:space="preserve"> </w:t>
      </w:r>
    </w:p>
    <w:p w14:paraId="6F59D39C" w14:textId="77777777" w:rsidR="00367448" w:rsidRDefault="00367448">
      <w:pPr>
        <w:sectPr w:rsidR="00367448">
          <w:headerReference w:type="even" r:id="rId36"/>
          <w:headerReference w:type="default" r:id="rId37"/>
          <w:headerReference w:type="first" r:id="rId38"/>
          <w:pgSz w:w="12240" w:h="15840"/>
          <w:pgMar w:top="1440" w:right="1436" w:bottom="1440" w:left="100" w:header="720" w:footer="720" w:gutter="0"/>
          <w:cols w:space="720"/>
        </w:sectPr>
      </w:pPr>
    </w:p>
    <w:p w14:paraId="64180A45" w14:textId="77777777" w:rsidR="00367448" w:rsidRDefault="000B472C">
      <w:pPr>
        <w:spacing w:after="1196" w:line="259" w:lineRule="auto"/>
        <w:ind w:left="0" w:firstLine="0"/>
        <w:jc w:val="left"/>
      </w:pPr>
      <w:r>
        <w:rPr>
          <w:rFonts w:ascii="Arial" w:eastAsia="Arial" w:hAnsi="Arial" w:cs="Arial"/>
        </w:rPr>
        <w:lastRenderedPageBreak/>
        <w:t>Author Statement</w:t>
      </w:r>
    </w:p>
    <w:p w14:paraId="094EE9FD" w14:textId="77777777" w:rsidR="00367448" w:rsidRDefault="000B472C">
      <w:pPr>
        <w:pStyle w:val="Heading1"/>
        <w:spacing w:after="84"/>
        <w:ind w:left="1710" w:right="1545"/>
      </w:pPr>
      <w:r>
        <w:t xml:space="preserve">Credit author statement </w:t>
      </w:r>
    </w:p>
    <w:p w14:paraId="3373381F" w14:textId="77777777" w:rsidR="00367448" w:rsidRDefault="000B472C">
      <w:pPr>
        <w:spacing w:after="47" w:line="357" w:lineRule="auto"/>
        <w:ind w:right="-15"/>
      </w:pPr>
      <w:r>
        <w:rPr>
          <w:sz w:val="24"/>
        </w:rPr>
        <w:t xml:space="preserve">Zou Xiaobo: Conceptualization, Methodology. Yang Zhikun: Data curation, </w:t>
      </w:r>
      <w:proofErr w:type="spellStart"/>
      <w:r>
        <w:rPr>
          <w:sz w:val="24"/>
        </w:rPr>
        <w:t>Writing</w:t>
      </w:r>
      <w:r>
        <w:rPr>
          <w:sz w:val="24"/>
        </w:rPr>
        <w:t>Original</w:t>
      </w:r>
      <w:proofErr w:type="spellEnd"/>
      <w:r>
        <w:rPr>
          <w:sz w:val="24"/>
        </w:rPr>
        <w:t xml:space="preserve"> draft preparation. Zhai Xiaodong: Reviewing and Editing. Shi Jiyong: Conceptualization, Methodology. Li Zhihua: Conceptualization. Methodology. Huang Xiaowei: Reviewing and Editing. Li </w:t>
      </w:r>
      <w:proofErr w:type="spellStart"/>
      <w:r>
        <w:rPr>
          <w:sz w:val="24"/>
        </w:rPr>
        <w:t>Mingrui</w:t>
      </w:r>
      <w:proofErr w:type="spellEnd"/>
      <w:r>
        <w:rPr>
          <w:sz w:val="24"/>
        </w:rPr>
        <w:t xml:space="preserve">: Reviewing and Editing. Xiao </w:t>
      </w:r>
      <w:proofErr w:type="spellStart"/>
      <w:r>
        <w:rPr>
          <w:sz w:val="24"/>
        </w:rPr>
        <w:t>Jianbo</w:t>
      </w:r>
      <w:proofErr w:type="spellEnd"/>
      <w:r>
        <w:rPr>
          <w:sz w:val="24"/>
        </w:rPr>
        <w:t>: Conceptualization</w:t>
      </w:r>
      <w:r>
        <w:rPr>
          <w:sz w:val="24"/>
        </w:rPr>
        <w:t xml:space="preserve">, Methodology. Li </w:t>
      </w:r>
      <w:proofErr w:type="spellStart"/>
      <w:r>
        <w:rPr>
          <w:sz w:val="24"/>
        </w:rPr>
        <w:t>Yanxiao</w:t>
      </w:r>
      <w:proofErr w:type="spellEnd"/>
      <w:r>
        <w:rPr>
          <w:sz w:val="24"/>
        </w:rPr>
        <w:t xml:space="preserve">: Conceptualization, Methodology. Megan Povey: Conceptualization, Methodology. Wang Xin: Conceptualization, Methodology. </w:t>
      </w:r>
    </w:p>
    <w:p w14:paraId="663CD35A" w14:textId="77777777" w:rsidR="00367448" w:rsidRDefault="000B472C">
      <w:pPr>
        <w:spacing w:after="0" w:line="259" w:lineRule="auto"/>
        <w:ind w:left="1700" w:firstLine="0"/>
        <w:jc w:val="left"/>
      </w:pPr>
      <w:r>
        <w:rPr>
          <w:sz w:val="24"/>
        </w:rPr>
        <w:t xml:space="preserve"> </w:t>
      </w:r>
    </w:p>
    <w:p w14:paraId="46851895" w14:textId="77777777" w:rsidR="00367448" w:rsidRDefault="00367448">
      <w:pPr>
        <w:sectPr w:rsidR="00367448">
          <w:headerReference w:type="even" r:id="rId39"/>
          <w:headerReference w:type="default" r:id="rId40"/>
          <w:headerReference w:type="first" r:id="rId41"/>
          <w:pgSz w:w="11906" w:h="16838"/>
          <w:pgMar w:top="1440" w:right="1797" w:bottom="1440" w:left="100" w:header="720" w:footer="720" w:gutter="0"/>
          <w:cols w:space="720"/>
        </w:sectPr>
      </w:pPr>
    </w:p>
    <w:p w14:paraId="7B0CF3C0" w14:textId="77777777" w:rsidR="00367448" w:rsidRDefault="000B472C">
      <w:pPr>
        <w:spacing w:after="1132" w:line="259" w:lineRule="auto"/>
        <w:ind w:left="0" w:firstLine="0"/>
        <w:jc w:val="left"/>
      </w:pPr>
      <w:r>
        <w:rPr>
          <w:rFonts w:ascii="Arial" w:eastAsia="Arial" w:hAnsi="Arial" w:cs="Arial"/>
        </w:rPr>
        <w:lastRenderedPageBreak/>
        <w:t>Supplementary Material</w:t>
      </w:r>
    </w:p>
    <w:p w14:paraId="3AF014F8" w14:textId="77777777" w:rsidR="00367448" w:rsidRDefault="000B472C">
      <w:pPr>
        <w:spacing w:after="5701" w:line="259" w:lineRule="auto"/>
        <w:ind w:left="1400" w:firstLine="0"/>
        <w:jc w:val="left"/>
      </w:pPr>
      <w:r>
        <w:rPr>
          <w:rFonts w:ascii="Courier New" w:eastAsia="Courier New" w:hAnsi="Courier New" w:cs="Courier New"/>
          <w:sz w:val="21"/>
        </w:rPr>
        <w:t xml:space="preserve">  </w:t>
      </w:r>
    </w:p>
    <w:p w14:paraId="276150A0" w14:textId="77777777" w:rsidR="00367448" w:rsidRDefault="000B472C">
      <w:pPr>
        <w:spacing w:after="52" w:line="259" w:lineRule="auto"/>
        <w:ind w:left="0" w:right="2790" w:firstLine="0"/>
        <w:jc w:val="right"/>
      </w:pPr>
      <w:hyperlink r:id="rId42">
        <w:r>
          <w:rPr>
            <w:rFonts w:ascii="Arial" w:eastAsia="Arial" w:hAnsi="Arial" w:cs="Arial"/>
            <w:color w:val="003399"/>
            <w:sz w:val="28"/>
          </w:rPr>
          <w:t>Click here to access/download</w:t>
        </w:r>
      </w:hyperlink>
    </w:p>
    <w:p w14:paraId="5B5EDE7E" w14:textId="77777777" w:rsidR="00367448" w:rsidRDefault="000B472C">
      <w:pPr>
        <w:spacing w:after="3" w:line="259" w:lineRule="auto"/>
        <w:ind w:left="10" w:right="2780"/>
        <w:jc w:val="right"/>
      </w:pPr>
      <w:r>
        <w:rPr>
          <w:noProof/>
        </w:rPr>
        <w:drawing>
          <wp:anchor distT="0" distB="0" distL="114300" distR="114300" simplePos="0" relativeHeight="251659264" behindDoc="1" locked="0" layoutInCell="1" allowOverlap="0" wp14:anchorId="497FFE0C" wp14:editId="4E41F8B6">
            <wp:simplePos x="0" y="0"/>
            <wp:positionH relativeFrom="column">
              <wp:posOffset>2825750</wp:posOffset>
            </wp:positionH>
            <wp:positionV relativeFrom="paragraph">
              <wp:posOffset>-936760</wp:posOffset>
            </wp:positionV>
            <wp:extent cx="1993900" cy="2286000"/>
            <wp:effectExtent l="0" t="0" r="0" b="0"/>
            <wp:wrapNone/>
            <wp:docPr id="9555" name="Picture 9555"/>
            <wp:cNvGraphicFramePr/>
            <a:graphic xmlns:a="http://schemas.openxmlformats.org/drawingml/2006/main">
              <a:graphicData uri="http://schemas.openxmlformats.org/drawingml/2006/picture">
                <pic:pic xmlns:pic="http://schemas.openxmlformats.org/drawingml/2006/picture">
                  <pic:nvPicPr>
                    <pic:cNvPr id="9555" name="Picture 9555"/>
                    <pic:cNvPicPr/>
                  </pic:nvPicPr>
                  <pic:blipFill>
                    <a:blip r:embed="rId43"/>
                    <a:stretch>
                      <a:fillRect/>
                    </a:stretch>
                  </pic:blipFill>
                  <pic:spPr>
                    <a:xfrm>
                      <a:off x="0" y="0"/>
                      <a:ext cx="1993900" cy="2286000"/>
                    </a:xfrm>
                    <a:prstGeom prst="rect">
                      <a:avLst/>
                    </a:prstGeom>
                  </pic:spPr>
                </pic:pic>
              </a:graphicData>
            </a:graphic>
          </wp:anchor>
        </w:drawing>
      </w:r>
      <w:hyperlink r:id="rId44">
        <w:r>
          <w:rPr>
            <w:rFonts w:ascii="Arial" w:eastAsia="Arial" w:hAnsi="Arial" w:cs="Arial"/>
            <w:color w:val="003399"/>
            <w:sz w:val="36"/>
          </w:rPr>
          <w:t>Supplementary Material</w:t>
        </w:r>
      </w:hyperlink>
    </w:p>
    <w:p w14:paraId="618A75D7" w14:textId="77777777" w:rsidR="00367448" w:rsidRDefault="000B472C">
      <w:pPr>
        <w:spacing w:after="3" w:line="259" w:lineRule="auto"/>
        <w:ind w:left="10" w:right="2585"/>
        <w:jc w:val="right"/>
      </w:pPr>
      <w:hyperlink r:id="rId45">
        <w:r>
          <w:rPr>
            <w:rFonts w:ascii="Arial" w:eastAsia="Arial" w:hAnsi="Arial" w:cs="Arial"/>
            <w:color w:val="003399"/>
            <w:sz w:val="36"/>
          </w:rPr>
          <w:t>Supporting materials.docx</w:t>
        </w:r>
      </w:hyperlink>
    </w:p>
    <w:sectPr w:rsidR="00367448">
      <w:headerReference w:type="even" r:id="rId46"/>
      <w:headerReference w:type="default" r:id="rId47"/>
      <w:headerReference w:type="first" r:id="rId48"/>
      <w:pgSz w:w="12240" w:h="15840"/>
      <w:pgMar w:top="1440" w:right="1440" w:bottom="1440" w:left="1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38B998" w14:textId="77777777" w:rsidR="000B472C" w:rsidRDefault="000B472C">
      <w:pPr>
        <w:spacing w:after="0" w:line="240" w:lineRule="auto"/>
      </w:pPr>
      <w:r>
        <w:separator/>
      </w:r>
    </w:p>
  </w:endnote>
  <w:endnote w:type="continuationSeparator" w:id="0">
    <w:p w14:paraId="58F618BF" w14:textId="77777777" w:rsidR="000B472C" w:rsidRDefault="000B47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EF3C9A" w14:textId="77777777" w:rsidR="000B472C" w:rsidRDefault="000B472C">
      <w:pPr>
        <w:spacing w:after="0" w:line="240" w:lineRule="auto"/>
      </w:pPr>
      <w:r>
        <w:separator/>
      </w:r>
    </w:p>
  </w:footnote>
  <w:footnote w:type="continuationSeparator" w:id="0">
    <w:p w14:paraId="16D00276" w14:textId="77777777" w:rsidR="000B472C" w:rsidRDefault="000B472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DFF8EC" w14:textId="77777777" w:rsidR="00367448" w:rsidRDefault="00367448">
    <w:pPr>
      <w:spacing w:after="160" w:line="259" w:lineRule="auto"/>
      <w:ind w:left="0" w:firstLine="0"/>
      <w:jc w:val="lef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DA5BE6" w14:textId="77777777" w:rsidR="00367448" w:rsidRDefault="000B472C">
    <w:pPr>
      <w:tabs>
        <w:tab w:val="right" w:pos="10086"/>
      </w:tabs>
      <w:spacing w:after="0" w:line="259" w:lineRule="auto"/>
      <w:ind w:left="-1340" w:right="-1060" w:firstLine="0"/>
      <w:jc w:val="left"/>
    </w:pPr>
    <w:r>
      <w:rPr>
        <w:noProof/>
      </w:rPr>
      <w:drawing>
        <wp:anchor distT="0" distB="0" distL="114300" distR="114300" simplePos="0" relativeHeight="251658240" behindDoc="0" locked="0" layoutInCell="1" allowOverlap="0" wp14:anchorId="5D784BC5" wp14:editId="6AFFB854">
          <wp:simplePos x="0" y="0"/>
          <wp:positionH relativeFrom="page">
            <wp:posOffset>7382764</wp:posOffset>
          </wp:positionH>
          <wp:positionV relativeFrom="page">
            <wp:posOffset>76200</wp:posOffset>
          </wp:positionV>
          <wp:extent cx="68580" cy="76200"/>
          <wp:effectExtent l="0" t="0" r="0" b="0"/>
          <wp:wrapSquare wrapText="bothSides"/>
          <wp:docPr id="8281" name="Picture 8281"/>
          <wp:cNvGraphicFramePr/>
          <a:graphic xmlns:a="http://schemas.openxmlformats.org/drawingml/2006/main">
            <a:graphicData uri="http://schemas.openxmlformats.org/drawingml/2006/picture">
              <pic:pic xmlns:pic="http://schemas.openxmlformats.org/drawingml/2006/picture">
                <pic:nvPicPr>
                  <pic:cNvPr id="8281" name="Picture 8281"/>
                  <pic:cNvPicPr/>
                </pic:nvPicPr>
                <pic:blipFill>
                  <a:blip r:embed="rId1"/>
                  <a:stretch>
                    <a:fillRect/>
                  </a:stretch>
                </pic:blipFill>
                <pic:spPr>
                  <a:xfrm>
                    <a:off x="0" y="0"/>
                    <a:ext cx="68580" cy="76200"/>
                  </a:xfrm>
                  <a:prstGeom prst="rect">
                    <a:avLst/>
                  </a:prstGeom>
                </pic:spPr>
              </pic:pic>
            </a:graphicData>
          </a:graphic>
        </wp:anchor>
      </w:drawing>
    </w:r>
    <w:r>
      <w:rPr>
        <w:rFonts w:ascii="Arial" w:eastAsia="Arial" w:hAnsi="Arial" w:cs="Arial"/>
      </w:rPr>
      <w:t xml:space="preserve">Figure </w:t>
    </w:r>
    <w:r>
      <w:fldChar w:fldCharType="begin"/>
    </w:r>
    <w:r>
      <w:instrText xml:space="preserve"> PAGE   \* MERGEFORMAT </w:instrText>
    </w:r>
    <w:r>
      <w:fldChar w:fldCharType="separate"/>
    </w:r>
    <w:r>
      <w:rPr>
        <w:rFonts w:ascii="Arial" w:eastAsia="Arial" w:hAnsi="Arial" w:cs="Arial"/>
      </w:rPr>
      <w:t>1</w:t>
    </w:r>
    <w:r>
      <w:rPr>
        <w:rFonts w:ascii="Arial" w:eastAsia="Arial" w:hAnsi="Arial" w:cs="Arial"/>
      </w:rPr>
      <w:fldChar w:fldCharType="end"/>
    </w:r>
    <w:r>
      <w:rPr>
        <w:rFonts w:ascii="Arial" w:eastAsia="Arial" w:hAnsi="Arial" w:cs="Arial"/>
      </w:rPr>
      <w:tab/>
    </w:r>
    <w:r>
      <w:rPr>
        <w:rFonts w:ascii="Arial" w:eastAsia="Arial" w:hAnsi="Arial" w:cs="Arial"/>
        <w:color w:val="003399"/>
      </w:rPr>
      <w:t>Click here to access/</w:t>
    </w:r>
    <w:proofErr w:type="spellStart"/>
    <w:proofErr w:type="gramStart"/>
    <w:r>
      <w:rPr>
        <w:rFonts w:ascii="Arial" w:eastAsia="Arial" w:hAnsi="Arial" w:cs="Arial"/>
        <w:color w:val="003399"/>
      </w:rPr>
      <w:t>download;Figure</w:t>
    </w:r>
    <w:proofErr w:type="gramEnd"/>
    <w:r>
      <w:rPr>
        <w:rFonts w:ascii="Arial" w:eastAsia="Arial" w:hAnsi="Arial" w:cs="Arial"/>
        <w:color w:val="003399"/>
      </w:rPr>
      <w:t>;Figure</w:t>
    </w:r>
    <w:proofErr w:type="spellEnd"/>
    <w:r>
      <w:rPr>
        <w:rFonts w:ascii="Arial" w:eastAsia="Arial" w:hAnsi="Arial" w:cs="Arial"/>
        <w:color w:val="003399"/>
      </w:rPr>
      <w:t xml:space="preserve"> </w:t>
    </w:r>
    <w:r>
      <w:fldChar w:fldCharType="begin"/>
    </w:r>
    <w:r>
      <w:instrText xml:space="preserve"> PAGE   \* MERGEFORMAT </w:instrText>
    </w:r>
    <w:r>
      <w:fldChar w:fldCharType="separate"/>
    </w:r>
    <w:r>
      <w:rPr>
        <w:rFonts w:ascii="Arial" w:eastAsia="Arial" w:hAnsi="Arial" w:cs="Arial"/>
        <w:color w:val="003399"/>
      </w:rPr>
      <w:t>1</w:t>
    </w:r>
    <w:r>
      <w:rPr>
        <w:rFonts w:ascii="Arial" w:eastAsia="Arial" w:hAnsi="Arial" w:cs="Arial"/>
        <w:color w:val="003399"/>
      </w:rPr>
      <w:fldChar w:fldCharType="end"/>
    </w:r>
    <w:r>
      <w:rPr>
        <w:rFonts w:ascii="Arial" w:eastAsia="Arial" w:hAnsi="Arial" w:cs="Arial"/>
        <w:color w:val="003399"/>
      </w:rPr>
      <w:t xml:space="preserve">.docx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1BC098" w14:textId="77777777" w:rsidR="00367448" w:rsidRDefault="000B472C">
    <w:pPr>
      <w:tabs>
        <w:tab w:val="right" w:pos="10086"/>
      </w:tabs>
      <w:spacing w:after="0" w:line="259" w:lineRule="auto"/>
      <w:ind w:left="-1340" w:right="-1060" w:firstLine="0"/>
      <w:jc w:val="left"/>
    </w:pPr>
    <w:r>
      <w:rPr>
        <w:noProof/>
      </w:rPr>
      <w:drawing>
        <wp:anchor distT="0" distB="0" distL="114300" distR="114300" simplePos="0" relativeHeight="251659264" behindDoc="0" locked="0" layoutInCell="1" allowOverlap="0" wp14:anchorId="6F4F60B4" wp14:editId="533DD2B3">
          <wp:simplePos x="0" y="0"/>
          <wp:positionH relativeFrom="page">
            <wp:posOffset>7382764</wp:posOffset>
          </wp:positionH>
          <wp:positionV relativeFrom="page">
            <wp:posOffset>76200</wp:posOffset>
          </wp:positionV>
          <wp:extent cx="68580" cy="76200"/>
          <wp:effectExtent l="0" t="0" r="0" b="0"/>
          <wp:wrapSquare wrapText="bothSides"/>
          <wp:docPr id="546322641" name="Picture 546322641"/>
          <wp:cNvGraphicFramePr/>
          <a:graphic xmlns:a="http://schemas.openxmlformats.org/drawingml/2006/main">
            <a:graphicData uri="http://schemas.openxmlformats.org/drawingml/2006/picture">
              <pic:pic xmlns:pic="http://schemas.openxmlformats.org/drawingml/2006/picture">
                <pic:nvPicPr>
                  <pic:cNvPr id="8281" name="Picture 8281"/>
                  <pic:cNvPicPr/>
                </pic:nvPicPr>
                <pic:blipFill>
                  <a:blip r:embed="rId1"/>
                  <a:stretch>
                    <a:fillRect/>
                  </a:stretch>
                </pic:blipFill>
                <pic:spPr>
                  <a:xfrm>
                    <a:off x="0" y="0"/>
                    <a:ext cx="68580" cy="76200"/>
                  </a:xfrm>
                  <a:prstGeom prst="rect">
                    <a:avLst/>
                  </a:prstGeom>
                </pic:spPr>
              </pic:pic>
            </a:graphicData>
          </a:graphic>
        </wp:anchor>
      </w:drawing>
    </w:r>
    <w:r>
      <w:rPr>
        <w:rFonts w:ascii="Arial" w:eastAsia="Arial" w:hAnsi="Arial" w:cs="Arial"/>
      </w:rPr>
      <w:t xml:space="preserve">Figure </w:t>
    </w:r>
    <w:r>
      <w:fldChar w:fldCharType="begin"/>
    </w:r>
    <w:r>
      <w:instrText xml:space="preserve"> PAGE   \* MERGEFORMAT </w:instrText>
    </w:r>
    <w:r>
      <w:fldChar w:fldCharType="separate"/>
    </w:r>
    <w:r>
      <w:rPr>
        <w:rFonts w:ascii="Arial" w:eastAsia="Arial" w:hAnsi="Arial" w:cs="Arial"/>
      </w:rPr>
      <w:t>1</w:t>
    </w:r>
    <w:r>
      <w:rPr>
        <w:rFonts w:ascii="Arial" w:eastAsia="Arial" w:hAnsi="Arial" w:cs="Arial"/>
      </w:rPr>
      <w:fldChar w:fldCharType="end"/>
    </w:r>
    <w:r>
      <w:rPr>
        <w:rFonts w:ascii="Arial" w:eastAsia="Arial" w:hAnsi="Arial" w:cs="Arial"/>
      </w:rPr>
      <w:tab/>
    </w:r>
    <w:r>
      <w:rPr>
        <w:rFonts w:ascii="Arial" w:eastAsia="Arial" w:hAnsi="Arial" w:cs="Arial"/>
        <w:color w:val="003399"/>
      </w:rPr>
      <w:t>Click here to access/</w:t>
    </w:r>
    <w:proofErr w:type="spellStart"/>
    <w:proofErr w:type="gramStart"/>
    <w:r>
      <w:rPr>
        <w:rFonts w:ascii="Arial" w:eastAsia="Arial" w:hAnsi="Arial" w:cs="Arial"/>
        <w:color w:val="003399"/>
      </w:rPr>
      <w:t>download;Figure</w:t>
    </w:r>
    <w:proofErr w:type="gramEnd"/>
    <w:r>
      <w:rPr>
        <w:rFonts w:ascii="Arial" w:eastAsia="Arial" w:hAnsi="Arial" w:cs="Arial"/>
        <w:color w:val="003399"/>
      </w:rPr>
      <w:t>;Figure</w:t>
    </w:r>
    <w:proofErr w:type="spellEnd"/>
    <w:r>
      <w:rPr>
        <w:rFonts w:ascii="Arial" w:eastAsia="Arial" w:hAnsi="Arial" w:cs="Arial"/>
        <w:color w:val="003399"/>
      </w:rPr>
      <w:t xml:space="preserve"> </w:t>
    </w:r>
    <w:r>
      <w:fldChar w:fldCharType="begin"/>
    </w:r>
    <w:r>
      <w:instrText xml:space="preserve"> PAGE   \* MERGEFORMAT </w:instrText>
    </w:r>
    <w:r>
      <w:fldChar w:fldCharType="separate"/>
    </w:r>
    <w:r>
      <w:rPr>
        <w:rFonts w:ascii="Arial" w:eastAsia="Arial" w:hAnsi="Arial" w:cs="Arial"/>
        <w:color w:val="003399"/>
      </w:rPr>
      <w:t>1</w:t>
    </w:r>
    <w:r>
      <w:rPr>
        <w:rFonts w:ascii="Arial" w:eastAsia="Arial" w:hAnsi="Arial" w:cs="Arial"/>
        <w:color w:val="003399"/>
      </w:rPr>
      <w:fldChar w:fldCharType="end"/>
    </w:r>
    <w:r>
      <w:rPr>
        <w:rFonts w:ascii="Arial" w:eastAsia="Arial" w:hAnsi="Arial" w:cs="Arial"/>
        <w:color w:val="003399"/>
      </w:rPr>
      <w:t xml:space="preserve">.docx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DDE03A" w14:textId="77777777" w:rsidR="00367448" w:rsidRDefault="000B472C">
    <w:pPr>
      <w:tabs>
        <w:tab w:val="right" w:pos="10086"/>
      </w:tabs>
      <w:spacing w:after="0" w:line="259" w:lineRule="auto"/>
      <w:ind w:left="-1340" w:right="-1060" w:firstLine="0"/>
      <w:jc w:val="left"/>
    </w:pPr>
    <w:r>
      <w:rPr>
        <w:noProof/>
      </w:rPr>
      <w:drawing>
        <wp:anchor distT="0" distB="0" distL="114300" distR="114300" simplePos="0" relativeHeight="251660288" behindDoc="0" locked="0" layoutInCell="1" allowOverlap="0" wp14:anchorId="05C8F9DE" wp14:editId="0A266F27">
          <wp:simplePos x="0" y="0"/>
          <wp:positionH relativeFrom="page">
            <wp:posOffset>7382764</wp:posOffset>
          </wp:positionH>
          <wp:positionV relativeFrom="page">
            <wp:posOffset>76200</wp:posOffset>
          </wp:positionV>
          <wp:extent cx="68580" cy="76200"/>
          <wp:effectExtent l="0" t="0" r="0" b="0"/>
          <wp:wrapSquare wrapText="bothSides"/>
          <wp:docPr id="625408082" name="Picture 625408082"/>
          <wp:cNvGraphicFramePr/>
          <a:graphic xmlns:a="http://schemas.openxmlformats.org/drawingml/2006/main">
            <a:graphicData uri="http://schemas.openxmlformats.org/drawingml/2006/picture">
              <pic:pic xmlns:pic="http://schemas.openxmlformats.org/drawingml/2006/picture">
                <pic:nvPicPr>
                  <pic:cNvPr id="8281" name="Picture 8281"/>
                  <pic:cNvPicPr/>
                </pic:nvPicPr>
                <pic:blipFill>
                  <a:blip r:embed="rId1"/>
                  <a:stretch>
                    <a:fillRect/>
                  </a:stretch>
                </pic:blipFill>
                <pic:spPr>
                  <a:xfrm>
                    <a:off x="0" y="0"/>
                    <a:ext cx="68580" cy="76200"/>
                  </a:xfrm>
                  <a:prstGeom prst="rect">
                    <a:avLst/>
                  </a:prstGeom>
                </pic:spPr>
              </pic:pic>
            </a:graphicData>
          </a:graphic>
        </wp:anchor>
      </w:drawing>
    </w:r>
    <w:r>
      <w:rPr>
        <w:rFonts w:ascii="Arial" w:eastAsia="Arial" w:hAnsi="Arial" w:cs="Arial"/>
      </w:rPr>
      <w:t xml:space="preserve">Figure </w:t>
    </w:r>
    <w:r>
      <w:fldChar w:fldCharType="begin"/>
    </w:r>
    <w:r>
      <w:instrText xml:space="preserve"> PAGE   \* MERGEFORMAT </w:instrText>
    </w:r>
    <w:r>
      <w:fldChar w:fldCharType="separate"/>
    </w:r>
    <w:r>
      <w:rPr>
        <w:rFonts w:ascii="Arial" w:eastAsia="Arial" w:hAnsi="Arial" w:cs="Arial"/>
      </w:rPr>
      <w:t>1</w:t>
    </w:r>
    <w:r>
      <w:rPr>
        <w:rFonts w:ascii="Arial" w:eastAsia="Arial" w:hAnsi="Arial" w:cs="Arial"/>
      </w:rPr>
      <w:fldChar w:fldCharType="end"/>
    </w:r>
    <w:r>
      <w:rPr>
        <w:rFonts w:ascii="Arial" w:eastAsia="Arial" w:hAnsi="Arial" w:cs="Arial"/>
      </w:rPr>
      <w:tab/>
    </w:r>
    <w:r>
      <w:rPr>
        <w:rFonts w:ascii="Arial" w:eastAsia="Arial" w:hAnsi="Arial" w:cs="Arial"/>
        <w:color w:val="003399"/>
      </w:rPr>
      <w:t>Click here to access/</w:t>
    </w:r>
    <w:proofErr w:type="spellStart"/>
    <w:proofErr w:type="gramStart"/>
    <w:r>
      <w:rPr>
        <w:rFonts w:ascii="Arial" w:eastAsia="Arial" w:hAnsi="Arial" w:cs="Arial"/>
        <w:color w:val="003399"/>
      </w:rPr>
      <w:t>download;Figure</w:t>
    </w:r>
    <w:proofErr w:type="gramEnd"/>
    <w:r>
      <w:rPr>
        <w:rFonts w:ascii="Arial" w:eastAsia="Arial" w:hAnsi="Arial" w:cs="Arial"/>
        <w:color w:val="003399"/>
      </w:rPr>
      <w:t>;Figure</w:t>
    </w:r>
    <w:proofErr w:type="spellEnd"/>
    <w:r>
      <w:rPr>
        <w:rFonts w:ascii="Arial" w:eastAsia="Arial" w:hAnsi="Arial" w:cs="Arial"/>
        <w:color w:val="003399"/>
      </w:rPr>
      <w:t xml:space="preserve"> </w:t>
    </w:r>
    <w:r>
      <w:fldChar w:fldCharType="begin"/>
    </w:r>
    <w:r>
      <w:instrText xml:space="preserve"> PAGE   \* MERGEFORMAT </w:instrText>
    </w:r>
    <w:r>
      <w:fldChar w:fldCharType="separate"/>
    </w:r>
    <w:r>
      <w:rPr>
        <w:rFonts w:ascii="Arial" w:eastAsia="Arial" w:hAnsi="Arial" w:cs="Arial"/>
        <w:color w:val="003399"/>
      </w:rPr>
      <w:t>1</w:t>
    </w:r>
    <w:r>
      <w:rPr>
        <w:rFonts w:ascii="Arial" w:eastAsia="Arial" w:hAnsi="Arial" w:cs="Arial"/>
        <w:color w:val="003399"/>
      </w:rPr>
      <w:fldChar w:fldCharType="end"/>
    </w:r>
    <w:r>
      <w:rPr>
        <w:rFonts w:ascii="Arial" w:eastAsia="Arial" w:hAnsi="Arial" w:cs="Arial"/>
        <w:color w:val="003399"/>
      </w:rPr>
      <w:t xml:space="preserve">.docx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3BFC81" w14:textId="77777777" w:rsidR="00367448" w:rsidRDefault="000B472C">
    <w:pPr>
      <w:tabs>
        <w:tab w:val="right" w:pos="11326"/>
      </w:tabs>
      <w:spacing w:after="0" w:line="259" w:lineRule="auto"/>
      <w:ind w:left="0" w:right="-4" w:firstLine="0"/>
      <w:jc w:val="left"/>
    </w:pPr>
    <w:r>
      <w:rPr>
        <w:noProof/>
      </w:rPr>
      <w:drawing>
        <wp:anchor distT="0" distB="0" distL="114300" distR="114300" simplePos="0" relativeHeight="251661312" behindDoc="0" locked="0" layoutInCell="1" allowOverlap="0" wp14:anchorId="7F82D2CD" wp14:editId="58DE060C">
          <wp:simplePos x="0" y="0"/>
          <wp:positionH relativeFrom="page">
            <wp:posOffset>7382764</wp:posOffset>
          </wp:positionH>
          <wp:positionV relativeFrom="page">
            <wp:posOffset>76200</wp:posOffset>
          </wp:positionV>
          <wp:extent cx="68580" cy="76200"/>
          <wp:effectExtent l="0" t="0" r="0" b="0"/>
          <wp:wrapSquare wrapText="bothSides"/>
          <wp:docPr id="9192" name="Picture 9192"/>
          <wp:cNvGraphicFramePr/>
          <a:graphic xmlns:a="http://schemas.openxmlformats.org/drawingml/2006/main">
            <a:graphicData uri="http://schemas.openxmlformats.org/drawingml/2006/picture">
              <pic:pic xmlns:pic="http://schemas.openxmlformats.org/drawingml/2006/picture">
                <pic:nvPicPr>
                  <pic:cNvPr id="9192" name="Picture 9192"/>
                  <pic:cNvPicPr/>
                </pic:nvPicPr>
                <pic:blipFill>
                  <a:blip r:embed="rId1"/>
                  <a:stretch>
                    <a:fillRect/>
                  </a:stretch>
                </pic:blipFill>
                <pic:spPr>
                  <a:xfrm>
                    <a:off x="0" y="0"/>
                    <a:ext cx="68580" cy="76200"/>
                  </a:xfrm>
                  <a:prstGeom prst="rect">
                    <a:avLst/>
                  </a:prstGeom>
                </pic:spPr>
              </pic:pic>
            </a:graphicData>
          </a:graphic>
        </wp:anchor>
      </w:drawing>
    </w:r>
    <w:r>
      <w:rPr>
        <w:rFonts w:ascii="Arial" w:eastAsia="Arial" w:hAnsi="Arial" w:cs="Arial"/>
      </w:rPr>
      <w:t xml:space="preserve">Table </w:t>
    </w:r>
    <w:r>
      <w:fldChar w:fldCharType="begin"/>
    </w:r>
    <w:r>
      <w:instrText xml:space="preserve"> PAGE   \* MERGEFORMAT </w:instrText>
    </w:r>
    <w:r>
      <w:fldChar w:fldCharType="separate"/>
    </w:r>
    <w:r>
      <w:rPr>
        <w:rFonts w:ascii="Arial" w:eastAsia="Arial" w:hAnsi="Arial" w:cs="Arial"/>
      </w:rPr>
      <w:t>2</w:t>
    </w:r>
    <w:r>
      <w:rPr>
        <w:rFonts w:ascii="Arial" w:eastAsia="Arial" w:hAnsi="Arial" w:cs="Arial"/>
      </w:rPr>
      <w:fldChar w:fldCharType="end"/>
    </w:r>
    <w:r>
      <w:rPr>
        <w:rFonts w:ascii="Arial" w:eastAsia="Arial" w:hAnsi="Arial" w:cs="Arial"/>
      </w:rPr>
      <w:tab/>
    </w:r>
    <w:r>
      <w:rPr>
        <w:rFonts w:ascii="Arial" w:eastAsia="Arial" w:hAnsi="Arial" w:cs="Arial"/>
        <w:color w:val="003399"/>
      </w:rPr>
      <w:t>Click here to access/</w:t>
    </w:r>
    <w:proofErr w:type="spellStart"/>
    <w:proofErr w:type="gramStart"/>
    <w:r>
      <w:rPr>
        <w:rFonts w:ascii="Arial" w:eastAsia="Arial" w:hAnsi="Arial" w:cs="Arial"/>
        <w:color w:val="003399"/>
      </w:rPr>
      <w:t>download;Table</w:t>
    </w:r>
    <w:proofErr w:type="spellEnd"/>
    <w:proofErr w:type="gramEnd"/>
    <w:r>
      <w:rPr>
        <w:rFonts w:ascii="Arial" w:eastAsia="Arial" w:hAnsi="Arial" w:cs="Arial"/>
        <w:color w:val="003399"/>
      </w:rPr>
      <w:t xml:space="preserve"> ( Editable version);Table</w:t>
    </w:r>
    <w:r>
      <w:rPr>
        <w:rFonts w:ascii="Arial" w:eastAsia="Arial" w:hAnsi="Arial" w:cs="Arial"/>
        <w:color w:val="003399"/>
      </w:rPr>
      <w:tab/>
    </w:r>
  </w:p>
  <w:p w14:paraId="6352CD48" w14:textId="77777777" w:rsidR="00367448" w:rsidRDefault="000B472C">
    <w:pPr>
      <w:spacing w:after="0" w:line="259" w:lineRule="auto"/>
      <w:ind w:left="969" w:firstLine="0"/>
      <w:jc w:val="center"/>
    </w:pPr>
    <w:r>
      <w:fldChar w:fldCharType="begin"/>
    </w:r>
    <w:r>
      <w:instrText xml:space="preserve"> PAGE   \* MERGEFORMAT </w:instrText>
    </w:r>
    <w:r>
      <w:fldChar w:fldCharType="separate"/>
    </w:r>
    <w:r>
      <w:rPr>
        <w:rFonts w:ascii="Arial" w:eastAsia="Arial" w:hAnsi="Arial" w:cs="Arial"/>
        <w:color w:val="003399"/>
      </w:rPr>
      <w:t>2</w:t>
    </w:r>
    <w:r>
      <w:rPr>
        <w:rFonts w:ascii="Arial" w:eastAsia="Arial" w:hAnsi="Arial" w:cs="Arial"/>
        <w:color w:val="003399"/>
      </w:rPr>
      <w:fldChar w:fldCharType="end"/>
    </w:r>
    <w:r>
      <w:rPr>
        <w:rFonts w:ascii="Arial" w:eastAsia="Arial" w:hAnsi="Arial" w:cs="Arial"/>
        <w:color w:val="003399"/>
      </w:rPr>
      <w:t>.docx</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229D17" w14:textId="77777777" w:rsidR="00367448" w:rsidRDefault="000B472C">
    <w:pPr>
      <w:tabs>
        <w:tab w:val="right" w:pos="11326"/>
      </w:tabs>
      <w:spacing w:after="0" w:line="259" w:lineRule="auto"/>
      <w:ind w:left="0" w:right="-4" w:firstLine="0"/>
      <w:jc w:val="left"/>
    </w:pPr>
    <w:r>
      <w:rPr>
        <w:noProof/>
      </w:rPr>
      <w:drawing>
        <wp:anchor distT="0" distB="0" distL="114300" distR="114300" simplePos="0" relativeHeight="251662336" behindDoc="0" locked="0" layoutInCell="1" allowOverlap="0" wp14:anchorId="589AD2B3" wp14:editId="4691FCC9">
          <wp:simplePos x="0" y="0"/>
          <wp:positionH relativeFrom="page">
            <wp:posOffset>7382764</wp:posOffset>
          </wp:positionH>
          <wp:positionV relativeFrom="page">
            <wp:posOffset>76200</wp:posOffset>
          </wp:positionV>
          <wp:extent cx="68580" cy="76200"/>
          <wp:effectExtent l="0" t="0" r="0" b="0"/>
          <wp:wrapSquare wrapText="bothSides"/>
          <wp:docPr id="709925970" name="Picture 709925970"/>
          <wp:cNvGraphicFramePr/>
          <a:graphic xmlns:a="http://schemas.openxmlformats.org/drawingml/2006/main">
            <a:graphicData uri="http://schemas.openxmlformats.org/drawingml/2006/picture">
              <pic:pic xmlns:pic="http://schemas.openxmlformats.org/drawingml/2006/picture">
                <pic:nvPicPr>
                  <pic:cNvPr id="9192" name="Picture 9192"/>
                  <pic:cNvPicPr/>
                </pic:nvPicPr>
                <pic:blipFill>
                  <a:blip r:embed="rId1"/>
                  <a:stretch>
                    <a:fillRect/>
                  </a:stretch>
                </pic:blipFill>
                <pic:spPr>
                  <a:xfrm>
                    <a:off x="0" y="0"/>
                    <a:ext cx="68580" cy="76200"/>
                  </a:xfrm>
                  <a:prstGeom prst="rect">
                    <a:avLst/>
                  </a:prstGeom>
                </pic:spPr>
              </pic:pic>
            </a:graphicData>
          </a:graphic>
        </wp:anchor>
      </w:drawing>
    </w:r>
    <w:r>
      <w:rPr>
        <w:rFonts w:ascii="Arial" w:eastAsia="Arial" w:hAnsi="Arial" w:cs="Arial"/>
      </w:rPr>
      <w:t xml:space="preserve">Table </w:t>
    </w:r>
    <w:r>
      <w:fldChar w:fldCharType="begin"/>
    </w:r>
    <w:r>
      <w:instrText xml:space="preserve"> PAGE   \* MERGEFORMAT </w:instrText>
    </w:r>
    <w:r>
      <w:fldChar w:fldCharType="separate"/>
    </w:r>
    <w:r>
      <w:rPr>
        <w:rFonts w:ascii="Arial" w:eastAsia="Arial" w:hAnsi="Arial" w:cs="Arial"/>
      </w:rPr>
      <w:t>2</w:t>
    </w:r>
    <w:r>
      <w:rPr>
        <w:rFonts w:ascii="Arial" w:eastAsia="Arial" w:hAnsi="Arial" w:cs="Arial"/>
      </w:rPr>
      <w:fldChar w:fldCharType="end"/>
    </w:r>
    <w:r>
      <w:rPr>
        <w:rFonts w:ascii="Arial" w:eastAsia="Arial" w:hAnsi="Arial" w:cs="Arial"/>
      </w:rPr>
      <w:tab/>
    </w:r>
    <w:r>
      <w:rPr>
        <w:rFonts w:ascii="Arial" w:eastAsia="Arial" w:hAnsi="Arial" w:cs="Arial"/>
        <w:color w:val="003399"/>
      </w:rPr>
      <w:t>Click here to access/</w:t>
    </w:r>
    <w:proofErr w:type="spellStart"/>
    <w:proofErr w:type="gramStart"/>
    <w:r>
      <w:rPr>
        <w:rFonts w:ascii="Arial" w:eastAsia="Arial" w:hAnsi="Arial" w:cs="Arial"/>
        <w:color w:val="003399"/>
      </w:rPr>
      <w:t>download;Table</w:t>
    </w:r>
    <w:proofErr w:type="spellEnd"/>
    <w:proofErr w:type="gramEnd"/>
    <w:r>
      <w:rPr>
        <w:rFonts w:ascii="Arial" w:eastAsia="Arial" w:hAnsi="Arial" w:cs="Arial"/>
        <w:color w:val="003399"/>
      </w:rPr>
      <w:t xml:space="preserve"> ( Editable version);Table</w:t>
    </w:r>
    <w:r>
      <w:rPr>
        <w:rFonts w:ascii="Arial" w:eastAsia="Arial" w:hAnsi="Arial" w:cs="Arial"/>
        <w:color w:val="003399"/>
      </w:rPr>
      <w:tab/>
    </w:r>
  </w:p>
  <w:p w14:paraId="6CF13379" w14:textId="77777777" w:rsidR="00367448" w:rsidRDefault="000B472C">
    <w:pPr>
      <w:spacing w:after="0" w:line="259" w:lineRule="auto"/>
      <w:ind w:left="969" w:firstLine="0"/>
      <w:jc w:val="center"/>
    </w:pPr>
    <w:r>
      <w:fldChar w:fldCharType="begin"/>
    </w:r>
    <w:r>
      <w:instrText xml:space="preserve"> PAGE   \* MERGEFORMAT </w:instrText>
    </w:r>
    <w:r>
      <w:fldChar w:fldCharType="separate"/>
    </w:r>
    <w:r>
      <w:rPr>
        <w:rFonts w:ascii="Arial" w:eastAsia="Arial" w:hAnsi="Arial" w:cs="Arial"/>
        <w:color w:val="003399"/>
      </w:rPr>
      <w:t>2</w:t>
    </w:r>
    <w:r>
      <w:rPr>
        <w:rFonts w:ascii="Arial" w:eastAsia="Arial" w:hAnsi="Arial" w:cs="Arial"/>
        <w:color w:val="003399"/>
      </w:rPr>
      <w:fldChar w:fldCharType="end"/>
    </w:r>
    <w:r>
      <w:rPr>
        <w:rFonts w:ascii="Arial" w:eastAsia="Arial" w:hAnsi="Arial" w:cs="Arial"/>
        <w:color w:val="003399"/>
      </w:rPr>
      <w:t>.docx</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BE3855" w14:textId="77777777" w:rsidR="00367448" w:rsidRDefault="000B472C">
    <w:pPr>
      <w:spacing w:after="0" w:line="259" w:lineRule="auto"/>
      <w:ind w:left="0" w:right="-100" w:firstLine="0"/>
      <w:jc w:val="right"/>
    </w:pPr>
    <w:r>
      <w:rPr>
        <w:noProof/>
      </w:rPr>
      <w:drawing>
        <wp:anchor distT="0" distB="0" distL="114300" distR="114300" simplePos="0" relativeHeight="251663360" behindDoc="0" locked="0" layoutInCell="1" allowOverlap="0" wp14:anchorId="699B8A1A" wp14:editId="0F0DF48B">
          <wp:simplePos x="0" y="0"/>
          <wp:positionH relativeFrom="page">
            <wp:posOffset>7382764</wp:posOffset>
          </wp:positionH>
          <wp:positionV relativeFrom="page">
            <wp:posOffset>76200</wp:posOffset>
          </wp:positionV>
          <wp:extent cx="68580" cy="76200"/>
          <wp:effectExtent l="0" t="0" r="0" b="0"/>
          <wp:wrapSquare wrapText="bothSides"/>
          <wp:docPr id="8592" name="Picture 8592"/>
          <wp:cNvGraphicFramePr/>
          <a:graphic xmlns:a="http://schemas.openxmlformats.org/drawingml/2006/main">
            <a:graphicData uri="http://schemas.openxmlformats.org/drawingml/2006/picture">
              <pic:pic xmlns:pic="http://schemas.openxmlformats.org/drawingml/2006/picture">
                <pic:nvPicPr>
                  <pic:cNvPr id="8592" name="Picture 8592"/>
                  <pic:cNvPicPr/>
                </pic:nvPicPr>
                <pic:blipFill>
                  <a:blip r:embed="rId1"/>
                  <a:stretch>
                    <a:fillRect/>
                  </a:stretch>
                </pic:blipFill>
                <pic:spPr>
                  <a:xfrm>
                    <a:off x="0" y="0"/>
                    <a:ext cx="68580" cy="76200"/>
                  </a:xfrm>
                  <a:prstGeom prst="rect">
                    <a:avLst/>
                  </a:prstGeom>
                </pic:spPr>
              </pic:pic>
            </a:graphicData>
          </a:graphic>
        </wp:anchor>
      </w:drawing>
    </w:r>
    <w:r>
      <w:rPr>
        <w:rFonts w:ascii="Arial" w:eastAsia="Arial" w:hAnsi="Arial" w:cs="Arial"/>
        <w:color w:val="003399"/>
      </w:rPr>
      <w:t xml:space="preserve">x </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2A4657" w14:textId="77777777" w:rsidR="00367448" w:rsidRDefault="00367448">
    <w:pPr>
      <w:spacing w:after="160" w:line="259" w:lineRule="auto"/>
      <w:ind w:left="0" w:firstLine="0"/>
      <w:jc w:val="left"/>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6984E7" w14:textId="77777777" w:rsidR="00367448" w:rsidRDefault="00367448">
    <w:pPr>
      <w:spacing w:after="160" w:line="259" w:lineRule="auto"/>
      <w:ind w:left="0" w:firstLine="0"/>
      <w:jc w:val="left"/>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7644A5" w14:textId="77777777" w:rsidR="00367448" w:rsidRDefault="00367448">
    <w:pPr>
      <w:spacing w:after="160" w:line="259" w:lineRule="auto"/>
      <w:ind w:left="0" w:firstLine="0"/>
      <w:jc w:val="left"/>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9EA1BE" w14:textId="77777777" w:rsidR="00367448" w:rsidRDefault="00367448">
    <w:pPr>
      <w:spacing w:after="160" w:line="259" w:lineRule="auto"/>
      <w:ind w:left="0"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F1638F" w14:textId="77777777" w:rsidR="00367448" w:rsidRDefault="00367448">
    <w:pPr>
      <w:spacing w:after="160" w:line="259" w:lineRule="auto"/>
      <w:ind w:left="0" w:firstLine="0"/>
      <w:jc w:val="left"/>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80CF0B" w14:textId="77777777" w:rsidR="00367448" w:rsidRDefault="00367448">
    <w:pPr>
      <w:spacing w:after="160" w:line="259" w:lineRule="auto"/>
      <w:ind w:left="0" w:firstLine="0"/>
      <w:jc w:val="left"/>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103224" w14:textId="77777777" w:rsidR="00367448" w:rsidRDefault="00367448">
    <w:pPr>
      <w:spacing w:after="160" w:line="259" w:lineRule="auto"/>
      <w:ind w:left="0" w:firstLine="0"/>
      <w:jc w:val="left"/>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7FF031" w14:textId="77777777" w:rsidR="00367448" w:rsidRDefault="00367448">
    <w:pPr>
      <w:spacing w:after="160" w:line="259" w:lineRule="auto"/>
      <w:ind w:left="0" w:firstLine="0"/>
      <w:jc w:val="left"/>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6F73C4" w14:textId="77777777" w:rsidR="00367448" w:rsidRDefault="00367448">
    <w:pPr>
      <w:spacing w:after="160" w:line="259" w:lineRule="auto"/>
      <w:ind w:left="0" w:firstLine="0"/>
      <w:jc w:val="left"/>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2076B1" w14:textId="77777777" w:rsidR="00367448" w:rsidRDefault="00367448">
    <w:pPr>
      <w:spacing w:after="160" w:line="259" w:lineRule="auto"/>
      <w:ind w:left="0" w:firstLine="0"/>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13A7B" w14:textId="77777777" w:rsidR="00367448" w:rsidRDefault="00367448">
    <w:pPr>
      <w:spacing w:after="160" w:line="259" w:lineRule="auto"/>
      <w:ind w:lef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BA753B" w14:textId="77777777" w:rsidR="00367448" w:rsidRDefault="00367448">
    <w:pPr>
      <w:spacing w:after="160" w:line="259" w:lineRule="auto"/>
      <w:ind w:left="0" w:firstLine="0"/>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614973" w14:textId="77777777" w:rsidR="00367448" w:rsidRDefault="00367448">
    <w:pPr>
      <w:spacing w:after="160" w:line="259" w:lineRule="auto"/>
      <w:ind w:left="0" w:firstLine="0"/>
      <w:jc w:val="lef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28CFA6" w14:textId="77777777" w:rsidR="00367448" w:rsidRDefault="00367448">
    <w:pPr>
      <w:spacing w:after="160" w:line="259" w:lineRule="auto"/>
      <w:ind w:left="0" w:firstLine="0"/>
      <w:jc w:val="lef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5C5B6D" w14:textId="77777777" w:rsidR="00367448" w:rsidRDefault="00367448">
    <w:pPr>
      <w:spacing w:after="160" w:line="259" w:lineRule="auto"/>
      <w:ind w:left="0" w:firstLine="0"/>
      <w:jc w:val="lef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9F255E" w14:textId="77777777" w:rsidR="00367448" w:rsidRDefault="00367448">
    <w:pPr>
      <w:spacing w:after="160" w:line="259" w:lineRule="auto"/>
      <w:ind w:left="0" w:firstLine="0"/>
      <w:jc w:val="lef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7C0C78" w14:textId="77777777" w:rsidR="00367448" w:rsidRDefault="00367448">
    <w:pPr>
      <w:spacing w:after="160" w:line="259" w:lineRule="auto"/>
      <w:ind w:left="0"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7FF5F36"/>
    <w:multiLevelType w:val="hybridMultilevel"/>
    <w:tmpl w:val="E732F800"/>
    <w:lvl w:ilvl="0" w:tplc="B2BEB894">
      <w:start w:val="26"/>
      <w:numFmt w:val="decimal"/>
      <w:lvlText w:val="%1"/>
      <w:lvlJc w:val="left"/>
      <w:pPr>
        <w:ind w:left="170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AAA657C0">
      <w:start w:val="1"/>
      <w:numFmt w:val="lowerLetter"/>
      <w:lvlText w:val="%2"/>
      <w:lvlJc w:val="left"/>
      <w:pPr>
        <w:ind w:left="218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BDF04A1E">
      <w:start w:val="1"/>
      <w:numFmt w:val="lowerRoman"/>
      <w:lvlText w:val="%3"/>
      <w:lvlJc w:val="left"/>
      <w:pPr>
        <w:ind w:left="290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E1FE7BC2">
      <w:start w:val="1"/>
      <w:numFmt w:val="decimal"/>
      <w:lvlText w:val="%4"/>
      <w:lvlJc w:val="left"/>
      <w:pPr>
        <w:ind w:left="362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40824688">
      <w:start w:val="1"/>
      <w:numFmt w:val="lowerLetter"/>
      <w:lvlText w:val="%5"/>
      <w:lvlJc w:val="left"/>
      <w:pPr>
        <w:ind w:left="434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548295A8">
      <w:start w:val="1"/>
      <w:numFmt w:val="lowerRoman"/>
      <w:lvlText w:val="%6"/>
      <w:lvlJc w:val="left"/>
      <w:pPr>
        <w:ind w:left="506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F1EC9396">
      <w:start w:val="1"/>
      <w:numFmt w:val="decimal"/>
      <w:lvlText w:val="%7"/>
      <w:lvlJc w:val="left"/>
      <w:pPr>
        <w:ind w:left="578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471A201E">
      <w:start w:val="1"/>
      <w:numFmt w:val="lowerLetter"/>
      <w:lvlText w:val="%8"/>
      <w:lvlJc w:val="left"/>
      <w:pPr>
        <w:ind w:left="650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A4CCAF4E">
      <w:start w:val="1"/>
      <w:numFmt w:val="lowerRoman"/>
      <w:lvlText w:val="%9"/>
      <w:lvlJc w:val="left"/>
      <w:pPr>
        <w:ind w:left="722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1" w15:restartNumberingAfterBreak="0">
    <w:nsid w:val="5FAF0378"/>
    <w:multiLevelType w:val="hybridMultilevel"/>
    <w:tmpl w:val="8110C126"/>
    <w:lvl w:ilvl="0" w:tplc="5F162DDE">
      <w:start w:val="4"/>
      <w:numFmt w:val="decimal"/>
      <w:lvlText w:val="%1"/>
      <w:lvlJc w:val="left"/>
      <w:pPr>
        <w:ind w:left="510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06206A08">
      <w:start w:val="1"/>
      <w:numFmt w:val="lowerLetter"/>
      <w:lvlText w:val="%2"/>
      <w:lvlJc w:val="left"/>
      <w:pPr>
        <w:ind w:left="228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3488BD28">
      <w:start w:val="1"/>
      <w:numFmt w:val="lowerRoman"/>
      <w:lvlText w:val="%3"/>
      <w:lvlJc w:val="left"/>
      <w:pPr>
        <w:ind w:left="300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5164E042">
      <w:start w:val="1"/>
      <w:numFmt w:val="decimal"/>
      <w:lvlText w:val="%4"/>
      <w:lvlJc w:val="left"/>
      <w:pPr>
        <w:ind w:left="372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F36C2EAC">
      <w:start w:val="1"/>
      <w:numFmt w:val="lowerLetter"/>
      <w:lvlText w:val="%5"/>
      <w:lvlJc w:val="left"/>
      <w:pPr>
        <w:ind w:left="444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EDCC4134">
      <w:start w:val="1"/>
      <w:numFmt w:val="lowerRoman"/>
      <w:lvlText w:val="%6"/>
      <w:lvlJc w:val="left"/>
      <w:pPr>
        <w:ind w:left="516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BB84619A">
      <w:start w:val="1"/>
      <w:numFmt w:val="decimal"/>
      <w:lvlText w:val="%7"/>
      <w:lvlJc w:val="left"/>
      <w:pPr>
        <w:ind w:left="588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A9EE967E">
      <w:start w:val="1"/>
      <w:numFmt w:val="lowerLetter"/>
      <w:lvlText w:val="%8"/>
      <w:lvlJc w:val="left"/>
      <w:pPr>
        <w:ind w:left="660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E0862EF8">
      <w:start w:val="1"/>
      <w:numFmt w:val="lowerRoman"/>
      <w:lvlText w:val="%9"/>
      <w:lvlJc w:val="left"/>
      <w:pPr>
        <w:ind w:left="732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2" w15:restartNumberingAfterBreak="0">
    <w:nsid w:val="7C8A1FF3"/>
    <w:multiLevelType w:val="hybridMultilevel"/>
    <w:tmpl w:val="C78E24F0"/>
    <w:lvl w:ilvl="0" w:tplc="653A01C8">
      <w:start w:val="13"/>
      <w:numFmt w:val="decimal"/>
      <w:lvlText w:val="%1"/>
      <w:lvlJc w:val="left"/>
      <w:pPr>
        <w:ind w:left="170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D176182C">
      <w:start w:val="1"/>
      <w:numFmt w:val="lowerLetter"/>
      <w:lvlText w:val="%2"/>
      <w:lvlJc w:val="left"/>
      <w:pPr>
        <w:ind w:left="218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BC0A638A">
      <w:start w:val="1"/>
      <w:numFmt w:val="lowerRoman"/>
      <w:lvlText w:val="%3"/>
      <w:lvlJc w:val="left"/>
      <w:pPr>
        <w:ind w:left="290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400A1156">
      <w:start w:val="1"/>
      <w:numFmt w:val="decimal"/>
      <w:lvlText w:val="%4"/>
      <w:lvlJc w:val="left"/>
      <w:pPr>
        <w:ind w:left="362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8780A5BC">
      <w:start w:val="1"/>
      <w:numFmt w:val="lowerLetter"/>
      <w:lvlText w:val="%5"/>
      <w:lvlJc w:val="left"/>
      <w:pPr>
        <w:ind w:left="434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8A90487E">
      <w:start w:val="1"/>
      <w:numFmt w:val="lowerRoman"/>
      <w:lvlText w:val="%6"/>
      <w:lvlJc w:val="left"/>
      <w:pPr>
        <w:ind w:left="506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99223204">
      <w:start w:val="1"/>
      <w:numFmt w:val="decimal"/>
      <w:lvlText w:val="%7"/>
      <w:lvlJc w:val="left"/>
      <w:pPr>
        <w:ind w:left="578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4446B9D8">
      <w:start w:val="1"/>
      <w:numFmt w:val="lowerLetter"/>
      <w:lvlText w:val="%8"/>
      <w:lvlJc w:val="left"/>
      <w:pPr>
        <w:ind w:left="650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4D484AD4">
      <w:start w:val="1"/>
      <w:numFmt w:val="lowerRoman"/>
      <w:lvlText w:val="%9"/>
      <w:lvlJc w:val="left"/>
      <w:pPr>
        <w:ind w:left="722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num w:numId="1" w16cid:durableId="1187675407">
    <w:abstractNumId w:val="1"/>
  </w:num>
  <w:num w:numId="2" w16cid:durableId="1276671820">
    <w:abstractNumId w:val="2"/>
  </w:num>
  <w:num w:numId="3" w16cid:durableId="2853054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7448"/>
    <w:rsid w:val="000B472C"/>
    <w:rsid w:val="00367448"/>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34A218"/>
  <w15:docId w15:val="{B221057F-AF13-43D0-9CA6-5A44A9A8ED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GB" w:eastAsia="zh-CN"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5" w:line="487" w:lineRule="auto"/>
      <w:ind w:left="1710" w:hanging="10"/>
      <w:jc w:val="both"/>
    </w:pPr>
    <w:rPr>
      <w:rFonts w:ascii="Times New Roman" w:eastAsia="Times New Roman" w:hAnsi="Times New Roman" w:cs="Times New Roman"/>
      <w:color w:val="000000"/>
      <w:sz w:val="20"/>
    </w:rPr>
  </w:style>
  <w:style w:type="paragraph" w:styleId="Heading1">
    <w:name w:val="heading 1"/>
    <w:next w:val="Normal"/>
    <w:link w:val="Heading1Char"/>
    <w:uiPriority w:val="9"/>
    <w:qFormat/>
    <w:pPr>
      <w:keepNext/>
      <w:keepLines/>
      <w:spacing w:after="151"/>
      <w:ind w:left="1703" w:hanging="10"/>
      <w:outlineLvl w:val="0"/>
    </w:pPr>
    <w:rPr>
      <w:rFonts w:ascii="Times New Roman" w:eastAsia="Times New Roman" w:hAnsi="Times New Roman" w:cs="Times New Roman"/>
      <w:b/>
      <w:color w:val="000000"/>
      <w:sz w:val="24"/>
    </w:rPr>
  </w:style>
  <w:style w:type="paragraph" w:styleId="Heading2">
    <w:name w:val="heading 2"/>
    <w:next w:val="Normal"/>
    <w:link w:val="Heading2Char"/>
    <w:uiPriority w:val="9"/>
    <w:unhideWhenUsed/>
    <w:qFormat/>
    <w:pPr>
      <w:keepNext/>
      <w:keepLines/>
      <w:spacing w:after="219"/>
      <w:ind w:left="10" w:hanging="10"/>
      <w:outlineLvl w:val="1"/>
    </w:pPr>
    <w:rPr>
      <w:rFonts w:ascii="Times New Roman" w:eastAsia="Times New Roman" w:hAnsi="Times New Roman" w:cs="Times New Roman"/>
      <w:b/>
      <w:color w:val="000000"/>
      <w:sz w:val="20"/>
    </w:rPr>
  </w:style>
  <w:style w:type="paragraph" w:styleId="Heading3">
    <w:name w:val="heading 3"/>
    <w:next w:val="Normal"/>
    <w:link w:val="Heading3Char"/>
    <w:uiPriority w:val="9"/>
    <w:unhideWhenUsed/>
    <w:qFormat/>
    <w:pPr>
      <w:keepNext/>
      <w:keepLines/>
      <w:spacing w:after="219"/>
      <w:ind w:left="10" w:hanging="10"/>
      <w:outlineLvl w:val="2"/>
    </w:pPr>
    <w:rPr>
      <w:rFonts w:ascii="Times New Roman" w:eastAsia="Times New Roman" w:hAnsi="Times New Roman" w:cs="Times New Roman"/>
      <w:b/>
      <w:color w:val="00000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Times New Roman" w:eastAsia="Times New Roman" w:hAnsi="Times New Roman" w:cs="Times New Roman"/>
      <w:b/>
      <w:color w:val="000000"/>
      <w:sz w:val="20"/>
    </w:rPr>
  </w:style>
  <w:style w:type="character" w:customStyle="1" w:styleId="Heading1Char">
    <w:name w:val="Heading 1 Char"/>
    <w:link w:val="Heading1"/>
    <w:rPr>
      <w:rFonts w:ascii="Times New Roman" w:eastAsia="Times New Roman" w:hAnsi="Times New Roman" w:cs="Times New Roman"/>
      <w:b/>
      <w:color w:val="000000"/>
      <w:sz w:val="24"/>
    </w:rPr>
  </w:style>
  <w:style w:type="character" w:customStyle="1" w:styleId="Heading2Char">
    <w:name w:val="Heading 2 Char"/>
    <w:link w:val="Heading2"/>
    <w:rPr>
      <w:rFonts w:ascii="Times New Roman" w:eastAsia="Times New Roman" w:hAnsi="Times New Roman" w:cs="Times New Roman"/>
      <w:b/>
      <w:color w:val="000000"/>
      <w:sz w:val="20"/>
    </w:rPr>
  </w:style>
  <w:style w:type="character" w:styleId="LineNumber">
    <w:name w:val="line number"/>
    <w:hidden/>
    <w:rPr>
      <w:rFonts w:ascii="Arial" w:eastAsia="Arial" w:hAnsi="Arial" w:cs="Arial"/>
      <w:color w:val="000000"/>
      <w:sz w:val="21"/>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header" Target="header9.xml"/><Relationship Id="rId26" Type="http://schemas.openxmlformats.org/officeDocument/2006/relationships/image" Target="media/image10.png"/><Relationship Id="rId39" Type="http://schemas.openxmlformats.org/officeDocument/2006/relationships/header" Target="header19.xml"/><Relationship Id="rId21" Type="http://schemas.openxmlformats.org/officeDocument/2006/relationships/image" Target="media/image5.png"/><Relationship Id="rId34" Type="http://schemas.openxmlformats.org/officeDocument/2006/relationships/header" Target="header14.xml"/><Relationship Id="rId42" Type="http://schemas.openxmlformats.org/officeDocument/2006/relationships/hyperlink" Target="https://www.editorialmanager.com/foodhyd/download.aspx?id=470972&amp;guid=ac67711d-13c4-44e6-81f1-66e081d7db9e&amp;scheme=1" TargetMode="External"/><Relationship Id="rId47" Type="http://schemas.openxmlformats.org/officeDocument/2006/relationships/header" Target="header23.xml"/><Relationship Id="rId50" Type="http://schemas.openxmlformats.org/officeDocument/2006/relationships/theme" Target="theme/theme1.xml"/><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header" Target="header7.xml"/><Relationship Id="rId29" Type="http://schemas.openxmlformats.org/officeDocument/2006/relationships/header" Target="header11.xml"/><Relationship Id="rId11" Type="http://schemas.openxmlformats.org/officeDocument/2006/relationships/hyperlink" Target="https://www.editorialmanager.com/foodhyd/viewRCResults.aspx?pdf=1&amp;docID=21547&amp;rev=0&amp;fileID=471086&amp;msid=f057586a-fc72-4eea-80d8-9d80b11f4831" TargetMode="External"/><Relationship Id="rId24" Type="http://schemas.openxmlformats.org/officeDocument/2006/relationships/image" Target="media/image8.png"/><Relationship Id="rId32" Type="http://schemas.openxmlformats.org/officeDocument/2006/relationships/image" Target="media/image12.png"/><Relationship Id="rId37" Type="http://schemas.openxmlformats.org/officeDocument/2006/relationships/header" Target="header17.xml"/><Relationship Id="rId40" Type="http://schemas.openxmlformats.org/officeDocument/2006/relationships/header" Target="header20.xml"/><Relationship Id="rId45" Type="http://schemas.openxmlformats.org/officeDocument/2006/relationships/hyperlink" Target="https://www.editorialmanager.com/foodhyd/download.aspx?id=470972&amp;guid=ac67711d-13c4-44e6-81f1-66e081d7db9e&amp;scheme=1" TargetMode="External"/><Relationship Id="rId5" Type="http://schemas.openxmlformats.org/officeDocument/2006/relationships/footnotes" Target="footnotes.xml"/><Relationship Id="rId15" Type="http://schemas.openxmlformats.org/officeDocument/2006/relationships/header" Target="header6.xml"/><Relationship Id="rId23" Type="http://schemas.openxmlformats.org/officeDocument/2006/relationships/image" Target="media/image7.png"/><Relationship Id="rId28" Type="http://schemas.openxmlformats.org/officeDocument/2006/relationships/header" Target="header10.xml"/><Relationship Id="rId36" Type="http://schemas.openxmlformats.org/officeDocument/2006/relationships/header" Target="header16.xml"/><Relationship Id="rId49"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image" Target="media/image3.png"/><Relationship Id="rId31" Type="http://schemas.openxmlformats.org/officeDocument/2006/relationships/hyperlink" Target="https://www.editorialmanager.com/foodhyd/download.aspx?id=470968&amp;guid=1eb424c2-3fbe-44d2-a041-e8a92a008c90&amp;scheme=1" TargetMode="External"/><Relationship Id="rId44" Type="http://schemas.openxmlformats.org/officeDocument/2006/relationships/hyperlink" Target="https://www.editorialmanager.com/foodhyd/download.aspx?id=470972&amp;guid=ac67711d-13c4-44e6-81f1-66e081d7db9e&amp;scheme=1" TargetMode="External"/><Relationship Id="rId4" Type="http://schemas.openxmlformats.org/officeDocument/2006/relationships/webSettings" Target="webSettings.xml"/><Relationship Id="rId9" Type="http://schemas.openxmlformats.org/officeDocument/2006/relationships/header" Target="header3.xml"/><Relationship Id="rId14" Type="http://schemas.openxmlformats.org/officeDocument/2006/relationships/header" Target="header5.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header" Target="header12.xml"/><Relationship Id="rId35" Type="http://schemas.openxmlformats.org/officeDocument/2006/relationships/header" Target="header15.xml"/><Relationship Id="rId43" Type="http://schemas.openxmlformats.org/officeDocument/2006/relationships/image" Target="media/image13.png"/><Relationship Id="rId48" Type="http://schemas.openxmlformats.org/officeDocument/2006/relationships/header" Target="header24.xml"/><Relationship Id="rId8" Type="http://schemas.openxmlformats.org/officeDocument/2006/relationships/header" Target="header2.xml"/><Relationship Id="rId3"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eader" Target="header8.xml"/><Relationship Id="rId25" Type="http://schemas.openxmlformats.org/officeDocument/2006/relationships/image" Target="media/image9.png"/><Relationship Id="rId33" Type="http://schemas.openxmlformats.org/officeDocument/2006/relationships/header" Target="header13.xml"/><Relationship Id="rId38" Type="http://schemas.openxmlformats.org/officeDocument/2006/relationships/header" Target="header18.xml"/><Relationship Id="rId46" Type="http://schemas.openxmlformats.org/officeDocument/2006/relationships/header" Target="header22.xml"/><Relationship Id="rId20" Type="http://schemas.openxmlformats.org/officeDocument/2006/relationships/image" Target="media/image4.png"/><Relationship Id="rId41" Type="http://schemas.openxmlformats.org/officeDocument/2006/relationships/header" Target="header21.xml"/><Relationship Id="rId1" Type="http://schemas.openxmlformats.org/officeDocument/2006/relationships/numbering" Target="numbering.xml"/><Relationship Id="rId6" Type="http://schemas.openxmlformats.org/officeDocument/2006/relationships/endnotes" Target="endnotes.xml"/></Relationships>
</file>

<file path=word/_rels/header10.xml.rels><?xml version="1.0" encoding="UTF-8" standalone="yes"?>
<Relationships xmlns="http://schemas.openxmlformats.org/package/2006/relationships"><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s>
</file>

<file path=word/_rels/header12.xml.rels><?xml version="1.0" encoding="UTF-8" standalone="yes"?>
<Relationships xmlns="http://schemas.openxmlformats.org/package/2006/relationships"><Relationship Id="rId1" Type="http://schemas.openxmlformats.org/officeDocument/2006/relationships/image" Target="media/image2.png"/></Relationships>
</file>

<file path=word/_rels/header13.xml.rels><?xml version="1.0" encoding="UTF-8" standalone="yes"?>
<Relationships xmlns="http://schemas.openxmlformats.org/package/2006/relationships"><Relationship Id="rId1" Type="http://schemas.openxmlformats.org/officeDocument/2006/relationships/image" Target="media/image2.png"/></Relationships>
</file>

<file path=word/_rels/header14.xml.rels><?xml version="1.0" encoding="UTF-8" standalone="yes"?>
<Relationships xmlns="http://schemas.openxmlformats.org/package/2006/relationships"><Relationship Id="rId1" Type="http://schemas.openxmlformats.org/officeDocument/2006/relationships/image" Target="media/image2.png"/></Relationships>
</file>

<file path=word/_rels/header15.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38</Pages>
  <Words>8770</Words>
  <Characters>49990</Characters>
  <Application>Microsoft Office Word</Application>
  <DocSecurity>0</DocSecurity>
  <Lines>416</Lines>
  <Paragraphs>117</Paragraphs>
  <ScaleCrop>false</ScaleCrop>
  <Company/>
  <LinksUpToDate>false</LinksUpToDate>
  <CharactersWithSpaces>58643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64</dc:creator>
  <cp:keywords/>
  <cp:lastModifiedBy>Megan Povey</cp:lastModifiedBy>
  <cp:revision>2</cp:revision>
  <dcterms:created xsi:type="dcterms:W3CDTF">2023-08-26T12:49:00Z</dcterms:created>
  <dcterms:modified xsi:type="dcterms:W3CDTF">2023-08-26T12:49:00Z</dcterms:modified>
</cp:coreProperties>
</file>