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A82CB" w14:textId="1BB46489" w:rsidR="00DD170F" w:rsidRPr="0083145E" w:rsidRDefault="79F45830" w:rsidP="004F4229">
      <w:pPr>
        <w:pStyle w:val="Title"/>
        <w:spacing w:line="480" w:lineRule="auto"/>
      </w:pPr>
      <w:r>
        <w:t xml:space="preserve">A quantitative study of modern pollen-vegetation relationships in southern Brazil’s </w:t>
      </w:r>
      <w:r w:rsidRPr="79F45830">
        <w:rPr>
          <w:i/>
          <w:iCs/>
        </w:rPr>
        <w:t>Araucaria</w:t>
      </w:r>
      <w:r>
        <w:t xml:space="preserve"> forest.</w:t>
      </w:r>
    </w:p>
    <w:p w14:paraId="023B0AB9" w14:textId="42488507" w:rsidR="79F45830" w:rsidRDefault="79F45830" w:rsidP="79F45830">
      <w:pPr>
        <w:spacing w:after="120" w:line="480" w:lineRule="auto"/>
        <w:rPr>
          <w:rFonts w:ascii="Calibri" w:eastAsia="Calibri" w:hAnsi="Calibri" w:cs="Calibri"/>
          <w:sz w:val="19"/>
          <w:szCs w:val="19"/>
        </w:rPr>
      </w:pPr>
      <w:r w:rsidRPr="79F45830">
        <w:rPr>
          <w:rFonts w:ascii="Calibri" w:eastAsia="Calibri" w:hAnsi="Calibri" w:cs="Calibri"/>
          <w:b/>
          <w:bCs/>
          <w:sz w:val="24"/>
          <w:szCs w:val="24"/>
          <w:lang w:val="pt-BR"/>
        </w:rPr>
        <w:t>Macarena L. Cárdenas</w:t>
      </w:r>
      <w:r w:rsidRPr="79F45830">
        <w:rPr>
          <w:rFonts w:ascii="Calibri" w:eastAsia="Calibri" w:hAnsi="Calibri" w:cs="Calibri"/>
          <w:b/>
          <w:bCs/>
          <w:sz w:val="24"/>
          <w:szCs w:val="24"/>
          <w:vertAlign w:val="superscript"/>
          <w:lang w:val="pt-BR"/>
        </w:rPr>
        <w:t>a,b</w:t>
      </w:r>
      <w:r w:rsidRPr="79F45830">
        <w:rPr>
          <w:rFonts w:ascii="Calibri" w:eastAsia="Calibri" w:hAnsi="Calibri" w:cs="Calibri"/>
          <w:b/>
          <w:bCs/>
          <w:sz w:val="24"/>
          <w:szCs w:val="24"/>
          <w:lang w:val="pt-BR"/>
        </w:rPr>
        <w:t>, Oliver J. Wilson</w:t>
      </w:r>
      <w:r w:rsidRPr="79F45830">
        <w:rPr>
          <w:rFonts w:ascii="Calibri" w:eastAsia="Calibri" w:hAnsi="Calibri" w:cs="Calibri"/>
          <w:b/>
          <w:bCs/>
          <w:sz w:val="24"/>
          <w:szCs w:val="24"/>
          <w:vertAlign w:val="superscript"/>
          <w:lang w:val="pt-BR"/>
        </w:rPr>
        <w:t>a</w:t>
      </w:r>
      <w:r w:rsidRPr="79F45830">
        <w:rPr>
          <w:rFonts w:ascii="Calibri" w:eastAsia="Calibri" w:hAnsi="Calibri" w:cs="Calibri"/>
          <w:b/>
          <w:bCs/>
          <w:sz w:val="24"/>
          <w:szCs w:val="24"/>
          <w:lang w:val="pt-BR"/>
        </w:rPr>
        <w:t>*, Lauri A. Schorn</w:t>
      </w:r>
      <w:r w:rsidRPr="79F45830">
        <w:rPr>
          <w:rFonts w:ascii="Calibri" w:eastAsia="Calibri" w:hAnsi="Calibri" w:cs="Calibri"/>
          <w:b/>
          <w:bCs/>
          <w:sz w:val="24"/>
          <w:szCs w:val="24"/>
          <w:vertAlign w:val="superscript"/>
          <w:lang w:val="pt-BR"/>
        </w:rPr>
        <w:t>c</w:t>
      </w:r>
      <w:r w:rsidRPr="79F45830">
        <w:rPr>
          <w:rFonts w:ascii="Calibri" w:eastAsia="Calibri" w:hAnsi="Calibri" w:cs="Calibri"/>
          <w:b/>
          <w:bCs/>
          <w:sz w:val="24"/>
          <w:szCs w:val="24"/>
          <w:lang w:val="pt-BR"/>
        </w:rPr>
        <w:t>, Francis E. Mayle</w:t>
      </w:r>
      <w:r w:rsidRPr="79F45830">
        <w:rPr>
          <w:rFonts w:ascii="Calibri" w:eastAsia="Calibri" w:hAnsi="Calibri" w:cs="Calibri"/>
          <w:b/>
          <w:bCs/>
          <w:sz w:val="24"/>
          <w:szCs w:val="24"/>
          <w:vertAlign w:val="superscript"/>
          <w:lang w:val="pt-BR"/>
        </w:rPr>
        <w:t>a</w:t>
      </w:r>
      <w:r w:rsidRPr="79F45830">
        <w:rPr>
          <w:rFonts w:ascii="Calibri" w:eastAsia="Calibri" w:hAnsi="Calibri" w:cs="Calibri"/>
          <w:b/>
          <w:bCs/>
          <w:sz w:val="24"/>
          <w:szCs w:val="24"/>
          <w:lang w:val="pt-BR"/>
        </w:rPr>
        <w:t>, José Iriarte</w:t>
      </w:r>
      <w:r w:rsidRPr="79F45830">
        <w:rPr>
          <w:rFonts w:ascii="Calibri" w:eastAsia="Calibri" w:hAnsi="Calibri" w:cs="Calibri"/>
          <w:b/>
          <w:bCs/>
          <w:sz w:val="24"/>
          <w:szCs w:val="24"/>
          <w:vertAlign w:val="superscript"/>
          <w:lang w:val="pt-BR"/>
        </w:rPr>
        <w:t>d</w:t>
      </w:r>
    </w:p>
    <w:p w14:paraId="7C1A508F" w14:textId="5E610CC2" w:rsidR="79F45830" w:rsidRDefault="79F45830" w:rsidP="79F45830">
      <w:pPr>
        <w:spacing w:after="120" w:line="480" w:lineRule="auto"/>
        <w:rPr>
          <w:rFonts w:ascii="Calibri" w:eastAsia="Calibri" w:hAnsi="Calibri" w:cs="Calibri"/>
          <w:sz w:val="24"/>
          <w:szCs w:val="24"/>
        </w:rPr>
      </w:pPr>
      <w:r w:rsidRPr="79F45830">
        <w:rPr>
          <w:rFonts w:ascii="Calibri" w:eastAsia="Calibri" w:hAnsi="Calibri" w:cs="Calibri"/>
          <w:sz w:val="24"/>
          <w:szCs w:val="24"/>
          <w:vertAlign w:val="superscript"/>
        </w:rPr>
        <w:t>a</w:t>
      </w:r>
      <w:r w:rsidRPr="79F45830">
        <w:rPr>
          <w:rFonts w:ascii="Calibri" w:eastAsia="Calibri" w:hAnsi="Calibri" w:cs="Calibri"/>
          <w:sz w:val="24"/>
          <w:szCs w:val="24"/>
        </w:rPr>
        <w:t xml:space="preserve"> School of Archaeology, Geography and Environmental Science (SAGES), University of Reading, Whiteknights, P.O. Box 227, Reading RG6 6DW, Berkshire, United Kingdom</w:t>
      </w:r>
    </w:p>
    <w:p w14:paraId="09067B76" w14:textId="353C5F5F" w:rsidR="79F45830" w:rsidRDefault="79F45830" w:rsidP="79F45830">
      <w:pPr>
        <w:spacing w:after="120" w:line="480" w:lineRule="auto"/>
        <w:rPr>
          <w:rFonts w:ascii="Calibri" w:eastAsia="Calibri" w:hAnsi="Calibri" w:cs="Calibri"/>
          <w:sz w:val="24"/>
          <w:szCs w:val="24"/>
        </w:rPr>
      </w:pPr>
      <w:r w:rsidRPr="79F45830">
        <w:rPr>
          <w:rFonts w:ascii="Calibri" w:eastAsia="Calibri" w:hAnsi="Calibri" w:cs="Calibri"/>
          <w:sz w:val="24"/>
          <w:szCs w:val="24"/>
          <w:vertAlign w:val="superscript"/>
        </w:rPr>
        <w:t xml:space="preserve">b </w:t>
      </w:r>
      <w:r w:rsidRPr="79F45830">
        <w:rPr>
          <w:rFonts w:ascii="Calibri" w:eastAsia="Calibri" w:hAnsi="Calibri" w:cs="Calibri"/>
          <w:sz w:val="24"/>
          <w:szCs w:val="24"/>
        </w:rPr>
        <w:t>Present address: Earthwatch Institute, Mayfield house, 256 Banbury Road, Oxford, OX2 7DE, United Kingdom</w:t>
      </w:r>
    </w:p>
    <w:p w14:paraId="346994AB" w14:textId="362B6552" w:rsidR="79F45830" w:rsidRDefault="79F45830" w:rsidP="79F45830">
      <w:pPr>
        <w:spacing w:after="120" w:line="480" w:lineRule="auto"/>
        <w:rPr>
          <w:rFonts w:ascii="Calibri" w:eastAsia="Calibri" w:hAnsi="Calibri" w:cs="Calibri"/>
          <w:sz w:val="24"/>
          <w:szCs w:val="24"/>
        </w:rPr>
      </w:pPr>
      <w:r w:rsidRPr="79F45830">
        <w:rPr>
          <w:rFonts w:ascii="Calibri" w:eastAsia="Calibri" w:hAnsi="Calibri" w:cs="Calibri"/>
          <w:sz w:val="24"/>
          <w:szCs w:val="24"/>
          <w:vertAlign w:val="superscript"/>
          <w:lang w:val="pt-BR"/>
        </w:rPr>
        <w:t xml:space="preserve">c </w:t>
      </w:r>
      <w:r w:rsidRPr="79F45830">
        <w:rPr>
          <w:rFonts w:ascii="Calibri" w:eastAsia="Calibri" w:hAnsi="Calibri" w:cs="Calibri"/>
          <w:sz w:val="24"/>
          <w:szCs w:val="24"/>
        </w:rPr>
        <w:t>Departamento e Engenharia Florestal, Universidade Regional de Blumenau, Brazil, 47-3221-6043, 47-99973-4820</w:t>
      </w:r>
    </w:p>
    <w:p w14:paraId="65CC67C3" w14:textId="09BC2B81" w:rsidR="79F45830" w:rsidRDefault="79F45830" w:rsidP="79F45830">
      <w:r w:rsidRPr="79F45830">
        <w:rPr>
          <w:rFonts w:ascii="Calibri" w:eastAsia="Calibri" w:hAnsi="Calibri" w:cs="Calibri"/>
          <w:sz w:val="24"/>
          <w:szCs w:val="24"/>
          <w:vertAlign w:val="superscript"/>
        </w:rPr>
        <w:t xml:space="preserve">d </w:t>
      </w:r>
      <w:r w:rsidRPr="79F45830">
        <w:rPr>
          <w:rFonts w:ascii="Calibri" w:eastAsia="Calibri" w:hAnsi="Calibri" w:cs="Calibri"/>
          <w:sz w:val="24"/>
          <w:szCs w:val="24"/>
        </w:rPr>
        <w:t>Department of Archaeology, University of Exeter, North Park Rd, Exeter, EX4 4QE, United Kingdom</w:t>
      </w:r>
    </w:p>
    <w:p w14:paraId="58241431" w14:textId="4DA44FC3" w:rsidR="79F45830" w:rsidRDefault="79F45830" w:rsidP="79F45830">
      <w:pPr>
        <w:spacing w:line="480" w:lineRule="auto"/>
        <w:rPr>
          <w:rFonts w:ascii="Calibri" w:eastAsia="Calibri" w:hAnsi="Calibri" w:cs="Calibri"/>
          <w:sz w:val="24"/>
          <w:szCs w:val="24"/>
        </w:rPr>
      </w:pPr>
      <w:r w:rsidRPr="79F45830">
        <w:rPr>
          <w:rFonts w:ascii="Calibri" w:eastAsia="Calibri" w:hAnsi="Calibri" w:cs="Calibri"/>
          <w:sz w:val="24"/>
          <w:szCs w:val="24"/>
        </w:rPr>
        <w:t>* Corresponding author: o.j.wilson@reading.ac.uk</w:t>
      </w:r>
    </w:p>
    <w:p w14:paraId="0F08E743" w14:textId="1FD2BD61" w:rsidR="00E336A0" w:rsidRDefault="00E336A0" w:rsidP="004F4229">
      <w:pPr>
        <w:pStyle w:val="Heading1"/>
        <w:spacing w:line="480" w:lineRule="auto"/>
        <w:rPr>
          <w:lang w:eastAsia="en-GB"/>
        </w:rPr>
      </w:pPr>
      <w:r>
        <w:rPr>
          <w:lang w:eastAsia="en-GB"/>
        </w:rPr>
        <w:t>Abstract</w:t>
      </w:r>
    </w:p>
    <w:p w14:paraId="0C4A287F" w14:textId="4DC69DD1" w:rsidR="00E336A0" w:rsidRDefault="00E336A0" w:rsidP="004F4229">
      <w:pPr>
        <w:pStyle w:val="Mynormal"/>
      </w:pPr>
      <w:r>
        <w:t xml:space="preserve">Southern Brazil’s highland </w:t>
      </w:r>
      <w:r w:rsidRPr="00F908CF">
        <w:rPr>
          <w:i/>
        </w:rPr>
        <w:t>Araucaria</w:t>
      </w:r>
      <w:r w:rsidRPr="005D20DE">
        <w:t xml:space="preserve"> </w:t>
      </w:r>
      <w:r>
        <w:t>forest is ancient, diverse and unique</w:t>
      </w:r>
      <w:r w:rsidR="00754F0E">
        <w:t xml:space="preserve">, but its </w:t>
      </w:r>
      <w:r>
        <w:t>future is under significant threat from 20</w:t>
      </w:r>
      <w:r w:rsidRPr="00754F0E">
        <w:rPr>
          <w:vertAlign w:val="superscript"/>
        </w:rPr>
        <w:t>th</w:t>
      </w:r>
      <w:r>
        <w:t xml:space="preserve"> Century </w:t>
      </w:r>
      <w:r w:rsidR="00FA3136">
        <w:t>habitat loss</w:t>
      </w:r>
      <w:r>
        <w:t xml:space="preserve"> and 21</w:t>
      </w:r>
      <w:r w:rsidRPr="00754F0E">
        <w:rPr>
          <w:vertAlign w:val="superscript"/>
        </w:rPr>
        <w:t>st</w:t>
      </w:r>
      <w:r>
        <w:t xml:space="preserve"> Century climate change. Palaeoecological studies have revealed that it expanded rapidly over highland grasslands around 1,000 years ago, </w:t>
      </w:r>
      <w:r w:rsidR="0057411F">
        <w:t>but whether this expansion was caused by human land use or</w:t>
      </w:r>
      <w:r>
        <w:t xml:space="preserve"> climat</w:t>
      </w:r>
      <w:r w:rsidR="0057411F">
        <w:t>e change</w:t>
      </w:r>
      <w:r>
        <w:t xml:space="preserve"> </w:t>
      </w:r>
      <w:r w:rsidR="0057411F">
        <w:t>has been a topic of considerable debate</w:t>
      </w:r>
      <w:r>
        <w:t xml:space="preserve">. Discriminating between these </w:t>
      </w:r>
      <w:r w:rsidR="0057411F">
        <w:t xml:space="preserve">potential drivers </w:t>
      </w:r>
      <w:r>
        <w:t xml:space="preserve">has so far not been possible </w:t>
      </w:r>
      <w:r w:rsidR="00FA3136">
        <w:lastRenderedPageBreak/>
        <w:t xml:space="preserve">with fossil pollen, however, as the palynological representation of floristic and structural differences in </w:t>
      </w:r>
      <w:r w:rsidR="00FA3136" w:rsidRPr="00F908CF">
        <w:rPr>
          <w:i/>
        </w:rPr>
        <w:t>Araucaria</w:t>
      </w:r>
      <w:r w:rsidR="00FA3136">
        <w:t xml:space="preserve"> forest</w:t>
      </w:r>
      <w:r w:rsidR="0057411F">
        <w:t xml:space="preserve"> remains</w:t>
      </w:r>
      <w:r w:rsidR="00FA3136">
        <w:t xml:space="preserve"> poorly understood. Here</w:t>
      </w:r>
      <w:r w:rsidR="0057411F">
        <w:t>,</w:t>
      </w:r>
      <w:r w:rsidR="00FA3136">
        <w:t xml:space="preserve"> we address this shortcoming using </w:t>
      </w:r>
      <w:r w:rsidR="00807393">
        <w:t xml:space="preserve">modern pollen rain from moss polsters and </w:t>
      </w:r>
      <w:r w:rsidR="00FA3136">
        <w:t xml:space="preserve">vegetation surveys in forest areas with minimal </w:t>
      </w:r>
      <w:r w:rsidR="00135B68">
        <w:t xml:space="preserve">current </w:t>
      </w:r>
      <w:r w:rsidR="00FA3136">
        <w:t>human disturbance. We show that forest plots with evident structural differences lack consistent differences in their floristic composition and c</w:t>
      </w:r>
      <w:r w:rsidR="0057411F">
        <w:t>an</w:t>
      </w:r>
      <w:r w:rsidR="00FA3136">
        <w:t xml:space="preserve">not be reliably distinguished </w:t>
      </w:r>
      <w:r w:rsidR="0057411F">
        <w:t>by</w:t>
      </w:r>
      <w:r w:rsidR="00FA3136">
        <w:t xml:space="preserve"> their pollen spectra. We quantify pollen-vegetation relationships for 27 key</w:t>
      </w:r>
      <w:r w:rsidR="00ED5BA4">
        <w:t xml:space="preserve"> tree</w:t>
      </w:r>
      <w:r w:rsidR="00FA3136">
        <w:t xml:space="preserve"> genera of </w:t>
      </w:r>
      <w:r w:rsidR="00FA3136" w:rsidRPr="00F908CF">
        <w:rPr>
          <w:i/>
        </w:rPr>
        <w:t>Araucaria</w:t>
      </w:r>
      <w:r w:rsidR="00FA3136">
        <w:t xml:space="preserve"> forest</w:t>
      </w:r>
      <w:r w:rsidR="0077381D">
        <w:t>,</w:t>
      </w:r>
      <w:r w:rsidR="00FA3136">
        <w:t xml:space="preserve"> </w:t>
      </w:r>
      <w:r w:rsidR="0077381D">
        <w:t xml:space="preserve">showing that, despite significant intra-taxon variability, 22 of these are under-represented </w:t>
      </w:r>
      <w:r w:rsidR="00807393">
        <w:t xml:space="preserve">or absent </w:t>
      </w:r>
      <w:r w:rsidR="0077381D">
        <w:t xml:space="preserve">in the pollen record. These </w:t>
      </w:r>
      <w:r w:rsidR="00ED5BA4">
        <w:t xml:space="preserve">palynologically </w:t>
      </w:r>
      <w:r w:rsidR="0077381D">
        <w:t>under-represented and silent taxa include many of the forest’s most ecologically important tree species</w:t>
      </w:r>
      <w:r w:rsidR="007D5F1E">
        <w:t xml:space="preserve">, with only </w:t>
      </w:r>
      <w:r w:rsidR="007D5F1E" w:rsidRPr="0083145E">
        <w:rPr>
          <w:i/>
        </w:rPr>
        <w:t>Araucaria</w:t>
      </w:r>
      <w:r w:rsidR="007D5F1E">
        <w:rPr>
          <w:i/>
        </w:rPr>
        <w:t xml:space="preserve">, </w:t>
      </w:r>
      <w:r w:rsidR="007D5F1E" w:rsidRPr="0083145E">
        <w:rPr>
          <w:i/>
        </w:rPr>
        <w:t>Lamanonia</w:t>
      </w:r>
      <w:r w:rsidR="007D5F1E" w:rsidRPr="0083145E">
        <w:t xml:space="preserve">, </w:t>
      </w:r>
      <w:r w:rsidR="007D5F1E" w:rsidRPr="0083145E">
        <w:rPr>
          <w:i/>
        </w:rPr>
        <w:t>Podocarpus</w:t>
      </w:r>
      <w:r w:rsidR="007D5F1E" w:rsidRPr="0083145E">
        <w:t xml:space="preserve">, </w:t>
      </w:r>
      <w:r w:rsidR="007D5F1E" w:rsidRPr="0083145E">
        <w:rPr>
          <w:i/>
        </w:rPr>
        <w:t>Myrsine</w:t>
      </w:r>
      <w:r w:rsidR="007D5F1E" w:rsidRPr="00301AE1">
        <w:t xml:space="preserve"> and </w:t>
      </w:r>
      <w:r w:rsidR="007D5F1E">
        <w:rPr>
          <w:i/>
        </w:rPr>
        <w:t>Clethra</w:t>
      </w:r>
      <w:r w:rsidR="006B6106" w:rsidRPr="00301AE1">
        <w:t xml:space="preserve"> </w:t>
      </w:r>
      <w:r w:rsidR="006B6106">
        <w:t xml:space="preserve">being </w:t>
      </w:r>
      <w:r w:rsidR="006B6106" w:rsidRPr="00301AE1">
        <w:t>more abundant in the pollen rain than vegetation</w:t>
      </w:r>
      <w:r w:rsidR="0077381D">
        <w:t xml:space="preserve">. Our results suggest that subtle structural changes in </w:t>
      </w:r>
      <w:r w:rsidR="0077381D" w:rsidRPr="00F908CF">
        <w:rPr>
          <w:i/>
        </w:rPr>
        <w:t>Araucaria</w:t>
      </w:r>
      <w:r w:rsidR="0077381D">
        <w:t xml:space="preserve"> forest, as well as moderate to significant floristic changes, may not be clearly </w:t>
      </w:r>
      <w:r w:rsidR="00754F0E">
        <w:t xml:space="preserve">distinguished </w:t>
      </w:r>
      <w:r w:rsidR="0077381D">
        <w:t>in fossil pollen records</w:t>
      </w:r>
      <w:r w:rsidR="00754F0E">
        <w:t xml:space="preserve"> – </w:t>
      </w:r>
      <w:r w:rsidR="0077381D">
        <w:t xml:space="preserve">an important </w:t>
      </w:r>
      <w:r w:rsidR="00ED5BA4">
        <w:t>limitation</w:t>
      </w:r>
      <w:r w:rsidR="0077381D">
        <w:t xml:space="preserve"> when </w:t>
      </w:r>
      <w:r w:rsidR="00754F0E">
        <w:t xml:space="preserve">attempting to identify past human and climatic impacts on </w:t>
      </w:r>
      <w:r w:rsidR="00754F0E" w:rsidRPr="00301AE1">
        <w:rPr>
          <w:i/>
        </w:rPr>
        <w:t>Araucaria</w:t>
      </w:r>
      <w:r w:rsidR="00754F0E">
        <w:t xml:space="preserve"> forest</w:t>
      </w:r>
      <w:r w:rsidR="00ED5BA4">
        <w:t xml:space="preserve"> via pollen analysis</w:t>
      </w:r>
      <w:r w:rsidR="00754F0E">
        <w:t>.</w:t>
      </w:r>
    </w:p>
    <w:p w14:paraId="793A18FB" w14:textId="0FBD5BC7" w:rsidR="00135B68" w:rsidRPr="00135B68" w:rsidRDefault="00135B68" w:rsidP="00135B68">
      <w:pPr>
        <w:pStyle w:val="Mynormal"/>
      </w:pPr>
      <w:r>
        <w:t xml:space="preserve">Key words: </w:t>
      </w:r>
      <w:r w:rsidRPr="00135B68">
        <w:rPr>
          <w:i/>
        </w:rPr>
        <w:t>Araucaria</w:t>
      </w:r>
      <w:r>
        <w:t xml:space="preserve"> forest, pollen, moss pol</w:t>
      </w:r>
      <w:r w:rsidRPr="00135B68">
        <w:t>sters, modern analogues, human impact</w:t>
      </w:r>
    </w:p>
    <w:p w14:paraId="72D56B14" w14:textId="639CAA9D" w:rsidR="00DD170F" w:rsidRPr="0083145E" w:rsidRDefault="00DD170F" w:rsidP="004F4229">
      <w:pPr>
        <w:pStyle w:val="Heading1"/>
        <w:spacing w:line="480" w:lineRule="auto"/>
        <w:rPr>
          <w:lang w:eastAsia="en-GB"/>
        </w:rPr>
      </w:pPr>
      <w:r w:rsidRPr="0083145E">
        <w:rPr>
          <w:lang w:eastAsia="en-GB"/>
        </w:rPr>
        <w:t>1. Introduction</w:t>
      </w:r>
    </w:p>
    <w:p w14:paraId="0079DF26" w14:textId="303FB25B" w:rsidR="001F665B" w:rsidRPr="0083145E" w:rsidRDefault="001F665B" w:rsidP="004F4229">
      <w:pPr>
        <w:pStyle w:val="Heading2"/>
        <w:spacing w:line="480" w:lineRule="auto"/>
        <w:rPr>
          <w:lang w:eastAsia="en-GB"/>
        </w:rPr>
      </w:pPr>
      <w:r w:rsidRPr="0083145E">
        <w:rPr>
          <w:lang w:eastAsia="en-GB"/>
        </w:rPr>
        <w:t xml:space="preserve">1.1. </w:t>
      </w:r>
      <w:r w:rsidR="00CD6B31" w:rsidRPr="0083145E">
        <w:rPr>
          <w:lang w:eastAsia="en-GB"/>
        </w:rPr>
        <w:t>Rationale</w:t>
      </w:r>
    </w:p>
    <w:p w14:paraId="5E72521A" w14:textId="320FFED0" w:rsidR="00826EE5" w:rsidRPr="004C4948" w:rsidRDefault="00DD170F" w:rsidP="004F4229">
      <w:pPr>
        <w:pStyle w:val="Mynormal"/>
        <w:rPr>
          <w:lang w:val="da-DK"/>
        </w:rPr>
      </w:pPr>
      <w:r w:rsidRPr="0083145E">
        <w:t xml:space="preserve">Disentangling the past effects of humans and climate on ecosystems requires a rigorous understanding of the vegetation changes that occurred, and how these are reflected in </w:t>
      </w:r>
      <w:r w:rsidR="00CD6B31" w:rsidRPr="0083145E">
        <w:t>palaeoecological proxies</w:t>
      </w:r>
      <w:r w:rsidRPr="0083145E">
        <w:t xml:space="preserve">. </w:t>
      </w:r>
      <w:r w:rsidR="0002396A" w:rsidRPr="0083145E">
        <w:t xml:space="preserve">This is an important undertaking in Brazil’s </w:t>
      </w:r>
      <w:r w:rsidR="0002396A" w:rsidRPr="00F908CF">
        <w:rPr>
          <w:i/>
        </w:rPr>
        <w:t>Araucaria</w:t>
      </w:r>
      <w:r w:rsidR="0002396A" w:rsidRPr="005D20DE">
        <w:t xml:space="preserve"> </w:t>
      </w:r>
      <w:r w:rsidR="0002396A" w:rsidRPr="0083145E">
        <w:t xml:space="preserve">forest </w:t>
      </w:r>
      <w:r w:rsidR="00CA53FF">
        <w:t>(</w:t>
      </w:r>
      <w:r w:rsidR="0002396A" w:rsidRPr="0083145E">
        <w:t>also known as Mixed Ombrophilous Forest)</w:t>
      </w:r>
      <w:r w:rsidR="00CD6B31" w:rsidRPr="0083145E">
        <w:t>,</w:t>
      </w:r>
      <w:r w:rsidR="000B2F6A" w:rsidRPr="0083145E">
        <w:t xml:space="preserve"> an ancient, </w:t>
      </w:r>
      <w:r w:rsidR="00616139">
        <w:t xml:space="preserve">highly </w:t>
      </w:r>
      <w:r w:rsidR="000B2F6A" w:rsidRPr="0083145E">
        <w:t xml:space="preserve">diverse and threatened ecosystem </w:t>
      </w:r>
      <w:r w:rsidR="008C431F" w:rsidRPr="0083145E">
        <w:t>in the country’s southern highlands</w:t>
      </w:r>
      <w:r w:rsidR="0002396A" w:rsidRPr="0083145E">
        <w:t xml:space="preserve">. Studies have charted changes in </w:t>
      </w:r>
      <w:r w:rsidR="00FA1543">
        <w:t xml:space="preserve">the distribution of </w:t>
      </w:r>
      <w:r w:rsidR="0002396A" w:rsidRPr="00F908CF">
        <w:rPr>
          <w:i/>
        </w:rPr>
        <w:t>Araucaria</w:t>
      </w:r>
      <w:r w:rsidR="0002396A" w:rsidRPr="0083145E">
        <w:t xml:space="preserve"> forest</w:t>
      </w:r>
      <w:r w:rsidR="00F045F1" w:rsidRPr="0083145E">
        <w:t xml:space="preserve"> </w:t>
      </w:r>
      <w:r w:rsidR="00FA1543">
        <w:t>in relation to</w:t>
      </w:r>
      <w:r w:rsidR="00F045F1" w:rsidRPr="0083145E">
        <w:t xml:space="preserve"> climatic variation</w:t>
      </w:r>
      <w:r w:rsidR="00FA1543">
        <w:t>s</w:t>
      </w:r>
      <w:r w:rsidR="00F045F1" w:rsidRPr="0083145E">
        <w:t xml:space="preserve"> since the late Pleistocene</w:t>
      </w:r>
      <w:r w:rsidR="0002396A" w:rsidRPr="0083145E">
        <w:t xml:space="preserve"> </w:t>
      </w:r>
      <w:r w:rsidR="0002396A" w:rsidRPr="0083145E">
        <w:fldChar w:fldCharType="begin" w:fldLock="1"/>
      </w:r>
      <w:r w:rsidR="005A4773">
        <w:instrText>ADDIN CSL_CITATION {"citationItems":[{"id":"ITEM-1","itemData":{"DOI":"10.1016/j.palaeo.2008.10.008","ISSN":"00310182","abstract":"a b s t r a c t The long-term Colônia record is located in the Atlantic rainforest domain in Brazil (23°52′S 46°42′20″W 900 m a.s.l.). The 780 cm long core CO3 provides a coverage of a complete interglacial/glacial cycle for the first time in a neotropical rainforest. Information on the behavior of tropical climates compared to global changes in temperatures indicates specific climate responses in terms of precipitation at these latitudes. Winter extratropical circulation was very active during the last interglacial and most of the glacial. Floristic composition of the rainforest changed several times in each phase of expansion, twice during the interglacial, and three times during glacial episodes. Araucaria was well developed in the area of São Paulo until the beginning of the first dry phase of the glacial at ca. 50,000 yr B.P. Changes in insolation controlled the expansion of the rainforest and the tropical hydrological cycle as evidenced by a strong precession signal. However precession had no impact on regional climatic features. The two interglacials (MIS 5e and Holocene) showed completely different patterns attesting to the continuous evolution of the forest. The biodiversity index (Shannon–Wiener Index) remained high during both the interglacial and glacial attesting to the permanence of small patches of rainforest refugia during drier phases. The lowest Shannon-Wiener Indexes were recorded between 23,000 and 12,000 yr B.P. and 40,000 and 30,000 yr B.P. and characterize two marked phases of stress for the rainforest.","author":[{"dropping-particle":"","family":"Ledru","given":"Marie-Pierre","non-dropping-particle":"","parse-names":false,"suffix":""},{"dropping-particle":"","family":"Mourguiart","given":"Philippe","non-dropping-particle":"","parse-names":false,"suffix":""},{"dropping-particle":"","family":"Riccomini","given":"Claudio","non-dropping-particle":"","parse-names":false,"suffix":""}],"container-title":"Palaeogeography, Palaeoclimatology, Palaeoecology","id":"ITEM-1","issue":"1-2","issued":{"date-parts":[["2009","1"]]},"note":"Huge and slightly exhausting paper on 133,000 years of the rainforest around Sao Paulo. Good bits on interpreting the interglacial/last glacial periods etc, and a lot of drawing climate inferences from the pollen. These don't seem to be so closely matched to the speleothem records in the way it's written, but that might just be my misperception. Aa was around from the begining of the core until about 50ka, with a brief return around 17ka, but it didn't expand again in the Holocene","page":"140-152","title":"Related changes in biodiversity, insolation and climate in the Atlantic rainforest since the last interglacial","type":"article-journal","volume":"271"},"uris":["http://www.mendeley.com/documents/?uuid=59005399-3269-32ae-8ae9-432e9407ec82"]},{"id":"ITEM-2","itemData":{"DOI":"10.1016/S0031-0182(03)00687-4","ISBN":"0031-0182","ISSN":"00310182","abstract":"Late Quaternary vegetation, fire and climate dynamics have been studied based on high-resolution dated pollen and charcoal samples and multivariate data analysis. The samples were taken from a 212-cm-long sediment core of a bog in the Cambará do Sul region on the highlands of northeastern Rio Grande do Sul State, Brazil. The records, including seven AMS radiocarbon dates, span 42 840 14C years, for the first time extending the reconstruction of past environmental changes on the southern Brazilian highlands back to the Last Glacial Maximum (LGM) and pre-LGM times. The last 1100 years provide a decadal resolution. Initially the site was a permanent shallow lake which became seasonally dry after 26 900 14C yr BP. Seasonal climate with a long annual dry period prevailed until the late Holocene. The climate was somewhat wetter from 42 840 to 41 470 14C yr BP and from 41 470 to 26 900 14C yr BP than during the LGM and the late-Glacial period. Natural fires were rare, but became very frequent after 7400 cal BP, suggesting human occupation of the southernmost Brazilian highlands since that time. The records suggest that a species-rich Campos (grassland) vegetation existed in the area under a relatively dry and cold climate during glacial times under possibly as low as -10°C. The record also suggests that small populations of Araucaria were probably only present in refugia of deep and protected valleys and/or on wetter coastal slopes. Campos vegetation existed through the early and mid-Holocene until 4320 cal yr BP, after which Araucaria forest expanded into the network of gallery forests along the streams. By 1100 cal yr BP the Araucaria forest replaced the Campos vegetation reflecting the onset of the wettest period with no marked annual dry season. The marked expansion of the Araucaria forest coincided with the reduction in fire. Between AD 1520 and 1770 Weinmannia became a common taxa in the Araucaria forest, suggesting a shift to warmer climatic conditions on the highlands. This interval was synchronous with a cool phase within the Little Ice Age known from North Atlantic land records. After about AD 1780 human activities changed the original forest composition, first by introducing cattle into the forest and than by selective logging of Araucaria trees. Multivariate analysis of the pollen data shows compositional changes that follow a trajectory alternating undirectional, random phases and phases with directional, sometimes fast transitions. The results al…","author":[{"dropping-particle":"","family":"Behling","given":"Hermann","non-dropping-particle":"","parse-names":false,"suffix":""},{"dropping-particle":"","family":"Pillar","given":"Valerio DePatta","non-dropping-particle":"","parse-names":false,"suffix":""},{"dropping-particle":"","family":"Orlóci","given":"László","non-dropping-particle":"","parse-names":false,"suffix":""},{"dropping-particle":"","family":"Bauermann","given":"Soraia Girardi","non-dropping-particle":"","parse-names":false,"suffix":""}],"container-title":"Palaeogeography, Palaeoclimatology, Palaeoecology","id":"ITEM-2","issue":"3-4","issued":{"date-parts":[["2004"]]},"note":"Detailed examination of Cambara do Sul core in NE Rio Grande do Sul, 42,658 C14 yr BP to present. Shows 100 year Campos-Araucaria switch in about 1100 cal yr BP.\n\nNEEDS SOME REINTERPRETING WITH LEONHARDT &amp;amp; LORSCHEITTER 2010. SEE NOTE\n\n(All dates C14 yr BP)\n\n42,840 - 41,470\n83-88% campos pollen, 8-14% Araucaria forest pollen (only 2 grains of A. angustifolia), only one pollen grain from Atlantic forest taxa, aquatics 6-16%, ferns 3-6%. Low conc and accumulation of carbonised particles.\n\n41,4701 - 26,900\n87-94% campos pollen, 3-9% Araucaria forest (less pollen from Myrtaceae), a few single grains of Atlantic forest pollen, less aquatic pollen (3-7%), fewer fern spores (0-3%). Carbonised particles still rare.\n\n26,900 - 10,120\n87-97% campos pollen (though changing composition - Poaceae down, Eryngium up; less Apiaceae), 1-5% Araucaria forest, 0-0.3% Atlantic forest (lowest for both), 1-3% aquatic, lowest time for ferns (but big increase at end of zone). Carbonised particles rare.\n\n10,120 - 3,950 (11,540 - 4,320 cal yr BP)\n74-88% campos but lower near end (Poaceae up from last time; Eryngium get more common; other compositional changes), 3-13% Araucaria forest (up slightly thanks to A. angustifolia and Myrsine), 0-4% Atlantic (up slightly), trace aquatics, big increase of ferns (up to 46%) then decrease by end (to 9%), increase in Dicksonia (0-14%). Lots of carbonised particles higher up in this section.\n\n3950 - 1140 (4320 - 1100 cal yr BP)\n65-84% campos (down a bit but still high; Cyperaceae up, Poaceae and Eryngium down), 13-27% Araucaria forest (mainly A. angustifolia 4-7%, Myrsine and Weinmannia), 2-5% Atlantic forest, fern spores up again (9-40%), Dicksonia common (9-16%). Lots and lots of carbonised particles.\n\n1140 - 410 (1100 - 430 cal yr BP)\nCampos way down and keeps going (55-24%), continuous increase of Araucaria forest pollen (39-80%) with A. angustifolia going up 14-42% and big increase in Mimosa scabrella, no change in Atlantic (2-6%), fewer fern spores (5-19%), highest Dicksonia spore level (9-26%), high point for mosses but decrease later. Low concentration of carbonised particles but higher accumulation than at beginning of core.\n\n410 - -50 (430 - -50 cal yr BP)\nCampos start way down (to 11%) but increase (to 38%, through Cyperaceae then Poaceae) then go down right at the end, Araucaria forest highest early on (87%) but decreases at the end (65%) as A. angustifolia drops off right at the end (41-2%; Mimosa scabrella jumps correspondingly; other changes), nothing much happens with Atlantic forest (2-7%), fern spores go down (21-2%) and Dicksonia crashes by end (19-0.3%). Similar carbonised particles to before.","page":"277-297","title":"Late Quaternary Araucaria forest, grassland (Campos), fire and climate dynamics, studied by high-resolution pollen, charcoal and multivariate analysis of the Cambará do Sul core in southern Brazil","type":"article-journal","volume":"203"},"uris":["http://www.mendeley.com/documents/?uuid=46579170-55fd-37c2-8f78-517419a62e98"]}],"mendeley":{"formattedCitation":"(Behling et al., 2004; Ledru et al., 2009)","plainTextFormattedCitation":"(Behling et al., 2004; Ledru et al., 2009)","previouslyFormattedCitation":"(Behling et al., 2004; Ledru et al., 2009)"},"properties":{"noteIndex":0},"schema":"https://github.com/citation-style-language/schema/raw/master/csl-citation.json"}</w:instrText>
      </w:r>
      <w:r w:rsidR="0002396A" w:rsidRPr="0083145E">
        <w:fldChar w:fldCharType="separate"/>
      </w:r>
      <w:r w:rsidR="0002396A" w:rsidRPr="0083145E">
        <w:rPr>
          <w:noProof/>
        </w:rPr>
        <w:t>(Behling et al., 2004; Ledru et al., 2009)</w:t>
      </w:r>
      <w:r w:rsidR="0002396A" w:rsidRPr="0083145E">
        <w:fldChar w:fldCharType="end"/>
      </w:r>
      <w:r w:rsidR="00F045F1" w:rsidRPr="0083145E">
        <w:t xml:space="preserve">, </w:t>
      </w:r>
      <w:r w:rsidR="00912925">
        <w:lastRenderedPageBreak/>
        <w:t xml:space="preserve">many </w:t>
      </w:r>
      <w:r w:rsidR="003B1BB0">
        <w:t xml:space="preserve">finding </w:t>
      </w:r>
      <w:r w:rsidR="00CE7915" w:rsidRPr="0083145E">
        <w:t xml:space="preserve">rapid increases in </w:t>
      </w:r>
      <w:r w:rsidR="00CE7915">
        <w:t>its</w:t>
      </w:r>
      <w:r w:rsidR="00CE7915" w:rsidRPr="0083145E">
        <w:t xml:space="preserve"> pollen</w:t>
      </w:r>
      <w:r w:rsidR="00912925">
        <w:t xml:space="preserve"> abundance</w:t>
      </w:r>
      <w:r w:rsidR="00CE7915" w:rsidRPr="0083145E">
        <w:t xml:space="preserve"> about 1,000 years ago</w:t>
      </w:r>
      <w:r w:rsidR="005816C5">
        <w:t xml:space="preserve"> which</w:t>
      </w:r>
      <w:r w:rsidR="001039A6">
        <w:t xml:space="preserve">, </w:t>
      </w:r>
      <w:r w:rsidR="007E044C">
        <w:t xml:space="preserve">in some </w:t>
      </w:r>
      <w:r w:rsidR="001039A6">
        <w:t>sites</w:t>
      </w:r>
      <w:r w:rsidR="005816C5">
        <w:t>,</w:t>
      </w:r>
      <w:r w:rsidR="001039A6">
        <w:t xml:space="preserve"> </w:t>
      </w:r>
      <w:r w:rsidR="007E044C">
        <w:t>reach</w:t>
      </w:r>
      <w:r w:rsidR="00FA1543">
        <w:t>ed</w:t>
      </w:r>
      <w:r w:rsidR="007E044C">
        <w:t xml:space="preserve"> levels </w:t>
      </w:r>
      <w:r w:rsidR="001039A6">
        <w:t>unprecedented</w:t>
      </w:r>
      <w:r w:rsidR="00CB28B3">
        <w:t xml:space="preserve"> for </w:t>
      </w:r>
      <w:r w:rsidR="00881EAB">
        <w:t>tens of thousands of years</w:t>
      </w:r>
      <w:r w:rsidR="00CE7915" w:rsidRPr="0083145E">
        <w:t xml:space="preserve"> </w:t>
      </w:r>
      <w:r w:rsidR="00F542A7">
        <w:fldChar w:fldCharType="begin" w:fldLock="1"/>
      </w:r>
      <w:r w:rsidR="00601731">
        <w:instrText>ADDIN CSL_CITATION {"citationItems":[{"id":"ITEM-1","itemData":{"DOI":"10.1016/S0031-0182(03)00687-4","ISBN":"0031-0182","ISSN":"00310182","abstract":"Late Quaternary vegetation, fire and climate dynamics have been studied based on high-resolution dated pollen and charcoal samples and multivariate data analysis. The samples were taken from a 212-cm-long sediment core of a bog in the Cambará do Sul region on the highlands of northeastern Rio Grande do Sul State, Brazil. The records, including seven AMS radiocarbon dates, span 42 840 14C years, for the first time extending the reconstruction of past environmental changes on the southern Brazilian highlands back to the Last Glacial Maximum (LGM) and pre-LGM times. The last 1100 years provide a decadal resolution. Initially the site was a permanent shallow lake which became seasonally dry after 26 900 14C yr BP. Seasonal climate with a long annual dry period prevailed until the late Holocene. The climate was somewhat wetter from 42 840 to 41 470 14C yr BP and from 41 470 to 26 900 14C yr BP than during the LGM and the late-Glacial period. Natural fires were rare, but became very frequent after 7400 cal BP, suggesting human occupation of the southernmost Brazilian highlands since that time. The records suggest that a species-rich Campos (grassland) vegetation existed in the area under a relatively dry and cold climate during glacial times under possibly as low as -10°C. The record also suggests that small populations of Araucaria were probably only present in refugia of deep and protected valleys and/or on wetter coastal slopes. Campos vegetation existed through the early and mid-Holocene until 4320 cal yr BP, after which Araucaria forest expanded into the network of gallery forests along the streams. By 1100 cal yr BP the Araucaria forest replaced the Campos vegetation reflecting the onset of the wettest period with no marked annual dry season. The marked expansion of the Araucaria forest coincided with the reduction in fire. Between AD 1520 and 1770 Weinmannia became a common taxa in the Araucaria forest, suggesting a shift to warmer climatic conditions on the highlands. This interval was synchronous with a cool phase within the Little Ice Age known from North Atlantic land records. After about AD 1780 human activities changed the original forest composition, first by introducing cattle into the forest and than by selective logging of Araucaria trees. Multivariate analysis of the pollen data shows compositional changes that follow a trajectory alternating undirectional, random phases and phases with directional, sometimes fast transitions. The results al…","author":[{"dropping-particle":"","family":"Behling","given":"Hermann","non-dropping-particle":"","parse-names":false,"suffix":""},{"dropping-particle":"","family":"Pillar","given":"Valerio DePatta","non-dropping-particle":"","parse-names":false,"suffix":""},{"dropping-particle":"","family":"Orlóci","given":"László","non-dropping-particle":"","parse-names":false,"suffix":""},{"dropping-particle":"","family":"Bauermann","given":"Soraia Girardi","non-dropping-particle":"","parse-names":false,"suffix":""}],"container-title":"Palaeogeography, Palaeoclimatology, Palaeoecology","id":"ITEM-1","issue":"3-4","issued":{"date-parts":[["2004"]]},"note":"Detailed examination of Cambara do Sul core in NE Rio Grande do Sul, 42,658 C14 yr BP to present. Shows 100 year Campos-Araucaria switch in about 1100 cal yr BP.\n\nNEEDS SOME REINTERPRETING WITH LEONHARDT &amp;amp; LORSCHEITTER 2010. SEE NOTE\n\n(All dates C14 yr BP)\n\n42,840 - 41,470\n83-88% campos pollen, 8-14% Araucaria forest pollen (only 2 grains of A. angustifolia), only one pollen grain from Atlantic forest taxa, aquatics 6-16%, ferns 3-6%. Low conc and accumulation of carbonised particles.\n\n41,4701 - 26,900\n87-94% campos pollen, 3-9% Araucaria forest (less pollen from Myrtaceae), a few single grains of Atlantic forest pollen, less aquatic pollen (3-7%), fewer fern spores (0-3%). Carbonised particles still rare.\n\n26,900 - 10,120\n87-97% campos pollen (though changing composition - Poaceae down, Eryngium up; less Apiaceae), 1-5% Araucaria forest, 0-0.3% Atlantic forest (lowest for both), 1-3% aquatic, lowest time for ferns (but big increase at end of zone). Carbonised particles rare.\n\n10,120 - 3,950 (11,540 - 4,320 cal yr BP)\n74-88% campos but lower near end (Poaceae up from last time; Eryngium get more common; other compositional changes), 3-13% Araucaria forest (up slightly thanks to A. angustifolia and Myrsine), 0-4% Atlantic (up slightly), trace aquatics, big increase of ferns (up to 46%) then decrease by end (to 9%), increase in Dicksonia (0-14%). Lots of carbonised particles higher up in this section.\n\n3950 - 1140 (4320 - 1100 cal yr BP)\n65-84% campos (down a bit but still high; Cyperaceae up, Poaceae and Eryngium down), 13-27% Araucaria forest (mainly A. angustifolia 4-7%, Myrsine and Weinmannia), 2-5% Atlantic forest, fern spores up again (9-40%), Dicksonia common (9-16%). Lots and lots of carbonised particles.\n\n1140 - 410 (1100 - 430 cal yr BP)\nCampos way down and keeps going (55-24%), continuous increase of Araucaria forest pollen (39-80%) with A. angustifolia going up 14-42% and big increase in Mimosa scabrella, no change in Atlantic (2-6%), fewer fern spores (5-19%), highest Dicksonia spore level (9-26%), high point for mosses but decrease later. Low concentration of carbonised particles but higher accumulation than at beginning of core.\n\n410 - -50 (430 - -50 cal yr BP)\nCampos start way down (to 11%) but increase (to 38%, through Cyperaceae then Poaceae) then go down right at the end, Araucaria forest highest early on (87%) but decreases at the end (65%) as A. angustifolia drops off right at the end (41-2%; Mimosa scabrella jumps correspondingly; other changes), nothing much happens with Atlantic forest (2-7%), fern spores go down (21-2%) and Dicksonia crashes by end (19-0.3%). Similar carbonised particles to before.","page":"277-297","title":"Late Quaternary Araucaria forest, grassland (Campos), fire and climate dynamics, studied by high-resolution pollen, charcoal and multivariate analysis of the Cambará do Sul core in southern Brazil","type":"article-journal","volume":"203"},"uris":["http://www.mendeley.com/documents/?uuid=46579170-55fd-37c2-8f78-517419a62e98"]},{"id":"ITEM-2","itemData":{"DOI":"10.1016/j.quascirev.2017.06.028","ISSN":"02773791","abstract":"Long-term changes in vegetation and climate of southern Brazil, as well as ocean dynamics of the adjacent South Atlantic, were studied by analyses of pollen, spores and organic-walled dinoflagellate cysts (dinocysts) in marine sediment core GeoB2107-3 collected offshore southern Brazil covering the last 73.5 cal kyr BP. The pollen record indicates that grasslands were much more frequent in the landscapes of southern Brazil during the last glacial period if compared to the late Holocene, reflecting relatively colder and/or less humid climatic conditions. Patches of forest occurred in the lowlands and probably also on the exposed continental shelf that was mainly covered by salt marshes. Interestingly, drought-susceptible Araucaria trees were frequent in the highlands (with a similar abundance as during the late Holocene) until 65 cal kyr BP, but were rare during the following glacial period. Atlantic rainforest was present in the northern lowlands of southern Brazil during the recorded last glacial period, but was strongly reduced from 38.5 until 13.0 cal kyr BP. The reduction was probably controlled by colder and/or less humid climatic conditions. Atlantic rainforest expanded to the south since the Lateglacial period, while Araucaria forests advanced in the highlands only during the late Holocene. Dinocysts data indicate that the Brazil Current (BC) with its warm, salty and nutrient-poor waters influenced the study area throughout the investigated period. However, variations in the proportion of dinocyst taxa indicating an eutrophic environment reflect the input of nutrients transported mainly by the Brazilian Coastal Current (BCC) and partly discharged by the Rio Itajaí (the major river closest to the core site). This was strongly related to changes in sea level. A stronger influence of the BCC with nutrient rich waters occurred during Marine Isotope Stage (MIS) 4 and in particular during the late MIS 3 and MIS 2 under low sea level. Evidence of Nothofagus pollen grains from the southern Andes during late MIS 3 and MIS 2 suggests an efficient transport by the southern westerlies and Argentinean rivers, then by the Malvinas Current and finally by the BCC to the study site. Major changes in the pollen/spore and dinocyst assemblages occur with similar pacing, indicating strongly interlinked continental and marine environmental changes. Proxy comparisons suggest that the changes were driven by similar overarching factors, of which the most important was or…","author":[{"dropping-particle":"","family":"Gu","given":"Fang","non-dropping-particle":"","parse-names":false,"suffix":""},{"dropping-particle":"","family":"Zonneveld","given":"Karin A.F.","non-dropping-particle":"","parse-names":false,"suffix":""},{"dropping-particle":"","family":"Chiessi","given":"Cristiano M.","non-dropping-particle":"","parse-names":false,"suffix":""},{"dropping-particle":"","family":"Arz","given":"Helge W.","non-dropping-particle":"","parse-names":false,"suffix":""},{"dropping-particle":"","family":"Pätzold","given":"Jürgen","non-dropping-particle":"","parse-names":false,"suffix":""},{"dropping-particle":"","family":"Behling","given":"Hermann","non-dropping-particle":"","parse-names":false,"suffix":""}],"container-title":"Quaternary Science Reviews","id":"ITEM-2","issued":{"date-parts":[["2017"]]},"note":"Very interesting paper that uses an offshore core east of SC to reconstruct vegetation and climate for 74kyr in a spatially and temporally low resolution. Suggests the Atlantis rainforest hypothesis might not hold (but doesn't examine this explicitly) and has interesting things to say about Aa through time. Long ago there was more grassland; the exposed shelf was probably a mosaic of forest and grassland, with Aa-campos on higher ground. Has things to say about speleothems comparison too, as well as xrf data.","page":"55-71","title":"Long-term vegetation, climate and ocean dynamics inferred from a 73,500 years old marine sediment core (GeoB2107-3) off southern Brazil","type":"article-journal","volume":"172"},"uris":["http://www.mendeley.com/documents/?uuid=5ca3af1b-048b-4799-ab8a-595fdfde2aa7"]}],"mendeley":{"formattedCitation":"(Behling et al., 2004; Gu et al., 2017)","plainTextFormattedCitation":"(Behling et al., 2004; Gu et al., 2017)","previouslyFormattedCitation":"(Behling et al., 2004; Gu et al., 2017)"},"properties":{"noteIndex":0},"schema":"https://github.com/citation-style-language/schema/raw/master/csl-citation.json"}</w:instrText>
      </w:r>
      <w:r w:rsidR="00F542A7">
        <w:fldChar w:fldCharType="separate"/>
      </w:r>
      <w:r w:rsidR="00F542A7" w:rsidRPr="00F542A7">
        <w:rPr>
          <w:noProof/>
        </w:rPr>
        <w:t>(Behling et al., 2004; Gu et al., 2017)</w:t>
      </w:r>
      <w:r w:rsidR="00F542A7">
        <w:fldChar w:fldCharType="end"/>
      </w:r>
      <w:r w:rsidR="005816C5">
        <w:t>. Th</w:t>
      </w:r>
      <w:r w:rsidR="008D5EF0">
        <w:t>is marked expansion ca. 1000 years ago was</w:t>
      </w:r>
      <w:r w:rsidR="005816C5">
        <w:t xml:space="preserve"> much more drastic than the steady expansion of </w:t>
      </w:r>
      <w:r w:rsidR="008D5EF0" w:rsidRPr="00301AE1">
        <w:rPr>
          <w:i/>
        </w:rPr>
        <w:t>Araucaria</w:t>
      </w:r>
      <w:r w:rsidR="008D5EF0">
        <w:t xml:space="preserve"> forest over </w:t>
      </w:r>
      <w:r w:rsidR="0065478D">
        <w:t>the previous few millennia,</w:t>
      </w:r>
      <w:r w:rsidR="00207E61">
        <w:t xml:space="preserve"> </w:t>
      </w:r>
      <w:r w:rsidR="008D5EF0">
        <w:t>and has</w:t>
      </w:r>
      <w:r w:rsidR="000F3866">
        <w:t xml:space="preserve"> </w:t>
      </w:r>
      <w:r w:rsidR="008D5EF0">
        <w:t>been attributed by some authors to ancient human land use, rather than climate change,</w:t>
      </w:r>
      <w:r w:rsidR="003311DB" w:rsidRPr="0083145E">
        <w:t xml:space="preserve"> due to the coincident expansion of the local southern proto-Jê culture</w:t>
      </w:r>
      <w:r w:rsidR="00470F53">
        <w:t xml:space="preserve"> </w:t>
      </w:r>
      <w:r w:rsidR="00470F53" w:rsidRPr="0083145E">
        <w:fldChar w:fldCharType="begin" w:fldLock="1"/>
      </w:r>
      <w:r w:rsidR="00470F53">
        <w:instrText>ADDIN CSL_CITATION {"citationItems":[{"id":"ITEM-1","itemData":{"abstract":"This study offers a few thoughts about a possible prehistoric anthropogenic effect on the expansion of Araucaria angustifolia during the late Holocene based on overlay and analysis of archeological, geographical, palynological and botanical data. Archeological research reveals that groups of pottery-producing hunter-gatherers belonging to the Jê linguistic stock. These are archeologically defined as the Taquara/Itararé Tradition, and occupied the highlands in southern Brazil from 2000 years BP until 200 years BP. Major resource uses regarding forest vegetation were hunting, Araucaria nuts seed harvesting (considered an essential component in the diet) and agroforestry management. Their settlements, known as casas subterrâneas (pit houses), were distributed according to relief and geography under the domain of Araucaria forest. A strong expansion of Araucaria angustifolia in the late Holocene is recorded by various palynological studies as occurring after 1,500 years BP in Paraná, 1,000 years BP in Santa Catarina and 1,140 years BP in Rio Grande do Sul over areas near archaeological settlements. These data deserve some attention. Furthermore, botanical sources indicate that Araucaria angustifolia need a dispersing factor, including birds, animals and humans. In spite of climate conditions being considered one of the major causes of increase, the possibility of contribution by pottery-producing hunter-gatherers of the Taquara/Itararé Tradition in seed dispersal by harvesting of seeds, and possible management and planting of this species. These sites are considered important elements as indicators of Araucaria forest areas in landscape reconstruction studies.","author":[{"dropping-particle":"","family":"Bitencourt","given":"Ana Luisa Vietti","non-dropping-particle":"","parse-names":false,"suffix":""},{"dropping-particle":"","family":"Krauspenhar","given":"Patrícia Maria","non-dropping-particle":"","parse-names":false,"suffix":""}],"container-title":"Revista Brasileira de Paleontologia","id":"ITEM-1","issue":"1","issued":{"date-parts":[["2006"]]},"note":"Paper that first(?) suggested a potential anthropogenic cause for the late-Holocene expansion of Araucaria forest. No experimental evidence but suggests potential management of the understorey as a means for this, and compares dates of human and forest expansion.","page":"109-116","title":"Possible prehistoric anthropogenic effect on Araucaria angustifolia (Bert.) O. Kuntze expansion during the late Holocene","type":"article-journal","volume":"9"},"uris":["http://www.mendeley.com/documents/?uuid=f0770d30-0d2e-3ebc-a93c-d43c0879c48c"]},{"id":"ITEM-2","itemData":{"DOI":"10.1038/s41598-018-24429-5","ISSN":"2045-2322","abstract":"In the highlands of southern Brazil an anthropogenitcally driven expansion of forest occurred at the expense of grasslands between 1410 and 900 cal BP, coincident with a period of demographic and cultural change in the region. Previous studies have debated the relative contributions of increasing wetter and warmer climate conditions and human landscape modifications to forest expansion, but generally lacked high resoltiuon proxies to measure these effects, or have relied on single proxies to reconstruct both climate and vegetation. Here, we develop and test a model of natural ecosystem distribution against vegetation histories, paleoclimate proxies, and the archaeological record to distinguish human from temperature and precipitation impacts on the distribution and expansion of Araucaria forests during the late Holocene. Carbon isotopes from soil profiles confirm that in spite of climatic fluctuations, vegetation was stable and forests were spatially limited to south-facing slopes in the absence of human inputs. In contrast, forest management strategies for the past 1400 years expanded this economically important forest beyond its natural geographic boundaries in areas of dense pre-Columbian occupation, suggesting that landscape modifications were linked to demographic changes, the effects of which are still visible today.","author":[{"dropping-particle":"","family":"Robinson","given":"Mark","non-dropping-particle":"","parse-names":false,"suffix":""},{"dropping-particle":"","family":"Souza","given":"Jonas Gregorio","non-dropping-particle":"De","parse-names":false,"suffix":""},{"dropping-particle":"","family":"Maezumi","given":"S Yoshi","non-dropping-particle":"","parse-names":false,"suffix":""},{"dropping-particle":"","family":"Cárdenas","given":"Macarena","non-dropping-particle":"","parse-names":false,"suffix":""},{"dropping-particle":"","family":"Pessenda","given":"Luiz","non-dropping-particle":"","parse-names":false,"suffix":""},{"dropping-particle":"","family":"Prufer","given":"Keith","non-dropping-particle":"","parse-names":false,"suffix":""},{"dropping-particle":"","family":"Corteletti","given":"Rafael","non-dropping-particle":"","parse-names":false,"suffix":""},{"dropping-particle":"","family":"Scunderlick","given":"Deisi","non-dropping-particle":"","parse-names":false,"suffix":""},{"dropping-particle":"","family":"Mayle","given":"Francis Edward","non-dropping-particle":"","parse-names":false,"suffix":""},{"dropping-particle":"","family":"Blasis","given":"Paulo","non-dropping-particle":"De","parse-names":false,"suffix":""},{"dropping-particle":"","family":"Iriarte","given":"José","non-dropping-particle":"","parse-names":false,"suffix":""}],"container-title":"Scientific Reports","id":"ITEM-2","issue":"1","issued":{"date-parts":[["2018","12","17"]]},"page":"7800","title":"Uncoupling human and climate drivers of late Holocene vegetation change in southern Brazil","type":"article-journal","volume":"8"},"uris":["http://www.mendeley.com/documents/?uuid=31596bfb-9a43-43e4-a359-a0d4859f2499"]},{"id":"ITEM-3","itemData":{"DOI":"10.5751/ES-06163-190243","ISBN":"3262","ISSN":"17083087","abstract":"South American Araucaria species include Araucaria araucana (Mol.) C. Koch (Argentina and Chile) and Araucaria angustifolia (Bert.) O. Kuntze (Brazil and Argentina). Both species produce nut-like seeds (piñones, pinhões) that have, since pre- Columbian times, formed part of the traditional diet of local societies: Kaingang (A. angustifolia) and Mapuche-Pehuenche (A. araucana). In this work, we compared and analyzed converging and diverging characteristics of these species founded on ecological and ethnobotanical evidence. We also studied the role of human groups in the construction of Araucaria forests. The methodology used was based on a bibliographical analysis that included a wide range of sources, from ecological to social sciences. Our results show that both species hold strong cultural and symbolic significance for associated human groups. The ecological characteristics of both species have favored their rapid territorial expansion since the Holocene; however, palynological, archaeological, and ethnobotanical evidence reinforces the hypothesis that the human groups involved played a key role in this process. For both societies, there are records of past and present practices related to the transport, storage, and processing of the seeds. The landscapes where A. araucana and A. angustifolia are present also reflect use patterns that hold a level of significance that goes beyond merely utilitarian purposes. For the Kaingang and the Mapuche-Pehuenche, the Araucaria forests are associated with the concept of territoriality and play a key role in determining their identity. Our approach to cultural landscapes, which considers the importance of societies in the modelling of natural landscapes, can offer new perspectives for conservation policies and action in both forests.","author":[{"dropping-particle":"","family":"Reis","given":"Maurício Sedrez","non-dropping-particle":"dos","parse-names":false,"suffix":""},{"dropping-particle":"","family":"Ladio","given":"Ana","non-dropping-particle":"","parse-names":false,"suffix":""},{"dropping-particle":"","family":"Peroni","given":"Nivaldo","non-dropping-particle":"","parse-names":false,"suffix":""}],"container-title":"Ecology and Society","id":"ITEM-3","issue":"2","issued":{"date-parts":[["2014"]]},"note":"This paper looks at forests with Araucaria araucana and A. angustifolia in SA, and the possible cultural genesis of these landscapes. It makes the case that the biological characteristics of these species (broad niches, big, gravity-dispersed (but what about animals??) seeds etc) combined with cultural actions mean the forests are almost certainly cultural landscapes. I'm not 100% convinced (there's less direct and compelling evidence provided than for the Brazil nut, for example), but it shows people are thinking along those lines and it shouldn't be ruled out.\n\nAlso links to a lot of useful/interesting papers (especially ethnography/ethnobotany), but many are in Portuguese.","page":"43","publisher":"The Resilience Alliance","title":"Landscapes with Araucaria in South America: Evidence for a cultural dimension","type":"article-journal","volume":"19"},"uris":["http://www.mendeley.com/documents/?uuid=46d1e447-ad0b-38ea-b396-edca73a224f2"]},{"id":"ITEM-4","itemData":{"DOI":"10.1007/s11295-018-1250-4","ISSN":"1614-2942","abstract":"Phylogeographic studies allow us to better understand the past history of species and the factors that mold their current distri-bution. Here, we demonstrate the potential human impact on the distribution of a tree species. In particular, it was hypothesized that Araucaria angustifolia, an endangered South American conifer, was dispersed from its Pleistocene glacial refugium to its maximum occurrence distribution (MOD), mainly by pre-Columbian human groups (ca 2000 years ago). In order to test this hypothesis, we sampled 20 A. angustifolia populations in southern Brazil. Our analysis consisted of an integrative phylogeo-graphic approach, supported by ecological aspects of the species. Therefore, we constructed the species chloroplast haplotype network, tested for possible neutrality deviations, genetic divergence, association between genetic and geographic distances, and simulated the amount of time that the species required to reach its MOD without human help. The species showed clear signs of rapid and recent expansion from a single refugium. The haplotype network had a star-like shape. Populations and the species showed negative values for the neutrality tests and low divergence values among populations (F ST = 0.041) not associated with geographic distance. The estimated dispersal time required for the species to reach its MOD from its putative refugium without human help is not consistent with the rapid and recent expansion of the species. Hence, we argue that humans played an important role in expanding the distribution of the currently endangered species, and it needs to be accounted for when analyzing landscape genetics or in the development of conservation strategies.","author":[{"dropping-particle":"","family":"Lauterjung","given":"Miguel Busarello","non-dropping-particle":"","parse-names":false,"suffix":""},{"dropping-particle":"","family":"Bernardi","given":"Alison Paulo","non-dropping-particle":"","parse-names":false,"suffix":""},{"dropping-particle":"","family":"Montagna","given":"Tiago","non-dropping-particle":"","parse-names":false,"suffix":""},{"dropping-particle":"","family":"Candido-Ribeiro","given":"Rafael","non-dropping-particle":"","parse-names":false,"suffix":""},{"dropping-particle":"","family":"Costa","given":"Newton Clóvis Freitas","non-dropping-particle":"da","parse-names":false,"suffix":""},{"dropping-particle":"","family":"Mantovani","given":"Adelar","non-dropping-particle":"","parse-names":false,"suffix":""},{"dropping-particle":"","family":"Reis","given":"Maurício Sedrez","non-dropping-particle":"dos","parse-names":false,"suffix":""}],"container-title":"Tree Genetics &amp; Genomes","id":"ITEM-4","issue":"3","issued":{"date-parts":[["2018"]]},"note":"This is an interesting paper looking for genetic evidence of anthropogenic expansion of Aa. I don't agree with all of it, but there is still good, useful stuff within it. Particularly, it finds that there's very little differentiation between populations compared to within, and not really any isolation by distance. This (and other factors) suggests quite rapid expansion from an origin point.\n\nHowever, the proposal here is that the origin point was in the SE highlands, and I don't think that's likely to be right. My modelling suggests Aa could have been present more widely to the west (backed up by the 13ka core by Bertoldo et al 2014) so it's not unreasonable that Aa might have been able to spread across its whole range in the time allowed - it's much less far than the authors assume. Also, there's very little pollen evidence in much of this region - need to be careful about extrapolating to wider area. This does not, however, completely rule out these results - perhaps the spJ ~domesticated Aa or otherwise bottlenecked it in places where it was already suitable, or helped spread it faster than it would otherwise have gone (but it would, nonetheless, have spread there). To explore with past modelling, I think.","page":"36","title":"Phylogeography of Brazilian pine (Araucaria angustifolia): integrative evidence for pre-Columbian anthropogenic dispersal","type":"article-journal","volume":"14"},"uris":["http://www.mendeley.com/documents/?uuid=9809cb5b-ef0a-3553-8096-e722f9a8a6ca"]},{"id":"ITEM-5","itemData":{"author":[{"dropping-particle":"","family":"Noelli","given":"Francisco Silva","non-dropping-particle":"","parse-names":false,"suffix":""}],"container-title":"Revista da Universidade da São Paulo","id":"ITEM-5","issued":{"date-parts":[["2000"]]},"note":"At this point, used mainly for early suggestion of anthropogenic landscapes (search Araucaria/arauc)","page":"218-269","title":"A ocupação humana na Região Sul do Brasil: Arqueologia, debates e perspectivas 1872-2000","type":"article-journal","volume":"44"},"uris":["http://www.mendeley.com/documents/?uuid=db1352f9-aa5c-3958-bf2f-d84404307805"]}],"mendeley":{"formattedCitation":"(Bitencourt and Krauspenhar, 2006; dos Reis et al., 2014; Lauterjung et al., 2018; Noelli, 2000; Robinson et al., 2018)","plainTextFormattedCitation":"(Bitencourt and Krauspenhar, 2006; dos Reis et al., 2014; Lauterjung et al., 2018; Noelli, 2000; Robinson et al., 2018)","previouslyFormattedCitation":"(Bitencourt and Krauspenhar, 2006; dos Reis et al., 2014; Lauterjung et al., 2018; Noelli, 2000; Robinson et al., 2018)"},"properties":{"noteIndex":0},"schema":"https://github.com/citation-style-language/schema/raw/master/csl-citation.json"}</w:instrText>
      </w:r>
      <w:r w:rsidR="00470F53" w:rsidRPr="0083145E">
        <w:fldChar w:fldCharType="separate"/>
      </w:r>
      <w:r w:rsidR="00470F53" w:rsidRPr="0083145E">
        <w:rPr>
          <w:noProof/>
        </w:rPr>
        <w:t>(Bitencourt and Krauspenhar, 2006; dos Reis et al., 2014; Lauterjung et al., 2018; Noelli, 2000; Robinson et al., 2018)</w:t>
      </w:r>
      <w:r w:rsidR="00470F53" w:rsidRPr="0083145E">
        <w:fldChar w:fldCharType="end"/>
      </w:r>
      <w:r w:rsidR="003C1A78" w:rsidRPr="0083145E">
        <w:t xml:space="preserve">, </w:t>
      </w:r>
      <w:r w:rsidR="000D4D43">
        <w:t>whose</w:t>
      </w:r>
      <w:r w:rsidR="000D4D43" w:rsidRPr="0083145E">
        <w:t xml:space="preserve"> </w:t>
      </w:r>
      <w:r w:rsidR="00616139">
        <w:t>economy</w:t>
      </w:r>
      <w:r w:rsidR="00616139" w:rsidRPr="00F115FF">
        <w:t xml:space="preserve">, spiritual </w:t>
      </w:r>
      <w:r w:rsidR="00616139">
        <w:t>belief</w:t>
      </w:r>
      <w:r w:rsidR="000D4D43">
        <w:t>s</w:t>
      </w:r>
      <w:r w:rsidR="00616139">
        <w:t xml:space="preserve"> and living space </w:t>
      </w:r>
      <w:r w:rsidR="000D4D43">
        <w:t>were</w:t>
      </w:r>
      <w:r w:rsidR="000D4D43" w:rsidRPr="0083145E">
        <w:t xml:space="preserve"> </w:t>
      </w:r>
      <w:r w:rsidR="003C1A78" w:rsidRPr="0083145E">
        <w:t>closely linked to the forest</w:t>
      </w:r>
      <w:r w:rsidR="003311DB" w:rsidRPr="0083145E">
        <w:t xml:space="preserve"> </w:t>
      </w:r>
      <w:r w:rsidR="003311DB" w:rsidRPr="0083145E">
        <w:fldChar w:fldCharType="begin" w:fldLock="1"/>
      </w:r>
      <w:r w:rsidR="005A4773">
        <w:instrText>ADDIN CSL_CITATION {"citationItems":[{"id":"ITEM-1","itemData":{"DOI":"10.1016/j.jaa.2016.01.003","ISSN":"10902686","abstract":"In this article, we examine the emergence of the funerary mound and enclosure complexes of the southern Brazilian highlands during the last 1000. years in relation to processes of population expansion, contact, conflict and the establishment of frontiers. We test the hypothesis that such monuments emerged among the local southern proto-J?? peoples as a response to the migration of a foreign group, the Tupi-Guarani. We compared the spatio-temporal distribution of mound and enclosure complexes in respect to sites of interaction between the two groups. The results indicate that the rise of funerary architecture coincides with the first incursions of the Tupi-Guarani to the southern proto-J?? heartland, and that mounds are concentrated in areas devoid of interaction. We conclude that highly monumentalized landscapes emerged in areas where local groups chose not to interact with the Tupi-Guarani, showing that funerary monuments were an important component in the establishment of impermeable frontiers to resist outsiders.","author":[{"dropping-particle":"","family":"Souza","given":"Jonas Gregorio","non-dropping-particle":"De","parse-names":false,"suffix":""},{"dropping-particle":"","family":"Corteletti","given":"Rafael","non-dropping-particle":"","parse-names":false,"suffix":""},{"dropping-particle":"","family":"Robinson","given":"Mark","non-dropping-particle":"","parse-names":false,"suffix":""},{"dropping-particle":"","family":"Iriarte","given":"José","non-dropping-particle":"","parse-names":false,"suffix":""}],"container-title":"Journal of Anthropological Archaeology","id":"ITEM-1","issued":{"date-parts":[["2016"]]},"note":"Really cool paper on why the spJ built MECs in some places not others. Seems mainly to have been a hard border against expanding Tupi-Guarani people along rivers, and especially in the heartland. Fascinating stuff on interactions of two very different cultures. Worth thinking about environmental effects of these.\n\nThe Tupi-Guarani speaking people expanded rapidly (500km pa) after 1000AD. Why? Did the same thing that drove the southern proto-Je expansion drive theirs? Was the expansion of proto-Je archaeology principally a response to them or an internal (Araucaria-related?) thing?\n\nThe time after 1000AD was a time of big change for the spJ - cultural mixing with the TG as well as everything Araucaria-related. Is there a difference in sites where the TG mixed cf sites where they were resisted?\n\nLots of monuments = resistance to TG. Absence of monumental burial sites = lots of TG-spJ exchange","page":"196-212","title":"The genesis of monuments: Resisting outsiders in the contested landscapes of southern Brazil","type":"article-journal","volume":"41"},"uris":["http://www.mendeley.com/documents/?uuid=dd434944-1216-323b-bcde-9a4998fc46d6"]},{"id":"ITEM-2","itemData":{"DOI":"10.1007/s10814-016-9100-0","ISSN":"1059-0161","abstract":"Newly created academic programs at Brazilian universities have provided the impetus for new archaeological projects in southeastern South America during the last two decades. The new data are changing our views on emergent social complexity, natural and human-induced transformation of the landscape, and transcontinental expansions and cultural interactions across the Río de la Plata basin during the Middle and Late Holocene. We concentrate on six major archaeological traditions/regions: the Sambaquis, the Pantanal, the Constructores de Cerritos, the Tupiguarani, the Southern Proto-Jê, and the middle and lower Paraná River. Diverse and autonomous complex developments exhibit distinct built landscapes in a region previously thought of as marginal compared with cultural developments in the Andes or Mesoamerica. The trajectories toward increased sociopolitical complexity flourished in very different and changing environmental conditions. While some groups were pushed to wetland areas during a drier mid-Holocene, others took advantage of the more humid Late Holocene climate to intensively manage Araucaria forests. The start of the second millennium AD was a critical period marked by an increased number of archaeological sites, the construction of ceremonial architecture, and the intensification of landscape transformation; it also was marked by the rapid expansion of influences from outside the La Plata basin. The Amazonian Tupiguarani and Arawak newcomers brought with them significant changes in technologies and social and political structures, as well as novel landscape management practices.","author":[{"dropping-particle":"","family":"Iriarte","given":"José","non-dropping-particle":"","parse-names":false,"suffix":""},{"dropping-particle":"","family":"DeBlasis","given":"Paulo","non-dropping-particle":"","parse-names":false,"suffix":""},{"dropping-particle":"","family":"Souza","given":"Jonas Gregorio","non-dropping-particle":"De","parse-names":false,"suffix":""},{"dropping-particle":"","family":"Corteletti","given":"Rafael","non-dropping-particle":"","parse-names":false,"suffix":""}],"container-title":"Journal of Archaeological Research","id":"ITEM-2","issued":{"date-parts":[["2016","12","30"]]},"note":"Big review looking at the increase in complexity in different people groups in the general as Brazil region. Good comments on lots of things, including holes in the palaeoecological record and an up-to-date interpretation of the social layout/archaeology.","page":"1-63","publisher":"Springer US","title":"Emergent Complexity, Changing Landscapes, and Spheres of Interaction in Southeastern South America During the Middle and Late Holocene","type":"article-journal"},"uris":["http://www.mendeley.com/documents/?uuid=aa4e6a16-dc39-3ac6-85c7-8c4d055f91a4"]},{"id":"ITEM-3","itemData":{"DOI":"10.1179/174963107x226390","ISBN":"14614103\\r17496314","ISSN":"14614103","abstract":"An examination of the late Holocene environmental and cultural sequences of the southern Brazilian highlands indicates that the colonisation of this region by the Taquara/Itarare ´ people is associated with the expansion of Araucaria forest resulting from the onset of wetter climatic conditions in the region, which started between around 1410 and 900 cal. yr BP. The more intense and permanent human occupation of this region is associated with the advance of Araucaria forest, which provided Taquara/Itararé groups with a newly abundant and reliable resource: Araucaria seeds. In addition, we review the evidence for landscape transformation associated with the beginning of food-production in the region. Charcoal records show that local populations may have practiced slash-and-burn agriculture at lower elevations since the beginning of the late Holocene around 4320 cal. yr BP, and continued this practice during the second part of the late Holocene.","author":[{"dropping-particle":"","family":"Iriarte","given":"José","non-dropping-particle":"","parse-names":false,"suffix":""},{"dropping-particle":"","family":"Behling","given":"Hermann","non-dropping-particle":"","parse-names":false,"suffix":""}],"container-title":"Environmental Archaeology","id":"ITEM-3","issue":"2","issued":{"date-parts":[["2007"]]},"note":"Really good details on ethnobotanical importance of Araucaria to T/I people. Good overview/introduction to changes in landscape, and suggests possible human cause\n\nPalaeoecology:\nFirst Holocene expansion of Araucaria forest (at expense of Campos) in SBHs: 4480-3200 cal yr BP. Wetter climate, expansion of Araucaria gallery forest. (Especially evident in Cambara do Sul, less so in others.)\nLater, bigger expansion between 1410-900 cal yr BP (see highlight amid pollen diagrams for dates from different records). Wettest climate and no real annual dry season. Fires a bit less frequent than in the interval since last expansion (when there had been a lot - p</w:instrText>
      </w:r>
      <w:r w:rsidR="005A4773" w:rsidRPr="004C4948">
        <w:rPr>
          <w:lang w:val="da-DK"/>
        </w:rPr>
        <w:instrText>robably slash and burn in semideciduous/Atlantic forest), but still a fair number of them. This ended up either in a mosaic with campos or with an Araucaria takeover.\n\nArchaeology:\nPithouses are everyday living places. Closely overlap with Araucaria forest. Diameter 2-20m, most &amp;lt;5m. Charred Araucaria seeds are found in lots of them.\n'Surface sites' (agriculture, quarries etc) are found amongst pithouses in highlands/Araucaria, but are more common at lower altitudes when pithouses get rarer.\nEarthworkds (?geoglyphs) found in the most prominent hills. They were ceremonial spaces\nExpansion of T/I sites: started 1500cal yr BP and peaked after 1000 cal yr BP. 79% of pithouse dates are more recent than 1000 cal yr BP.","page":"115-127","title":"The expansion of Araucaria forest in the southern Brazilian highlands during the last 4000 years and its implications for the development of the Taquara/Itararé Tradition","type":"article-journal","volume":"12"},"uris":["http://www.mendeley.com/documents/?uuid=67c6efcb-8665-3d79-a859-769fcfa45315"]}],"mendeley":{"formattedCitation":"(De Souza et al., 2016a; Iriarte et al., 2016; Iriarte and Behling, 2007)","plainTextFormattedCitation":"(De Souza et al., 2016a; Iriarte et al., 2016; Iriarte and Behling, 2007)","previouslyFormattedCitation":"(De Souza et al., 2016a; Iriarte et al., 2016; Iriarte and Behling, 2007)"},"properties":{"noteIndex":0},"schema":"https://github.com/citation-style-language/schema/raw/master/csl-citation.json"}</w:instrText>
      </w:r>
      <w:r w:rsidR="003311DB" w:rsidRPr="0083145E">
        <w:fldChar w:fldCharType="separate"/>
      </w:r>
      <w:r w:rsidR="004664C8" w:rsidRPr="004C4948">
        <w:rPr>
          <w:noProof/>
          <w:lang w:val="da-DK"/>
        </w:rPr>
        <w:t>(De Souza et al., 2016a; Iriarte et al., 2016; Iriarte and Behling, 2007)</w:t>
      </w:r>
      <w:r w:rsidR="003311DB" w:rsidRPr="0083145E">
        <w:fldChar w:fldCharType="end"/>
      </w:r>
      <w:r w:rsidR="003311DB" w:rsidRPr="004C4948">
        <w:rPr>
          <w:lang w:val="da-DK"/>
        </w:rPr>
        <w:t xml:space="preserve">. </w:t>
      </w:r>
    </w:p>
    <w:p w14:paraId="62C48A1C" w14:textId="45114BE9" w:rsidR="001F665B" w:rsidRPr="0083145E" w:rsidRDefault="000A0BF6" w:rsidP="004F4229">
      <w:pPr>
        <w:pStyle w:val="Mynormal"/>
      </w:pPr>
      <w:r w:rsidRPr="0083145E">
        <w:t xml:space="preserve">Understanding the extent to which </w:t>
      </w:r>
      <w:r w:rsidR="00DE59EA" w:rsidRPr="00301AE1">
        <w:rPr>
          <w:i/>
        </w:rPr>
        <w:t>Araucaria</w:t>
      </w:r>
      <w:r w:rsidR="00DE59EA">
        <w:t xml:space="preserve"> forest</w:t>
      </w:r>
      <w:r w:rsidR="00DE59EA" w:rsidRPr="0083145E">
        <w:t xml:space="preserve">’s </w:t>
      </w:r>
      <w:r w:rsidRPr="0083145E">
        <w:t>late-Holocene expansion can be attributed to humans</w:t>
      </w:r>
      <w:r w:rsidR="000E616C">
        <w:t xml:space="preserve"> versus climate change</w:t>
      </w:r>
      <w:r w:rsidRPr="0083145E">
        <w:t xml:space="preserve"> will improve</w:t>
      </w:r>
      <w:r w:rsidR="001F665B" w:rsidRPr="0083145E">
        <w:t xml:space="preserve"> our understanding of </w:t>
      </w:r>
      <w:r w:rsidRPr="0083145E">
        <w:t>the ecosystem’s responses</w:t>
      </w:r>
      <w:r w:rsidR="001F665B" w:rsidRPr="0083145E">
        <w:t xml:space="preserve"> to prevailing climatic conditions </w:t>
      </w:r>
      <w:r w:rsidRPr="0083145E">
        <w:t xml:space="preserve">– a particularly </w:t>
      </w:r>
      <w:r w:rsidR="001F665B" w:rsidRPr="0083145E">
        <w:t xml:space="preserve">important </w:t>
      </w:r>
      <w:r w:rsidRPr="0083145E">
        <w:t xml:space="preserve">endeavour </w:t>
      </w:r>
      <w:r w:rsidR="001F665B" w:rsidRPr="0083145E">
        <w:t>in the face of continuing anthropogenic climate change. With regional temperatures forecast to become warmer</w:t>
      </w:r>
      <w:r w:rsidR="008D5EF0">
        <w:t>,</w:t>
      </w:r>
      <w:r w:rsidR="001F665B" w:rsidRPr="0083145E">
        <w:t xml:space="preserve"> and precipitation more variable</w:t>
      </w:r>
      <w:r w:rsidR="008D5EF0">
        <w:t>,</w:t>
      </w:r>
      <w:r w:rsidR="001F665B" w:rsidRPr="0083145E">
        <w:t xml:space="preserve"> as this century progresses </w:t>
      </w:r>
      <w:r w:rsidR="001F665B" w:rsidRPr="0083145E">
        <w:fldChar w:fldCharType="begin" w:fldLock="1"/>
      </w:r>
      <w:r w:rsidR="005A4773">
        <w:instrText>ADDIN CSL_CITATION {"citationItems":[{"id":"ITEM-1","itemData":{"DOI":"10.4236/ajcc.2014.35043","ISSN":"2167-9495","abstract":"Four sets of downscaling simulations based on the Eta Regional Climate Model forced by two global climate models, the HadGEM2-ES and the MIROC5, and two RCP scenarios—8.5 and 4.5, have been carried out. The objective of this work is to assess the climate change over South America based on the Eta simulations. The future changes are shown in timeslices of 30 years: 2011-2040; 2041-2070 and 2071-2100. The climate change response of the Eta simulations nested in HadGEM2-ES is larger than the Eta nested in MIROC5. Major warming area is located in the central part of Brazil. In austral summer, the reduction of precipitation in the central part and the increase in the southeastern part of the continent are common changes in these simulations, while the EtaHadGEM2-ES intensifies the decrease of precipitation in central Brazil, the Eta-MIROC5 expands the area of increase of precipitation in southern Brazil toward the end of the century. In austral winter, precipitation decrease is found in the northern part of South America and in most of Central America, whereas the reduction in southeastern South America is limited to near coastal region. The time series of temperatures show that warming trends are larger in the Eta-HadGEM2-ES than in the Eta-MIROC5 simulations. Heavier precipitation rates are projected in the Central-South of Brazil toward the end of the century. Increase in the length of consecutive dry days (CDD) in Northeast of Brazil and the decrease of consecutive wet days (CWD) in the Amazon region are common features in these simulations.","author":[{"dropping-particle":"","family":"Chou","given":"Sin Chan","non-dropping-particle":"","parse-names":false,"suffix":""},{"dropping-particle":"","family":"Lyra","given":"André","non-dropping-particle":"","parse-names":false,"suffix":""},{"dropping-particle":"","family":"Mourão","given":"Caroline","non-dropping-particle":"","parse-names":false,"suffix":""},{"dropping-particle":"","family":"Dereczynski","given":"Claudine","non-dropping-particle":"","parse-names":false,"suffix":""},{"dropping-particle":"","family":"Pilotto","given":"Isabel","non-dropping-particle":"","parse-names":false,"suffix":""},{"dropping-particle":"","family":"Gomes","given":"Jorge","non-dropping-particle":"","parse-names":false,"suffix":""},{"dropping-particle":"","family":"Bustamante","given":"Josiane","non-dropping-particle":"","parse-names":false,"suffix":""},{"dropping-particle":"","family":"Tavares","given":"Priscila","non-dropping-particle":"","parse-names":false,"suffix":""},{"dropping-particle":"","family":"Silva","given":"Adan","non-dropping-particle":"","parse-names":false,"suffix":""},{"dropping-particle":"","family":"Rodrigues","given":"Daniela","non-dropping-particle":"","parse-names":false,"suffix":""},{"dropping-particle":"","family":"Campos","given":"Diego","non-dropping-particle":"","parse-names":false,"suffix":""},{"dropping-particle":"","family":"Chagas","given":"Diego","non-dropping-particle":"","parse-names":false,"suffix":""},{"dropping-particle":"","family":"Sueiro","given":"Gustavo","non-dropping-particle":"","parse-names":false,"suffix":""},{"dropping-particle":"","family":"Siqueira","given":"Gracielle","non-dropping-particle":"","parse-names":false,"suffix":""},{"dropping-particle":"","family":"Marengo","given":"José","non-dropping-particle":"","parse-names":false,"suffix":""}],"container-title":"American Journal of Climate Change","id":"ITEM-1","issue":"05","issued":{"date-parts":[["2014","12","25"]]},"note":"Not sure how useful this paper is, but it covers time slices of changes in Brazil's climate. See conclusion for summary","page":"512-527","publisher":"Scientific Research Publishing","title":"Assessment of Climate Change over South America under RCP 4.5 and 8.5 Downscaling Scenarios","type":"article-journal","volume":"03"},"uris":["http://www.mendeley.com/documents/?uuid=9bdf6f69-2a42-3c08-9082-3a4496930bfc"]}],"mendeley":{"formattedCitation":"(Chou et al., 2014)","plainTextFormattedCitation":"(Chou et al., 2014)","previouslyFormattedCitation":"(Chou et al., 2014)"},"properties":{"noteIndex":0},"schema":"https://github.com/citation-style-language/schema/raw/master/csl-citation.json"}</w:instrText>
      </w:r>
      <w:r w:rsidR="001F665B" w:rsidRPr="0083145E">
        <w:fldChar w:fldCharType="separate"/>
      </w:r>
      <w:r w:rsidR="001F665B" w:rsidRPr="0083145E">
        <w:rPr>
          <w:noProof/>
        </w:rPr>
        <w:t>(Chou et al., 2014)</w:t>
      </w:r>
      <w:r w:rsidR="001F665B" w:rsidRPr="0083145E">
        <w:fldChar w:fldCharType="end"/>
      </w:r>
      <w:r w:rsidR="001F665B" w:rsidRPr="0083145E">
        <w:t>, the cold- and humid</w:t>
      </w:r>
      <w:r w:rsidR="00E014C4">
        <w:t>ity</w:t>
      </w:r>
      <w:r w:rsidR="001F665B" w:rsidRPr="0083145E">
        <w:t>-</w:t>
      </w:r>
      <w:r w:rsidR="000D4D43">
        <w:t>dependent</w:t>
      </w:r>
      <w:r w:rsidR="000D4D43" w:rsidRPr="0083145E">
        <w:t xml:space="preserve"> </w:t>
      </w:r>
      <w:r w:rsidR="00DE59EA">
        <w:rPr>
          <w:i/>
        </w:rPr>
        <w:t>Araucaria</w:t>
      </w:r>
      <w:r w:rsidR="00DE59EA">
        <w:t xml:space="preserve"> forest</w:t>
      </w:r>
      <w:r w:rsidR="00DE59EA" w:rsidRPr="0083145E">
        <w:t xml:space="preserve"> </w:t>
      </w:r>
      <w:r w:rsidR="001F665B" w:rsidRPr="0083145E">
        <w:t xml:space="preserve">is likely to </w:t>
      </w:r>
      <w:r w:rsidRPr="0083145E">
        <w:t>contract</w:t>
      </w:r>
      <w:r w:rsidR="001F665B" w:rsidRPr="0083145E">
        <w:t xml:space="preserve"> </w:t>
      </w:r>
      <w:r w:rsidR="001F665B" w:rsidRPr="0083145E">
        <w:fldChar w:fldCharType="begin" w:fldLock="1"/>
      </w:r>
      <w:r w:rsidR="00016402">
        <w:instrText>ADDIN CSL_CITATION {"citationItems":[{"id":"ITEM-1","itemData":{"abstract":"Distinct patterns of plant species composition can be observed along metacommunities, as species vary in relation to different types of environment and also to the geographic distance, given the dispersal process. These mechanisms may yet lead temporal variation in species composition or abundance in a given place due to fluctuations on these mechanisms. Understanding how changes in species composition across the space, defined as beta diversity, or in time are related with past, current and future climate changes can help conservation planning in a given region. Thus, this thesis is divided into four chapters and discusses shifts in species composition across space and time under the perspective of conservation planning and climate changes in the Atlantic Forest. The first chapter shows a database with 1917 tree species occurrence distributed in 206 sites across distinct forest formations in the Atlantic Forest biome (Atlantic Rainforest, Araucaria Forest and Seasonal Forest). The second chapter related beta diversity patterns with the effectiveness of the current network of protected areas in southern Brazilian Atlantic forests (Atlantic Rainforest, Araucaria Forest and Seasonal Forest). We found high values of turnover and low nestedness for all forest formations, thus additional conservation efforts must target an increase in the number of protected areas, especially for the Araucaria Forest and the Seasonal Forest. Most protected areas are currently limited to the eastern region and prioritize the Atlantic Rainforest. The third chapter brought new insights about the Araucaria Forest dynamics in time through ecological niche models. During the climatic fluctuations of the Quaternary, palynological studies indicated an expansion of the Araucaria Forest, however our results demonstrated an overall retraction of the cover area, mainly in boundary zones with other forest formations. Yet, we showed that in the future, if the temperature continues to increase as expected, the Araucaria Forest would suffer a drastic reduction in its distribution. Finally, the fourth chapter investigated how tree species are responding to climatic changes in permanent plots located in Atlantic forests ecotones. Our results showed that tropical species are migrating towards to colder areas in higher altitudes. Tropical species that already occur in Araucaria Forest areas are even presenting higher rates of recruitment and growth, and lower mortality than temperate species ch…","author":[{"dropping-particle":"","family":"Bergamin","given":"Rodrigo Scarton","non-dropping-particle":"","parse-names":false,"suffix":""}],"id":"ITEM-1","issued":{"date-parts":[["2017"]]},"note":"Rodrigo Bergamin's PhD thesis. Look to see what gets published as and when (chapter 3 in Ecography, chapter 4 in Journal of Vegetation Science?).\nPast modelling conclusions are interesting, contrasting with the general conclusions drawn from pollen cores (MOF range contraction overall from LGM towards present, because of cerrado/SDF expansion in the N and W).","number-of-pages":"115","publisher":"Universidade Federal do Rio Grande do Sul","title":"Variação espacial e temporal de espécies arbóreas em florestas da Mata Atlântica: perspectivas sobre o efeito de mudanças climáticas e planejamento de conservação","type":"thesis"},"uris":["http://www.mendeley.com/documents/?uuid=189e0144-baea-48aa-ad65-acce0f95bd4b"]},{"id":"ITEM-2","itemData":{"abstract":"Climate vulnerability mapping is used to predict areas where climate change will have drastic effects on given tree species or populations, so they can be prioritized for conservation","author":[{"dropping-particle":"","family":"Wrege","given":"Marcos Silveira","non-dropping-particle":"","parse-names":false,"suffix":""},{"dropping-particle":"V.","family":"Higa","given":"R. C.","non-dropping-particle":"","parse-names":false,"suffix":""},{"dropping-particle":"","family":"Miranda Britez","given":"R.","non-dropping-particle":"","parse-names":false,"suffix":""},{"dropping-particle":"","family":"Cordeiro Garrastazu","given":"M.","non-dropping-particle":"","parse-names":false,"suffix":""},{"dropping-particle":"","family":"Sousa","given":"V. A.","non-dropping-particle":"de","parse-names":false,"suffix":""},{"dropping-particle":"","family":"Caramori","given":"P. H.","non-dropping-particle":"","parse-names":false,"suffix":""},{"dropping-particle":"","family":"Radin","given":"B.","non-dropping-particle":"","parse-names":false,"suffix":""},{"dropping-particle":"","family":"Braga","given":"H. J.","non-dropping-particle":"","parse-names":false,"suffix":""}],"container-title":"Unasylva","id":"ITEM-2","issue":"231/232","issued":{"date-parts":[["2009"]]},"note":"Fairly lightweight article that nonetheless introduces a couple of different models of Aa with future climate change","page":"30-33","title":"Climate Change and Conservation of Araucaria angustifolia in Brazil","type":"article-journal","volume":"60"},"uris":["http://www.mendeley.com/documents/?uuid=368eccac-8472-39fd-9493-ba786cbe75f5"]}],"mendeley":{"formattedCitation":"(Bergamin, 2017; Wrege et al., 2009)","plainTextFormattedCitation":"(Bergamin, 2017; Wrege et al., 2009)","previouslyFormattedCitation":"(Bergamin, 2017; Wrege et al., 2009)"},"properties":{"noteIndex":0},"schema":"https://github.com/citation-style-language/schema/raw/master/csl-citation.json"}</w:instrText>
      </w:r>
      <w:r w:rsidR="001F665B" w:rsidRPr="0083145E">
        <w:fldChar w:fldCharType="separate"/>
      </w:r>
      <w:r w:rsidR="005A4773" w:rsidRPr="005A4773">
        <w:rPr>
          <w:noProof/>
        </w:rPr>
        <w:t>(Bergamin, 2017; Wrege et al., 2009)</w:t>
      </w:r>
      <w:r w:rsidR="001F665B" w:rsidRPr="0083145E">
        <w:fldChar w:fldCharType="end"/>
      </w:r>
      <w:r w:rsidR="001F665B" w:rsidRPr="0083145E">
        <w:t xml:space="preserve">. Understanding how </w:t>
      </w:r>
      <w:r w:rsidR="001C3CC2">
        <w:t>this iconic forest</w:t>
      </w:r>
      <w:r w:rsidR="00E9587D">
        <w:t xml:space="preserve"> </w:t>
      </w:r>
      <w:r w:rsidR="001F665B" w:rsidRPr="0083145E">
        <w:t xml:space="preserve">responded to </w:t>
      </w:r>
      <w:r w:rsidR="000D4D43">
        <w:t>past variations in climat</w:t>
      </w:r>
      <w:r w:rsidR="001C3CC2">
        <w:t>e</w:t>
      </w:r>
      <w:r w:rsidR="000D4D43">
        <w:t xml:space="preserve"> – and how humans may have altered th</w:t>
      </w:r>
      <w:r w:rsidR="001C3CC2">
        <w:t>is</w:t>
      </w:r>
      <w:r w:rsidR="000D4D43">
        <w:t xml:space="preserve"> response –</w:t>
      </w:r>
      <w:r w:rsidR="001F665B" w:rsidRPr="0083145E">
        <w:t xml:space="preserve"> may help conservationists anticipate and ameliorate the effects of modern climatic changes </w:t>
      </w:r>
      <w:r w:rsidR="001C3CC2">
        <w:t>upon its distribution</w:t>
      </w:r>
      <w:r w:rsidR="001F665B" w:rsidRPr="0083145E">
        <w:t xml:space="preserve">. This is especially </w:t>
      </w:r>
      <w:r w:rsidR="003C1A78" w:rsidRPr="0083145E">
        <w:t>important</w:t>
      </w:r>
      <w:r w:rsidR="001F665B" w:rsidRPr="0083145E">
        <w:t xml:space="preserve"> as </w:t>
      </w:r>
      <w:r w:rsidR="001F665B" w:rsidRPr="00F908CF">
        <w:rPr>
          <w:i/>
        </w:rPr>
        <w:t>Araucaria</w:t>
      </w:r>
      <w:r w:rsidR="001F665B" w:rsidRPr="0083145E">
        <w:t xml:space="preserve"> forest </w:t>
      </w:r>
      <w:r w:rsidR="001C3CC2">
        <w:t xml:space="preserve">cover </w:t>
      </w:r>
      <w:r w:rsidR="001F665B" w:rsidRPr="0083145E">
        <w:t>was much reduced by the 20th Century logging boom in the states of Paran</w:t>
      </w:r>
      <w:r w:rsidR="00EA191C">
        <w:t>á</w:t>
      </w:r>
      <w:r w:rsidR="001F665B" w:rsidRPr="0083145E">
        <w:t xml:space="preserve">, Santa Catarina and Rio Grande do Sul </w:t>
      </w:r>
      <w:r w:rsidR="001F665B" w:rsidRPr="0083145E">
        <w:fldChar w:fldCharType="begin" w:fldLock="1"/>
      </w:r>
      <w:r w:rsidR="005A4773">
        <w:instrText>ADDIN CSL_CITATION {"citationItems":[{"id":"ITEM-1","itemData":{"abstract":"This article aims to discuss the history of logging in Araucaria Forest, which was the main area of logging in Brazil up to the 1970s, when the Amazon became more important. The intense logging based on the exploitation of Araucaria angustifolia, native tree and once abundant on the highlands of southern Brazil, began around the 1870s in the region of Curitiba, Paraná. Since then happened not only a migration of the sawmills towards the primary forests of southern Brazil, as well as various technological changes in industries and transportation. For a better understanding is proposed as a methodology for the analysis of this historical process of devastation of the forest three phases: 1) (1870-1910), 2) (1910-1940), 3) (1940-1970). As a result of this analysis we found that each stage had its own well defined characteristics related to a number of aspects of the techniques involved with the lumber industry as well as the ideas and perceptions related to the problem of deforestation. The primary sources used were diverse, from journals, government reports and statistics, and the yearbooks of the extinct National Institute of Pine (Instituto Nacional do Pinho).","author":[{"dropping-particle":"de","family":"Carvalho","given":"M. M. X.","non-dropping-particle":"","parse-names":false,"suffix":""},{"dropping-particle":"","family":"Nodari","given":"Eunice Sueli","non-dropping-particle":"","parse-names":false,"suffix":""}],"container-title":"Simpósio Internacional de História Ambiental e Migrações","id":"ITEM-1","issued":{"date-parts":[["2010"]]},"note":"Excellent summary of Aa/MOF exploitation across southern Brazil. Three phases, but essentially there was nothing more significant than local extraction before about 1910, things boomed to 1940 (though not everywhere - quite tied to the railway), and again to the forests' near demise by 1970 as technology improved. Thereafter pine plantations came in. Summarised in a table early on.","page":"707-726","publisher":"UFSC","publisher-place":"Florianópolis","title":"As fases da exploração madeireira na floresta com Araucária e os progressivos avanços da indústria madeireira sobre as florestas primárias ( 1870-1970 )","type":"paper-conference"},"uris":["http://www.mendeley.com/documents/?uuid=caf2e349-10fc-41fb-9cc3-9b4c6555d811"]}],"mendeley":{"formattedCitation":"(Carvalho and Nodari, 2010)","plainTextFormattedCitation":"(Carvalho and Nodari, 2010)","previouslyFormattedCitation":"(Carvalho and Nodari, 2010)"},"properties":{"noteIndex":0},"schema":"https://github.com/citation-style-language/schema/raw/master/csl-citation.json"}</w:instrText>
      </w:r>
      <w:r w:rsidR="001F665B" w:rsidRPr="0083145E">
        <w:fldChar w:fldCharType="separate"/>
      </w:r>
      <w:r w:rsidR="001F665B" w:rsidRPr="0083145E">
        <w:rPr>
          <w:noProof/>
        </w:rPr>
        <w:t>(Carvalho and Nodari, 2010)</w:t>
      </w:r>
      <w:r w:rsidR="001F665B" w:rsidRPr="0083145E">
        <w:fldChar w:fldCharType="end"/>
      </w:r>
      <w:r w:rsidR="001F665B" w:rsidRPr="0083145E">
        <w:t xml:space="preserve">, with remnants now covering just 12.6% of the biogeographic region it previously dominated </w:t>
      </w:r>
      <w:r w:rsidR="001F665B" w:rsidRPr="0083145E">
        <w:fldChar w:fldCharType="begin" w:fldLock="1"/>
      </w:r>
      <w:r w:rsidR="005A4773">
        <w:instrText>ADDIN CSL_CITATION {"citationItems":[{"id":"ITEM-1","itemData":{"DOI":"10.1016/j.biocon.2009.02.021","ISBN":"0006-3207","ISSN":"00063207","PMID":"25246403","abstract":"The neotropical Atlantic Forest supports one of the highest degrees of species richness and rates of endemism on the planet, but has also undergone a huge forest loss. However, there exists no broad-scale information about the spatial distribution of its remnants that could guide conservation actions, especially when systematic biodiversity data are not available. In this context, our objectives were to quantify how much of the forest still remains, and analyze its spatial distribution. We considered the entire Brazilian Atlantic Forest, and eight sub-regions, defined according to species distribution. The results revealed a serious situation: more than 80% of the fragments are &lt;50 ha, almost half the remaining forest is &lt;100 m from its edges, the average distance between fragments is large (1440 m), and nature reserves protect only 9% of the remaining forest and 1% of the original forest. On the other hand, our estimates of existing Atlantic Forest cover were higher than previous ones (7-8%), ranging from 11.4% to 16%. The differences among estimates are mainly related to our inclusion of intermediate secondary forests and small fragments (&lt;100 ha), which correspond to approximately 32-40% of what remains. We suggest some guidelines for conservation: (i) large mature forest fragments should be a conservation priority; (ii) smaller fragments can be managed in order to maintain functionally linked mosaics; (iii) the matrix surrounding fragments should be managed so as to minimize edge effects and improve connectivity; and (iv) restoration actions should be taken, particularly in certain key areas. The clear differences in the amount remaining and its spatial distribution within each sub-region must be considered when planning for biodiversity conservation. ?? 2009 Elsevier Ltd. All rights reserved.","author":[{"dropping-particle":"","family":"Ribeiro","given":"Milton Cezar","non-dropping-particle":"","parse-names":false,"suffix":""},{"dropping-particle":"","family":"Metzger","given":"Jean Paul","non-dropping-particle":"","parse-names":false,"suffix":""},{"dropping-particle":"","family":"Martensen","given":"Alexandre Camargo","non-dropping-particle":"","parse-names":false,"suffix":""},{"dropping-particle":"","family":"Ponzoni","given":"Flávio Jorge","non-dropping-particle":"","parse-names":false,"suffix":""},{"dropping-particle":"","family":"Hirota","given":"Márcia Makiko","non-dropping-particle":"","parse-names":false,"suffix":""}],"container-title":"Biological Conservation","id":"ITEM-1","issue":"6","issued":{"date-parts":[["2009"]]},"note":"Paper that looks at the state of the different types of forest in the Atlantic forest biome. The biome is separated into different biogeographic subregions (Araucaria among them), and the proportion of these BSRs that are now forested is calculated. \n\nOverall 11.73% of the Atlantic forest region is still forested; it's 12.6% of the Araucaria BSR. However, the authors conclude that 88.27% of the original vegetation has been lost, but this presumes all of the BSRs would naturally be 100% forested. This isn't true for ARF-CAM mosaics.\n\nOther interesting numbers about the extent of protection for the forest (3.1% of remaining forest in Araucaria BSR) and general fragmentation/interconnectivity of the forest biome","page":"1141-1153","title":"The Brazilian Atlantic Forest: How much is left, and how is the remaining forest distributed? Implications for conservation","type":"article-journal","volume":"142"},"uris":["http://www.mendeley.com/documents/?uuid=3bb32b32-c235-36b5-80ce-464fa840afc8"]}],"mendeley":{"formattedCitation":"(Ribeiro et al., 2009)","plainTextFormattedCitation":"(Ribeiro et al., 2009)","previouslyFormattedCitation":"(Ribeiro et al., 2009)"},"properties":{"noteIndex":0},"schema":"https://github.com/citation-style-language/schema/raw/master/csl-citation.json"}</w:instrText>
      </w:r>
      <w:r w:rsidR="001F665B" w:rsidRPr="0083145E">
        <w:fldChar w:fldCharType="separate"/>
      </w:r>
      <w:r w:rsidR="001F665B" w:rsidRPr="0083145E">
        <w:rPr>
          <w:noProof/>
        </w:rPr>
        <w:t>(Ribeiro et al., 2009)</w:t>
      </w:r>
      <w:r w:rsidR="001F665B" w:rsidRPr="0083145E">
        <w:fldChar w:fldCharType="end"/>
      </w:r>
      <w:r w:rsidR="001F665B" w:rsidRPr="0083145E">
        <w:t>.</w:t>
      </w:r>
    </w:p>
    <w:p w14:paraId="1FFB0A99" w14:textId="4399FB9E" w:rsidR="00472F65" w:rsidRPr="00E864FF" w:rsidRDefault="00CD6B31" w:rsidP="004F4229">
      <w:pPr>
        <w:pStyle w:val="Mynormal"/>
      </w:pPr>
      <w:r w:rsidRPr="0083145E">
        <w:t xml:space="preserve">The main proxy used for reconstructing past dynamics of </w:t>
      </w:r>
      <w:r w:rsidR="007E20E8">
        <w:t>vegetation on the southern Brazilian highlands</w:t>
      </w:r>
      <w:r w:rsidRPr="0083145E">
        <w:t xml:space="preserve"> is fossil pollen</w:t>
      </w:r>
      <w:r w:rsidR="001C3CC2">
        <w:t xml:space="preserve"> from lake/bog sediments</w:t>
      </w:r>
      <w:r w:rsidRPr="0083145E">
        <w:t>,</w:t>
      </w:r>
      <w:r w:rsidR="006A45FC" w:rsidRPr="0083145E">
        <w:t xml:space="preserve"> the</w:t>
      </w:r>
      <w:r w:rsidRPr="0083145E">
        <w:t xml:space="preserve"> informed and accurate interpretation of </w:t>
      </w:r>
      <w:r w:rsidRPr="0083145E">
        <w:lastRenderedPageBreak/>
        <w:t>which require</w:t>
      </w:r>
      <w:r w:rsidR="006A45FC" w:rsidRPr="0083145E">
        <w:t>s</w:t>
      </w:r>
      <w:r w:rsidRPr="0083145E">
        <w:t xml:space="preserve"> </w:t>
      </w:r>
      <w:r w:rsidR="001F665B" w:rsidRPr="0083145E">
        <w:t>appropriate characterisation and quantification of modern pollen-vegetation relationships</w:t>
      </w:r>
      <w:r w:rsidRPr="0083145E">
        <w:t>. T</w:t>
      </w:r>
      <w:r w:rsidR="00BB5A92" w:rsidRPr="0083145E">
        <w:t xml:space="preserve">his is currently </w:t>
      </w:r>
      <w:r w:rsidR="00EA191C">
        <w:t>poor</w:t>
      </w:r>
      <w:r w:rsidR="00EA191C" w:rsidRPr="0083145E">
        <w:t xml:space="preserve"> </w:t>
      </w:r>
      <w:r w:rsidR="00BB5A92" w:rsidRPr="0083145E">
        <w:t xml:space="preserve">for Brazil’s </w:t>
      </w:r>
      <w:r w:rsidR="00BB5A92" w:rsidRPr="00F908CF">
        <w:rPr>
          <w:i/>
        </w:rPr>
        <w:t>Araucaria</w:t>
      </w:r>
      <w:r w:rsidR="00BB5A92" w:rsidRPr="00E12966">
        <w:t xml:space="preserve"> </w:t>
      </w:r>
      <w:r w:rsidR="00BB5A92" w:rsidRPr="0083145E">
        <w:t>forest</w:t>
      </w:r>
      <w:r w:rsidR="00EA191C">
        <w:t>. E</w:t>
      </w:r>
      <w:r w:rsidR="00BB5A92" w:rsidRPr="0083145E">
        <w:t xml:space="preserve">xisting pollen-vegetation studies </w:t>
      </w:r>
      <w:r w:rsidR="00BB5A92" w:rsidRPr="0083145E">
        <w:fldChar w:fldCharType="begin" w:fldLock="1"/>
      </w:r>
      <w:r w:rsidR="005A4773">
        <w:instrText>ADDIN CSL_CITATION {"citationItems":[{"id":"ITEM-1","itemData":{"DOI":"10.1016/j.revpalbo.2010.01.005","ISBN":"0034-6667","ISSN":"00346667","abstract":"To elucidate the relationship between forest dynamics and fire frequency pollen percentages and charcoal amounts from a 120 cm long peat core and from samples of modern pollen rain were collected along a transect. The study site in southern Brazil is characterized by a species-rich mosaic of grassland-Araucaria forest. It is of crucial importance for management strategies for conservation to understand the development and maintenance of these vegetation mosaics including their sharp forest-grassland boundaries. During the late Holocene, considerable changes occurred in the area. From Anno Domini (AD) 1360 to 1410, the area was dominated by Campos (grassland) vegetation and fire was very common. From AD 1410 to 1500, Araucaria forest expanded and fire was less frequent. From AD 1500 to 1580, Campos grassland spread and the Araucaria forest ceased its development, apparently due to the increase of fire. From AD 1580 to 1935, after a decrease in fire frequency, Araucaria forest expanded again. From AD 1935 to the present, the Araucaria forest expanded while the Campos area decreased. Fire was very rare in this period. The results indicate a strong interaction of forest expansion, forming a mosaic of Campos and Araucaria forest, and the frequency of fire during the past 600 years. A possible collapse of the indigenous population following the post-Colombian colonization in southern Brazil after about AD 1550 may have caused a great reduction of fire frequency. The introduction of cattle (probably after AD 1780) and the resulting decrease of fire frequency might be the reason for forest expansion. Fire is probably the most important factor controlling the dynamics of the forest-grassland mosaics and the formation of sharp borders between these two vegetation types. ?? 2010 Elsevier B.V. All rights reserved.","author":[{"dropping-particle":"","family":"Jeske-Pieruschka","given":"Vivian","non-dropping-particle":"","parse-names":false,"suffix":""},{"dropping-particle":"","family":"Fidelis","given":"Alessandra","non-dropping-particle":"","parse-names":false,"suffix":""},{"dropping-particle":"","family":"Bergamin","given":"Rodrigo S.","non-dropping-particle":"","parse-names":false,"suffix":""},{"dropping-particle":"","family":"Vélez","given":"Eduardo","non-dropping-particle":"","parse-names":false,"suffix":""},{"dropping-particle":"","family":"Behling","given":"Hermann","non-dropping-particle":"","parse-names":false,"suffix":""}],"container-title":"Review of Palaeobotany and Palynology","id":"ITEM-1","issue":"1-2","issued":{"date-parts":[["2010"]]},"note":"Paper looking at how an Araucaria forest island varies with fire intensity (doesn't like it), and also takes pollen signatures from current landscape. Not a lot of Araucaria angustifolia pollen around though - see below. When interpreting this paper, try and use it as showing what happens to the forest plant community with fire, rather than how Aa as a species responds.\n\nGood info on species in pollen record/floristic inventory\n\n'Araucaria forest' seems to be dominated by Myrsine pollen, with very little pollen from Araucaria angustifolia at any point. Is it really fair to say that it represents Araucaria forest? (Albeit islands of the forest.) Since Myrsine is a pioneer, maybe this island never made it to mature Araucaria forest? Or for the duration of the pollen record it's been ?degraded secondary forest.\n\nMaybe this part of the landscape was managed for a use other than pinhao\n\nAlso, worth remembering that this paper starts about 600 cal yr BP\n\n590-540 cal yr BP campos dominated (rich but especially Poaceae) and has been present since then. Araucaria forest island small or absent. Fire very common (potentially stopping forest expansion). Potentially anthropogenic fire stopping forest growth. Impact of fire on Aa is less clear though, as there's so little pollen there. Could be burning to control/remove understorey for all we can tell.\n\n540-490 cal yr BP Araucaria forest island grows, as does Atlantic forest on more distant slopes (both: lots of pioneer Myrsine). Peat bog grows. Less fire (hence Araucaria island growing).\n\n450-370 cal yr BP reverse: campos up, Araucaria island down, fire increased (hence changes)\n\n370-15 cal yr BP Araucaria island expands (Melastomataceae then Myrsine pioneers) and campos is reduced from this point. Less fire (so Araucaria forest expansion)\n\n15 cal yr BP - present campos decreased a lot and Araucaria island grew (low fire again), though it also got a bit trashed (logging and cattle).","page":"53-65","title":"Araucaria forest dynamics in relation to fire frequency in southern Brazil based on fossil and modern pollen data","type":"article-journal","volume":"160"},"uris":["http://www.mendeley.com/documents/?uuid=cf667d5b-830b-3f76-a2ab-41b8c67d7999"]},{"id":"ITEM-2","itemData":{"DOI":"10.1016/S0895-9811(01)00040-2","ISBN":"0895-9811","ISSN":"08959811","abstract":"Holocene paleoenvironments have been interpreted from a radiocarbon dated pollen and charcoal record of the Sao Francisco de Paula region on the southern Brazilian highland. Today the region is characterized by pastureland and small patches of disturbed Araucaria forest. The region receives 2450 mm per annum. This is the highest precipitation rate in southern Brazil. Studied surface samples represent the modern pollen analog of the anthropogenic influenced vegetation. Pollen analytical studies of the 84 cm long core, collected from a small basin with clay, organic matter and peat deposits, show that pollen and spores of the lower core section (84 and 46 cm depth) have been almost destroyed. This period between ca. 7500 and 4000 C-14 yr BP was too dry for conservation of pollen and spores in the basin. Climate must have been markedly drier than today during early and mid Holocene times. After 4000 C-14 yr BP, preserved pollen grains reflect wetter conditions than before and indicate the predominance of campos (grassland) vegetation with small areas of Araucaria forest in the study region. Forest expansion is documented since 1060 C- 14 yr BP and expansion of Araucaria angustifolia trees itself since 850 C-14 yr BP. During the last 1000 yr, rainfall must have been much more intensive with no or only short dry periods such as the modem climate. The results confirm the vegetational and climatic changes documented front the Araucaria forest region of Santa Catarina and Parana State. Concentration and accumulation rates of carbonized particles are somewhat higher during the last 850 C-14 yr BP than before, indicating an increased fire frequency. (C) 2001 Elsevier Science Ltd. All rights reserved.","author":[{"dropping-particle":"","family":"Behling","given":"Hermann","non-dropping-particle":"","parse-names":false,"suffix":""},{"dropping-particle":"","family":"Bauermann","given":"Soraia Girardi","non-dropping-particle":"","parse-names":false,"suffix":""},{"dropping-particle":"das","family":"Neves","given":"Paulo César Pereira","non-dropping-particle":"","parse-names":false,"suffix":""}],"container-title":"Journal of South American Earth Sciences","id":"ITEM-2","issue":"6","issued":{"date-parts":[["2001"]]},"note":"This paper analyses the 84 cm-long Fazenda do Pinto core in Sao Francisco de Paula. It goes back about 7590 C14 yr BP but there's no pollen preservation below 3970 C14 yr BP. There's an analysis of modern pollen rain from the campos and degraded Araucaria forest showing relatively little pollen transport from one to the other. The site has been mostly campos throughout the recorded period (though it got wetter after 4000 C14 yr BP and rainfall became more intense after 1000 C14 yr BP), with Araucaria forest expansion from 1060 BP and Aa expansion (modest) from 850 BP. Fire was more frequent after 850 BP despite the wetter conditions.","page":"631-639","title":"Holocene environmental changes in the Sao Francisco de Paula region, southern Brazil","type":"article-journal","volume":"14"},"uris":["http://www.mendeley.com/documents/?uuid=37353123-ef57-35bf-9abd-58ac4fbacf2a"]},{"id":"ITEM-3","itemData":{"DOI":"10.1016/j.revpalbo.2004.03.007","ISBN":"0034-6667","ISSN":"00346667","abstract":"Holocene vegetation and climate have been reconstructed by means of pollen analysis in a 643-cm-long core from the Jacare?? peat deposits (23??17???S, 45??58???W, 550 m a.s.l.) within the Atlantic tropical rainforest belt in the State of S??o Paulo, SE Brazil. Three conventional 14C dates indicate that the onset of peat formation started at 9720 years BP. Due to sampling restrictions, the record encompasses the period between 9720 and ca. 1950 years BP. The palynological content of the samples permitted the recognition of five distinct climatic periods between 9700 and ca. 1950 years BP: humid and cool climate from 9720 to ca. 8240 years BP, humid and warm from ca. 8240 to ca. 3500 years BP, cooler and moister than today from 3500 to 1950 years BP. The return of a cool climate at the late Holocene is suggested by the reappearance of montane and humid forest taxa such as Araucaria, Drimys, Daphnopsis, Ericaceae, Podocarpus and Myrsine in the upper sections of the pollen diagram. Throughout its formation, the Jacarei peatbog has had a very different botanical composition. Gleichenia was the most important taxon in the peat bog from 9720 to 8240 years BP, followed by Selaginella, Polypodium and Asplenium until 5400 years BP. A Sphagnum/Lycopodium dominated peat was established from 5400 to 3500 years BP, followed by Gleichenia/Sphagnum from 3500 to ca. 1950 years BP. The interpretation of the pollen and spore diagrams permitted a correlation between the vegetational and climatic signal contained in the Jacare?? peatbog with other locations in southeastern and southern Brazil. ?? 2004 Elsevier B.V. All rights reserved.","author":[{"dropping-particle":"","family":"Garcia","given":"Maria Judite","non-dropping-particle":"","parse-names":false,"suffix":""},{"dropping-particle":"","family":"Oliveira","given":"Paulo Eduardo","non-dropping-particle":"De","parse-names":false,"suffix":""},{"dropping-particle":"","family":"Siqueira","given":"Eliane","non-dropping-particle":"de","parse-names":false,"suffix":""},{"dropping-particle":"","family":"Fernandes","given":"Rosana Saraiva","non-dropping-particle":"","parse-names":false,"suffix":""}],"container-title":"Review of Palaeobotany and Palynology","id":"ITEM-3","issue":"3-4","issued":{"date-parts":[["2004","9"]]},"note":"Surface pollen in table 2 (only 3 taxa)","page":"181-199","title":"A Holocene vegetational and climatic record from the Atlantic rainforest belt of coastal State of São Paulo, SE Brazil","type":"article-journal","volume":"131"},"uris":["http://www.mendeley.com/documents/?uuid=cbdc0f9e-2e30-45bf-8265-27eff913326c"]}],"mendeley":{"formattedCitation":"(Behling et al., 2001; Garcia et al., 2004; Jeske-Pieruschka et al., 2010)","plainTextFormattedCitation":"(Behling et al., 2001; Garcia et al., 2004; Jeske-Pieruschka et al., 2010)","previouslyFormattedCitation":"(Behling et al., 2001; Garcia et al., 2004; Jeske-Pieruschka et al., 2010)"},"properties":{"noteIndex":0},"schema":"https://github.com/citation-style-language/schema/raw/master/csl-citation.json"}</w:instrText>
      </w:r>
      <w:r w:rsidR="00BB5A92" w:rsidRPr="0083145E">
        <w:fldChar w:fldCharType="separate"/>
      </w:r>
      <w:r w:rsidR="00BB5A92" w:rsidRPr="0083145E">
        <w:rPr>
          <w:noProof/>
        </w:rPr>
        <w:t>(Behling et al., 2001; Garcia et al., 2004; Jeske-Pieruschka et al., 2010)</w:t>
      </w:r>
      <w:r w:rsidR="00BB5A92" w:rsidRPr="0083145E">
        <w:fldChar w:fldCharType="end"/>
      </w:r>
      <w:r w:rsidR="00BB5A92" w:rsidRPr="0083145E">
        <w:t xml:space="preserve"> </w:t>
      </w:r>
      <w:r w:rsidRPr="0083145E">
        <w:t xml:space="preserve">are </w:t>
      </w:r>
      <w:r w:rsidR="00EA191C">
        <w:t xml:space="preserve">purely </w:t>
      </w:r>
      <w:r w:rsidR="00BB5A92" w:rsidRPr="0083145E">
        <w:t xml:space="preserve">qualitative, </w:t>
      </w:r>
      <w:r w:rsidR="00EA191C">
        <w:t xml:space="preserve">identifying </w:t>
      </w:r>
      <w:r w:rsidR="000D4D43" w:rsidRPr="00301AE1">
        <w:rPr>
          <w:i/>
        </w:rPr>
        <w:t>Araucaria</w:t>
      </w:r>
      <w:r w:rsidR="000D4D43" w:rsidRPr="00E12966">
        <w:t xml:space="preserve"> </w:t>
      </w:r>
      <w:r w:rsidR="000D4D43">
        <w:t>forest’s</w:t>
      </w:r>
      <w:r w:rsidR="00EA191C">
        <w:t xml:space="preserve"> key indicator</w:t>
      </w:r>
      <w:r w:rsidR="00BB5A92" w:rsidRPr="0083145E">
        <w:t xml:space="preserve"> taxa but giving little insight into the </w:t>
      </w:r>
      <w:r w:rsidR="006B0DDD">
        <w:t xml:space="preserve">degree to which the </w:t>
      </w:r>
      <w:r w:rsidR="00BB5A92" w:rsidRPr="0083145E">
        <w:t>floristic</w:t>
      </w:r>
      <w:r w:rsidR="006B0DDD">
        <w:t xml:space="preserve"> composition </w:t>
      </w:r>
      <w:r w:rsidR="00BB5A92" w:rsidRPr="0083145E">
        <w:t>or structur</w:t>
      </w:r>
      <w:r w:rsidR="006B0DDD">
        <w:t xml:space="preserve">e of these forests </w:t>
      </w:r>
      <w:r w:rsidR="00BB5A92" w:rsidRPr="0083145E">
        <w:t>can be resolved</w:t>
      </w:r>
      <w:r w:rsidR="006B0DDD">
        <w:t xml:space="preserve"> palynologically</w:t>
      </w:r>
      <w:r w:rsidR="00BB5A92" w:rsidRPr="0083145E">
        <w:t>.</w:t>
      </w:r>
      <w:r w:rsidRPr="0083145E">
        <w:t xml:space="preserve"> </w:t>
      </w:r>
      <w:r w:rsidR="00EA191C">
        <w:t>In this study, we</w:t>
      </w:r>
      <w:r w:rsidR="00472F65" w:rsidRPr="0083145E">
        <w:t xml:space="preserve"> address this shortcoming</w:t>
      </w:r>
      <w:r w:rsidR="00E864FF">
        <w:t xml:space="preserve">, </w:t>
      </w:r>
      <w:r w:rsidR="00EA191C">
        <w:t>presenting</w:t>
      </w:r>
      <w:r w:rsidR="00472F65" w:rsidRPr="0083145E">
        <w:t xml:space="preserve"> the first quantitative examination of the modern pollen-vegetation relationship of </w:t>
      </w:r>
      <w:r w:rsidR="00472F65" w:rsidRPr="00F908CF">
        <w:rPr>
          <w:i/>
        </w:rPr>
        <w:t>Araucaria</w:t>
      </w:r>
      <w:r w:rsidR="00472F65" w:rsidRPr="0083145E">
        <w:t xml:space="preserve"> forest and</w:t>
      </w:r>
      <w:r w:rsidR="006B0DDD">
        <w:t xml:space="preserve"> its constituent</w:t>
      </w:r>
      <w:r w:rsidR="00472F65" w:rsidRPr="0083145E">
        <w:t xml:space="preserve"> taxa. </w:t>
      </w:r>
    </w:p>
    <w:p w14:paraId="1C8BB329" w14:textId="7E8DA70D" w:rsidR="000A0BF6" w:rsidRPr="0083145E" w:rsidRDefault="000A0BF6" w:rsidP="004F4229">
      <w:pPr>
        <w:pStyle w:val="Heading2"/>
        <w:spacing w:line="480" w:lineRule="auto"/>
        <w:rPr>
          <w:lang w:eastAsia="en-GB"/>
        </w:rPr>
      </w:pPr>
      <w:r w:rsidRPr="0083145E">
        <w:rPr>
          <w:lang w:eastAsia="en-GB"/>
        </w:rPr>
        <w:t xml:space="preserve">1.2. </w:t>
      </w:r>
      <w:r w:rsidR="00CD6B31" w:rsidRPr="0083145E">
        <w:rPr>
          <w:lang w:eastAsia="en-GB"/>
        </w:rPr>
        <w:t>Background</w:t>
      </w:r>
    </w:p>
    <w:p w14:paraId="0CB4F33D" w14:textId="69ADEB0C" w:rsidR="000A0BF6" w:rsidRPr="00601731" w:rsidRDefault="003C1A78" w:rsidP="004F4229">
      <w:pPr>
        <w:pStyle w:val="Mynormal"/>
      </w:pPr>
      <w:r w:rsidRPr="00F908CF">
        <w:rPr>
          <w:i/>
        </w:rPr>
        <w:t>Araucaria</w:t>
      </w:r>
      <w:r w:rsidRPr="0083145E">
        <w:t xml:space="preserve"> forest is </w:t>
      </w:r>
      <w:r w:rsidR="007343E2" w:rsidRPr="0083145E">
        <w:t xml:space="preserve">found at the southern </w:t>
      </w:r>
      <w:r w:rsidR="000D4D43">
        <w:t xml:space="preserve">and south-eastern </w:t>
      </w:r>
      <w:r w:rsidR="007343E2" w:rsidRPr="0083145E">
        <w:t xml:space="preserve">reaches of </w:t>
      </w:r>
      <w:r w:rsidRPr="0083145E">
        <w:t>the Atlantic Forest</w:t>
      </w:r>
      <w:r w:rsidR="00577BE8" w:rsidRPr="0083145E">
        <w:t xml:space="preserve"> biome</w:t>
      </w:r>
      <w:r w:rsidR="007343E2" w:rsidRPr="0083145E">
        <w:t xml:space="preserve">, a global biodiversity hotspot </w:t>
      </w:r>
      <w:r w:rsidR="007343E2" w:rsidRPr="0083145E">
        <w:fldChar w:fldCharType="begin" w:fldLock="1"/>
      </w:r>
      <w:r w:rsidR="0006304A">
        <w:instrText>ADDIN CSL_CITATION {"citationItems":[{"id":"ITEM-1","itemData":{"DOI":"10.1590/S1519-69842010000400002","ISBN":"1519-6984","ISSN":"1519-6984","PMID":"21085776","abstract":"After 500 years of exploitation and destruction, the Brazilian Atlantic Forest has been reduced to less the 8% of its original cover, and climate change may pose a new threat to the remnants of this biodiversity hotspot. In this study we used modelling techniques to determine present and future geographical distribution of 38 species of trees that are typical of the Brazilian Atlantic Forest (Mata Atlântica), considering two global warming scenarios. The optimistic scenario, based in a 0.5% increase in the concentration of CO2 in the atmosphere, predicts an increase of up to 2 °C in the Earth's average temperature; in the pessimistic scenario, based on a 1% increase in the concentration of CO2 in the atmosphere, temperature increase may reach 4 °C. Using these parameters, the occurrence points of the studied species registered in literature, the Genetic Algorithm for Rule-set Predictions/GARP and Maximum entropy modeling of species geographic distributions/MaxEnt we developed models of present and future possible occurrence of each species, considering Earth's mean temperature by 2050 with the optimistic and the pessimistic scenarios of CO2 emission. The results obtained show an alarming reduction in the area of possible occurrence of the species studied, as well as a shift towards southern areas of Brazil. Using GARP, on average, in the optimistic scenario this reduction is of 25% while in the pessimistic scenario it reaches 50%, and the species that will suffer the worst reduction in their possible area of occurrence are: Euterpe edulis, Mollinedia schottiana, Virola bicuhyba, Inga sessilis and Vochysia magnifica. Using MaxEnt, on average, in the optimistic scenario the reduction will be of 20% while in the pessimistic scenario it reaches 30%, and the species that will suffer the worst reduction are: Hyeronima alchorneoides, Schefflera angustissima, Andira fraxinifolia and the species of Myrtaceae studied.","author":[{"dropping-particle":"","family":"Colombo","given":"A F","non-dropping-particle":"","parse-names":false,"suffix":""},{"dropping-particle":"","family":"Joly","given":"C A","non-dropping-particle":"","parse-names":false,"suffix":""}],"container-title":"Brazilian Journal of Biology","id":"ITEM-1","issue":"3 Suppl","issued":{"date-parts":[["2010"]]},"page":"697-708","title":"Brazilian Atlantic Forest lato sensu: the most ancient Brazilian forest, and a biodiversity hotspot, is highly threatened by climate change.","type":"article-journal","volume":"70"},"uris":["http://www.mendeley.com/documents/?uuid=f4269910-09c8-3a18-b19c-8c8e5db145ff"]},{"id":"ITEM-2","itemData":{"DOI":"10.1038/35002501","ISBN":"0028-0836","ISSN":"00280836","PMID":"10706275","abstract":"Conservationists are far from able to assist all species under threat, if only for lack of funding. This places a premium on priorities: how can we support the most species at the least cost? One way is to identify 'biodiversity hotspots' where exceptional concentrations of endemic species are undergoing exceptional loss of habitat. As many as 44% of all species of vascular plants and 35% of all species in four vertebrate groups are confined to 25 hotspots comprising only 1.4% of the land surface of the Earth. This opens the way for a 'silver bullet' strategy on the part of conservation planners, focusing on these hotspots in proportion to their share of the world's species at risk.","author":[{"dropping-particle":"","family":"Myers","given":"Norman","non-dropping-particle":"","parse-names":false,"suffix":""},{"dropping-particle":"","family":"Mittermeier","given":"Russell A.","non-dropping-particle":"","parse-names":false,"suffix":""},{"dropping-particle":"","family":"Mittermeier","given":"Cristina G","non-dropping-particle":"","parse-names":false,"suffix":""},{"dropping-particle":"","family":"Fonseca","given":"Gustavo A. B.","non-dropping-particle":"da","parse-names":false,"suffix":""},{"dropping-particle":"","family":"Kent","given":"Jennifer","non-dropping-particle":"","parse-names":false,"suffix":""}],"container-title":"Nature","id":"ITEM-2","issue":"6772","issued":{"date-parts":[["2000"]]},"page":"853-858","title":"Biodiversity hotspots for conservation priorities","type":"article-journal","volume":"403"},"uris":["http://www.mendeley.com/documents/?uuid=8f568cde-fb59-39ff-9625-62864fa4b456"]}],"mendeley":{"formattedCitation":"(Colombo and Joly, 2010; Myers et al., 2000)","plainTextFormattedCitation":"(Colombo and Joly, 2010; Myers et al., 2000)","previouslyFormattedCitation":"(Colombo and Joly, 2010; Myers et al., 2000)"},"properties":{"noteIndex":0},"schema":"https://github.com/citation-style-language/schema/raw/master/csl-citation.json"}</w:instrText>
      </w:r>
      <w:r w:rsidR="007343E2" w:rsidRPr="0083145E">
        <w:fldChar w:fldCharType="separate"/>
      </w:r>
      <w:r w:rsidR="007343E2" w:rsidRPr="0083145E">
        <w:rPr>
          <w:noProof/>
        </w:rPr>
        <w:t>(Colombo and Joly, 2010; Myers et al., 2000)</w:t>
      </w:r>
      <w:r w:rsidR="007343E2" w:rsidRPr="0083145E">
        <w:fldChar w:fldCharType="end"/>
      </w:r>
      <w:r w:rsidR="002E0708">
        <w:t>.</w:t>
      </w:r>
      <w:r w:rsidR="007343E2" w:rsidRPr="0083145E">
        <w:t xml:space="preserve"> </w:t>
      </w:r>
      <w:r w:rsidR="00387FD7">
        <w:t xml:space="preserve">It </w:t>
      </w:r>
      <w:r w:rsidR="00FF17ED" w:rsidRPr="0083145E">
        <w:t>occup</w:t>
      </w:r>
      <w:r w:rsidR="00387FD7">
        <w:t>ies</w:t>
      </w:r>
      <w:r w:rsidR="00FF17ED" w:rsidRPr="0083145E">
        <w:t xml:space="preserve"> </w:t>
      </w:r>
      <w:r w:rsidR="002D42F6" w:rsidRPr="0083145E">
        <w:t xml:space="preserve">the </w:t>
      </w:r>
      <w:r w:rsidR="00387FD7">
        <w:t>biome</w:t>
      </w:r>
      <w:r w:rsidR="002D42F6" w:rsidRPr="0083145E">
        <w:t xml:space="preserve">’s </w:t>
      </w:r>
      <w:r w:rsidR="00AD5F7D" w:rsidRPr="0083145E">
        <w:t>high-altitude and low</w:t>
      </w:r>
      <w:r w:rsidR="00FF17ED" w:rsidRPr="0083145E">
        <w:t>-temperature extreme niches</w:t>
      </w:r>
      <w:r w:rsidR="00577BE8" w:rsidRPr="0083145E">
        <w:t xml:space="preserve"> </w:t>
      </w:r>
      <w:r w:rsidR="00577BE8" w:rsidRPr="0083145E">
        <w:fldChar w:fldCharType="begin" w:fldLock="1"/>
      </w:r>
      <w:r w:rsidR="005A4773">
        <w:instrText>ADDIN CSL_CITATION {"citationItems":[{"id":"ITEM-1","itemData":{"DOI":"10.1111/ddi.12581","ISSN":"14724642","abstract":"Aim\n\nWe aimed to assess the contribution of marginal habitats to the tree species richness of the Mata Atlântica (Atlantic Forest) biodiversity hotspot. In addition, we aimed to determine which environmental factors drive the occurrence and distribution of these marginal habitats.\n\n\nLocation\n\nThe whole extension of the South American Atlantic Forest Domain plus forest intrusions into the neighbouring Cerrado and Pampa Domains, which comprises rain forests (“core” habitat) and five marginal habitats, namely high elevation forests, rock outcrop dwarf-forests, riverine forests, semideciduous forests and restinga (coastal white-sand woodlands).\n\n\nMethods\n\nWe compiled a dataset containing 366,875 occurrence records of 4,431 tree species from 1,753 site-checklists, which were a priori classified into 10 main vegetation types. We then performed ordination analyses of the species-by-site matrix to assess the floristic consistency of this classification. In order to assess the relative contribution of environmental predictors to the community turnover, we produced models using 26 climate and substrate-related variables as environmental predictors.\n\n\nResults\n\nOrdination diagrams supported the floristic segregation of vegetation types, with those considered as marginal habitats placed at the extremes of ordination axes. These marginal habitats are associated with the harshest extremes of five limiting factors: temperature seasonality (high elevation and subtropical riverine forests), flammability (rock outcrop dwarf-forests), high salinity (restinga), water deficit severity (semideciduous forests) and waterlogged soils (tropical riverine forests). Importantly, 45% of all species endemic to the Atlantic Domain only occur in marginal habitats.\n\n\nMain conclusions\n\nOur results showed the key role of the poorly protected marginal habitats in contributing to the high species richness of the Atlantic Domain. Various types of environmental harshness operate as environmental filters determining the distribution of the Atlantic Domain habitats. Our findings also stressed the importance of fire, a previously neglected environmental factor.","author":[{"dropping-particle":"","family":"Neves","given":"Danilo M.","non-dropping-particle":"","parse-names":false,"suffix":""},{"dropping-particle":"","family":"Dexter","given":"Kyle G.","non-dropping-particle":"","parse-names":false,"suffix":""},{"dropping-particle":"","family":"Pennington","given":"R. Toby","non-dropping-particle":"","parse-names":false,"suffix":""},{"dropping-particle":"","family":"Valente","given":"Arthur S.M.","non-dropping-particle":"","parse-names":false,"suffix":""},{"dropping-particle":"","family":"Bueno","given":"Marcelo L.","non-dropping-particle":"","parse-names":false,"suffix":""},{"dropping-particle":"V.","family":"Eisenlohr","given":"Pedro","non-dropping-particle":"","parse-names":false,"suffix":""},{"dropping-particle":"","family":"Fontes","given":"Marco A.L.","non-dropping-particle":"","parse-names":false,"suffix":""},{"dropping-particle":"","family":"Miranda","given":"Pedro L.S.","non-dropping-particle":"","parse-names":false,"suffix":""},{"dropping-particle":"","family":"Moreira","given":"Suzana N.","non-dropping-particle":"","parse-names":false,"suffix":""},{"dropping-particle":"","family":"Rezende","given":"Vanessa L.","non-dropping-particle":"","parse-names":false,"suffix":""},{"dropping-particle":"","family":"Saiter","given":"Felipe Z.","non-dropping-particle":"","parse-names":false,"suffix":""},{"dropping-particle":"","family":"Oliveira-Filho","given":"Ary T.","non-dropping-particle":"","parse-names":false,"suffix":""}],"container-title":"Diversity and Distributions","id":"ITEM-1","issue":"8","issued":{"date-parts":[["2017"]]},"note":"MOF is a marginal habitat in the Atlantic Domain (v broadly defined). It's linked to cold (because high altitude) conditions and long distance from the equator. Also higher temperature seasonality. According to this study it has 6% endemics and is 17% protected","page":"898-909","title":"Dissecting a biodiversity hotspot: The importance of environmentally marginal habitats in the Atlantic Forest Domain of South America","type":"article-journal","volume":"23"},"uris":["http://www.mendeley.com/documents/?uuid=0ae4494c-d6d5-4d85-8d68-f26bf4dd3ed2"]},{"id":"ITEM-2","itemData":{"DOI":"10.1093/jpe/rtt058","ISBN":"2850","ISSN":"1752993X","abstract":"AimsWe analyse here the variations in species composition and richness and the geographic ranges of the tree species occurring in South American subtropical Atlantic and Pampean forests. Our goals were to assess (i) the floristic consistency of usual classifications based on vegetation physiognomy, climate and elevation; (ii) the leading role of temperature-related variables on the variations in species composition and richness; (iii) the predominance of species with tropical-subtropical ranges, possibly as a result of forest expansion over grasslands after the Last Glacial Maximum (LGM); (iv) the restriction of most subtropical endemics to stressful habitats as a possible result of past forest refuges during the LGM. MethodsThe region was defined by the Tropic of Capricorn to the north, the Rio de la Plata to the south, the Atlantic shoreline to the east and the catchment areas of the upper Parana and Uruguay Rivers to the west. Multivariate analyses, multiple regression modelling and variance partition analyses were performed on a database containing 63 994 occurrence records of 1555 tree species in 491 forest sites and 48 environmental variables. All species were also classified according to their known geographic range. Important FindingsA main differentiation in species composition and richness was observed between the eastern windward coastlands (rain and cloud forests) and western leeward hinterlands (Araucaria and semi-deciduous forests). Pre-defined forest types on both sides were consistent with variations in tree species composition, which were significantly related to both environmental variables and spatial proximity, with extremes of low temperature playing a chief role. Tree species richness declined substantially towards the south and also from rain to seasonal forests and towards the highland summits and sandy shores. Species richness was significantly correlated with both minimum temperature and actual evapotranspiration. About 91% of the subtropical flora is shared with the much richer tropical flora, probably extracting species that can cope with frost outbreaks. The 145 subtropical endemics were not concentrated in harsher habitats.","author":[{"dropping-particle":"","family":"Oliveira-Filho","given":"Ary T","non-dropping-particle":"","parse-names":false,"suffix":""},{"dropping-particle":"","family":"Budke","given":"Jean C","non-dropping-particle":"","parse-names":false,"suffix":""},{"dropping-particle":"","family":"Jarenkow","given":"Jo??o A","non-dropping-particle":"","parse-names":false,"suffix":""},{"dropping-particle":"V","family":"Eisenlohr","given":"Pedro","non-dropping-particle":"","parse-names":false,"suffix":""},{"dropping-particle":"","family":"Neves","given":"Danilo R M","non-dropping-particle":"","parse-names":false,"suffix":""}],"container-title":"Journal of Plant Ecology","id":"ITEM-2","issue":"3","issued":{"date-parts":[["2014","6","1"]]},"note":"Read this in a bit of a bitty fashion, but it's a big floristic study of the subtropical Atlantic Forest. There's an interesting fine classification of MOF, and stuff on how it's a continuum based on conditions (and what conditions segregates it from other forest types). It's also a kind of seasonal forest (like SDF), just with Aa. Lots of things in the discussion about the post-LGM development of the forests, some of which seem to contradict the general (?extrapolated) pollen story and might work favourably with my modelling","page":"242-260","title":"Delving into the variations in tree species composition and richness across South American subtropical Atlantic and Pampean forests","type":"article-journal","volume":"8"},"uris":["http://www.mendeley.com/documents/?uuid=d6a6382c-dd4b-3323-9d5e-12afd40294e2"]}],"mendeley":{"formattedCitation":"(Neves et al., 2017; Oliveira-Filho et al., 2014)","plainTextFormattedCitation":"(Neves et al., 2017; Oliveira-Filho et al., 2014)","previouslyFormattedCitation":"(Neves et al., 2017; Oliveira-Filho et al., 2014)"},"properties":{"noteIndex":0},"schema":"https://github.com/citation-style-language/schema/raw/master/csl-citation.json"}</w:instrText>
      </w:r>
      <w:r w:rsidR="00577BE8" w:rsidRPr="0083145E">
        <w:fldChar w:fldCharType="separate"/>
      </w:r>
      <w:r w:rsidR="00577BE8" w:rsidRPr="0083145E">
        <w:rPr>
          <w:noProof/>
        </w:rPr>
        <w:t>(Neves et al., 2017; Oliveira-Filho et al., 2014)</w:t>
      </w:r>
      <w:r w:rsidR="00577BE8" w:rsidRPr="0083145E">
        <w:fldChar w:fldCharType="end"/>
      </w:r>
      <w:r w:rsidR="00387FD7">
        <w:t>,</w:t>
      </w:r>
      <w:r w:rsidR="00577BE8" w:rsidRPr="0083145E">
        <w:t xml:space="preserve"> </w:t>
      </w:r>
      <w:r w:rsidR="00EC617C">
        <w:t xml:space="preserve">mostly </w:t>
      </w:r>
      <w:r w:rsidR="00C42D77" w:rsidRPr="0083145E">
        <w:t>occur</w:t>
      </w:r>
      <w:r w:rsidR="00387FD7">
        <w:t>ing</w:t>
      </w:r>
      <w:r w:rsidR="00C42D77" w:rsidRPr="0083145E">
        <w:t xml:space="preserve"> </w:t>
      </w:r>
      <w:r w:rsidR="00BD0D76" w:rsidRPr="0083145E">
        <w:t xml:space="preserve">above 500m altitude </w:t>
      </w:r>
      <w:r w:rsidR="00BD0D76" w:rsidRPr="0083145E">
        <w:fldChar w:fldCharType="begin" w:fldLock="1"/>
      </w:r>
      <w:r w:rsidR="005A4773">
        <w:instrText>ADDIN CSL_CITATION {"citationItems":[{"id":"ITEM-1","itemData":{"DOI":"10.11606/issn.2318-5988.v10i1p5-24","ISSN":"2318-5988","author":[{"dropping-particle":"","family":"Hueck","given":"Kurt","non-dropping-particle":"","parse-names":false,"suffix":""}],"container-title":"Boletim da Faculdade de Filosofia, Ciências e Letras, Universidade de São Paulo.","id":"ITEM-1","issued":{"date-parts":[["1953"]]},"note":"Maps of Aa/ARF are discussed and a new one given. Some comments on Aa expansion over campos, and detail on where the forests are found in habitat (state-by-state). Environmental conditions described.","page":"5-24","title":"Distribuição e habitat natural do Pinheiro do Paraná (Araucaria angustifolia)","type":"article-journal","volume":"10"},"uris":["http://www.mendeley.com/documents/?uuid=df37a09a-04d4-3909-98af-930af9e5c597"]},{"id":"ITEM-2","itemData":{"DOI":"10.1111/btp.12317","ISSN":"17447429 00063606","abstract":"Efforts to protect the remaining Araucaria Forest fragments in Southern Brazil have focused on large forests dominated by the threatened species Araucaria angustifolia. However, such an approach can miss significant biodiversity by ignoring smaller forest fragments scattered throughout the landscape, many of which exist on small farms. Here, I evaluate the method used to define a set of natural reserves in Southern Brazil to assess if it captures and preserves the significant biodiversity that exists in this unique biome. I used a relatively simple field sampling methodology and statistical analyses to evaluate floristic and structural parameters, comparing tree species diversity within a large forest fragment (with and without A. angustifolia dominance) to smaller fragments in the surrounding landscape. While stands dominated by A. angustifolia showed primary forest-like physiognomy, they did not have the levels of diversity expected for old-growth forests. Traditional forestry parameters, especially basal area and number of individuals, are useful for differentiating forest types in terms of structure. While no single diversity index provides a complete picture of the composition and variation of diversity in forest fragments, when taken together and assessed using extrapolation and comparative statistics, they provide a meaningful method for comparing and identifying high priority areas for conservation. Future conservation strategies should look to alternative approaches for assessing biodiversity across the landscape, while including small-scale landowners in conservation efforts.","author":[{"dropping-particle":"","family":"Lacerda","given":"A.E.B.","non-dropping-particle":"","parse-names":false,"suffix":""}],"container-title":"Biotropica","id":"ITEM-2","issue":"4","issued":{"date-parts":[["2016"]]},"note":"Interesting paper that shows that forests dominated by Aa are not in fact more diverse than other non-Aa MOF areas. Therefore don't choose conservation areas based solely on Aa abundance, and remember to include smaller fragments/areas of forest in conservation planning","page":"537-544","title":"Conservation strategies for Araucaria Forests in Southern Brazil: assessing current and alternative approaches","type":"article-journal","volume":"48"},"uris":["http://www.mendeley.com/documents/?uuid=e702775d-1102-40c4-b865-dfc2fd7dae8b"]}],"mendeley":{"formattedCitation":"(Hueck, 1953; Lacerda, 2016)","plainTextFormattedCitation":"(Hueck, 1953; Lacerda, 2016)","previouslyFormattedCitation":"(Hueck, 1953; Lacerda, 2016)"},"properties":{"noteIndex":0},"schema":"https://github.com/citation-style-language/schema/raw/master/csl-citation.json"}</w:instrText>
      </w:r>
      <w:r w:rsidR="00BD0D76" w:rsidRPr="0083145E">
        <w:fldChar w:fldCharType="separate"/>
      </w:r>
      <w:r w:rsidR="00BD0D76" w:rsidRPr="0083145E">
        <w:rPr>
          <w:noProof/>
        </w:rPr>
        <w:t>(Hueck, 1953; Lacerda, 2016)</w:t>
      </w:r>
      <w:r w:rsidR="00BD0D76" w:rsidRPr="0083145E">
        <w:fldChar w:fldCharType="end"/>
      </w:r>
      <w:r w:rsidR="00C34672" w:rsidRPr="0083145E">
        <w:t xml:space="preserve"> in areas with </w:t>
      </w:r>
      <w:r w:rsidR="000D4D43">
        <w:t xml:space="preserve">high annual rainfall and </w:t>
      </w:r>
      <w:r w:rsidR="00C34672" w:rsidRPr="0083145E">
        <w:t xml:space="preserve">climatic conditions classified as Cfb </w:t>
      </w:r>
      <w:r w:rsidR="00554D9F" w:rsidRPr="0083145E">
        <w:t xml:space="preserve">– humid subtropical oceanic climate, with temperate summers and no dry season </w:t>
      </w:r>
      <w:r w:rsidR="00554D9F" w:rsidRPr="0083145E">
        <w:fldChar w:fldCharType="begin" w:fldLock="1"/>
      </w:r>
      <w:r w:rsidR="00554D9F">
        <w:instrText>ADDIN CSL_CITATION {"citationItems":[{"id":"ITEM-1","itemData":{"DOI":"10.1127/0941-2948/2013/0507","ISBN":"09412948","ISSN":"16101227","abstract":"Ko ¨ppen’s climate classification remains the most widely used system by geographical and climatological societies across the world, with well recognized simple rules and climate symbol letters. In Brazil, climatology has been studied for more than 140 years, and among the many proposed methods Ko ¨ppen0s system remains as the most utilized. Considering Ko ¨ppen’s climate classification importance for Brazil (geography, biology, ecology, meteorology, hydrology, agronomy, forestry and environmental sciences), we developed a geographical information system to identify Ko ¨ppen’s climate types based on monthly temperature and rainfall data from 2,950 weather stations. Temperature maps were spatially described using multivariate equations that took into account the geographical coordinates and altitude; and the map resolution (100 m) was similar to the digital elevation model derived from Shuttle Radar Topography Mission. Patterns of rainfall were interpolated using kriging, with the same resolution of temperature maps. The final climate map obtained for Brazil (851,487,700 ha) has a high spatial resolution (1 ha) which allows to observe the climatic variations at the landscape level. The results are presented as maps, graphs, diagrams and tables, allowing users to interpret the occurrence of climate types in Brazil. The zones and climate types are referenced to the most important mountains, plateaus and depressions, geographical landmarks, rivers and watersheds and major cities across the country making the information accessible to all levels of users. The climate map not only showed that the A, B and C zones represent approximately 81%, 5% and 14% of the country but also allowed the identification of Ko ¨ppen’s climates types never reported before in Brazil.","author":[{"dropping-particle":"","family":"Alvares","given":"Clayton Alcarde","non-dropping-particle":"","parse-names":false,"suffix":""},{"dropping-particle":"","family":"Stape","given":"José Luiz","non-dropping-particle":"","parse-names":false,"suffix":""},{"dropping-particle":"","family":"Sentelhas","given":"Paulo Cesar","non-dropping-particle":"","parse-names":false,"suffix":""},{"dropping-particle":"","family":"Moraes Gonçalves","given":"José Leonardo","non-dropping-particle":"De","parse-names":false,"suffix":""},{"dropping-particle":"","family":"Sparovek","given":"Gerd","non-dropping-particle":"","parse-names":false,"suffix":""}],"container-title":"Meteorologische Zeitschrift","id":"ITEM-1","issue":"6","issued":{"date-parts":[["2013"]]},"note":"ARF is in Cfb (humid subtropical [oceanic climate, without dry season] with temperate summer), rest of SC is Cfa (hot summer).\n\nSC has the highest proportion of Cfb climate zone of any state (59.9%) and is the only one with more than half the state in Cfb (next highest is PR with 37%)\n\nC (subtropical) climate is 13.7% of Brazil; Cfb is only 2.6% (third rarest climate type in the country)","page":"711-728","title":"Köppen's climate classification map for Brazil","type":"article-journal","volume":"22"},"uris":["http://www.mendeley.com/documents/?uuid=fdc707bc-9388-4cd1-bb9b-5a0a5cd70545"]}],"mendeley":{"formattedCitation":"(Alvares et al., 2013)","plainTextFormattedCitation":"(Alvares et al., 2013)","previouslyFormattedCitation":"(Alvares et al., 2013)"},"properties":{"noteIndex":0},"schema":"https://github.com/citation-style-language/schema/raw/master/csl-citation.json"}</w:instrText>
      </w:r>
      <w:r w:rsidR="00554D9F" w:rsidRPr="0083145E">
        <w:fldChar w:fldCharType="separate"/>
      </w:r>
      <w:r w:rsidR="00554D9F" w:rsidRPr="0083145E">
        <w:rPr>
          <w:noProof/>
        </w:rPr>
        <w:t>(Alvares et al., 2013)</w:t>
      </w:r>
      <w:r w:rsidR="00554D9F" w:rsidRPr="0083145E">
        <w:fldChar w:fldCharType="end"/>
      </w:r>
      <w:r w:rsidR="00554D9F">
        <w:t xml:space="preserve"> – </w:t>
      </w:r>
      <w:r w:rsidR="00C34672" w:rsidRPr="0083145E">
        <w:t>under the Köppen system</w:t>
      </w:r>
      <w:r w:rsidR="006A45FC" w:rsidRPr="0083145E">
        <w:t xml:space="preserve"> </w:t>
      </w:r>
      <w:r w:rsidR="006A45FC" w:rsidRPr="0083145E">
        <w:fldChar w:fldCharType="begin" w:fldLock="1"/>
      </w:r>
      <w:r w:rsidR="005A4773">
        <w:instrText>ADDIN CSL_CITATION {"citationItems":[{"id":"ITEM-1","itemData":{"DOI":"10.11606/issn.2318-5988.v10i1p5-24","ISSN":"2318-5988","author":[{"dropping-particle":"","family":"Hueck","given":"Kurt","non-dropping-particle":"","parse-names":false,"suffix":""}],"container-title":"Boletim da Faculdade de Filosofia, Ciências e Letras, Universidade de São Paulo.","id":"ITEM-1","issued":{"date-parts":[["1953"]]},"note":"Maps of Aa/ARF are discussed and a new one given. Some comments on Aa expansion over campos, and detail on where the forests are found in habitat (state-by-state). Environmental conditions described.","page":"5-24","title":"Distribuição e habitat natural do Pinheiro do Paraná (Araucaria angustifolia)","type":"article-journal","volume":"10"},"uris":["http://www.mendeley.com/documents/?uuid=df37a09a-04d4-3909-98af-930af9e5c597"]},{"id":"ITEM-2","itemData":{"DOI":"10.1590/S1806-99592012000200004","ISBN":"3442","ISSN":"1806-9959","abstract":"The present study examined the floristic composition of three fragments of Araucaria Forest (AF) in the Planalto Catarinense region of southern Brazil as well as the floristic contextualization of these areas in relation to other remnant AF sites. Three AF fragments at different altitudes were analyzed in the municipalities of Campos Novos, Lages, and Painel. Fifty 200 m2 plots were examined in each fragment and all of the trees with CBH (circumference at breast height) ≥ 15.7 cm were identified. In order to floristically contextualize the study fragments, comparisons were made with other remnant AF sites by way of dendrograms and NMDS (Non-metric multidimensional scaling). Environmental and spatial variables were plotted on the diagram produced by the NMDS to evaluate their influence on the floristic patterns encountered. The forest fragments studied demonstrated high floristic heterogeneity, indicating that AFs cannot be considered homogeneous formations and they could be classified into 3 phytogeographical categories: i) high altitude areas influenced by cloud cover/fog, including the Painel region; ii) areas of lesser altitude and greater mean annual temperatures situated in the Paraná River basin, and iii) areas situated in the Paraná and Upper-Uruguay river basins and the smaller basins draining directly into the southern Atlantic, near Campos Novos and Lages. The environmental variables most highly correlated with species substitutions among the sites were altitude, mean annual temperature, and the mean temperature of the most humid trimester.","author":[{"dropping-particle":"","family":"Higuchi","given":"Pedro","non-dropping-particle":"","parse-names":false,"suffix":""},{"dropping-particle":"da","family":"Silva","given":"Ana Carolina","non-dropping-particle":"","parse-names":false,"suffix":""},{"dropping-particle":"","family":"Sousa-Ferreira","given":"Tiago","non-dropping-particle":"","parse-names":false,"suffix":""},{"dropping-particle":"de","family":"Souza","given":"Sheila Trierveiler","non-dropping-particle":"","parse-names":false,"suffix":""},{"dropping-particle":"","family":"Pereira-Gomes","given":"Juliano","non-dropping-particle":"","parse-names":false,"suffix":""},{"dropping-particle":"da","family":"Silva","given":"Karina Montibeller","non-dropping-particle":"","parse-names":false,"suffix":""},{"dropping-particle":"do","family":"Santos","given":"Kristiana Fiorentin","non-dropping-particle":"","parse-names":false,"suffix":""}],"container-title":"Brazilian Journal of Botany","id":"ITEM-2","issue":"2","issued":{"date-parts":[["2012"]]},"note":"Three main phytogeographical units teased out: high altitude, low altitude and hotter in the Parana river basin, and Parana/Upper Uruguay river basins and other basins. The forests aren't homogenous. These results back up the findings of Klein (1978), and are worth discussing as it shows the importance of doing people-focussed palaeoecology in different forest types (Maca's is different to mine)","page":"145-157","title":"Floristic composition and phytogeography of the tree component of Araucaria Forest fragments in southern Brazil","type":"article-journal","volume":"35"},"uris":["http://www.mendeley.com/documents/?uuid=63bac448-02ed-3cd8-9bce-4c6bb037c528"]}],"mendeley":{"formattedCitation":"(Higuchi et al., 2012; Hueck, 1953)","plainTextFormattedCitation":"(Higuchi et al., 2012; Hueck, 1953)","previouslyFormattedCitation":"(Higuchi et al., 2012; Hueck, 1953)"},"properties":{"noteIndex":0},"schema":"https://github.com/citation-style-language/schema/raw/master/csl-citation.json"}</w:instrText>
      </w:r>
      <w:r w:rsidR="006A45FC" w:rsidRPr="0083145E">
        <w:fldChar w:fldCharType="separate"/>
      </w:r>
      <w:r w:rsidR="006A45FC" w:rsidRPr="0083145E">
        <w:rPr>
          <w:noProof/>
        </w:rPr>
        <w:t>(Higuchi et al., 2012; Hueck, 1953)</w:t>
      </w:r>
      <w:r w:rsidR="006A45FC" w:rsidRPr="0083145E">
        <w:fldChar w:fldCharType="end"/>
      </w:r>
      <w:r w:rsidR="00C34672" w:rsidRPr="0083145E">
        <w:t>.</w:t>
      </w:r>
      <w:r w:rsidR="00B348CB">
        <w:t xml:space="preserve"> </w:t>
      </w:r>
      <w:r w:rsidR="00223D02">
        <w:t>At more southerly latitudes in Brazil</w:t>
      </w:r>
      <w:r w:rsidR="00EA5A32">
        <w:t>, s</w:t>
      </w:r>
      <w:r w:rsidR="00223D02">
        <w:t>ome a</w:t>
      </w:r>
      <w:r w:rsidR="00B348CB">
        <w:t xml:space="preserve">pparently natural stands of </w:t>
      </w:r>
      <w:r w:rsidR="00B348CB">
        <w:rPr>
          <w:i/>
        </w:rPr>
        <w:t>Araucaria</w:t>
      </w:r>
      <w:r w:rsidR="00B348CB">
        <w:t xml:space="preserve"> forest can </w:t>
      </w:r>
      <w:r w:rsidR="00601731">
        <w:t xml:space="preserve">also </w:t>
      </w:r>
      <w:r w:rsidR="00B348CB">
        <w:t xml:space="preserve">be found at </w:t>
      </w:r>
      <w:r w:rsidR="00223D02">
        <w:t xml:space="preserve">elevations below 500m </w:t>
      </w:r>
      <w:r w:rsidR="00601731">
        <w:fldChar w:fldCharType="begin" w:fldLock="1"/>
      </w:r>
      <w:r w:rsidR="006214C8">
        <w:instrText>ADDIN CSL_CITATION {"citationItems":[{"id":"ITEM-1","itemData":{"DOI":"10.1590/1678-4324-2016150264","ISSN":"1516-8913","author":[{"dropping-particle":"","family":"Behling","given":"Hermann","non-dropping-particle":"","parse-names":false,"suffix":""},{"dropping-particle":"","family":"Verissimo","given":"Nuno","non-dropping-particle":"","parse-names":false,"suffix":""},{"dropping-particle":"","family":"Bauermann","given":"Soraia","non-dropping-particle":"","parse-names":false,"suffix":""},{"dropping-particle":"","family":"Bordignon","given":"Sergio","non-dropping-particle":"","parse-names":false,"suffix":""},{"dropping-particle":"","family":"Evaldt","given":"Andreia","non-dropping-particle":"","parse-names":false,"suffix":""}],"container-title":"Brazilian Archives of Biology and Technology","id":"ITEM-1","issue":"e16150264","issued":{"date-parts":[["2016"]]},"note":"Short core in southern RS (500 years) looking at origins of Araucaria fragments, with vegetation survey as backup. Seems like they're natural (natural phytosociology), but can't be sure. Not introduced with first European settlers. I disagree with some conclusions - wonder whether the increase of Aa around 1650 is due to humans rather than climate...","publisher":"Tecpar","title":"Late Holocene Vegetation History and Early Evidence of Araucaria angustifolia in Caçapava do Sul in the Lowland Region of Rio Grande do Sul State, Southern Brazil","type":"article-journal","volume":"59"},"uris":["http://www.mendeley.com/documents/?uuid=3ecc780d-806f-356b-8729-d7202727a397"]}],"mendeley":{"formattedCitation":"(Behling et al., 2016)","plainTextFormattedCitation":"(Behling et al., 2016)","previouslyFormattedCitation":"(Behling et al., 2016)"},"properties":{"noteIndex":0},"schema":"https://github.com/citation-style-language/schema/raw/master/csl-citation.json"}</w:instrText>
      </w:r>
      <w:r w:rsidR="00601731">
        <w:fldChar w:fldCharType="separate"/>
      </w:r>
      <w:r w:rsidR="00601731" w:rsidRPr="00601731">
        <w:rPr>
          <w:noProof/>
        </w:rPr>
        <w:t>(Behling et al., 2016)</w:t>
      </w:r>
      <w:r w:rsidR="00601731">
        <w:fldChar w:fldCharType="end"/>
      </w:r>
      <w:r w:rsidR="00223D02">
        <w:t>.</w:t>
      </w:r>
    </w:p>
    <w:p w14:paraId="2868BE9D" w14:textId="3F136385" w:rsidR="002D4D97" w:rsidRPr="0083145E" w:rsidRDefault="00C741A0" w:rsidP="004F4229">
      <w:pPr>
        <w:pStyle w:val="Mynormal"/>
      </w:pPr>
      <w:r w:rsidRPr="00F908CF">
        <w:rPr>
          <w:i/>
        </w:rPr>
        <w:t>Araucaria</w:t>
      </w:r>
      <w:r w:rsidRPr="0083145E">
        <w:t xml:space="preserve"> forest </w:t>
      </w:r>
      <w:r w:rsidR="00AC73A9" w:rsidRPr="0083145E">
        <w:t>is home to over 1,500 species of plants, 6% of which are endemic</w:t>
      </w:r>
      <w:r w:rsidR="008C754B" w:rsidRPr="0083145E">
        <w:t xml:space="preserve"> to the Atlantic Forest</w:t>
      </w:r>
      <w:r w:rsidR="006A45FC" w:rsidRPr="0083145E">
        <w:t xml:space="preserve"> biome</w:t>
      </w:r>
      <w:r w:rsidR="00AC73A9" w:rsidRPr="0083145E">
        <w:t xml:space="preserve"> </w:t>
      </w:r>
      <w:r w:rsidR="00AC73A9" w:rsidRPr="0083145E">
        <w:fldChar w:fldCharType="begin" w:fldLock="1"/>
      </w:r>
      <w:r w:rsidR="005A4773">
        <w:instrText>ADDIN CSL_CITATION {"citationItems":[{"id":"ITEM-1","itemData":{"DOI":"10.1111/ddi.12581","ISSN":"14724642","abstract":"Aim\n\nWe aimed to assess the contribution of marginal habitats to the tree species richness of the Mata Atlântica (Atlantic Forest) biodiversity hotspot. In addition, we aimed to determine which environmental factors drive the occurrence and distribution of these marginal habitats.\n\n\nLocation\n\nThe whole extension of the South American Atlantic Forest Domain plus forest intrusions into the neighbouring Cerrado and Pampa Domains, which comprises rain forests (“core” habitat) and five marginal habitats, namely high elevation forests, rock outcrop dwarf-forests, riverine forests, semideciduous forests and restinga (coastal white-sand woodlands).\n\n\nMethods\n\nWe compiled a dataset containing 366,875 occurrence records of 4,431 tree species from 1,753 site-checklists, which were a priori classified into 10 main vegetation types. We then performed ordination analyses of the species-by-site matrix to assess the floristic consistency of this classification. In order to assess the relative contribution of environmental predictors to the community turnover, we produced models using 26 climate and substrate-related variables as environmental predictors.\n\n\nResults\n\nOrdination diagrams supported the floristic segregation of vegetation types, with those considered as marginal habitats placed at the extremes of ordination axes. These marginal habitats are associated with the harshest extremes of five limiting factors: temperature seasonality (high elevation and subtropical riverine forests), flammability (rock outcrop dwarf-forests), high salinity (restinga), water deficit severity (semideciduous forests) and waterlogged soils (tropical riverine forests). Importantly, 45% of all species endemic to the Atlantic Domain only occur in marginal habitats.\n\n\nMain conclusions\n\nOur results showed the key role of the poorly protected marginal habitats in contributing to the high species richness of the Atlantic Domain. Various types of environmental harshness operate as environmental filters determining the distribution of the Atlantic Domain habitats. Our findings also stressed the importance of fire, a previously neglected environmental factor.","author":[{"dropping-particle":"","family":"Neves","given":"Danilo M.","non-dropping-particle":"","parse-names":false,"suffix":""},{"dropping-particle":"","family":"Dexter","given":"Kyle G.","non-dropping-particle":"","parse-names":false,"suffix":""},{"dropping-particle":"","family":"Pennington","given":"R. Toby","non-dropping-particle":"","parse-names":false,"suffix":""},{"dropping-particle":"","family":"Valente","given":"Arthur S.M.","non-dropping-particle":"","parse-names":false,"suffix":""},{"dropping-particle":"","family":"Bueno","given":"Marcelo L.","non-dropping-particle":"","parse-names":false,"suffix":""},{"dropping-particle":"V.","family":"Eisenlohr","given":"Pedro","non-dropping-particle":"","parse-names":false,"suffix":""},{"dropping-particle":"","family":"Fontes","given":"Marco A.L.","non-dropping-particle":"","parse-names":false,"suffix":""},{"dropping-particle":"","family":"Miranda","given":"Pedro L.S.","non-dropping-particle":"","parse-names":false,"suffix":""},{"dropping-particle":"","family":"Moreira","given":"Suzana N.","non-dropping-particle":"","parse-names":false,"suffix":""},{"dropping-particle":"","family":"Rezende","given":"Vanessa L.","non-dropping-particle":"","parse-names":false,"suffix":""},{"dropping-particle":"","family":"Saiter","given":"Felipe Z.","non-dropping-particle":"","parse-names":false,"suffix":""},{"dropping-particle":"","family":"Oliveira-Filho","given":"Ary T.","non-dropping-particle":"","parse-names":false,"suffix":""}],"container-title":"Diversity and Distributions","id":"ITEM-1","issue":"8","issued":{"date-parts":[["2017"]]},"note":"MOF is a marginal habitat in the Atlantic Domain (v broadly defined). It's linked to cold (because high altitude) conditions and long distance from the equator. Also higher temperature seasonality. According to this study it has 6% endemics and is 17% protected","page":"898-909","title":"Dissecting a biodiversity hotspot: The importance of environmentally marginal habitats in the Atlantic Forest Domain of South America","type":"article-journal","volume":"23"},"uris":["http://www.mendeley.com/documents/?uuid=0ae4494c-d6d5-4d85-8d68-f26bf4dd3ed2"]}],"mendeley":{"formattedCitation":"(Neves et al., 2017)","plainTextFormattedCitation":"(Neves et al., 2017)","previouslyFormattedCitation":"(Neves et al., 2017)"},"properties":{"noteIndex":0},"schema":"https://github.com/citation-style-language/schema/raw/master/csl-citation.json"}</w:instrText>
      </w:r>
      <w:r w:rsidR="00AC73A9" w:rsidRPr="0083145E">
        <w:fldChar w:fldCharType="separate"/>
      </w:r>
      <w:r w:rsidR="00AC73A9" w:rsidRPr="0083145E">
        <w:rPr>
          <w:noProof/>
        </w:rPr>
        <w:t>(Neves et al., 2017)</w:t>
      </w:r>
      <w:r w:rsidR="00AC73A9" w:rsidRPr="0083145E">
        <w:fldChar w:fldCharType="end"/>
      </w:r>
      <w:r w:rsidR="00981DCB">
        <w:t xml:space="preserve">, and </w:t>
      </w:r>
      <w:r w:rsidR="002A32A4" w:rsidRPr="0083145E">
        <w:t xml:space="preserve">is characterised by the dominance of </w:t>
      </w:r>
      <w:r w:rsidR="00E60460" w:rsidRPr="0083145E">
        <w:t xml:space="preserve">the conifer </w:t>
      </w:r>
      <w:r w:rsidR="002A32A4" w:rsidRPr="0083145E">
        <w:rPr>
          <w:i/>
        </w:rPr>
        <w:t>Araucaria angustifolia</w:t>
      </w:r>
      <w:r w:rsidR="002A32A4" w:rsidRPr="0083145E">
        <w:t xml:space="preserve"> in its canopy</w:t>
      </w:r>
      <w:r w:rsidR="00E60460" w:rsidRPr="0083145E">
        <w:t xml:space="preserve"> </w:t>
      </w:r>
      <w:r w:rsidR="00E60460" w:rsidRPr="0083145E">
        <w:fldChar w:fldCharType="begin" w:fldLock="1"/>
      </w:r>
      <w:r w:rsidR="0006304A">
        <w:instrText>ADDIN CSL_CITATION {"citationItems":[{"id":"ITEM-1","itemData":{"ISBN":"9788571143326","author":[{"dropping-particle":"","family":"Meyer","given":"Leila","non-dropping-particle":"","parse-names":false,"suffix":""},{"dropping-particle":"","family":"Sevegnani","given":"Lúcia","non-dropping-particle":"","parse-names":false,"suffix":""},{"dropping-particle":"","family":"Gasper","given":"André Luís","non-dropping-particle":"de","parse-names":false,"suffix":""},{"dropping-particle":"","family":"Schorn","given":"Lauri A","non-dropping-particle":"","parse-names":false,"suffix":""},{"dropping-particle":"","family":"Vibrans","given":"Alexander Christian","non-dropping-particle":"","parse-names":false,"suffix":""},{"dropping-particle":"","family":"Lingner","given":"Débora Vanessa","non-dropping-particle":"","parse-names":false,"suffix":""},{"dropping-particle":"","family":"Sobral","given":"Marcos Guerra","non-dropping-particle":"","parse-names":false,"suffix":""},{"dropping-particle":"","family":"Klemz","given":"Guilherme","non-dropping-particle":"","parse-names":false,"suffix":""},{"dropping-particle":"","family":"Schmitt","given":"R","non-dropping-particle":"","parse-names":false,"suffix":""},{"dropping-particle":"","family":"Anastacio Jr.","given":"C","non-dropping-particle":"","parse-names":false,"suffix":""},{"dropping-particle":"","family":"Brogni","given":"Eduardo","non-dropping-particle":"","parse-names":false,"suffix":""}],"chapter-number":"6","container-title":"Inventário Florístico Florestal de Santa Catarina Volume III - Floresta Ombrófila Mista","editor":[{"dropping-particle":"","family":"Vibrans","given":"Alexander Christian","non-dropping-particle":"","parse-names":false,"suffix":""},{"dropping-particle":"","family":"Sevegnani","given":"Lucia","non-dropping-particle":"","parse-names":false,"suffix":""},{"dropping-particle":"De","family":"Gasper","given":"André Luis","non-dropping-particle":"","parse-names":false,"suffix":""},{"dropping-particle":"","family":"Lingner","given":"Débora Vanessa","non-dropping-particle":"","parse-names":false,"suffix":""}],"id":"ITEM-1","issued":{"date-parts":[["2013"]]},"page":"157-189","publisher":"Edifurb","publisher-place":"Blumenau","title":"Fitossociologia do componente arbóreo/arbustivo da Floresta Ombrófila Mista no Estado de Santa Catarina","type":"chapter"},"uris":["http://www.mendeley.com/documents/?uuid=9bfebecb-9c29-4838-bceb-445ccb124e25"]},{"id":"ITEM-2","itemData":{"DOI":"10.1371/journal.pone.0105043","ISBN":"1932-6203 (Electronic)\\r1932-6203 (Linking)","ISSN":"19326203","PMID":"25121495","abstract":"Phylobetadiversity is defined as the phylogenetic resemblance between communities or biomes. Analyzing phylobetadiversity patterns among different vegetation physiognomies within a single biome is crucial to understand the historical affinities between them. Based on the widely accepted idea that different forest physiognomies within the Southern Brazilian Atlantic Forest constitute different facies of a single biome, we hypothesize that more recent phylogenetic nodes should drive phylobetadiversity gradients between the different forest types within the Atlantic Forest, as the phylogenetic divergence among those forest types is biogeographically recent. We compiled information from 206 checklists describing the occurrence of shrub/tree species across three different forest physiognomies within the Southern Brazilian Atlantic Forest (Dense, Mixed and Seasonal forests). We analyzed intra-site phylogenetic structure (phylogenetic diversity, net relatedness index and nearest taxon index) and phylobetadiversity between plots located at different forest types, using five different methods differing in sensitivity to either basal or terminal nodes (phylogenetic fuzzy weighting, COMDIST, COMDISTNT, UniFrac and Rao's H). Mixed forests showed higher phylogenetic diversity and overdispersion than the other forest types. Furthermore, all forest types differed from each other in relation phylobetadiversity patterns, particularly when phylobetadiversity methods more sensitive to terminal nodes were employed. Mixed forests tended to show higher phylogenetic differentiation to Dense and Seasonal forests than these latter from each other. The higher phylogenetic diversity and phylobetadiversity levels found in Mixed forests when compared to the others likely result from the biogeographical origin of several taxa occurring in these forests. On one hand, Mixed forests shelter several temperate taxa, like the conifers Araucaria and Podocarpus. On the other hand, tropical groups, like Myrtaceae, are also very representative of this forest type. We point out to the need of more attention to Mixed forests as a conservation target within the Brazilian Atlantic Forest given their high phylogenetic uniqueness.","author":[{"dropping-particle":"","family":"Duarte","given":"Leandro Da Silva","non-dropping-particle":"","parse-names":false,"suffix":""},{"dropping-particle":"","family":"Bergamin","given":"Rodrigo Scarton","non-dropping-particle":"","parse-names":false,"suffix":""},{"dropping-particle":"","family":"Marcilio-Silva","given":"Vin??cius","non-dropping-particle":"","parse-names":false,"suffix":""},{"dropping-particle":"","family":"Seger","given":"Guilherme Dubal Dos Santos","non-dropping-particle":"","parse-names":false,"suffix":""},{"dropping-particle":"","family":"Marques","given":"M??rcia Cristina Mendes","non-dropping-particle":"","parse-names":false,"suffix":""}],"container-title":"PLoS ONE","id":"ITEM-2","issue":"8","issued":{"date-parts":[["2014"]]},"note":"Mixed forests are phylogenetically distinct (good quote on this) as a result of their biogeographic origins and therefore need conservation. They're more different to ATF and SDF than these two are to each other","title":"Phylobetadiversity among forest types in the Brazilian Atlantic Forest complex","type":"article-journal","volume":"9"},"uris":["http://www.mendeley.com/documents/?uuid=506a37b5-2d1f-3b7d-9643-fa4ce618b26f"]},{"id":"ITEM-3","itemData":{"author":[{"dropping-particle":"","family":"Leite","given":"P.F.","non-dropping-particle":"","parse-names":false,"suffix":""},{"dropping-particle":"","family":"Klein","given":"R.M.","non-dropping-particle":"","parse-names":false,"suffix":""}],"container-title":"Geografia do Brasil — Região Sul (Vol. 2)","editor":[{"dropping-particle":"","family":"Mesquita","given":"O.V.","non-dropping-particle":"","parse-names":false,"suffix":""}],"id":"ITEM-3","issued":{"date-parts":[["1990"]]},"page":"113-150","publisher":"Instituto Brasileiro de Geografia e Estatística","publisher-place":"Rio de Janeiro","title":"Vegetação","type":"chapter"},"uris":["http://www.mendeley.com/documents/?uuid=8ed9879e-fa03-49f1-bef4-39a69216c785"]}],"mendeley":{"formattedCitation":"(Duarte et al., 2014; Leite and Klein, 1990; Meyer et al., 2013)","plainTextFormattedCitation":"(Duarte et al., 2014; Leite and Klein, 1990; Meyer et al., 2013)","previouslyFormattedCitation":"(Duarte et al., 2014; Leite and Klein, 1990; Meyer et al., 2013)"},"properties":{"noteIndex":0},"schema":"https://github.com/citation-style-language/schema/raw/master/csl-citation.json"}</w:instrText>
      </w:r>
      <w:r w:rsidR="00E60460" w:rsidRPr="0083145E">
        <w:fldChar w:fldCharType="separate"/>
      </w:r>
      <w:r w:rsidR="00016402" w:rsidRPr="00016402">
        <w:rPr>
          <w:noProof/>
        </w:rPr>
        <w:t>(Duarte et al., 2014; Leite and Klein, 1990; Meyer et al., 2013)</w:t>
      </w:r>
      <w:r w:rsidR="00E60460" w:rsidRPr="0083145E">
        <w:fldChar w:fldCharType="end"/>
      </w:r>
      <w:r w:rsidR="00E60460" w:rsidRPr="0083145E">
        <w:t xml:space="preserve">. </w:t>
      </w:r>
      <w:r w:rsidR="00997334" w:rsidRPr="00997334">
        <w:t>This species has the third highest EDGE score (a metric which combines evolutionary distinctiveness and global endanger</w:t>
      </w:r>
      <w:r w:rsidR="00997334">
        <w:t>ment)</w:t>
      </w:r>
      <w:r w:rsidR="00997334" w:rsidRPr="00997334">
        <w:t xml:space="preserve"> of all the world’s gymnosperms</w:t>
      </w:r>
      <w:r w:rsidR="00997334" w:rsidRPr="00997334" w:rsidDel="00997334">
        <w:t xml:space="preserve"> </w:t>
      </w:r>
      <w:r w:rsidR="00893E4C" w:rsidRPr="0083145E">
        <w:fldChar w:fldCharType="begin" w:fldLock="1"/>
      </w:r>
      <w:r w:rsidR="005A4773">
        <w:instrText>ADDIN CSL_CITATION {"citationItems":[{"id":"ITEM-1","itemData":{"DOI":"10.1038/s41598-018-24365-4","ISSN":"2045-2322","abstract":"Driven by limited resources and a sense of urgency, the prioritization of species for conservation has been a persistent concern in conservation science. Gymnosperms (comprising ginkgo, conifers, cycads, and gnetophytes) are one of the most threatened groups of living organisms, with 40% of the species at high risk of extinction, about twice as many as the most recent estimates for all plants (i.e. 21.4%). This high proportion of species facing extinction highlights the urgent action required to secure their future through an objective prioritization approach. The Evolutionary Distinct and Globally Endangered (EDGE) method rapidly ranks species based on their evolutionary distinctiveness and the extinction risks they face. EDGE is applied to gymnosperms using a phylogenetic tree comprising DNA sequence data for 85% of gymnosperm species (923 out of 1090 species), to which the 167 missing species were added, and IUCN Red List assessments available for 92% of species. The effect of different extinction probability transformations and the handling of IUCN data deficient species on the resulting rankings is investigated. Although top entries in our ranking comprise species that were expected to score well (e.g. Wollemia nobilis, Ginkgo biloba), many were unexpected (e.g. Araucaria araucana). These results highlight the necessity of using approaches that integrate evolutionary information in conservation science.","author":[{"dropping-particle":"","family":"Forest","given":"Félix","non-dropping-particle":"","parse-names":false,"suffix":""},{"dropping-particle":"","family":"Moat","given":"Justin","non-dropping-particle":"","parse-names":false,"suffix":""},{"dropping-particle":"","family":"Baloch","given":"Elisabeth","non-dropping-particle":"","parse-names":false,"suffix":""},{"dropping-particle":"","family":"Brummitt","given":"Neil A.","non-dropping-particle":"","parse-names":false,"suffix":""},{"dropping-particle":"","family":"Bachman","given":"Steve P.","non-dropping-particle":"","parse-names":false,"suffix":""},{"dropping-particle":"","family":"Ickert-Bond","given":"Steffi","non-dropping-particle":"","parse-names":false,"suffix":""},{"dropping-particle":"","family":"Hollingsworth","given":"Peter M.","non-dropping-particle":"","parse-names":false,"suffix":""},{"dropping-particle":"","family":"Liston","given":"Aaron","non-dropping-particle":"","parse-names":false,"suffix":""},{"dropping-particle":"","family":"Little","given":"Damon P.","non-dropping-particle":"","parse-names":false,"suffix":""},{"dropping-particle":"","family":"Mathews","given":"Sarah","non-dropping-particle":"","parse-names":false,"suffix":""},{"dropping-particle":"","family":"Rai","given":"Hardeep","non-dropping-particle":"","parse-names":false,"suffix":""},{"dropping-particle":"","family":"Rydin","given":"Catarina","non-dropping-particle":"","parse-names":false,"suffix":""},{"dropping-particle":"","family":"Stevenson","given":"Dennis W.","non-dropping-particle":"","parse-names":false,"suffix":""},{"dropping-particle":"","family":"Thomas","given":"Philip","non-dropping-particle":"","parse-names":false,"suffix":""},{"dropping-particle":"","family":"Buerki","given":"Sven","non-dropping-particle":"","parse-names":false,"suffix":""}],"container-title":"Scientific Reports","id":"ITEM-1","issue":"1","issued":{"date-parts":[["2018","12","16"]]},"note":"Headline: Aa has the third highest EDGE score of all gymnosperms, which are themselves twice as threatened as all plants in general","page":"6053","publisher":"Nature Publishing Group","title":"Gymnosperms on the EDGE","type":"article-journal","volume":"8"},"uris":["http://www.mendeley.com/documents/?uuid=2eaa0dbd-1544-3c03-a425-0124d6c633ee"]}],"mendeley":{"formattedCitation":"(Forest et al., 2018)","plainTextFormattedCitation":"(Forest et al., 2018)","previouslyFormattedCitation":"(Forest et al., 2018)"},"properties":{"noteIndex":0},"schema":"https://github.com/citation-style-language/schema/raw/master/csl-citation.json"}</w:instrText>
      </w:r>
      <w:r w:rsidR="00893E4C" w:rsidRPr="0083145E">
        <w:fldChar w:fldCharType="separate"/>
      </w:r>
      <w:r w:rsidR="00893E4C" w:rsidRPr="0083145E">
        <w:rPr>
          <w:noProof/>
        </w:rPr>
        <w:t>(Forest et al., 2018)</w:t>
      </w:r>
      <w:r w:rsidR="00893E4C" w:rsidRPr="0083145E">
        <w:fldChar w:fldCharType="end"/>
      </w:r>
      <w:r w:rsidR="00A863B6" w:rsidRPr="0083145E">
        <w:t xml:space="preserve">, </w:t>
      </w:r>
      <w:r w:rsidR="00E93842" w:rsidRPr="0083145E">
        <w:t>imperilled by</w:t>
      </w:r>
      <w:r w:rsidR="00A863B6" w:rsidRPr="0083145E">
        <w:t xml:space="preserve"> logging and habitat loss </w:t>
      </w:r>
      <w:r w:rsidR="00E93842" w:rsidRPr="0083145E">
        <w:t>which</w:t>
      </w:r>
      <w:r w:rsidR="00F70B92" w:rsidRPr="0083145E">
        <w:t xml:space="preserve"> started in</w:t>
      </w:r>
      <w:r w:rsidR="001B6D73" w:rsidRPr="0083145E">
        <w:t xml:space="preserve"> the late 19</w:t>
      </w:r>
      <w:r w:rsidR="001B6D73" w:rsidRPr="0083145E">
        <w:rPr>
          <w:vertAlign w:val="superscript"/>
        </w:rPr>
        <w:t>th</w:t>
      </w:r>
      <w:r w:rsidR="001B6D73" w:rsidRPr="0083145E">
        <w:t xml:space="preserve"> Century</w:t>
      </w:r>
      <w:r w:rsidR="00F70B92" w:rsidRPr="0083145E">
        <w:t xml:space="preserve"> and</w:t>
      </w:r>
      <w:r w:rsidR="00A863B6" w:rsidRPr="0083145E">
        <w:t xml:space="preserve"> reduced </w:t>
      </w:r>
      <w:r w:rsidR="001B05BB">
        <w:t>the forests’</w:t>
      </w:r>
      <w:r w:rsidR="001B05BB" w:rsidRPr="0083145E">
        <w:t xml:space="preserve"> </w:t>
      </w:r>
      <w:r w:rsidR="0047708A" w:rsidRPr="0083145E">
        <w:t>area by 97% within three generations</w:t>
      </w:r>
      <w:r w:rsidR="00893E4C" w:rsidRPr="0083145E">
        <w:t xml:space="preserve"> </w:t>
      </w:r>
      <w:r w:rsidR="00893E4C" w:rsidRPr="0083145E">
        <w:fldChar w:fldCharType="begin" w:fldLock="1"/>
      </w:r>
      <w:r w:rsidR="005A4773">
        <w:instrText>ADDIN CSL_CITATION {"citationItems":[{"id":"ITEM-1","itemData":{"abstract":"This article aims to discuss the history of logging in Araucaria Forest, which was the main area of logging in Brazil up to the 1970s, when the Amazon became more important. The intense logging based on the exploitation of Araucaria angustifolia, native tree and once abundant on the highlands of southern Brazil, began around the 1870s in the region of Curitiba, Paraná. Since then happened not only a migration of the sawmills towards the primary forests of southern Brazil, as well as various technological changes in industries and transportation. For a better understanding is proposed as a methodology for the analysis of this historical process of devastation of the forest three phases: 1) (1870-1910), 2) (1910-1940), 3) (1940-1970). As a result of this analysis we found that each stage had its own well defined characteristics related to a number of aspects of the techniques involved with the lumber industry as well as the ideas and perceptions related to the problem of deforestation. The primary sources used were diverse, from journals, government reports and statistics, and the yearbooks of the extinct National Institute of Pine (Instituto Nacional do Pinho).","author":[{"dropping-particle":"de","family":"Carvalho","given":"M. M. X.","non-dropping-particle":"","parse-names":false,"suffix":""},{"dropping-particle":"","family":"Nodari","given":"Eunice Sueli","non-dropping-particle":"","parse-names":false,"suffix":""}],"container-title":"Simpósio Internacional de História Ambiental e Migrações","id":"ITEM-1","issued":{"date-parts":[["2010"]]},"note":"Excellent summary of Aa/MOF exploitation across southern Brazil. Three phases, but essentially there was nothing more significant than local extraction before about 1910, things boomed to 1940 (though not everywhere - quite tied to the railway), and again to the forests' near demise by 1970 as technology improved. Thereafter pine plantations came in. Summarised in a table early on.","page":"707-726","publisher":"UFSC","publisher-place":"Florianópolis","title":"As fases da exploração madeireira na floresta com Araucária e os progressivos avanços da indústria madeireira sobre as florestas primárias ( 1870-1970 )","type":"paper-conference"},"uris":["http://www.mendeley.com/documents/?uuid=caf2e349-10fc-41fb-9cc3-9b4c6555d811"]},{"id":"ITEM-2","itemData":{"DOI":"http://dx.doi.org/10.2305/IUCN.UK.2013-1.RLTS.T32975A2829141.en","author":[{"dropping-particle":"","family":"Thomas","given":"P.","non-dropping-particle":"","parse-names":false,"suffix":""}],"container-title":"The IUCN Red List of Threatened Species","id":"ITEM-2","issued":{"date-parts":[["2013"]]},"page":"e.T32975A2829141","title":"Araucaria angustifolia","type":"webpage"},"uris":["http://www.mendeley.com/documents/?uuid=1419a79d-c587-4a37-a25e-9e900ea46e61"]}],"mendeley":{"formattedCitation":"(Carvalho and Nodari, 2010; Thomas, 2013)","plainTextFormattedCitation":"(Carvalho and Nodari, 2010; Thomas, 2013)","previouslyFormattedCitation":"(Carvalho and Nodari, 2010; Thomas, 2013)"},"properties":{"noteIndex":0},"schema":"https://github.com/citation-style-language/schema/raw/master/csl-citation.json"}</w:instrText>
      </w:r>
      <w:r w:rsidR="00893E4C" w:rsidRPr="0083145E">
        <w:fldChar w:fldCharType="separate"/>
      </w:r>
      <w:r w:rsidR="00893E4C" w:rsidRPr="0083145E">
        <w:rPr>
          <w:noProof/>
        </w:rPr>
        <w:t>(Carvalho and Nodari, 2010; Thomas, 2013)</w:t>
      </w:r>
      <w:r w:rsidR="00893E4C" w:rsidRPr="0083145E">
        <w:fldChar w:fldCharType="end"/>
      </w:r>
      <w:r w:rsidR="002D4D97" w:rsidRPr="0083145E">
        <w:t>.</w:t>
      </w:r>
      <w:r w:rsidR="002A32A4" w:rsidRPr="0083145E">
        <w:t xml:space="preserve"> </w:t>
      </w:r>
      <w:r w:rsidR="002D4D97" w:rsidRPr="0083145E">
        <w:t>O</w:t>
      </w:r>
      <w:r w:rsidR="002A32A4" w:rsidRPr="0083145E">
        <w:t xml:space="preserve">ther important arboreal species </w:t>
      </w:r>
      <w:r w:rsidR="002A32A4" w:rsidRPr="0083145E">
        <w:lastRenderedPageBreak/>
        <w:t>includ</w:t>
      </w:r>
      <w:r w:rsidR="002D4D97" w:rsidRPr="0083145E">
        <w:t>e</w:t>
      </w:r>
      <w:r w:rsidR="002A32A4" w:rsidRPr="0083145E">
        <w:t xml:space="preserve"> </w:t>
      </w:r>
      <w:r w:rsidR="002A32A4" w:rsidRPr="0083145E">
        <w:rPr>
          <w:i/>
        </w:rPr>
        <w:t>Dicksonia sellowiana, Podocarpus sellowiana, Matayba elaeagnoides, Lithraea brasiliensis, Clethra scabra, Ocotea porosa</w:t>
      </w:r>
      <w:r w:rsidR="002A32A4" w:rsidRPr="0083145E">
        <w:t xml:space="preserve">, and </w:t>
      </w:r>
      <w:r w:rsidR="002A32A4" w:rsidRPr="0083145E">
        <w:rPr>
          <w:i/>
        </w:rPr>
        <w:t>Prunus myrtifolia</w:t>
      </w:r>
      <w:r w:rsidR="002A32A4" w:rsidRPr="0083145E">
        <w:t xml:space="preserve"> </w:t>
      </w:r>
      <w:r w:rsidR="002A32A4" w:rsidRPr="0083145E">
        <w:fldChar w:fldCharType="begin" w:fldLock="1"/>
      </w:r>
      <w:r w:rsidR="0006304A">
        <w:instrText>ADDIN CSL_CITATION {"citationItems":[{"id":"ITEM-1","itemData":{"ISBN":"9788571143326","author":[{"dropping-particle":"","family":"Meyer","given":"Leila","non-dropping-particle":"","parse-names":false,"suffix":""},{"dropping-particle":"","family":"Sevegnani","given":"Lúcia","non-dropping-particle":"","parse-names":false,"suffix":""},{"dropping-particle":"","family":"Gasper","given":"André Luís","non-dropping-particle":"de","parse-names":false,"suffix":""},{"dropping-particle":"","family":"Schorn","given":"Lauri A","non-dropping-particle":"","parse-names":false,"suffix":""},{"dropping-particle":"","family":"Vibrans","given":"Alexander Christian","non-dropping-particle":"","parse-names":false,"suffix":""},{"dropping-particle":"","family":"Lingner","given":"Débora Vanessa","non-dropping-particle":"","parse-names":false,"suffix":""},{"dropping-particle":"","family":"Sobral","given":"Marcos Guerra","non-dropping-particle":"","parse-names":false,"suffix":""},{"dropping-particle":"","family":"Klemz","given":"Guilherme","non-dropping-particle":"","parse-names":false,"suffix":""},{"dropping-particle":"","family":"Schmitt","given":"R","non-dropping-particle":"","parse-names":false,"suffix":""},{"dropping-particle":"","family":"Anastacio Jr.","given":"C","non-dropping-particle":"","parse-names":false,"suffix":""},{"dropping-particle":"","family":"Brogni","given":"Eduardo","non-dropping-particle":"","parse-names":false,"suffix":""}],"chapter-number":"6","container-title":"Inventário Florístico Florestal de Santa Catarina Volume III - Floresta Ombrófila Mista","editor":[{"dropping-particle":"","family":"Vibrans","given":"Alexander Christian","non-dropping-particle":"","parse-names":false,"suffix":""},{"dropping-particle":"","family":"Sevegnani","given":"Lucia","non-dropping-particle":"","parse-names":false,"suffix":""},{"dropping-particle":"De","family":"Gasper","given":"André Luis","non-dropping-particle":"","parse-names":false,"suffix":""},{"dropping-particle":"","family":"Lingner","given":"Débora Vanessa","non-dropping-particle":"","parse-names":false,"suffix":""}],"id":"ITEM-1","issued":{"date-parts":[["2013"]]},"page":"157-189","publisher":"Edifurb","publisher-place":"Blumenau","title":"Fitossociologia do componente arbóreo/arbustivo da Floresta Ombrófila Mista no Estado de Santa Catarina","type":"chapter"},"uris":["http://www.mendeley.com/documents/?uuid=9bfebecb-9c29-4838-bceb-445ccb124e25"]},{"id":"ITEM-2","itemData":{"DOI":"10.1371/journal.pone.0105043","ISBN":"1932-6203 (Electronic)\\r1932-6203 (Linking)","ISSN":"19326203","PMID":"25121495","abstract":"Phylobetadiversity is defined as the phylogenetic resemblance between communities or biomes. Analyzing phylobetadiversity patterns among different vegetation physiognomies within a single biome is crucial to understand the historical affinities between them. Based on the widely accepted idea that different forest physiognomies within the Southern Brazilian Atlantic Forest constitute different facies of a single biome, we hypothesize that more recent phylogenetic nodes should drive phylobetadiversity gradients between the different forest types within the Atlantic Forest, as the phylogenetic divergence among those forest types is biogeographically recent. We compiled information from 206 checklists describing the occurrence of shrub/tree species across three different forest physiognomies within the Southern Brazilian Atlantic Forest (Dense, Mixed and Seasonal forests). We analyzed intra-site phylogenetic structure (phylogenetic diversity, net relatedness index and nearest taxon index) and phylobetadiversity between plots located at different forest types, using five different methods differing in sensitivity to either basal or terminal nodes (phylogenetic fuzzy weighting, COMDIST, COMDISTNT, UniFrac and Rao's H). Mixed forests showed higher phylogenetic diversity and overdispersion than the other forest types. Furthermore, all forest types differed from each other in relation phylobetadiversity patterns, particularly when phylobetadiversity methods more sensitive to terminal nodes were employed. Mixed forests tended to show higher phylogenetic differentiation to Dense and Seasonal forests than these latter from each other. The higher phylogenetic diversity and phylobetadiversity levels found in Mixed forests when compared to the others likely result from the biogeographical origin of several taxa occurring in these forests. On one hand, Mixed forests shelter several temperate taxa, like the conifers Araucaria and Podocarpus. On the other hand, tropical groups, like Myrtaceae, are also very representative of this forest type. We point out to the need of more attention to Mixed forests as a conservation target within the Brazilian Atlantic Forest given their high phylogenetic uniqueness.","author":[{"dropping-particle":"","family":"Duarte","given":"Leandro Da Silva","non-dropping-particle":"","parse-names":false,"suffix":""},{"dropping-particle":"","family":"Bergamin","given":"Rodrigo Scarton","non-dropping-particle":"","parse-names":false,"suffix":""},{"dropping-particle":"","family":"Marcilio-Silva","given":"Vin??cius","non-dropping-particle":"","parse-names":false,"suffix":""},{"dropping-particle":"","family":"Seger","given":"Guilherme Dubal Dos Santos","non-dropping-particle":"","parse-names":false,"suffix":""},{"dropping-particle":"","family":"Marques","given":"M??rcia Cristina Mendes","non-dropping-particle":"","parse-names":false,"suffix":""}],"container-title":"PLoS ONE","id":"ITEM-2","issue":"8","issued":{"date-parts":[["2014"]]},"note":"Mixed forests are phylogenetically distinct (good quote on this) as a result of their biogeographic origins and therefore need conservation. They're more different to ATF and SDF than these two are to each other","title":"Phylobetadiversity among forest types in the Brazilian Atlantic Forest complex","type":"article-journal","volume":"9"},"uris":["http://www.mendeley.com/documents/?uuid=506a37b5-2d1f-3b7d-9643-fa4ce618b26f"]}],"mendeley":{"formattedCitation":"(Duarte et al., 2014; Meyer et al., 2013)","plainTextFormattedCitation":"(Duarte et al., 2014; Meyer et al., 2013)","previouslyFormattedCitation":"(Duarte et al., 2014; Meyer et al., 2013)"},"properties":{"noteIndex":0},"schema":"https://github.com/citation-style-language/schema/raw/master/csl-citation.json"}</w:instrText>
      </w:r>
      <w:r w:rsidR="002A32A4" w:rsidRPr="0083145E">
        <w:fldChar w:fldCharType="separate"/>
      </w:r>
      <w:r w:rsidR="002A32A4" w:rsidRPr="0083145E">
        <w:rPr>
          <w:noProof/>
        </w:rPr>
        <w:t>(Duarte et al., 2014; Meyer et al., 2013)</w:t>
      </w:r>
      <w:r w:rsidR="002A32A4" w:rsidRPr="0083145E">
        <w:fldChar w:fldCharType="end"/>
      </w:r>
      <w:r w:rsidR="002A32A4" w:rsidRPr="0083145E">
        <w:t>.</w:t>
      </w:r>
    </w:p>
    <w:p w14:paraId="60F25EC5" w14:textId="070B63EA" w:rsidR="00E807BC" w:rsidRPr="0083145E" w:rsidRDefault="00AC616F" w:rsidP="004F4229">
      <w:pPr>
        <w:pStyle w:val="Mynormal"/>
      </w:pPr>
      <w:r>
        <w:rPr>
          <w:i/>
        </w:rPr>
        <w:t>Araucaria</w:t>
      </w:r>
      <w:r>
        <w:t xml:space="preserve"> forest</w:t>
      </w:r>
      <w:r w:rsidRPr="0083145E">
        <w:t xml:space="preserve"> </w:t>
      </w:r>
      <w:r w:rsidR="00507001" w:rsidRPr="0083145E">
        <w:t xml:space="preserve">is not </w:t>
      </w:r>
      <w:r w:rsidR="00E864FF">
        <w:t xml:space="preserve">floristically </w:t>
      </w:r>
      <w:r w:rsidR="00507001" w:rsidRPr="0083145E">
        <w:t>homogenous</w:t>
      </w:r>
      <w:r w:rsidR="00446301" w:rsidRPr="0083145E">
        <w:t>, however</w:t>
      </w:r>
      <w:r w:rsidR="00352E80">
        <w:t xml:space="preserve">. Early studies differentiated eight types of </w:t>
      </w:r>
      <w:r w:rsidR="00352E80">
        <w:rPr>
          <w:i/>
        </w:rPr>
        <w:t xml:space="preserve">Araucaria </w:t>
      </w:r>
      <w:r w:rsidR="00352E80">
        <w:t xml:space="preserve">forest </w:t>
      </w:r>
      <w:r w:rsidR="00352E80">
        <w:fldChar w:fldCharType="begin" w:fldLock="1"/>
      </w:r>
      <w:r w:rsidR="00BD0305">
        <w:instrText>ADDIN CSL_CITATION {"citationItems":[{"id":"ITEM-1","itemData":{"author":[{"dropping-particle":"","family":"Klein","given":"R M","non-dropping-particle":"","parse-names":false,"suffix":""}],"collection-title":"Flora Ilustrada Catarinense","id":"ITEM-1","issued":{"date-parts":[["1978"]]},"number-of-pages":"24","publisher":"Herbário \"Barbosa Rodrigues\"","publisher-place":"Itajai","title":"Mapa fitogeográfico do Estado de Santa Catarina","type":"book"},"uris":["http://www.mendeley.com/documents/?uuid=5e3a016e-d51d-4cf3-b645-4c5bfa646ed5"]}],"mendeley":{"formattedCitation":"(Klein, 1978)","plainTextFormattedCitation":"(Klein, 1978)","previouslyFormattedCitation":"(Klein, 1978)"},"properties":{"noteIndex":0},"schema":"https://github.com/citation-style-language/schema/raw/master/csl-citation.json"}</w:instrText>
      </w:r>
      <w:r w:rsidR="00352E80">
        <w:fldChar w:fldCharType="separate"/>
      </w:r>
      <w:r w:rsidR="00352E80" w:rsidRPr="00352E80">
        <w:rPr>
          <w:noProof/>
        </w:rPr>
        <w:t>(Klein, 1978)</w:t>
      </w:r>
      <w:r w:rsidR="00352E80">
        <w:fldChar w:fldCharType="end"/>
      </w:r>
      <w:r w:rsidR="00AB2FE0">
        <w:t>, and the ecosystem’s</w:t>
      </w:r>
      <w:r w:rsidR="00206E81" w:rsidRPr="0083145E">
        <w:t xml:space="preserve"> mixture of tropical and temperate elements </w:t>
      </w:r>
      <w:r w:rsidR="00B418F6" w:rsidRPr="0083145E">
        <w:t>var</w:t>
      </w:r>
      <w:r w:rsidR="00AB2FE0">
        <w:t>ies</w:t>
      </w:r>
      <w:r w:rsidR="00B418F6" w:rsidRPr="0083145E">
        <w:t xml:space="preserve"> with longitude, altitude, temperature</w:t>
      </w:r>
      <w:r w:rsidR="00571264" w:rsidRPr="0083145E">
        <w:t xml:space="preserve">, </w:t>
      </w:r>
      <w:r w:rsidR="00484171">
        <w:t xml:space="preserve">river basin, and </w:t>
      </w:r>
      <w:r w:rsidR="00B418F6" w:rsidRPr="0083145E">
        <w:t>distance to other forest types</w:t>
      </w:r>
      <w:r w:rsidR="00571264" w:rsidRPr="0083145E">
        <w:t xml:space="preserve"> </w:t>
      </w:r>
      <w:r w:rsidR="00016402">
        <w:fldChar w:fldCharType="begin" w:fldLock="1"/>
      </w:r>
      <w:r w:rsidR="00016402">
        <w:instrText>ADDIN CSL_CITATION {"citationItems":[{"id":"ITEM-1","itemData":{"DOI":"10.1371/journal.pone.0105043","ISBN":"1932-6203 (Electronic)\\r1932-6203 (Linking)","ISSN":"19326203","PMID":"25121495","abstract":"Phylobetadiversity is defined as the phylogenetic resemblance between communities or biomes. Analyzing phylobetadiversity patterns among different vegetation physiognomies within a single biome is crucial to understand the historical affinities between them. Based on the widely accepted idea that different forest physiognomies within the Southern Brazilian Atlantic Forest constitute different facies of a single biome, we hypothesize that more recent phylogenetic nodes should drive phylobetadiversity gradients between the different forest types within the Atlantic Forest, as the phylogenetic divergence among those forest types is biogeographically recent. We compiled information from 206 checklists describing the occurrence of shrub/tree species across three different forest physiognomies within the Southern Brazilian Atlantic Forest (Dense, Mixed and Seasonal forests). We analyzed intra-site phylogenetic structure (phylogenetic diversity, net relatedness index and nearest taxon index) and phylobetadiversity between plots located at different forest types, using five different methods differing in sensitivity to either basal or terminal nodes (phylogenetic fuzzy weighting, COMDIST, COMDISTNT, UniFrac and Rao's H). Mixed forests showed higher phylogenetic diversity and overdispersion than the other forest types. Furthermore, all forest types differed from each other in relation phylobetadiversity patterns, particularly when phylobetadiversity methods more sensitive to terminal nodes were employed. Mixed forests tended to show higher phylogenetic differentiation to Dense and Seasonal forests than these latter from each other. The higher phylogenetic diversity and phylobetadiversity levels found in Mixed forests when compared to the others likely result from the biogeographical origin of several taxa occurring in these forests. On one hand, Mixed forests shelter several temperate taxa, like the conifers Araucaria and Podocarpus. On the other hand, tropical groups, like Myrtaceae, are also very representative of this forest type. We point out to the need of more attention to Mixed forests as a conservation target within the Brazilian Atlantic Forest given their high phylogenetic uniqueness.","author":[{"dropping-particle":"","family":"Duarte","given":"Leandro Da Silva","non-dropping-particle":"","parse-names":false,"suffix":""},{"dropping-particle":"","family":"Bergamin","given":"Rodrigo Scarton","non-dropping-particle":"","parse-names":false,"suffix":""},{"dropping-particle":"","family":"Marcilio-Silva","given":"Vin??cius","non-dropping-particle":"","parse-names":false,"suffix":""},{"dropping-particle":"","family":"Seger","given":"Guilherme Dubal Dos Santos","non-dropping-particle":"","parse-names":false,"suffix":""},{"dropping-particle":"","family":"Marques","given":"M??rcia Cristina Mendes","non-dropping-particle":"","parse-names":false,"suffix":""}],"container-title":"PLoS ONE","id":"ITEM-1","issue":"8","issued":{"date-parts":[["2014"]]},"note":"Mixed forests are phylogenetically distinct (good quote on this) as a result of their biogeographic origins and therefore need conservation. They're more different to ATF and SDF than these two are to each other","title":"Phylobetadiversity among forest types in the Brazilian Atlantic Forest complex","type":"article-journal","volume":"9"},"uris":["http://www.mendeley.com/documents/?uuid=506a37b5-2d1f-3b7d-9643-fa4ce618b26f"]},{"id":"ITEM-2","itemData":{"DOI":"10.1111/aec.12051","ISBN":"2593","ISSN":"14429985","abstract":"We present the first quantification of forest community composition and its relationship with environ- mental factors in South American subtropical Atlantic Forests. In this region, rain, seasonally dry and mixed forests form an ecotonal zone near the parallel of latitude 30°S.To investigate how well current knowledge on climatic effects and biogeographic distribution apply to subtropical ecotones, we tested the following expectations: (i) there is a floristic longitudinal gradient correlated to altitudinal and climatic gradients; (ii) climatic variables are more important than soil factors in shaping floristic composition; and (iii) there are three floristic regions in the southernmost limit of the Atlantic Forest biome that are expected to be distinct in composition, structure and biogeographical origin.We examined floristic composition and its relationship with environmental factors across 52 1-ha permanent study areas in subtropical Brazil, containing in total 269 tree species ? 9.5 dbh (diameter at breast height). Climatic data, related to rainfall seasonality and temperature, as well as soil properties,were compiled from published sources or global data banks. Expectations one and two were confirmed, but expectation three was only partially met. Hierarchical cluster analysis divided the southernmost Atlantic Forests into four major groups (Rain, Seasonally Dry,Western Mixed and Eastern Mixed Forests). Overall, the tested environmental variables differed significantly among the four regions. Using indicator species analysis, we distinguished 46 indicator species, which had significant environmental preferences for one floristic region. These species can be used as indicators of environmental conditions or to determine to which floristic region a certain forest belongs. Biogeographic distri- butions differed between floristic groups, supporting the interpretation that Eastern Mixed Forests are relict forests of a temperate forest of Andean origin that occurred during colder palaeoclimates.Western Mixed Forests represent the main floristic ecotone between Seasonally dry and Eastern Mixed Forests.","author":[{"dropping-particle":"","family":"Gonçalves","given":"Erivelton Tomazzoni","non-dropping-particle":"","parse-names":false,"suffix":""},{"dropping-particle":"","family":"Souza","given":"Alexandre F.","non-dropping-particle":"","parse-names":false,"suffix":""}],"container-title":"Austral Ecology","id":"ITEM-2","issue":"1","issued":{"date-parts":[["2014","2"]]},"note":"Looks at forestry plots in RS to examine the floristics of the state's forests, especially at ecotones. Finds that they generally vary E-W, related to altitude (and climate), that soil's not massively important, and that MOF can be separated between east and west. \nAlso has indicator spp for each forest type, and says useful things about the origins of MOF/relict status (though it's not simply that) etc","page":"122-134","title":"Floristic variation in ecotonal areas: Patterns, determinants and biogeographic origins of subtropical forests in South America","type":"article-journal","volume":"39"},"uris":["http://www.mendeley.com/documents/?uuid=bcaa7de8-2350-4044-902a-888cefc4a0e5"]},{"id":"ITEM-3","itemData":{"author":[{"dropping-particle":"","family":"Klein","given":"Roberto M.","non-dropping-particle":"","parse-names":false,"suffix":""}],"container-title":"Boletim Paranaense de Geociências","id":"ITEM-3","issued":{"date-parts":[["1975"]]},"page":"67-88","title":"Southern Brazilian phytogeographic features and the probable influence of upper Quaternary climatic changes in the floristic distribution","type":"article-journal","volume":"33"},"uris":["http://www.mendeley.com/documents/?uuid=96f58c7d-b821-4664-ab3d-2a469bfc2a28"]},{"id":"ITEM-4","itemData":{"DOI":"10.1016/j.actao.2016.10.002","ISSN":"1146609X","abstract":"This study aimed to analyze the influence of environmental factors in determining the variation in forest structure. We obtained the data through sampling units placed regularly in a grid of 10??km??????10??km in the state of Santa Catarina, southern Brazil. The axes of Detendred Correspondence Analysis summarized the vegetation structure and we used these as response variables in ordinary least square models, and environmental variables as predictors. Moran Eigenvector Maps were used as spatial predictors, enabling the variance partitioning. The results revealed influence of climatic factors, especially thermal and rainfall in determining the vegetation structure. The physical geography (high plateaus) and positioning below the Tropic of Capricorn line are the main static elements influencing the climate and therefore the vegetation.","author":[{"dropping-particle":"","family":"Sevegnani","given":"Lucia","non-dropping-particle":"","parse-names":false,"suffix":""},{"dropping-particle":"","family":"Uhlmann","given":"Alexandre","non-dropping-particle":"","parse-names":false,"suffix":""},{"dropping-particle":"de","family":"Gasper","given":"Andre Luis","non-dropping-particle":"","parse-names":false,"suffix":""},{"dropping-particle":"","family":"Meyer","given":"Leila","non-dropping-particle":"","parse-names":false,"suffix":""},{"dropping-particle":"","family":"Vibrans","given":"Alexander Christian","non-dropping-particle":"","parse-names":false,"suffix":""}],"container-title":"Acta Oecologica","id":"ITEM-4","issued":{"date-parts":[["2016"]]},"note":"Hard to say exactly which environmental variables are important because there's lots of autocorrelation, but altitude is most responsible for FOM structure variation. There's an important thermal gradient (which is linked to altitude), and also rainfall related things which are also influenced by longitude. The gradient is so long there should be significant difference in forest composition from one end to the other.","page":"109-117","title":"Climate affects the structure of mixed rain forest in southern sector of Atlantic domain in Brazil","type":"article-journal","volume":"77"},"uris":["http://www.mendeley.com/documents/?uuid=57bf998c-ef06-37f3-9a82-bd579c170bd6"]},{"id":"ITEM-5","itemData":{"DOI":"10.1590/S1806-99592012000200004","ISBN":"3442","ISSN":"1806-9959","abstract":"The present study examined the floristic composition of three fragments of Araucaria Forest (AF) in the Planalto Catarinense region of southern Brazil as well as the floristic contextualization of these areas in relation to other remnant AF sites. Three AF fragments at different altitudes were analyzed in the municipalities of Campos Novos, Lages, and Painel. Fifty 200 m2 plots were examined in each fragment and all of the trees with CBH (circumference at breast height) ≥ 15.7 cm were identified. In order to floristically contextualize the study fragments, comparisons were made with other remnant AF sites by way of dendrograms and NMDS (Non-metric multidimensional scaling). Environmental and spatial variables were plotted on the diagram produced by the NMDS to evaluate their influence on the floristic patterns encountered. The forest fragments studied demonstrated high floristic heterogeneity, indicating that AFs cannot be considered homogeneous formations and they could be classified into 3 phytogeographical categories: i) high altitude areas influenced by cloud cover/fog, including the Painel region; ii) areas of lesser altitude and greater mean annual temperatures situated in the Paraná River basin, and iii) areas situated in the Paraná and Upper-Uruguay river basins and the smaller basins draining directly into the southern Atlantic, near Campos Novos and Lages. The environmental variables most highly correlated with species substitutions among the sites were altitude, mean annual temperature, and the mean temperature of the most humid trimester.","author":[{"dropping-particle":"","family":"Higuchi","given":"Pedro","non-dropping-particle":"","parse-names":false,"suffix":""},{"dropping-particle":"da","family":"Silva","given":"Ana Carolina","non-dropping-particle":"","parse-names":false,"suffix":""},{"dropping-particle":"","family":"Sousa-Ferreira","given":"Tiago","non-dropping-particle":"","parse-names":false,"suffix":""},{"dropping-particle":"de","family":"Souza","given":"Sheila Trierveiler","non-dropping-particle":"","parse-names":false,"suffix":""},{"dropping-particle":"","family":"Pereira-Gomes","given":"Juliano","non-dropping-particle":"","parse-names":false,"suffix":""},{"dropping-particle":"da","family":"Silva","given":"Karina Montibeller","non-dropping-particle":"","parse-names":false,"suffix":""},{"dropping-particle":"do","family":"Santos","given":"Kristiana Fiorentin","non-dropping-particle":"","parse-names":false,"suffix":""}],"container-title":"Brazilian Journal of Botany","id":"ITEM-5","issue":"2","issued":{"date-parts":[["2012"]]},"note":"Three main phytogeographical units teased out: high altitude, low altitude and hotter in the Parana river basin, and Parana/Upper Uruguay river basins and other basins. The forests aren't homogenous. These results back up the findings of Klein (1978), and are worth discussing as it shows the importance of doing people-focussed palaeoecology in different forest types (Maca's is different to mine)","page":"145-157","title":"Floristic composition and phytogeography of the tree component of Araucaria Forest fragments in southern Brazil","type":"article-journal","volume":"35"},"uris":["http://www.mendeley.com/documents/?uuid=63bac448-02ed-3cd8-9bce-4c6bb037c528"]},{"id":"ITEM-6","itemData":{"DOI":"10.1093/jpe/rtt058","ISBN":"2850","ISSN":"1752993X","abstract":"AimsWe analyse here the variations in species composition and richness and the geographic ranges of the tree species occurring in South American subtropical Atlantic and Pampean forests. Our goals were to assess (i) the floristic consistency of usual classifications based on vegetation physiognomy, climate and elevation; (ii) the leading role of temperature-related variables on the variations in species composition and richness; (iii) the predominance of species with tropical-subtropical ranges, possibly as a result of forest expansion over grasslands after the Last Glacial Maximum (LGM); (iv) the restriction of most subtropical endemics to stressful habitats as a possible result of past forest refuges during the LGM. MethodsThe region was defined by the Tropic of Capricorn to the north, the Rio de la Plata to the south, the Atlantic shoreline to the east and the catchment areas of the upper Parana and Uruguay Rivers to the west. Multivariate analyses, multiple regression modelling and variance partition analyses were performed on a database containing 63 994 occurrence records of 1555 tree species in 491 forest sites and 48 environmental variables. All species were also classified according to their known geographic range. Important FindingsA main differentiation in species composition and richness was observed between the eastern windward coastlands (rain and cloud forests) and western leeward hinterlands (Araucaria and semi-deciduous forests). Pre-defined forest types on both sides were consistent with variations in tree species composition, which were significantly related to both environmental variables and spatial proximity, with extremes of low temperature playing a chief role. Tree species richness declined substantially towards the south and also from rain to seasonal forests and towards the highland summits and sandy shores. Species richness was significantly correlated with both minimum temperature and actual evapotranspiration. About 91% of the subtropical flora is shared with the much richer tropical flora, probably extracting species that can cope with frost outbreaks. The 145 subtropical endemics were not concentrated in harsher habitats.","author":[{"dropping-particle":"","family":"Oliveira-Filho","given":"Ary T","non-dropping-particle":"","parse-names":false,"suffix":""},{"dropping-particle":"","family":"Budke","given":"Jean C","non-dropping-particle":"","parse-names":false,"suffix":""},{"dropping-particle":"","family":"Jarenkow","given":"Jo??o A","non-dropping-particle":"","parse-names":false,"suffix":""},{"dropping-particle":"V","family":"Eisenlohr","given":"Pedro","non-dropping-particle":"","parse-names":false,"suffix":""},{"dropping-particle":"","family":"Neves","given":"Danilo R M","non-dropping-particle":"","parse-names":false,"suffix":""}],"container-title":"Journal of Plant Ecology","id":"ITEM-6","issue":"3","</w:instrText>
      </w:r>
      <w:r w:rsidR="00016402" w:rsidRPr="004C4948">
        <w:rPr>
          <w:lang w:val="da-DK"/>
        </w:rPr>
        <w:instrText>issued":{"date-parts":[["2014","6","1"]]},"note":"Read this in a bit of a bitty fashion, but it's a big floristic study of the subtropical Atlantic Forest. There's an interesting fine classification of MOF, and stuff on how it's a continuum based on conditions (and what conditions segregates it from other forest types). It's also a kind of seasonal forest (like SDF), just with Aa. Lots of things in the discussion about the post-LGM development of the forests, some of which seem to contradict the general (?extrapolated) pollen story and might work favourably with my modelling","page":"242-260","title":"Delving into the variations in tree species composition and richness across South American subtropical Atlantic and Pampean forests","type":"article-journal","volume":"8"},"uris":["http://www.mendeley.com/documents/?uuid=d6a6382c-dd4b-3323-9d5e-12afd40294e2"]}],"mendeley":{"formattedCitation":"(Duarte et al., 2014; Gonçalves and Souza, 2014; Higuchi et al., 2012; Klein, 1975; Oliveira-Filho et al., 2014; Sevegnani et al., 2016)","plainTextFormattedCitation":"(Duarte et al., 2014; Gonçalves and Souza, 2014; Higuchi et al., 2012; Klein, 1975; Oliveira-Filho et al., 2014; Sevegnani et al., 2016)","previouslyFormattedCitation":"(Duarte et al., 2014; Gonçalves and Souza, 2014; Higuchi et al., 2012; Klein, 1975; Oliveira-Filho et al., 2014; Sevegnani et al., 2016)"},"properties":{"noteIndex":0},"schema":"https://github.com/citation-style-language/schema/raw/master/csl-citation.json"}</w:instrText>
      </w:r>
      <w:r w:rsidR="00016402">
        <w:fldChar w:fldCharType="separate"/>
      </w:r>
      <w:r w:rsidR="00016402" w:rsidRPr="004C4948">
        <w:rPr>
          <w:noProof/>
          <w:lang w:val="da-DK"/>
        </w:rPr>
        <w:t>(Duarte et al., 2014; Gonçalves and Souza, 2014; Higuchi et al., 2012; Klein, 1975; Oliveira-Filho et al., 2014; Sevegnani et al., 2016)</w:t>
      </w:r>
      <w:r w:rsidR="00016402">
        <w:fldChar w:fldCharType="end"/>
      </w:r>
      <w:r w:rsidR="00571264" w:rsidRPr="004C4948">
        <w:rPr>
          <w:lang w:val="da-DK"/>
        </w:rPr>
        <w:t>.</w:t>
      </w:r>
      <w:r w:rsidR="00A97369" w:rsidRPr="004C4948">
        <w:rPr>
          <w:lang w:val="da-DK"/>
        </w:rPr>
        <w:t xml:space="preserve"> </w:t>
      </w:r>
      <w:r w:rsidR="00A97369" w:rsidRPr="0083145E">
        <w:t>At higher altitudes</w:t>
      </w:r>
      <w:r w:rsidR="00BD0305">
        <w:t>, under drier conditions</w:t>
      </w:r>
      <w:r w:rsidR="00A97369" w:rsidRPr="0083145E">
        <w:t xml:space="preserve"> and in areas of high fire frequencies and shallower soils, </w:t>
      </w:r>
      <w:r>
        <w:rPr>
          <w:i/>
        </w:rPr>
        <w:t>Araucaria</w:t>
      </w:r>
      <w:r>
        <w:t xml:space="preserve"> forest</w:t>
      </w:r>
      <w:r w:rsidRPr="0083145E">
        <w:t xml:space="preserve"> </w:t>
      </w:r>
      <w:r w:rsidR="00A97369" w:rsidRPr="0083145E">
        <w:t xml:space="preserve">forms mosaics with campos grasslands </w:t>
      </w:r>
      <w:r w:rsidR="00A97369" w:rsidRPr="0083145E">
        <w:fldChar w:fldCharType="begin" w:fldLock="1"/>
      </w:r>
      <w:r w:rsidR="00571B4A">
        <w:instrText>ADDIN CSL_CITATION {"citationItems":[{"id":"ITEM-1","itemData":{"DOI":"10.1093/jpe/rtt058","ISBN":"2850","ISSN":"1752993X","abstract":"AimsWe analyse here the variations in species composition and richness and the geographic ranges of the tree species occurring in South American subtropical Atlantic and Pampean forests. Our goals were to assess (i) the floristic consistency of usual classifications based on vegetation physiognomy, climate and elevation; (ii) the leading role of temperature-related variables on the variations in species composition and richness; (iii) the predominance of species with tropical-subtropical ranges, possibly as a result of forest expansion over grasslands after the Last Glacial Maximum (LGM); (iv) the restriction of most subtropical endemics to stressful habitats as a possible result of past forest refuges during the LGM. MethodsThe region was defined by the Tropic of Capricorn to the north, the Rio de la Plata to the south, the Atlantic shoreline to the east and the catchment areas of the upper Parana and Uruguay Rivers to the west. Multivariate analyses, multiple regression modelling and variance partition analyses were performed on a database containing 63 994 occurrence records of 1555 tree species in 491 forest sites and 48 environmental variables. All species were also classified according to their known geographic range. Important FindingsA main differentiation in species composition and richness was observed between the eastern windward coastlands (rain and cloud forests) and western leeward hinterlands (Araucaria and semi-deciduous forests). Pre-defined forest types on both sides were consistent with variations in tree species composition, which were significantly related to both environmental variables and spatial proximity, with extremes of low temperature playing a chief role. Tree species richness declined substantially towards the south and also from rain to seasonal forests and towards the highland summits and sandy shores. Species richness was significantly correlated with both minimum temperature and actual evapotranspiration. About 91% of the subtropical flora is shared with the much richer tropical flora, probably extracting species that can cope with frost outbreaks. The 145 subtropical endemics were not concentrated in harsher habitats.","author":[{"dropping-particle":"","family":"Oliveira-Filho","given":"Ary T","non-dropping-particle":"","parse-names":false,"suffix":""},{"dropping-particle":"","family":"Budke","given":"Jean C","non-dropping-particle":"","parse-names":false,"suffix":""},{"dropping-particle":"","family":"Jarenkow","given":"Jo??o A","non-dropping-particle":"","parse-names":false,"suffix":""},{"dropping-particle":"V","family":"Eisenlohr","given":"Pedro","non-dropping-particle":"","parse-names":false,"suffix":""},{"dropping-particle":"","family":"Neves","given":"Danilo R M","non-dropping-particle":"","parse-names":false,"suffix":""}],"container-title":"Journal of Plant Ecology","id":"ITEM-1","issue":"3","issued":{"date-parts":[["2014","6","1"]]},"note":"Read this in a bit of a bitty fashion, but it's a big floristic study of the subtropical Atlantic Forest. There's an interesting fine classification of MOF, and stuff on how it's a continuum based on conditions (and what conditions segregates it from other forest types). It's also a kind of seasonal forest (like SDF), just with Aa. Lots of things in the discussion about the post-LGM development of the forests, some of which seem to contradict the general (?extrapolated) pollen story and might work favourably with my modelling","page":"242-260","title":"Delving into the variations in tree species composition and richness across South American subtropical Atlantic and Pampean forests","type":"article-journal","volume":"8"},"uris":["http://www.mendeley.com/documents/?uuid=d6a6382c-dd4b-3323-9d5e-12afd40294e2"]},{"id":"ITEM-2","itemData":{"DOI":"10.1007/978-1-4614-3797-0_7","ISBN":"9781461437970","ISSN":"1098-6596","PMID":"25246403","abstract":"The southernmost part of Brazil is characterized by extended grasslands—the southern Campos. In some parts of the region, these grasslands occur in close contact with different forest types of the Atlantic forest biome or riparian forests, forming mosaics. Otherwise, they form large and continuous areas toward south and southwest, where they reach the Pampa grassland of Uruguay and Argentina. Throughout this region, forest expansion and/or shrub encroachment can be observed and have been related both to site conditions (abiotic variables and disturbance regimes) and climatic changes. We know today, based on studies of pollen records from peat profiles, that expansion of woody vegetation throughout the past centuries was driven by changes in the climatic conditions towards a climate increasingly favorable for forest development, and evidence exists that this process is halted or at least slowed down as consequence of land use and disturbances. Current vegetation dynamics in forest-grassland ecotones thus likely are linked both to climatic changes (on the regional scale) and vegetation management and/or disturbance regime (on the local scale).","author":[{"dropping-particle":"","family":"Müller","given":"Sandra Cristina","non-dropping-particle":"","parse-names":false,"suffix":""},{"dropping-particle":"","family":"Overbeck","given":"Gerhard E.","non-dropping-particle":"","parse-names":false,"suffix":""},{"dropping-particle":"","family":"Blanco","given":"Carolina C.","non-dropping-particle":"","parse-names":false,"suffix":""},{"dropping-particle":"","family":"Oliveira","given":"Juliano M.","non-dropping-particle":"de","parse-names":false,"suffix":""},{"dropping-particle":"","family":"Pillar","given":"Valério D.","non-dropping-particle":"","parse-names":false,"suffix":""}],"chapter-number":"7","container-title":"Ecotones Between Forest and Grassland","editor":[{"dropping-particle":"","family":"Myster","given":"Randall W.","non-dropping-particle":"","parse-names":false,"suffix":""}],"id":"ITEM-2","issued":{"date-parts":[["2012"]]},"note":"General overview of campos-forest mosaic maintenance (sp??), mostly from the point of view of campos persistence. Grazing and fire pressures described and explained","page":"167-187","publisher":"Springer New York","publisher-place":"New York, NY","title":"South Brazilian Forest-Grassland Ecotones: Dynamics Affected by Climate, Disturbance, and Woody Species Traits","type":"chapter","volume":"9781461437"},"uris":["http://www.mendeley.com/documents/?uuid=8188166e-730b-4178-99e9-ce95a661de13"]},{"id":"ITEM-3","itemData":{"author":[{"dropping-particle":"","family":"Hueck","given":"Kurt","non-dropping-particle":"","parse-names":false,"suffix":""}],"id":"ITEM-3","issued":{"date-parts":[["1966"]]},"publisher":"G. Fischer","publisher-place":"Stuttgart","title":"Die Wälder Südamerikas: Ökologie, Zusammensetzung und wirtschaftliche Bedeutung","type":"book"},"uris":["http://www.mendeley.com/documents/?uuid=3290bcfd-85b1-36c6-aa16-ca4db7f92e85"]}],"mendeley":{"formattedCitation":"(Hueck, 1966; Müller et al., 2012; Oliveira-Filho et al., 2014)","plainTextFormattedCitation":"(Hueck, 1966; Müller et al., 2012; Oliveira-Filho et al., 2014)","previouslyFormattedCitation":"(Hueck, 1966; Müller et al., 2012; Oliveira-Filho et al., 2014)"},"properties":{"noteIndex":0},"schema":"https://github.com/citation-style-language/schema/raw/master/csl-citation.json"}</w:instrText>
      </w:r>
      <w:r w:rsidR="00A97369" w:rsidRPr="0083145E">
        <w:fldChar w:fldCharType="separate"/>
      </w:r>
      <w:r w:rsidR="00BD0305" w:rsidRPr="00BD0305">
        <w:rPr>
          <w:noProof/>
        </w:rPr>
        <w:t>(Hueck, 1966; Müller et al., 2012; Oliveira-Filho et al., 2014)</w:t>
      </w:r>
      <w:r w:rsidR="00A97369" w:rsidRPr="0083145E">
        <w:fldChar w:fldCharType="end"/>
      </w:r>
      <w:r w:rsidR="00A97369" w:rsidRPr="0083145E">
        <w:t xml:space="preserve">, with other ecotones occurring with seasonally deciduous and dense ombrophilous forests at its western and eastern extents, respectively </w:t>
      </w:r>
      <w:r w:rsidR="00A97369" w:rsidRPr="0083145E">
        <w:fldChar w:fldCharType="begin" w:fldLock="1"/>
      </w:r>
      <w:r w:rsidR="005A4773">
        <w:instrText>ADDIN CSL_CITATION {"citationItems":[{"id":"ITEM-1","itemData":{"DOI":"10.1093/jpe/rtt058","ISBN":"2850","ISSN":"1752993X","abstract":"AimsWe analyse here the variations in species composition and richness and the geographic ranges of the tree species occurring in South American subtropical Atlantic and Pampean forests. Our goals were to assess (i) the floristic consistency of usual classifications based on vegetation physiognomy, climate and elevation; (ii) the leading role of temperature-related variables on the variations in species composition and richness; (iii) the predominance of species with tropical-subtropical ranges, possibly as a result of forest expansion over grasslands after the Last Glacial Maximum (LGM); (iv) the restriction of most subtropical endemics to stressful habitats as a possible result of past forest refuges during the LGM. MethodsThe region was defined by the Tropic of Capricorn to the north, the Rio de la Plata to the south, the Atlantic shoreline to the east and the catchment areas of the upper Parana and Uruguay Rivers to the west. Multivariate analyses, multiple regression modelling and variance partition analyses were performed on a database containing 63 994 occurrence records of 1555 tree species in 491 forest sites and 48 environmental variables. All species were also classified according to their known geographic range. Important FindingsA main differentiation in species composition and richness was observed between the eastern windward coastlands (rain and cloud forests) and western leeward hinterlands (Araucaria and semi-deciduous forests). Pre-defined forest types on both sides were consistent with variations in tree species composition, which were significantly related to both environmental variables and spatial proximity, with extremes of low temperature playing a chief role. Tree species richness declined substantially towards the south and also from rain to seasonal forests and towards the highland summits and sandy shores. Species richness was significantly correlated with both minimum temperature and actual evapotranspiration. About 91% of the subtropical flora is shared with the much richer tropical flora, probably extracting species that can cope with frost outbreaks. The 145 subtropical endemics were not concentrated in harsher habitats.","author":[{"dropping-particle":"","family":"Oliveira-Filho","given":"Ary T","non-dropping-particle":"","parse-names":false,"suffix":""},{"dropping-particle":"","family":"Budke","given":"Jean C","non-dropping-particle":"","parse-names":false,"suffix":""},{"dropping-particle":"","family":"Jarenkow","given":"Jo??o A","non-dropping-particle":"","parse-names":false,"suffix":""},{"dropping-particle":"V","family":"Eisenlohr","given":"Pedro","non-dropping-particle":"","parse-names":false,"suffix":""},{"dropping-particle":"","family":"Neves","given":"Danilo R M","non-dropping-particle":"","parse-names":false,"suffix":""}],"container-title":"Journal of Plant Ecology","id":"ITEM-1","issue":"3","issued":{"date-parts":[["2014","6","1"]]},"note":"Read this in a bit of a bitty fashion, but it's a big floristic study of the subtropical Atlantic Forest. There's an interesting fine classification of MOF, and stuff on how it's a continuum based on conditions (and what conditions segregates it from other forest types). It's also a kind of seasonal forest (like SDF), just with Aa. Lots of things in the discussion about the post-LGM development of the forests, some of which seem to contradict the general (?extrapolated) pollen story and might work favourably with my modelling","page":"242-260","title":"Delving into the variations in tree species composition and richness across South American subtropical Atlantic and Pampean forests","type":"article-journal","volume":"8"},"uris":["http://www.mendeley.com/documents/?uuid=d6a6382c-dd4b-3323-9d5e-12afd40294e2"]},{"id":"ITEM-2","itemData":{"DOI":"10.1111/aec.12051","ISBN":"2593","ISSN":"14429985","abstract":"We present the first quantification of forest community composition and its relationship with environ- mental factors in South American subtropical Atlantic Forests. In this region, rain, seasonally dry and mixed forests form an ecotonal zone near the parallel of latitude 30°S.To investigate how well current knowledge on climatic effects and biogeographic distribution apply to subtropical ecotones, we tested the following expectations: (i) there is a floristic longitudinal gradient correlated to altitudinal and climatic gradients; (ii) climatic variables are more important than soil factors in shaping floristic composition; and (iii) there are three floristic regions in the southernmost limit of the Atlantic Forest biome that are expected to be distinct in composition, structure and biogeographical origin.We examined floristic composition and its relationship with environmental factors across 52 1-ha permanent study areas in subtropical Brazil, containing in total 269 tree species ? 9.5 dbh (diameter at breast height). Climatic data, related to rainfall seasonality and temperature, as well as soil properties,were compiled from published sources or global data banks. Expectations one and two were confirmed, but expectation three was only partially met. Hierarchical cluster analysis divided the southernmost Atlantic Forests into four major groups (Rain, Seasonally Dry,Western Mixed and Eastern Mixed Forests). Overall, the tested environmental variables differed significantly among the four regions. Using indicator species analysis, we distinguished 46 indicator species, which had significant environmental preferences for one floristic region. These species can be used as indicators of environmental conditions or to determine to which floristic region a certain forest belongs. Biogeographic distri- butions differed between floristic groups, supporting the interpretation that Eastern Mixed Forests are relict forests of a temperate forest of Andean origin that occurred during colder palaeoclimates.Western Mixed Forests represent the main floristic ecotone between Seasonally dry and Eastern Mixed Forests.","author":[{"dropping-particle":"","family":"Gonçalves","given":"Erivelton Tomazzoni","non-dropping-particle":"","parse-names":false,"suffix":""},{"dropping-particle":"","family":"Souza","given":"Alexandre F.","non-dropping-particle":"","parse-names":false,"suffix":""}],"container-title":"Austral Ecology","id":"ITEM-2","issue":"1","issued":{"date-parts":[["2014","2"]]},"note":"Looks at forestry plots in RS to examine the floristics of the state's forests, especially at ecotones. Finds that they generally vary E-W, related to altitude (and climate), that soil's not massively important, and that MOF can be separated between east and west. \nAlso has indicator spp for each forest type, and says useful things about the origins of MOF/relict status (though it's not simply that) etc","page":"122-134","title":"Floristic variation in ecotonal areas: Patterns, determinants and biogeographic origins of subtropical forests in South America","type":"article-journal","volume":"39"},"uris":["http://www.mendeley.com/documents/?uuid=bcaa7de8-2350-4044-902a-888cefc4a0e5"]}],"mendeley":{"formattedCitation":"(Gonçalves and Souza, 2014; Oliveira-Filho et al., 2014)","plainTextFormattedCitation":"(Gonçalves and Souza, 2014; Oliveira-Filho et al., 2014)","previouslyFormattedCitation":"(Gonçalves and Souza, 2014; Oliveira-Filho et al., 2014)"},"properties":{"noteIndex":0},"schema":"https://github.com/citation-style-language/schema/raw/master/csl-citation.json"}</w:instrText>
      </w:r>
      <w:r w:rsidR="00A97369" w:rsidRPr="0083145E">
        <w:fldChar w:fldCharType="separate"/>
      </w:r>
      <w:r w:rsidR="00A97369" w:rsidRPr="0083145E">
        <w:rPr>
          <w:noProof/>
        </w:rPr>
        <w:t>(Gonçalves and Souza, 2014; Oliveira-Filho et al., 2014)</w:t>
      </w:r>
      <w:r w:rsidR="00A97369" w:rsidRPr="0083145E">
        <w:fldChar w:fldCharType="end"/>
      </w:r>
      <w:r w:rsidR="00A97369" w:rsidRPr="0083145E">
        <w:t>.</w:t>
      </w:r>
    </w:p>
    <w:p w14:paraId="5E413AC4" w14:textId="61FDB12A" w:rsidR="00507001" w:rsidRPr="0083145E" w:rsidRDefault="00255D89" w:rsidP="004F4229">
      <w:pPr>
        <w:pStyle w:val="Mynormal"/>
      </w:pPr>
      <w:r w:rsidRPr="0083145E">
        <w:t xml:space="preserve">Fossil pollen records </w:t>
      </w:r>
      <w:r w:rsidR="00D64DF6" w:rsidRPr="0083145E">
        <w:t>from</w:t>
      </w:r>
      <w:r w:rsidRPr="0083145E">
        <w:t xml:space="preserve"> the eastern </w:t>
      </w:r>
      <w:r w:rsidR="00F25C42" w:rsidRPr="0083145E">
        <w:t xml:space="preserve">edge of </w:t>
      </w:r>
      <w:r w:rsidR="005A4773">
        <w:t>southern Brazil’s</w:t>
      </w:r>
      <w:r w:rsidR="005A4773" w:rsidRPr="0083145E">
        <w:t xml:space="preserve"> </w:t>
      </w:r>
      <w:r w:rsidR="00F25C42" w:rsidRPr="0083145E">
        <w:t xml:space="preserve">highland plateau show that </w:t>
      </w:r>
      <w:r w:rsidR="00D64DF6" w:rsidRPr="0083145E">
        <w:t xml:space="preserve">the area was dominated by campos at the Last Glacial Maximum, with </w:t>
      </w:r>
      <w:r w:rsidR="001D2563">
        <w:rPr>
          <w:i/>
        </w:rPr>
        <w:t>Araucaria</w:t>
      </w:r>
      <w:r w:rsidR="001D2563">
        <w:t xml:space="preserve"> forest</w:t>
      </w:r>
      <w:r w:rsidR="001D2563" w:rsidRPr="0083145E">
        <w:t xml:space="preserve"> </w:t>
      </w:r>
      <w:r w:rsidR="006A3236" w:rsidRPr="0083145E">
        <w:t>likely confined to river valleys</w:t>
      </w:r>
      <w:r w:rsidR="00A01481" w:rsidRPr="0083145E">
        <w:t xml:space="preserve"> </w:t>
      </w:r>
      <w:r w:rsidR="00A01481" w:rsidRPr="0083145E">
        <w:fldChar w:fldCharType="begin" w:fldLock="1"/>
      </w:r>
      <w:r w:rsidR="005A4773">
        <w:instrText>ADDIN CSL_CITATION {"citationItems":[{"id":"ITEM-1","itemData":{"DOI":"10.1016/S0031-0182(01)00349-2","ISBN":"0031-0182","ISSN":"00310182","abstract":"Fourteen pollen records from the south (S) and the southeast (SE) Brazilian regions have been synthesised. Late Glacial records from S Brazilian highlands document the predominance of grassland (campos) where today Araucaria forests occur. Records from SE Brazil show that during pre- and full-glacial times modern tropical semideciduous forest and cerrado (savanna to dry forest) were mostly replaced by grassland and some subtropical gallery forest. Modern montane Araucaria forests and cloud forests in SE Brazil were mostly replaced by grassland during pre- and full-glacial times. There is evidence that the modern tropical Atlantic rainforest in S Brazil was significantly reduced and replaced by cold-adapted forest taxa or grassland during glacial, especially during full-glacial times. The synthesis indicates that grasslands dominated the S and SE Brazilian landscape during the Late Pleistocene where today different forest ecosystems exist. Grassland extended over 750 km from S to SE Brazil from latitudes of about 28??/27?? S to at least 20?? S. These results indicate that climates in the region were markedly drier and 5-7??C cooler during glacial times. Antarctic cold fronts must have been much stronger and more frequent than today. Studies from S Brazil show that huge areas of Late Pleistocene campos vegetation were still found on the S Brazilian highlands during early and mid Holocene times, reflecting dry climatic conditions with an annual dry period of probably 3 months. Modern wet climatic conditions with no or only short dry periods were not established until the Late Holocene period when Araucaria forests replaced large areas of grassland vegetation after about 3000 14C yr B.P. and especially after 1500/1000 14C yr B.P. ?? 2002 Elsevier Science B.V. All rights reserved.","author":[{"dropping-particle":"","family":"Behling","given":"Hermann","non-dropping-particle":"","parse-names":false,"suffix":""}],"container-title":"Palaeogeography, Palaeoclimatology, Palaeoecology","id":"ITEM-1","issue":"1-2","issued":{"date-parts":[["2002"]]},"note":"A review looking at campos in southern and southeastern Brazil from the Pleistocene to the present. No new palaeoecological information presented but does emphasise the significance of campos in its own right, which is not to be missed.","page":"19-27","title":"South and southeast Brazilian grasslands during Late Quaternary times: A synthesis","type":"article-journal","volume":"177"},"uris":["http://www.mendeley.com/documents/?uuid=2967f0bb-154d-3dad-a00f-9d52d3c3ed4b"]},{"id":"ITEM-2","itemData":{"DOI":"10.1016/S0031-0182(03)00687-4","ISBN":"0031-0182","ISSN":"00310182","abstract":"Late Quaternary vegetation, fire and climate dynamics have been studied based on high-resolution dated pollen and charcoal samples and multivariate data analysis. The samples were taken from a 212-cm-long sediment core of a bog in the Cambará do Sul region on the highlands of northeastern Rio Grande do Sul State, Brazil. The records, including seven AMS radiocarbon dates, span 42 840 14C years, for the first time extending the reconstruction of past environmental changes on the southern Brazilian highlands back to the Last Glacial Maximum (LGM) and pre-LGM times. The last 1100 years provide a decadal resolution. Initially the site was a permanent shallow lake which became seasonally dry after 26 900 14C yr BP. Seasonal climate with a long annual dry period prevailed until the late Holocene. The climate was somewhat wetter from 42 840 to 41 470 14C yr BP and from 41 470 to 26 900 14C yr BP than during the LGM and the late-Glacial period. Natural fires were rare, but became very frequent after 7400 cal BP, suggesting human occupation of the southernmost Brazilian highlands since that time. The records suggest that a species-rich Campos (grassland) vegetation existed in the area under a relatively dry and cold climate during glacial times under possibly as low as -10°C. The record also suggests that small populations of Araucaria were probably only present in refugia of deep and protected valleys and/or on wetter coastal slopes. Campos vegetation existed through the early and mid-Holocene until 4320 cal yr BP, after which Araucaria forest expanded into the network of gallery forests along the streams. By 1100 cal yr BP the Araucaria forest replaced the Campos vegetation reflecting the onset of the wettest period with no marked annual dry season. The marked expansion of the Araucaria forest coincided with the reduction in fire. Between AD 1520 and 1770 Weinmannia became a common taxa in the Araucaria forest, suggesting a shift to warmer climatic conditions on the highlands. This interval was synchronous with a cool phase within the Little Ice Age known from North Atlantic land records. After about AD 1780 human activities changed the original forest composition, first by introducing cattle into the forest and than by selective logging of Araucaria trees. Multivariate analysis of the pollen data shows compositional changes that follow a trajectory alternating undirectional, random phases and phases with directional, sometimes fast transitions. The results al…","author":[{"dropping-particle":"","family":"Behling","given":"Hermann","non-dropping-particle":"","parse-names":false,"suffix":""},{"dropping-particle":"","family":"Pillar","given":"Valerio DePatta","non-dropping-particle":"","parse-names":false,"suffix":""},{"dropping-particle":"","family":"Orlóci","given":"László","non-dropping-particle":"","parse-names":false,"suffix":""},{"dropping-particle":"","family":"Bauermann","given":"Soraia Girardi","non-dropping-particle":"","parse-names":false,"suffix":""}],"container-title":"Palaeogeography, Palaeoclimatology, Palaeoecology","id":"ITEM-2","issue":"3-4","issued":{"date-parts":[["2004"]]},"note":"Detailed examination of Cambara do Sul core in NE Rio Grande do Sul, 42,658 C14 yr BP to present. Shows 100 year Campos-Araucaria switch in about 1100 cal yr BP.\n\nNEEDS SOME REINTERPRETING WITH LEONHARDT &amp;amp; LORSCHEITTER 2010. SEE NOTE\n\n(All dates C14 yr BP)\n\n42,840 - 41,470\n83-88% campos pollen, 8-14% Araucaria forest pollen (only 2 grains of A. angustifolia), only one pollen grain from Atlantic forest taxa, aquatics 6-16%, ferns 3-6%. Low conc and accumulation of carbonised particles.\n\n41,4701 - 26,900\n87-94% campos pollen, 3-9% Araucaria forest (less pollen from Myrtaceae), a few single grains of Atlantic forest pollen, less aquatic pollen (3-7%), fewer fern spores (0-3%). Carbonised particles still rare.\n\n26,900 - 10,120\n87-97% campos pollen (though changing composition - Poaceae down, Eryngium up; less Apiaceae), 1-5% Araucaria forest, 0-0.3% Atlantic forest (lowest for both), 1-3% aquatic, lowest time for ferns (but big increase at end of zone). Carbonised particles rare.\n\n10,120 - 3,950 (11,540 - 4,320 cal yr BP)\n74-88% campos but lower near end (Poaceae up from last time; Eryngium get more common; other compositional changes), 3-13% Araucaria forest (up slightly thanks to A. angustifolia and Myrsine), 0-4% Atlantic (up slightly), trace aquatics, big increase of ferns (up to 46%) then decrease by end (to 9%), increase in Dicksonia (0-14%). Lots of carbonised particles higher up in this section.\n\n3950 - 1140 (4320 - 1100 cal yr BP)\n65-84% campos (down a bit but still high; Cyperaceae up, Poaceae and Eryngium down), 13-27% Araucaria forest (mainly A. angustifolia 4-7%, Myrsine and Weinmannia), 2-5% Atlantic forest, fern spores up again (9-40%), Dicksonia common (9-16%). Lots and lots of carbonised particles.\n\n1140 - 410 (1100 - 430 cal yr BP)\nCampos way down and keeps going (55-24%), continuous increase of Araucaria forest pollen (39-80%) with A. angustifolia going up 14-42% and big increase in Mimosa scabrella, no change in Atlantic (2-6%), fewer fern spores (5-19%), highest Dicksonia spore level (9-26%), high point for mosses but decrease later. Low concentration of carbonised particles but higher accumulation than at beginning of core.\n\n410 - -50 (430 - -50 cal yr BP)\nCampos start way down (to 11%) but increase (to 38%, through Cyperaceae then Poaceae) then go down right at the end, Araucaria forest highest early on (87%) but decreases at the end (65%) as A. angustifolia drops off right at the end (41-2%; Mimosa scabrella jumps correspondingly; other changes), nothing much happens with Atlantic forest (2-7%), fern spores go down (21-2%) and Dicksonia crashes by end (19-0.3%). Similar carbonised particles to before.","page":"277-297","title":"Late Quaternary Araucaria forest, grassland (Campos), fire and climate dynamics, studied by high-resolution pollen, charcoal and multivariate analysis of the Cambará do Sul core in southern Brazil","type":"article-journal","volume":"203"},"uris":["http://www.mendeley.com/documents/?uuid=46579170-55fd-37c2-8f78-517419a62e98"]},{"id":"ITEM-3","itemData":{"DOI":"10.1016/j.jsames.2009.09.003","ISBN":"0895-9811","ISSN":"08959811","abstract":"The palaeoenvironmental history has been studied based on palynology of a sedimentary profile from the Alpes de S??o Francisco bog (29??29???35??????S, 50??37???18??????W), S??o Francisco de Paula municipality, Rio Grande do Sul eastern Plateau, extreme Southern Brazil. The results indicate a regional cold and dry climate between 25,000 and 12,500 yr BP, interpreted from the grassland vegetation, forest taxa were present in refuges and the shallow local lake began to fill in. Climatic conditions became more aride after 16,000 yr BP, when grassland became rare. From 12,500 yr BP onwards, the climate began to change and at 11,000-9700 yr BP a warm and moist climate permitted the slight migration of pioneer arboreal taxa from refuges and locally a marsh formation. Between 9700 and 6500 yr BP a warm and dry climate resulted in reduction of grassland, confined the forest in refuges, dried out the marsh. The gradual increase of humidity between 6500 and 4000 yr BP allowed migration of forests from refuges and a bog developed. Between 4000 and 2000 yr BP Araucaria forest spread, indicating moister climate. The local bog expanded. From 2000 yr BP onwards, humid but warmer climate seems to result in a lower reproductive capacity of Araucaria forest taxa limiting its expansion. The bog reached the present-day in a decline condition. The results are compared to previous records from Southern Brazil highlands and some places from Argentina in order to better elucidate the climatic and vegetational history of these important South America areas during the late Quaternary. ?? 2009 Elsevier Ltd. All rights reserved.","author":[{"dropping-particle":"","family":"Leonhardt","given":"Adriana","non-dropping-particle":"","parse-names":false,"suffix":""},{"dropping-particle":"","family":"Lorscheitter","given":"Maria Luisa","non-dropping-particle":"","parse-names":false,"suffix":""}],"container-title":"Journal of South American Earth Sciences","id":"ITEM-3","issue":"2","issued":{"date-parts":[["2010"]]},"note":"Analysis of 286cm bog core from Alpes de Sao Francisco, Rio Grande do Sul. Starts 25,000 C14 yr BP. Cold and dry until 12,500 BP, grassland and almost no trees; 11,000-9,700 was warm and humid, some trees wandered around; drier then to 6,500 BP so grassland retreated and forest stayed in refuges; humidity increased again 6500-4000, so forests escaped their refuges; 4000-2000 Araucaria forest spread (so moister still); warmer from then to the present so less expansion of Araucaria.\n\nIMPORTANT WHEN REINTERPRETING BEHLING ET AL 2004\n\nSeems a bit poorly resolved across the Holocene, but makes an important point about pollen concentration/percentage diagrams and what they show (especially with Araucaria forest expansion)","page":"454-463","title":"The last 25,000 years in the Eastern Plateau of Southern Brazil according to Alpes de Sao Francisco record","type":"article-journal","volume":"29"},"uris":["http://www.mendeley.com/documents/?uuid=90690911-40f6-3530-aa45-c7420e186d20"]}],"mendeley":{"formattedCitation":"(Behling, 2002; Behling et al., 2004; Leonhardt and Lorscheitter, 2010)","plainTextFormattedCitation":"(Behling, 2002; Behling et al., 2004; Leonhardt and Lorscheitter, 2010)","previouslyFormattedCitation":"(Behling, 2002; Behling et al., 2004; Leonhardt and Lorscheitter, 2010)"},"properties":{"noteIndex":0},"schema":"https://github.com/citation-style-language/schema/raw/master/csl-citation.json"}</w:instrText>
      </w:r>
      <w:r w:rsidR="00A01481" w:rsidRPr="0083145E">
        <w:fldChar w:fldCharType="separate"/>
      </w:r>
      <w:r w:rsidR="00A01481" w:rsidRPr="0083145E">
        <w:rPr>
          <w:noProof/>
        </w:rPr>
        <w:t>(Behling, 2002; Behling et al., 2004; Leonhardt and Lorscheitter, 2010)</w:t>
      </w:r>
      <w:r w:rsidR="00A01481" w:rsidRPr="0083145E">
        <w:fldChar w:fldCharType="end"/>
      </w:r>
      <w:r w:rsidR="006A3236" w:rsidRPr="0083145E">
        <w:t>.</w:t>
      </w:r>
      <w:r w:rsidR="00D64DF6" w:rsidRPr="0083145E">
        <w:t xml:space="preserve"> </w:t>
      </w:r>
      <w:r w:rsidR="00C40E93" w:rsidRPr="0083145E">
        <w:t>The</w:t>
      </w:r>
      <w:r w:rsidR="000B2F6A" w:rsidRPr="0083145E">
        <w:t>se</w:t>
      </w:r>
      <w:r w:rsidR="00C40E93" w:rsidRPr="0083145E">
        <w:t xml:space="preserve"> forests </w:t>
      </w:r>
      <w:r w:rsidR="00CC75D4" w:rsidRPr="0083145E">
        <w:t>subsequently</w:t>
      </w:r>
      <w:r w:rsidR="00C40E93" w:rsidRPr="0083145E">
        <w:t xml:space="preserve"> expanded </w:t>
      </w:r>
      <w:r w:rsidR="00B809D0" w:rsidRPr="0083145E">
        <w:t>slightly 4,000</w:t>
      </w:r>
      <w:r w:rsidR="00893AB7" w:rsidRPr="0083145E">
        <w:t>-</w:t>
      </w:r>
      <w:r w:rsidR="00B809D0" w:rsidRPr="0083145E">
        <w:t>3,</w:t>
      </w:r>
      <w:r w:rsidR="002A6D83" w:rsidRPr="0083145E">
        <w:t>0</w:t>
      </w:r>
      <w:r w:rsidR="00B809D0" w:rsidRPr="0083145E">
        <w:t>00 years ago, and then rapidly 1,500-900 years ago</w:t>
      </w:r>
      <w:r w:rsidR="00853109" w:rsidRPr="0083145E">
        <w:t xml:space="preserve"> </w:t>
      </w:r>
      <w:r w:rsidR="00853109" w:rsidRPr="0083145E">
        <w:fldChar w:fldCharType="begin" w:fldLock="1"/>
      </w:r>
      <w:r w:rsidR="0006304A">
        <w:instrText>ADDIN CSL_CITATION {"citationItems":[{"id":"ITEM-1","itemData":{"DOI":"10.1016/S0031-0182(03)00687-4","ISBN":"0031-0182","ISSN":"00310182","abstract":"Late Quaternary vegetation, fire and climate dynamics have been studied based on high-resolution dated pollen and charcoal samples and multivariate data analysis. The samples were taken from a 212-cm-long sediment core of a bog in the Cambará do Sul region on the highlands of northeastern Rio Grande do Sul State, Brazil. The records, including seven AMS radiocarbon dates, span 42 840 14C years, for the first time extending the reconstruction of past environmental changes on the southern Brazilian highlands back to the Last Glacial Maximum (LGM) and pre-LGM times. The last 1100 years provide a decadal resolution. Initially the site was a permanent shallow lake which became seasonally dry after 26 900 14C yr BP. Seasonal climate with a long annual dry period prevailed until the late Holocene. The climate was somewhat wetter from 42 840 to 41 470 14C yr BP and from 41 470 to 26 900 14C yr BP than during the LGM and the late-Glacial period. Natural fires were rare, but became very frequent after 7400 cal BP, suggesting human occupation of the southernmost Brazilian highlands since that time. The records suggest that a species-rich Campos (grassland) vegetation existed in the area under a relatively dry and cold climate during glacial times under possibly as low as -10°C. The record also suggests that small populations of Araucaria were probably only present in refugia of deep and protected valleys and/or on wetter coastal slopes. Campos vegetation existed through the early and mid-Holocene until 4320 cal yr BP, after which Araucaria forest expanded into the network of gallery forests along the streams. By 1100 cal yr BP the Araucaria forest replaced the Campos vegetation reflecting the onset of the wettest period with no marked annual dry season. The marked expansion of the Araucaria forest coincided with the reduction in fire. Between AD 1520 and 1770 Weinmannia became a common taxa in the Araucaria forest, suggesting a shift to warmer climatic conditions on the highlands. This interval was synchronous with a cool phase within the Little Ice Age known from North Atlantic land records. After about AD 1780 human activities changed the original forest composition, first by introducing cattle into the forest and than by selective logging of Araucaria trees. Multivariate analysis of the pollen data shows compositional changes that follow a trajectory alternating undirectional, random phases and phases with directional, sometimes fast transitions. The results al…","author":[{"dropping-particle":"","family":"Behling","given":"Hermann","non-dropping-particle":"","parse-names":false,"suffix":""},{"dropping-particle":"","family":"Pillar","given":"Valerio DePatta","non-dropping-particle":"","parse-names":false,"suffix":""},{"dropping-particle":"","family":"Orlóci","given":"László","non-dropping-particle":"","parse-names":false,"suffix":""},{"dropping-particle":"","family":"Bauermann","given":"Soraia Girardi","non-dropping-particle":"","parse-names":false,"suffix":""}],"container-title":"Palaeogeography, Palaeoclimatology, Palaeoecology","id":"ITEM-1","issue":"3-4","issued":{"date-parts":[["2004"]]},"note":"Detailed examination of Cambara do Sul core in NE Rio Grande do Sul, 42,658 C14 yr BP to present. Shows 100 year Campos-Araucaria switch in about 1100 cal yr BP.\n\nNEEDS SOME REINTERPRETING WITH LEONHARDT &amp;amp; LORSCHEITTER 2010. SEE NOTE\n\n(All dates C14 yr BP)\n\n42,840 - 41,470\n83-88% campos pollen, 8-14% Araucaria forest pollen (only 2 grains of A. angustifolia), only one pollen grain from Atlantic forest taxa, aquatics 6-16%, ferns 3-6%. Low conc and accumulation of carbonised particles.\n\n41,4701 - 26,900\n87-94% campos pollen, 3-9% Araucaria forest (less pollen from Myrtaceae), a few single grains of Atlantic forest pollen, less aquatic pollen (3-7%), fewer fern spores (0-3%). Carbonised particles still rare.\n\n26,900 - 10,120\n87-97% campos pollen (though changing composition - Poaceae down, Eryngium up; less Apiaceae), 1-5% Araucaria forest, 0-0.3% Atlantic forest (lowest for both), 1-3% aquatic, lowest time for ferns (but big increase at end of zone). Carbonised particles rare.\n\n10,120 - 3,950 (11,540 - 4,320 cal yr BP)\n74-88% campos but lower near end (Poaceae up from last time; Eryngium get more common; other compositional changes), 3-13% Araucaria forest (up slightly thanks to A. angustifolia and Myrsine), 0-4% Atlantic (up slightly), trace aquatics, big increase of ferns (up to 46%) then decrease by end (to 9%), increase in Dicksonia (0-14%). Lots of carbonised particles higher up in this section.\n\n3950 - 1140 (4320 - 1100 cal yr BP)\n65-84% campos (down a bit but still high; Cyperaceae up, Poaceae and Eryngium down), 13-27% Araucaria forest (mainly A. angustifolia 4-7%, Myrsine and Weinmannia), 2-5% Atlantic forest, fern spores up again (9-40%), Dicksonia common (9-16%). Lots and lots of carbonised particles.\n\n1140 - 410 (1100 - 430 cal yr BP)\nCampos way down and keeps going (55-24%), continuous increase of Araucaria forest pollen (39-80%) with A. angustifolia going up 14-42% and big increase in Mimosa scabrella, no change in Atlantic (2-6%), fewer fern spores (5-19%), highest Dicksonia spore level (9-26%), high point for mosses but decrease later. Low concentration of carbonised particles but higher accumulation than at beginning of core.\n\n410 - -50 (430 - -50 cal yr BP)\nCampos start way down (to 11%) but increase (to 38%, through Cyperaceae then Poaceae) then go down right at the end, Araucaria forest highest early on (87%) but decreases at the end (65%) as A. angustifolia drops off right at the end (41-2%; Mimosa scabrella jumps correspondingly; other changes), nothing much happens with Atlantic forest (2-7%), fern spores go down (21-2%) and Dicksonia crashes by end (19-0.3%). Similar carbonised particles to before.","page":"277-297","title":"Late Quaternary Araucaria forest, grassland (Campos), fire and climate dynamics, studied by high-resolution pollen, charcoal and multivariate analysis of the Cambará do Sul core in southern Brazil","type":"article-journal","volume":"203"},"uris":["http://www.mendeley.com/documents/?uuid=46579170-55fd-37c2-8f78-517419a62e98"]},{"id":"ITEM-2","itemData":{"DOI":"10.1016/j.jsames.2009.09.003","ISBN":"0895-9811","ISSN":"08959811","abstract":"The palaeoenvironmental history has been studied based on palynology of a sedimentary profile from the Alpes de S??o Francisco bog (29??29???35??????S, 50??37???18??????W), S??o Francisco de Paula municipality, Rio Grande do Sul eastern Plateau, extreme Southern Brazil. The results indicate a regional cold and dry climate between 25,000 and 12,500 yr BP, interpreted from the grassland vegetation, forest taxa were present in refuges and the shallow local lake began to fill in. Climatic conditions became more aride after 16,000 yr BP, when grassland became rare. From 12,500 yr BP onwards, the climate began to change and at 11,000-9700 yr BP a warm and moist climate permitted the slight migration of pioneer arboreal taxa from refuges and locally a marsh formation. Between 9700 and 6500 yr BP a warm and dry climate resulted in reduction of grassland, confined the forest in refuges, dried out the marsh. The gradual increase of humidity between 6500 and 4000 yr BP allowed migration of forests from refuges and a bog developed. Between 4000 and 2000 yr BP Araucaria forest spread, indicating moister climate. The local bog expanded. From 2000 yr BP onwards, humid but warmer climate seems to result in a lower reproductive capacity of Araucaria forest taxa limiting its expansion. The bog reached the present-day in a decline condition. The results are compared to previous records from Southern Brazil highlands and some places from Argentina in order to better elucidate the climatic and vegetational history of these important South America areas during the late Quaternary. ?? 2009 Elsevier Ltd. All rights reserved.","author":[{"dropping-particle":"","family":"Leonhardt","given":"Adriana","non-dropping-particle":"","parse-names":false,"suffix":""},{"dropping-particle":"","family":"Lorscheitter","given":"Maria Luisa","non-dropping-particle":"","parse-names":false,"suffix":""}],"container-title":"Journal of South American Earth Sciences","id":"ITEM-2","issue":"2","issued":{"date-parts":[["2010"]]},"note":"Analysis of 286cm bog core from Alpes de Sao Francisco, Rio Grande do Sul. Starts 25,000 C14 yr BP. Cold and dry until 12,500 BP, grassland and almost no trees; 11,000-9,700 was warm and humid, some trees wandered around; drier then to 6,500 BP so grassland retreated and forest stayed in refuges; humidity increased again 6500-4000, so forests escaped their refuges; 4000-2000 Araucaria forest spread (so moister still); warmer from then to the present so less expansion of Araucaria.\n\nIMPORTANT WHEN REINTERPRETING BEHLING ET AL 2004\n\nSeems a bit poorly resolved across the Holocene, but makes an important point about pollen concentration/percentage diagrams and what they show (especially with Araucaria forest expansion)","page":"454-463","title":"The last 25,000 years in the Eastern Plateau of Southern Brazil according to Alpes de Sao Francisco record","type":"article-journal","volume":"29"},"uris":["http://www.mendeley.com/documents/?uuid=90690911-40f6-3530-aa45-c7420e186d20"]},{"id":"ITEM-3","itemData":{"DOI":"10.1177/0959683611414930","ISSN":"0959-6836","abstract":"We present new palaeoenvironmental data from a 281 cm long sediment core studied by means of pollen and charcoal analyses from Rincão das Cabritas of the São Francisco de Paula area, which lies in the wettest region of southern Brazil at the present time. The high-resolution record, dated with seven AMS dates, spans the last 16 700 cal. BP. The continuous presence of grassland vegetation (Campos) throughout the glacial period reflects cold and markedly drier climatic conditions than today. Nowadays, remote areas of Campos on the highlands represent remnants of an early and widely expanded vegetation of glacial times that was gradually replaced by forest ecosystems during the late Holocene. Araucaria forest began to develop after 3200 cal. BP, with its expansion over Campos starting at about 2950 cal. BP. This was probably due to the presence of a somewhat wetter climate after about 4600 cal. BP, which supported the initial development of forest ecosystems and allowed Atlantic rainforest to spread from the...","author":[{"dropping-particle":"","family":"Jeske-Pieruschka","given":"V.","non-dropping-particle":"","parse-names":false,"suffix":""},{"dropping-particle":"","family":"Behling","given":"H.","non-dropping-particle":"","parse-names":false,"suffix":""}],"container-title":"The Holocene","id":"ITEM-3","issue":"11","issued":{"date-parts":[["2012","11","1"]]},"note":"Study of the Rincao das Cabritas core in Rio Grande do Sul from 16,700 cal yr BP. Not an area of southern proto-Je (instead Caaguaras Indians). Araucaria forest expansion began 2900 yr BP and just kind of continued (no mad expansion), though it increased more during the last 1000 years. They reckon climate was the most important factor controlling forest expansion.\n\nHas a useful table of core coordinates, references and vegetation change summaries.","page":"1251-1262","publisher":"SAGE PublicationsSage UK: London, England","title":"Palaeoenvironmental history of the Sao Francisco de Paula region in southern Brazil during the late Quaternary inferred from the Rincao das Cabritas core","type":"article-journal","volume":"22"},"uris":["http://www.mendeley.com/documents/?uuid=966112de-0d54-3ff6-b35a-5c64de9b42f7"]},{"id":"ITEM-4","itemData":{"DOI":"10.1007/s10021-011-9486-y","ISBN":"1432-9840","ISSN":"14329840","abstract":"Recent studies have shown that tropical and subtropical forests expanded during the late Holocene, but rates and mechanisms of expansion are still unknown. Here, we investigate how a forest-grassland mosaic changed over the past 10,000 years at the southernmost limit of the Brazilian Atlantic forest. We used soil organic matter carbon isotopes (δ 13C and 14C) to quantify and date changes in vegetation, examining soil properties and leaf traits of tree species (nutrient content, δ 13C, δ 15N, and specific leaf area-SLA) to describe potential mechanisms of expansion. Our results show that after several millennia of stability, forests have been expanding over grasslands through continuous, but very slow, border dynamics and patch formation (&lt;100 m since ~4,000 YBP). This process of expansion coincided with past changes in climate, but biotic feedback mechanisms also appear to be important for the long-term persistence and expansion of forests. Soil fertility and microbial biomass match current rather than past vegetation distribution, increasing progressively across the gradient: grasslands &lt; isolated trees &lt; forest patches &lt; forests. Foliar δ 15N values of trees that are able to colonize the grassland are consistently lower across this vegetation gradient, suggesting an increasingly greater reliance on symbiotic nutrient uptake from grasslands to forests. No significant relationships were found between soil and leaf nutrients, but SLA explained variation in leaf N, P, and K (positive relationships) and in leaf δ 13C (negative relationship). These findings suggest that a tradeoff between tree growth and water use efficiency is an important regulator of forest-grassland dynamics in the study region. © 2011 Springer Science+Business Media, LLC.","author":[{"dropping-particle":"","family":"Silva","given":"Lucas C R","non-dropping-particle":"","parse-names":false,"suffix":""},{"dropping-particle":"","family":"Anand","given":"Madhur","non-dropping-particle":"","parse-names":false,"suffix":""}],"container-title":"Ecosystems","id":"ITEM-4","issue":"8","issued":{"date-parts":[["2011"]]},"note":"Interesting paper on expansion of ARF over 9,000 years. Good diagrams showing how and when the patches and forest areas expanded. Expansion speeds suggested, with implications for refugia and past humans mentioned. Thoughts in notes.","page":"1354-1371","title":"Mechanisms of Araucaria (Atlantic) Forest Expansion into Southern Brazilian Grasslands","type":"article-journal","volume":"14"},"uris":["http://www.mendeley.com/documents/?uuid=26302ea3-b67e-3725-bd0a-3f81476d906b"]},{"id":"ITEM-5","itemData":{"DOI":"10.1016/S0034-6667(96)00065-6","ISSN":"00346667","abstract":"New palynological and charcoal data from a bog (24°40′S, 50°13′W, 1200 m asl) of Serra Campos Gerais, northeastern ParanáState, allow a complete and detailed reconstruction of the late Quaternary vegetation and climate history of the South Brazilian highlands. The late-glacial period, which starts at 12,50014C yr BP, indicates the predominance of a diverse grassland vegetation (campos) with scattered stands of Araucaria forest and Atlantic rain forest, probably growing in valley bottoms. This suggests 3 to 5°C colder and drier climates than at present. Judging from the absence of charcoal, fires must here been rare during late-glacial times. The early and mid-Holocene (until 285014C yr BP) is marked by a predominance of campos vegetation on the highlands and expansion of tropical rain forest trees in the valleys, indicating warm climates and perhaps an increase in annual precipitation compared to the late-glacial. A migration of Araucaria forest from the valleys onto the highlands did probably not occur. Seasonal drought is probably the major factor explaining the absence of an expansion of Araucaria forests on the southern Brazilian highlands in the early and mid-Holocene. Palaeofires were more frequent at the beginning of the Holocene, probably ignited by Amerindians at that time. First expansion in the valleys or an initial migration of Araucaria angustifolia from valleys into the Serra Campos Gerais highland occurred during the late Holocene (2850-153014C yr BP), indicating a wetter climate with a shorter dry season. Fires during this period had the highest frequency and may have influenced the migration of Araucaria into the campos areas. A marked expansion of Araucaria forest, forming a mosaic of grassland and Araucaria forest patches on the highlands, took place only in the last 1500 years. This suggests onset of a high precipitation climate without a strong annual dry season. Fires were also less frequent. Logging of Araucaria forests occurred during the last centuries.","author":[{"dropping-particle":"","family":"Behling","given":"Hermann","non-dropping-particle":"","parse-names":false,"suffix":""}],"container-title":"Review of Palaeobotany and Palynology","id":"ITEM-5","issue":"1","issued":{"date-parts":[["1997"]]},"note":"Analysis of a highland core (about 185cm, from 12,300 C14 yr BP) in Serra Campos Gerais, Parana. Campos in late glacial, slow expansion of Araucaria forest from about 2850 C14 Bp, more significant from 1530 C14 BP with an increase of fires/charcoal. A fair number of climatic conclusions are made, which should be checked cf the Botuvera speleothem","page":"109-121","title":"Late Quaternary vegetation, climate and fire history of the Araucaria forest and campos region from Serra Campos Gerais, Paraná State (South Brazil)","type":"article-journal","volume":"97"},"uris":["http://www.mendeley.com/documents/?uuid=a345d1da-e951-387a-ba95-0c87b285d4af"]},{"id":"ITEM-6","itemData":{"DOI":"10.1007/BF00203932","ISBN":"0939-6314","ISSN":"09396314","abstract":"Palynological studies have been carried out on three highland peat bogs, and one situated on the Atlan- tic coastal plain. In the highlands, the late Pleistocene (14,000 - 10,000 uncal B.P.) vegetation was dominated by campos (grassland). Scattered stands of Araucaria forests were preserved in deep valleys. In the region of the sites at Morro da Igreja and Serra do Rio Rastro, the dominance of campos vegetation continued until about 1000 B.P. while at the Serra da Boa Vista site there was an expansion of Atlantic pluvial forest elements fol- lowed by Araucaria forests at the beginning of the Holocene. A general expansion of A. anguslifolia, clear- ly related to a change towards an increasingly moist cli- mate, can be dated to the present millenium. On the coastal plains, the late Pleistocene vegetation was domi- nated by Myrtaceae which were replaced by tropical taxa in the Holocene. The lowland profile (Pogo Grande) also covers part of the upper Holocene, where the rich flora of the Atlantic pluvial forests can be characterized by taxa including Alchornea, Urticales and Rapanea. Close to the coring site, there was a repeated alternation be- tween two different dune communities (4840 - 4590 B.P.), followed by a lake stage with aquatic plant succes- sion (4590 - 4265 B.P.), plant communities dominated by Rapanea (4265 - 4230 B.P.) and the spread of Alchornea (4230 - 3525 B.P.). Late Pleistocene climate conditions (14,000 - 10,000 B.P.) can be described as cold and relatively dry, possibly including an equivalent of the Younger Dryas period. In the Holocene, there were changes from a warm and drier climate (10,000 - ~3000 B.P.) to a cool and more moist regime (ca. 3000 - ca. 1000 B.P.) and finally to a cool and very moist period (from around 1000 B.P.).","author":[{"dropping-particle":"","family":"Behling","given":"Hermann","non-dropping-particle":"","parse-names":false,"suffix":""}],"container-title":"Vegetation History and Archaeobotany","id":"ITEM-6","issue":"3","issued":{"date-parts":[["1995","9"]]},"page":"127-152","publisher":"Springer-Verlag","title":"Investigations into the late Pleistocene and Holocene history of vegetation and climate in Santa Catarina (S Brazil)","type":"article-journal","volume":"4"},"uris":["http://www.mendeley.com/documents/?uuid=fcea03a7-e07e-3d31-94a9-b68f1fec0a97"]},{"id":"ITEM-7","itemData":{"DOI":"10.1179/174963107x226390","ISBN":"14614103\\r17496314","ISSN":"14614103","abstract":"An examination of the late Holocene environmental and cultural sequences of the southern Brazilian highlands indicates that the colonisation of this region by the Taquara/Itarare ´ people is associated with the expansion of Araucaria forest resulting from the onset of wetter climatic conditions in the region, which started between around 1410 and 900 cal. yr BP. The more intense and permanent human occupation of this region is associated with the advance of Araucaria forest, which provided Taquara/Itararé groups with a newly abundant and reliable resource: Araucaria seeds. In addition, we review the evidence for landscape transformation associated with the beginning of food-production in the region. Charcoal records show that local populations may have practiced slash-and-burn agriculture at lower elevations since the beginning of the late Holocene around 4320 cal. yr BP, and continued this practice during the second part of the late Holocene.","author":[{"dropping-particle":"","family":"Iriarte","given":"José","non-dropping-particle":"","parse-names":false,"suffix":""},{"dropping-particle":"","family":"Behling","given":"Hermann","non-dropping-particle":"","parse-names":false,"suffix":""}],"container-title":"Environmental Archaeology","id":"ITEM-7","issue":"2","issued":{"date-parts":[["2007"]]},"note":"Really good details on ethnobotanical importance of Araucaria to T/I people. Good overview/introduction to changes in landscape, and suggests possible human cause\n\nPalaeoecology:\nFirst Holocene expansion of Araucaria forest (at expense of Campos) in SBHs: 4480-3200 cal yr BP. Wetter climate, expansion of Araucaria gallery forest. (Especially evident in Cambara do Sul, less so in others.)\nLater, bigger expansion between 1410-900 cal yr BP (see highlight amid pollen diagrams for dates from different records). Wettest climate and no real annual dry season. Fires a bit less frequent than in the interval since last expansion (when there had been a lot - probably slash and burn in semideciduous/Atlantic forest), but still a fair number of them. This ended up either in a mosaic with campos or with an Araucaria takeover.\n\nArchaeology:\nPithouses are everyday living places. Closely overlap with Araucaria forest. Diameter 2-20m, most &amp;lt;5m. Charred Araucaria seeds are found in lots of them.\n'Surface sites' (agriculture, quarries etc) are found amongst pithouses in highlands/Araucaria, but are more common at lower altitudes when pithouses get rarer.\nEarthworkds (?geoglyphs) found in the most prominent hills. They were ceremonial spaces\nExpansion of T/I sites: started 1500cal yr BP and peaked after 1000 cal yr BP. 79% of pithouse dates are more recent than 1000 cal yr BP.","page":"115-127","title":"The expansion of Araucaria forest in the southern Brazilian highlands during the last 4000 years and its implications for the development of the Taquara/Itararé Tradition","type":"article-journal","volume":"12"},"uris":["http://www.mendeley.com/documents/?uuid=67c6efcb-8665-3d79-a859-769fcfa45315"]}],"mendeley":{"formattedCitation":"(Behling, 1997a, 1995; Behling et al., 2004; Iriarte and Behling, 2007; Jeske-Pieruschka and Behling, 2012; Leonhardt and Lorscheitter, 2010; Silva and Anand, 2011)","plainTextFormattedCitation":"(Behling, 1997a, 1995; Behling et al., 2004; Iriarte and Behling, 2007; Jeske-Pieruschka and Behling, 2012; Leonhardt and Lorscheitter, 2010; Silva and Anand, 2011)","previouslyFormattedCitation":"(Behling, 1997a, 1995; Behling et al., 2004; Iriarte and Behling, 2007; Jeske-Pieruschka and Behling, 2012; Leonhardt and Lorscheitter, 2010; Silva and Anand, 2011)"},"properties":{"noteIndex":0},"schema":"https://github.com/citation-style-language/schema/raw/master/csl-citation.json"}</w:instrText>
      </w:r>
      <w:r w:rsidR="00853109" w:rsidRPr="0083145E">
        <w:fldChar w:fldCharType="separate"/>
      </w:r>
      <w:r w:rsidR="005A4773" w:rsidRPr="005A4773">
        <w:rPr>
          <w:noProof/>
        </w:rPr>
        <w:t>(Behling, 1997a, 1995; Behling et al., 2004; Iriarte and Behling, 2007; Jeske-Pieruschka and Behling, 2012; Leonhardt and Lorscheitter, 2010; Silva and Anand, 2011)</w:t>
      </w:r>
      <w:r w:rsidR="00853109" w:rsidRPr="0083145E">
        <w:fldChar w:fldCharType="end"/>
      </w:r>
      <w:r w:rsidR="00CC75D4" w:rsidRPr="0083145E">
        <w:t>, in some places replacing grasslands within a century</w:t>
      </w:r>
      <w:r w:rsidR="00D64242" w:rsidRPr="0083145E">
        <w:t xml:space="preserve"> </w:t>
      </w:r>
      <w:r w:rsidR="00D64242" w:rsidRPr="0083145E">
        <w:fldChar w:fldCharType="begin" w:fldLock="1"/>
      </w:r>
      <w:r w:rsidR="005A4773">
        <w:instrText>ADDIN CSL_CITATION {"citationItems":[{"id":"ITEM-1","itemData":{"DOI":"10.1179/174963107x226390","ISBN":"14614103\\r17496314","ISSN":"14614103","abstract":"An examination of the late Holocene environmental and cultural sequences of the southern Brazilian highlands indicates that the colonisation of this region by the Taquara/Itarare ´ people is associated with the expansion of Araucaria forest resulting from the onset of wetter climatic conditions in the region, which started between around 1410 and 900 cal. yr BP. The more intense and permanent human occupation of this region is associated with the advance of Araucaria forest, which provided Taquara/Itararé groups with a newly abundant and reliable resource: Araucaria seeds. In addition, we review the evidence for landscape transformation associated with the beginning of food-production in the region. Charcoal records show that local populations may have practiced slash-and-burn agriculture at lower elevations since the beginning of the late Holocene around 4320 cal. yr BP, and continued this practice during the second part of the late Holocene.","author":[{"dropping-particle":"","family":"Iriarte","given":"José","non-dropping-particle":"","parse-names":false,"suffix":""},{"dropping-particle":"","family":"Behling","given":"Hermann","non-dropping-particle":"","parse-names":false,"suffix":""}],"container-title":"Environmental Archaeology","id":"ITEM-1","issue":"2","issued":{"date-parts":[["2007"]]},"note":"Really good details on ethnobotanical importance of Araucaria to T/I people. Good overview/introduction to changes in landscape, and suggests possible human cause\n\nPalaeoecology:\nFirst Holocene expansion of Araucaria forest (at expense of Campos) in SBHs: 4480-3200 cal yr BP. Wetter climate, expansion of Araucaria gallery forest. (Especially evident in Cambara do Sul, less so in others.)\nLater, bigger expansion between 1410-900 cal yr BP (see highlight amid pollen diagrams for dates from different records). Wettest climate and no real annual dry season. Fires a bit less frequent than in the interval since last expansion (when there had been a lot - probably slash and burn in semideciduous/Atlantic forest), but still a fair number of them. This ended up either in a mosaic with campos or with an Araucaria takeover.\n\nArchaeology:\nPithouses are everyday living places. Closely overlap with Araucaria forest. Diameter 2-20m, most &amp;lt;5m. Charred Araucaria seeds are found in lots of them.\n'Surface sites' (agriculture, quarries etc) are found amongst pithouses in highlands/Araucaria, but are more common at lower altitudes when pithouses get rarer.\nEarthworkds (?geoglyphs) found in the most prominent hills. They were ceremonial spaces\nExpansion of T/I sites: started 1500cal yr BP and peaked after 1000 cal yr BP. 79% of pithouse dates are more recent than 1000 cal yr BP.","page":"115-127","title":"The expansion of Araucaria forest in the southern Brazilian highlands during the last 4000 years and its implications for the development of the Taquara/Itararé Tradition","type":"article-journal","volume":"12"},"uris":["http://www.mendeley.com/documents/?uuid=67c6efcb-8665-3d79-a859-769fcfa45315"]},{"id":"ITEM-2","itemData":{"DOI":"10.1016/S0031-0182(03)00687-4","ISBN":"0031-0182","ISSN":"00310182","abstract":"Late Quaternary vegetation, fire and climate dynamics have been studied based on high-resolution dated pollen and charcoal samples and multivariate data analysis. The samples were taken from a 212-cm-long sediment core of a bog in the Cambará do Sul region on the highlands of northeastern Rio Grande do Sul State, Brazil. The records, including seven AMS radiocarbon dates, span 42 840 14C years, for the first time extending the reconstruction of past environmental changes on the southern Brazilian highlands back to the Last Glacial Maximum (LGM) and pre-LGM times. The last 1100 years provide a decadal resolution. Initially the site was a permanent shallow lake which became seasonally dry after 26 900 14C yr BP. Seasonal climate with a long annual dry period prevailed until the late Holocene. The climate was somewhat wetter from 42 840 to 41 470 14C yr BP and from 41 470 to 26 900 14C yr BP than during the LGM and the late-Glacial period. Natural fires were rare, but became very frequent after 7400 cal BP, suggesting human occupation of the southernmost Brazilian highlands since that time. The records suggest that a species-rich Campos (grassland) vegetation existed in the area under a relatively dry and cold climate during glacial times under possibly as low as -10°C. The record also suggests that small populations of Araucaria were probably only present in refugia of deep and protected valleys and/or on wetter coastal slopes. Campos vegetation existed through the early and mid-Holocene until 4320 cal yr BP, after which Araucaria forest expanded into the network of gallery forests along the streams. By 1100 cal yr BP the Araucaria forest replaced the Campos vegetation reflecting the onset of the wettest period with no marked annual dry season. The marked expansion of the Araucaria forest coincided with the reduction in fire. Between AD 1520 and 1770 Weinmannia became a common taxa in the Araucaria forest, suggesting a shift to warmer climatic conditions on the highlands. This interval was synchronous with a cool phase within the Little Ice Age known from North Atlantic land records. After about AD 1780 human activities changed the original forest composition, first by introducing cattle into the forest and than by selective logging of Araucaria trees. Multivariate analysis of the pollen data shows compositional changes that follow a trajectory alternating undirectional, random phases and phases with directional, sometimes fast transitions. The results al…","author":[{"dropping-particle":"","family":"Behling","given":"Hermann","non-dropping-particle":"","parse-names":false,"suffix":""},{"dropping-particle":"","family":"Pillar","given":"Valerio DePatta","non-dropping-particle":"","parse-names":false,"suffix":""},{"dropping-particle":"","family":"Orlóci","given":"László","non-dropping-particle":"","parse-names":false,"suffix":""},{"dropping-particle":"","family":"Bauermann","given":"Soraia Girardi","non-dropping-particle":"","parse-names":false,"suffix":""}],"container-title":"Palaeogeography, Palaeoclimatology, Palaeoecology","id":"ITEM-2","issue":"3-4","issued":{"date-parts":[["2004"]]},"note":"Detailed examination of Cambara do Sul core in NE Rio Grande do Sul, 42,658 C14 yr BP to present. Shows 100 year Campos-Araucaria switch in about 1100 cal yr BP.\n\nNEEDS SOME REINTERPRETING WITH LEONHARDT &amp;amp; LORSCHEITTER 2010. SEE NOTE\n\n(All dates C14 yr BP)\n\n42,840 - 41,470\n83-88% campos pollen, 8-14% Araucaria forest pollen (only 2 grains of A. angustifolia), only one pollen grain from Atlantic forest taxa, aquatics 6-16%, ferns 3-6%. Low conc and accumulation of carbonised particles.\n\n41,4701 - 26,900\n87-94% campos pollen, 3-9% Araucaria forest (less pollen from Myrtaceae), a few single grains of Atlantic forest pollen, less aquatic pollen (3-7%), fewer fern spores (0-3%). Carbonised particles still rare.\n\n26,900 - 10,120\n87-97% campos pollen (though changing composition - Poaceae down, Eryngium up; less Apiaceae), 1-5% Araucaria forest, 0-0.3% Atlantic forest (lowest for both), 1-3% aquatic, lowest time for ferns (but big increase at end of zone). Carbonised particles rare.\n\n10,120 - 3,950 (11,540 - 4,320 cal yr BP)\n74-88% campos but lower near end (Poaceae up from last time; Eryngium get more common; other compositional changes), 3-13% Araucaria forest (up slightly thanks to A. angustifolia and Myrsine), 0-4% Atlantic (up slightly), trace aquatics, big increase of ferns (up to 46%) then decrease by end (to 9%), increase in Dicksonia (0-14%). Lots of carbonised particles higher up in this section.\n\n3950 - 1140 (4320 - 1100 cal yr BP)\n65-84% campos (down a bit but still high; Cyperaceae up, Poaceae and Eryngium down), 13-27% Araucaria forest (mainly A. angustifolia 4-7%, Myrsine and Weinmannia), 2-5% Atlantic forest, fern spores up again (9-40%), Dicksonia common (9-16%). Lots and lots of carbonised particles.\n\n1140 - 410 (1100 - 430 cal yr BP)\nCampos way down and keeps going (55-24%), continuous increase of Araucaria forest pollen (39-80%) with A. angustifolia going up 14-42% and big increase in Mimosa scabrella, no change in Atlantic (2-6%), fewer fern spores (5-19%), highest Dicksonia spore level (9-26%), high point for mosses but decrease later. Low concentration of carbonised particles but higher accumulation than at beginning of core.\n\n410 - -50 (430 - -50 cal yr BP)\nCampos start way down (to 11%) but increase (to 38%, through Cyperaceae then Poaceae) then go down right at the end, Araucaria forest highest early on (87%) but decreases at the end (65%) as A. angustifolia drops off right at the end (41-2%; Mimosa scabrella jumps correspondingly; other changes), nothing much happens with Atlantic forest (2-7%), fern spores go down (21-2%) and Dicksonia crashes by end (19-0.3%). Similar carbonised particles to before.","page":"277-297","title":"Late Quaternary Araucaria forest, grassland (Campos), fire and climate dynamics, studied by high-resolution pollen, charcoal and multivariate analysis of the Cambará do Sul core in southern Brazil","type":"article-journal","volume":"203"},"uris":["http://www.mendeley.com/documents/?uuid=46579170-55fd-37c2-8f78-517419a62e98"]}],"mendeley":{"formattedCitation":"(Behling et al., 2004; Iriarte and Behling, 2007)","plainTextFormattedCitation":"(Behling et al., 2004; Iriarte and Behling, 2007)","previouslyFormattedCitation":"(Behling et al., 2004; Iriarte and Behling, 2007)"},"properties":{"noteIndex":0},"schema":"https://github.com/citation-style-language/schema/raw/master/csl-citation.json"}</w:instrText>
      </w:r>
      <w:r w:rsidR="00D64242" w:rsidRPr="0083145E">
        <w:fldChar w:fldCharType="separate"/>
      </w:r>
      <w:r w:rsidR="00D64242" w:rsidRPr="0083145E">
        <w:rPr>
          <w:noProof/>
        </w:rPr>
        <w:t>(Behling et al., 2004; Iriarte and Behling, 2007)</w:t>
      </w:r>
      <w:r w:rsidR="00D64242" w:rsidRPr="0083145E">
        <w:fldChar w:fldCharType="end"/>
      </w:r>
      <w:r w:rsidR="00344B7B" w:rsidRPr="0083145E">
        <w:t>.</w:t>
      </w:r>
    </w:p>
    <w:p w14:paraId="499ECF9B" w14:textId="16179B76" w:rsidR="00B94724" w:rsidRPr="0083145E" w:rsidRDefault="00DD5BBD" w:rsidP="004F4229">
      <w:pPr>
        <w:pStyle w:val="Mynormal"/>
      </w:pPr>
      <w:r w:rsidRPr="0083145E">
        <w:t xml:space="preserve">These changes have typically been </w:t>
      </w:r>
      <w:r w:rsidR="006B0DDD">
        <w:t>attributed to</w:t>
      </w:r>
      <w:r w:rsidR="007B14FC" w:rsidRPr="0083145E">
        <w:t xml:space="preserve"> climate</w:t>
      </w:r>
      <w:r w:rsidR="003E7764" w:rsidRPr="0083145E">
        <w:t xml:space="preserve"> </w:t>
      </w:r>
      <w:r w:rsidR="006B0DDD">
        <w:t xml:space="preserve">change </w:t>
      </w:r>
      <w:r w:rsidR="00A90168" w:rsidRPr="0083145E">
        <w:fldChar w:fldCharType="begin" w:fldLock="1"/>
      </w:r>
      <w:r w:rsidR="005A4773">
        <w:instrText>ADDIN CSL_CITATION {"citationItems":[{"id":"ITEM-1","itemData":{"DOI":"10.1016/j.quascirev.2016.06.011","ISSN":"02773791","abstract":"At mid to high northern latitudes postglacial vegetation change has often occurred synchronously over large regions triggered mainly by abrupt climate change. Based on 19 pollen diagrams from southern and southeastern Brazil we explore if similar synchronicities in vegetation change were also characteristic for the vegetation dynamics in low latitudes. We used sequence splitting to detect past vegetation change in the pollen diagrams and computed principal curves and rates of change to visually evaluate the changes in composition and dynamics. The results show that vegetation change occurred mostly during the second half of the Holocene with distinct episodes of change. The character of vegetation change is generally consistent with shifts to wetter conditions and agrees with inferred shifts of the South American Monsoon. Speleothems as well as the titanium record from the Cariaco Basin indicate several episodes of rapid shifts in the precipitation regime, which are within the dating uncertainty of the here detected periods of vegetation change (8900, 5900, 2800, 1200 and 550 cal yrs BP). Our results indicate that low latitude vegetation composition follows precession forcing of the hydrology, while change is often triggered and synchronized by rapid climate change much like in high and mid latitudes. Pollen diagrams document changes in the abundance of individual taxa and changes in the amount of woodland cover, while small compositional changes indicate a regional stability of vegetation types during the Holocene.","author":[{"dropping-particle":"","family":"Rodrigues","given":"Jackson Martins","non-dropping-particle":"","parse-names":false,"suffix":""},{"dropping-particle":"","family":"Behling","given":"Hermann","non-dropping-particle":"","parse-names":false,"suffix":""},{"dropping-particle":"","family":"Giesecke","given":"Thomas","non-dropping-particle":"","parse-names":false,"suffix":""}],"container-title":"Quaternary Science Reviews","id":"ITEM-1","issued":{"date-parts":[["2016"]]},"note":"Phew. Big paper analysing 19 cores throughout the Atlantic forest (including lots from Araucaria regions) to see overall timing patterns. There are spikes of change around 8900, 5900, 2800, 1200 and 550 BP (more narrowly around the later two) and more change happened later in the Holocene. In a lot of records changes were quite slow and there's not a lot of rapid compositional change, [and it's important to think about the amount of variance taken up by those time periods (it is, right?).] Comparisons are made with speleothem records.\n\nThe paper seems to make a decent case that the general regional patterns in vegetation change are because of climate conditions, but does concede that a lot of the records are from small basins and represent local vegetation that could well have been influenced by people.","page":"54-65","title":"Holocene dynamics of vegetation change in southern and southeastern Brazil is consistent with climate forcing","type":"article-journal","volume":"146"},"uris":["http://www.mendeley.com/documents/?uuid=d8150e3f-db38-3a88-9455-849ff6dd35ab"]}],"mendeley":{"formattedCitation":"(Rodrigues et al., 2016a)","plainTextFormattedCitation":"(Rodrigues et al., 2016a)","previouslyFormattedCitation":"(Rodrigues et al., 2016a)"},"properties":{"noteIndex":0},"schema":"https://github.com/citation-style-language/schema/raw/master/csl-citation.json"}</w:instrText>
      </w:r>
      <w:r w:rsidR="00A90168" w:rsidRPr="0083145E">
        <w:fldChar w:fldCharType="separate"/>
      </w:r>
      <w:r w:rsidR="00F224C2" w:rsidRPr="00F224C2">
        <w:rPr>
          <w:noProof/>
        </w:rPr>
        <w:t>(Rodrigues et al., 2016a)</w:t>
      </w:r>
      <w:r w:rsidR="00A90168" w:rsidRPr="0083145E">
        <w:fldChar w:fldCharType="end"/>
      </w:r>
      <w:r w:rsidR="00A914C2">
        <w:t xml:space="preserve">. However, recent </w:t>
      </w:r>
      <w:r w:rsidR="00BB0593" w:rsidRPr="0083145E">
        <w:t xml:space="preserve">speleothem data </w:t>
      </w:r>
      <w:r w:rsidR="00A914C2" w:rsidRPr="0083145E">
        <w:fldChar w:fldCharType="begin" w:fldLock="1"/>
      </w:r>
      <w:r w:rsidR="00A914C2">
        <w:instrText>ADDIN CSL_CITATION {"citationItems":[{"id":"ITEM-1","itemData":{"DOI":"10.1016/j.epsl.2016.06.008","ISSN":"0012821X","abstract":"A Holocene stalagmite from Botuver?? Cave, southeastern Brazil was analyzed by LA-ICPMS for Mg/Ca, Sr/Ca, Ba/Ca. The observed variability in the record was demonstrated to be modulated by prior calcite precipitation, and, thus, is interpreted to reflect monsoon intensity. We find that the calcite ??18O is strongly correlated with Sr/Ca, indicating that atmospheric circulation over South America and monsoon intensity have been tightly correlated throughout most of the Holocene, both directly responding to solar precession. Comparison with other contemporaneous high-resolution hydroclimate records reveals that SAMS has shown a degree of complexity during the Holocene not previously detected, with periods where the South American Convergence Zone (SACZ) expanded to cover most of the South American sub-continent, and coincident with periods of low-SST in the north Atlantic. We also detect periods where rainfall amount in northeastern and southeastern Brazil are markedly anti-phased, suggesting a north-south migration of SACZ, which it appears to be mediated by solar irradiance. The high-resolution nature of our record allow us to examine the effect that Holocene climate anomalies had upon SAMS dynamics and hydroclimate in southeastern Brazil, in particular the 8.2 ka event and the Little Ice Age. In addition to confirm the internal structure of the events, we also detect the possible consequences of the climatic anomalies upon ocean???atmosphere interactions through its effects upon SAMS.","author":[{"dropping-particle":"","family":"Bernal","given":"J. P.","non-dropping-particle":"","parse-names":false,"suffix":""},{"dropping-particle":"","family":"Cruz","given":"Francisco W.","non-dropping-particle":"","parse-names":false,"suffix":""},{"dropping-particle":"","family":"Stríkis","given":"Nicolás M.","non-dropping-particle":"","parse-names":false,"suffix":""},{"dropping-particle":"","family":"Wang","given":"Xianfeng","non-dropping-particle":"","parse-names":false,"suffix":""},{"dropping-particle":"","family":"Deininger","given":"Michael","non-dropping-particle":"","parse-names":false,"suffix":""},{"dropping-particle":"","family":"Catunda","given":"Maria Carolina A.","non-dropping-particle":"","parse-names":false,"suffix":""},{"dropping-particle":"","family":"Ortega-Obregón","given":"C.","non-dropping-particle":"","parse-names":false,"suffix":""},{"dropping-particle":"","family":"Cheng","given":"Hai","non-dropping-particle":"","parse-names":false,"suffix":""},{"dropping-particle":"","family":"Edwards","given":"R. Lawrence","non-dropping-particle":"","parse-names":false,"suffix":""},{"dropping-particle":"","family":"Auler","given":"Augusto S.","non-dropping-particle":"","parse-names":false,"suffix":""}],"container-title":"Earth and Planetary Science Letters","id":"ITEM-1","issued":{"date-parts":[["2016"]]},"note":"Sample BTV21a covers around 9100 years. Important paper giving a very high resolution speleothem record of precipitation and sources from Botuvera throughout the Holocene. Discusses drivers of the SAMS particularly closely. Mediaeval Climate Anomaly was roughly simultaneous with the big Araucaria expansion ~1000 yr BP, but its effects aren't clear yet. There's also a big wet spike around 900AD","page":"186-196","title":"High-resolution Holocene South American monsoon history recorded by a speleothem from Botuverá Cave, Brazil","type":"article-journal","volume":"450"},"uris":["http://www.mendeley.com/documents/?uuid=0378a704-52cb-3796-83a9-b29730acda00"]}],"mendeley":{"formattedCitation":"(Bernal et al., 2016)","plainTextFormattedCitation":"(Bernal et al., 2016)","previouslyFormattedCitation":"(Bernal et al., 2016)"},"properties":{"noteIndex":0},"schema":"https://github.com/citation-style-language/schema/raw/master/csl-citation.json"}</w:instrText>
      </w:r>
      <w:r w:rsidR="00A914C2" w:rsidRPr="0083145E">
        <w:fldChar w:fldCharType="separate"/>
      </w:r>
      <w:r w:rsidR="00A914C2" w:rsidRPr="0083145E">
        <w:rPr>
          <w:noProof/>
        </w:rPr>
        <w:t>(Bernal et al., 2016)</w:t>
      </w:r>
      <w:r w:rsidR="00A914C2" w:rsidRPr="0083145E">
        <w:fldChar w:fldCharType="end"/>
      </w:r>
      <w:r w:rsidR="00A914C2" w:rsidRPr="0083145E">
        <w:t xml:space="preserve"> </w:t>
      </w:r>
      <w:r w:rsidR="00BB0593" w:rsidRPr="0083145E">
        <w:t xml:space="preserve">show </w:t>
      </w:r>
      <w:r w:rsidR="005D735D" w:rsidRPr="0083145E">
        <w:t>that</w:t>
      </w:r>
      <w:r w:rsidR="00A914C2">
        <w:t xml:space="preserve">, although the initial </w:t>
      </w:r>
      <w:r w:rsidR="00A914C2" w:rsidRPr="004F4229">
        <w:rPr>
          <w:i/>
        </w:rPr>
        <w:t>Araucaria</w:t>
      </w:r>
      <w:r w:rsidR="00A914C2">
        <w:t xml:space="preserve"> forest expansion at 4,000 </w:t>
      </w:r>
      <w:r w:rsidR="00250AD4">
        <w:t>yr</w:t>
      </w:r>
      <w:r w:rsidR="00A914C2">
        <w:t xml:space="preserve"> BP does correlate with an increase in rainfall, no subsequent climate change accompanies the later</w:t>
      </w:r>
      <w:r w:rsidR="00ED5275">
        <w:t xml:space="preserve">, </w:t>
      </w:r>
      <w:r w:rsidR="00CE59B9">
        <w:t>more significant</w:t>
      </w:r>
      <w:r w:rsidR="00A914C2">
        <w:t xml:space="preserve"> forest expansion at </w:t>
      </w:r>
      <w:r w:rsidR="00ED5275">
        <w:t xml:space="preserve">1,500-900 </w:t>
      </w:r>
      <w:r w:rsidR="00250AD4">
        <w:t>yr</w:t>
      </w:r>
      <w:r w:rsidR="00ED5275">
        <w:t xml:space="preserve"> BP</w:t>
      </w:r>
      <w:r w:rsidR="00C21798">
        <w:t xml:space="preserve"> </w:t>
      </w:r>
      <w:r w:rsidR="00016402">
        <w:fldChar w:fldCharType="begin" w:fldLock="1"/>
      </w:r>
      <w:r w:rsidR="00016402">
        <w:instrText>ADDIN CSL_CITATION {"citationItems":[{"id":"ITEM-1","itemData":{"DOI":"10.1038/s41598-018-24429-5","ISSN":"2045-2322","abstract":"In the highlands of southern Brazil an anthropogenitcally driven expansion of forest occurred at the expense of grasslands between 1410 and 900 cal BP, coincident with a period of demographic and cultural change in the region. Previous studies have debated the relative contributions of increasing wetter and warmer climate conditions and human landscape modifications to forest expansion, but generally lacked high resoltiuon proxies to measure these effects, or have relied on single proxies to reconstruct both climate and vegetation. Here, we develop and test a model of natural ecosystem distribution against vegetation histories, paleoclimate proxies, and the archaeological record to distinguish human from temperature and precipitation impacts on the distribution and expansion of Araucaria forests during the late Holocene. Carbon isotopes from soil profiles confirm that in spite of climatic fluctuations, vegetation was stable and forests were spatially limited to south-facing slopes in the absence of human inputs. In contrast, forest management strategies for the past 1400 years expanded this economically important forest beyond its natural geographic boundaries in areas of dense pre-Columbian occupation, suggesting that landscape modifications were linked to demographic changes, the effects of which are still visible today.","author":[{"dropping-particle":"","family":"Robinson","given":"Mark","non-dropping-particle":"","parse-names":false,"suffix":""},{"dropping-particle":"","family":"Souza","given":"Jonas Gregorio","non-dropping-particle":"De","parse-names":false,"suffix":""},{"dropping-particle":"","family":"Maezumi","given":"S Yoshi","non-dropping-particle":"","parse-names":false,"suffix":""},{"dropping-particle":"","family":"Cárdenas","given":"Macarena","non-dropping-particle":"","parse-names":false,"suffix":""},{"dropping-particle":"","family":"Pessenda","given":"Luiz","non-dropping-particle":"","parse-names":false,"suffix":""},{"dropping-particle":"","family":"Prufer","given":"Keith","non-dropping-particle":"","parse-names":false,"suffix":""},{"dropping-particle":"","family":"Corteletti","given":"Rafael","non-dropping-particle":"","parse-names":false,"suffix":""},{"dropping-particle":"","family":"Scunderlick","given":"Deisi","non-dropping-particle":"","parse-names":false,"suffix":""},{"dropping-particle":"","family":"Mayle","given":"Francis Edward","non-dropping-particle":"","parse-names":false,"suffix":""},{"dropping-particle":"","family":"Blasis","given":"Paulo","non-dropping-particle":"De","parse-names":false,"suffix":""},{"dropping-particle":"","family":"Iriarte","given":"José","non-dropping-particle":"","parse-names":false,"suffix":""}],"container-title":"Scientific Reports","id":"ITEM-1","issue":"1","issued":{"date-parts":[["2018","12","17"]]},"page":"7800","title":"Uncoupling human and climate drivers of late Holocene vegetation change in southern Brazil","type":"article-journal","volume":"8"},"uris":["http://www.mendeley.com/documents/?uuid=31596bfb-9a43-43e4-a359-a0d4859f2499"]}],"mendeley":{"formattedCitation":"(Robinson et al., 2018)","plainTextFormattedCitation":"(Robinson et al., 2018)","previouslyFormattedCitation":"(Robinson et al., 2018)"},"properties":{"noteIndex":0},"schema":"https://github.com/citation-style-language/schema/raw/master/csl-citation.json"}</w:instrText>
      </w:r>
      <w:r w:rsidR="00016402">
        <w:fldChar w:fldCharType="separate"/>
      </w:r>
      <w:r w:rsidR="00016402" w:rsidRPr="00016402">
        <w:rPr>
          <w:noProof/>
        </w:rPr>
        <w:t>(Robinson et al., 2018)</w:t>
      </w:r>
      <w:r w:rsidR="00016402">
        <w:fldChar w:fldCharType="end"/>
      </w:r>
      <w:r w:rsidR="00016402">
        <w:rPr>
          <w:noProof/>
        </w:rPr>
        <w:t>.</w:t>
      </w:r>
      <w:r w:rsidR="00BB0593" w:rsidRPr="0083145E">
        <w:t xml:space="preserve"> </w:t>
      </w:r>
      <w:r w:rsidR="001715EB" w:rsidRPr="0083145E">
        <w:t xml:space="preserve">This has led </w:t>
      </w:r>
      <w:r w:rsidR="00ED5275">
        <w:t>several authors to invoke</w:t>
      </w:r>
      <w:r w:rsidR="001715EB" w:rsidRPr="0083145E">
        <w:t xml:space="preserve"> human</w:t>
      </w:r>
      <w:r w:rsidR="00ED5275">
        <w:t>s</w:t>
      </w:r>
      <w:r w:rsidR="001715EB" w:rsidRPr="0083145E">
        <w:t xml:space="preserve"> </w:t>
      </w:r>
      <w:r w:rsidR="00ED5275">
        <w:t xml:space="preserve">as the most likely </w:t>
      </w:r>
      <w:r w:rsidR="001715EB" w:rsidRPr="0083145E">
        <w:t>cause for th</w:t>
      </w:r>
      <w:r w:rsidR="00ED5275">
        <w:t>is</w:t>
      </w:r>
      <w:r w:rsidR="001715EB" w:rsidRPr="0083145E">
        <w:t xml:space="preserve"> most recent</w:t>
      </w:r>
      <w:r w:rsidR="007D2DB3" w:rsidRPr="0083145E">
        <w:t>, rapid</w:t>
      </w:r>
      <w:r w:rsidR="001715EB" w:rsidRPr="0083145E">
        <w:t xml:space="preserve"> </w:t>
      </w:r>
      <w:r w:rsidR="001715EB" w:rsidRPr="0083145E">
        <w:lastRenderedPageBreak/>
        <w:t xml:space="preserve">expansion of </w:t>
      </w:r>
      <w:r w:rsidR="00AD6A12">
        <w:rPr>
          <w:i/>
        </w:rPr>
        <w:t>Araucaria</w:t>
      </w:r>
      <w:r w:rsidR="00AD6A12">
        <w:t xml:space="preserve"> forest</w:t>
      </w:r>
      <w:r w:rsidR="00AD6A12" w:rsidRPr="0083145E">
        <w:t xml:space="preserve"> </w:t>
      </w:r>
      <w:r w:rsidR="000B29C4" w:rsidRPr="0083145E">
        <w:fldChar w:fldCharType="begin" w:fldLock="1"/>
      </w:r>
      <w:r w:rsidR="005A4773">
        <w:instrText>ADDIN CSL_CITATION {"citationItems":[{"id":"ITEM-1","itemData":{"abstract":"This study offers a few thoughts about a possible prehistoric anthropogenic effect on the expansion of Araucaria angustifolia during the late Holocene based on overlay and analysis of archeological, geographical, palynological and botanical data. Archeological research reveals that groups of pottery-producing hunter-gatherers belonging to the Jê linguistic stock. These are archeologically defined as the Taquara/Itararé Tradition, and occupied the highlands in southern Brazil from 2000 years BP until 200 years BP. Major resource uses regarding forest vegetation were hunting, Araucaria nuts seed harvesting (considered an essential component in the diet) and agroforestry management. Their settlements, known as casas subterrâneas (pit houses), were distributed according to relief and geography under the domain of Araucaria forest. A strong expansion of Araucaria angustifolia in the late Holocene is recorded by various palynological studies as occurring after 1,500 years BP in Paraná, 1,000 years BP in Santa Catarina and 1,140 years BP in Rio Grande do Sul over areas near archaeological settlements. These data deserve some attention. Furthermore, botanical sources indicate that Araucaria angustifolia need a dispersing factor, including birds, animals and humans. In spite of climate conditions being considered one of the major causes of increase, the possibility of contribution by pottery-producing hunter-gatherers of the Taquara/Itararé Tradition in seed dispersal by harvesting of seeds, and possible management and planting of this species. These sites are considered important elements as indicators of Araucaria forest areas in landscape reconstruction studies.","author":[{"dropping-particle":"","family":"Bitencourt","given":"Ana Luisa Vietti","non-dropping-particle":"","parse-names":false,"suffix":""},{"dropping-particle":"","family":"Krauspenhar","given":"Patrícia Maria","non-dropping-particle":"","parse-names":false,"suffix":""}],"container-title":"Revista Brasileira de Paleontologia","id":"ITEM-1","issue":"1","issued":{"date-parts":[["2006"]]},"note":"Paper that first(?) suggested a potential anthropogenic cause for the late-Holocene expansion of Araucaria forest. No experimental evidence but suggests potential management of the understorey as a means for this, and compares dates of human and forest expansion.","page":"109-116","title":"Possible prehistoric anthropogenic effect on Araucaria angustifolia (Bert.) O. Kuntze expansion during the late Holocene","type":"article-journal","volume":"9"},"uris":["http://www.mendeley.com/documents/?uuid=f0770d30-0d2e-3ebc-a93c-d43c0879c48c"]},{"id":"ITEM-2","itemData":{"DOI":"10.5751/ES-06163-190243","ISBN":"3262","ISSN":"17083087","abstract":"South American Araucaria species include Araucaria araucana (Mol.) C. Koch (Argentina and Chile) and Araucaria angustifolia (Bert.) O. Kuntze (Brazil and Argentina). Both species produce nut-like seeds (piñones, pinhões) that have, since pre- Columbian times, formed part of the traditional diet of local societies: Kaingang (A. angustifolia) and Mapuche-Pehuenche (A. araucana). In this work, we compared and analyzed converging and diverging characteristics of these species founded on ecological and ethnobotanical evidence. We also studied the role of human groups in the construction of Araucaria forests. The methodology used was based on a bibliographical analysis that included a wide range of sources, from ecological to social sciences. Our results show that both species hold strong cultural and symbolic significance for associated human groups. The ecological characteristics of both species have favored their rapid territorial expansion since the Holocene; however, palynological, archaeological, and ethnobotanical evidence reinforces the hypothesis that the human groups involved played a key role in this process. For both societies, there are records of past and present practices related to the transport, storage, and processing of the seeds. The landscapes where A. araucana and A. angustifolia are present also reflect use patterns that hold a level of significance that goes beyond merely utilitarian purposes. For the Kaingang and the Mapuche-Pehuenche, the Araucaria forests are associated with the concept of territoriality and play a key role in determining their identity. Our approach to cultural landscapes, which considers the importance of societies in the modelling of natural landscapes, can offer new perspectives for conservation policies and action in both forests.","author":[{"dropping-particle":"","family":"Reis","given":"Maurício Sedrez","non-dropping-particle":"dos","parse-names":false,"suffix":""},{"dropping-particle":"","family":"Ladio","given":"Ana","non-dropping-particle":"","parse-names":false,"suffix":""},{"dropping-particle":"","family":"Peroni","given":"Nivaldo","non-dropping-particle":"","parse-names":false,"suffix":""}],"container-title":"Ecology and Society","id":"ITEM-2","issue":"2","issued":{"date-parts":[["2014"]]},"note":"This paper looks at forests with Araucaria araucana and A. angustifolia in SA, and the possible cultural genesis of these landscapes. It makes the case that the biological characteristics of these species (broad niches, big, gravity-dispersed (but what about animals??) seeds etc) combined with cultural actions mean the forests are almost certainly cultural landscapes. I'm not 100% convinced (there's less direct and compelling evidence provided than for the Brazil nut, for example), but it shows people are thinking along those lines and it shouldn't be ruled out.\n\nAlso links to a lot of useful/interesting papers (especially ethnography/ethnobotany), but many are in Portuguese.","page":"43","publisher":"The Resilience Alliance","title":"Landscapes with Araucaria in South America: Evidence for a cultural dimension","type":"article-journal","volume":"19"},"uris":["http://www.mendeley.com/documents/?uuid=46d1e447-ad0b-38ea-b396-edca73a224f2"]},{"id":"ITEM-3","itemData":{"DOI":"10.1179/174963107x226390","ISBN":"14614103\\r17496314","ISSN":"14614103","abstract":"An examination of the late Holocene environmental and cultural sequences of the southern Brazilian highlands indicates that the colonisation of this region by the Taquara/Itarare ´ people is associated with the expansion of Araucaria forest resulting from the onset of wetter climatic conditions in the region, which started between around 1410 and 900 cal. yr BP. The more intense and permanent human occupation of this region is associated with the advance of Araucaria forest, which provided Taquara/Itararé groups with a newly abundant and reliable resource: Araucaria seeds. In addition, we review the evidence for landscape transformation associated with the beginning of food-production in the region. Charcoal records show that local populations may have practiced slash-and-burn agriculture at lower elevations since the beginning of the late Holocene around 4320 cal. yr BP, and continued this practice during the second part of the late Holocene.","author":[{"dropping-particle":"","family":"Iriarte","given":"José","non-dropping-particle":"","parse-names":false,"suffix":""},{"dropping-particle":"","family":"Behling","given":"Hermann","non-dropping-particle":"","parse-names":false,"suffix":""}],"container-title":"Environmental Archaeology","id":"ITEM-3","issue":"2","issued":{"date-parts":[["2007"]]},"note":"Really good details on ethnobotanical importance of Araucaria to T/I people. Good overview/introduction to changes in landscape, and suggests possible human cause\n\nPalaeoecology:\nFirst Holocene expansion of Araucaria forest (at expense of Campos) in SBHs: 4480-3200 cal yr BP. Wetter climate, expansion of Araucaria gallery forest. (Especially evident in Cambara do Sul, less so in others.)\nLater, bigger expansion between 1410-900 cal yr BP (see highlight amid pollen diagrams for dates from different records). Wettest climate and no real annual dry season. Fires a bit less frequent than in the interval since last expansion (when there had been a lot - probably slash and burn in semideciduous/Atlantic forest), but still a fair number of them. This ended up either in a mosaic with campos or with an Araucaria takeover.\n\nArchaeology:\nPithouses are everyday living places. Closely overlap with Araucaria forest. Diameter 2-20m, most &amp;lt;5m. Charred Araucaria seeds are found in lots of them.\n'Surface sites' (agriculture, quarries etc) are found amongst pithouses in highlands/Araucaria, but are more common at lower altitudes when pithouses get rarer.\nEarthworkds (?geoglyphs) found in the most prominent hills. They were ceremonial spaces\nExpansion of T/I sites: started 1500cal yr BP and peaked after 1000 cal yr BP. 79% of pithouse dates are more recent than 1000 cal yr BP.","page":"115-127","title":"The expansion of Araucaria forest in the southern Brazilian highlands during the last 4000 years and its implications for the development of the Taquara/Itararé Tradition","type":"article-journal","volume":"12"},"uris":["http://www.mendeley.com/documents/?uuid=67c6efcb-8665-3d79-a859-769fcfa45315"]},{"id":"ITEM-4","itemData":{"author":[{"dropping-particle":"","family":"Noelli","given":"Francisco Silva","non-dropping-particle":"","parse-names":false,"suffix":""}],"container-title":"Revista da Universidade da São Paulo","id":"ITEM-4","issued":{"date-parts":[["2000"]]},"note":"At this point, used mainly for early suggestion of anthropogenic landscapes (search Araucaria/arauc)","page":"218-269","title":"A ocupação humana na Região Sul do Brasil: Arqueologia, debates e perspectivas 1872-2000","type":"article-journal","volume":"44"},"uris":["http://www.mendeley.com/documents/?uuid=db1352f9-aa5c-3958-bf2f-d84404307805"]}],"mendeley":{"formattedCitation":"(Bitencourt and Krauspenhar, 2006; dos Reis et al., 2014; Iriarte and Behling, 2007; Noelli, 2000)","plainTextFormattedCitation":"(Bitencourt and Krauspenhar, 2006; dos Reis et al., 2014; Iriarte and Behling, 2007; Noelli, 2000)","previouslyFormattedCitation":"(Bitencourt and Krauspenhar, 2006; dos Reis et al., 2014; Iriarte and Behling, 2007; Noelli, 2000)"},"properties":{"noteIndex":0},"schema":"https://github.com/citation-style-language/schema/raw/master/csl-citation.json"}</w:instrText>
      </w:r>
      <w:r w:rsidR="000B29C4" w:rsidRPr="0083145E">
        <w:fldChar w:fldCharType="separate"/>
      </w:r>
      <w:r w:rsidR="00212D62" w:rsidRPr="0083145E">
        <w:rPr>
          <w:noProof/>
        </w:rPr>
        <w:t>(Bitencourt and Krauspenhar, 2006; dos Reis et al., 2014; Iriarte and Behling, 2007; Noelli, 2000)</w:t>
      </w:r>
      <w:r w:rsidR="000B29C4" w:rsidRPr="0083145E">
        <w:fldChar w:fldCharType="end"/>
      </w:r>
      <w:r w:rsidR="00C463EE">
        <w:t xml:space="preserve">, bolstered by evidence that, under natural conditions, expansion of forest patches </w:t>
      </w:r>
      <w:r w:rsidR="00ED5275">
        <w:t>into</w:t>
      </w:r>
      <w:r w:rsidR="00C463EE">
        <w:t xml:space="preserve"> campos </w:t>
      </w:r>
      <w:r w:rsidR="00C9592F">
        <w:t xml:space="preserve">grassland </w:t>
      </w:r>
      <w:r w:rsidR="0096797A">
        <w:t>can be</w:t>
      </w:r>
      <w:r w:rsidR="00C463EE">
        <w:t xml:space="preserve"> extremely slow</w:t>
      </w:r>
      <w:r w:rsidR="00ED5275">
        <w:t xml:space="preserve"> (</w:t>
      </w:r>
      <w:r w:rsidR="00ED5275" w:rsidRPr="0083145E">
        <w:t xml:space="preserve">less than 100m in 4,000 years </w:t>
      </w:r>
      <w:r w:rsidR="00ED5275" w:rsidRPr="0083145E">
        <w:fldChar w:fldCharType="begin" w:fldLock="1"/>
      </w:r>
      <w:r w:rsidR="00ED5275">
        <w:instrText>ADDIN CSL_CITATION {"citationItems":[{"id":"ITEM-1","itemData":{"DOI":"10.1007/s10021-011-9486-y","ISBN":"1432-9840","ISSN":"14329840","abstract":"Recent studies have shown that tropical and subtropical forests expanded during the late Holocene, but rates and mechanisms of expansion are still unknown. Here, we investigate how a forest-grassland mosaic changed over the past 10,000 years at the southernmost limit of the Brazilian Atlantic forest. We used soil organic matter carbon isotopes (δ 13C and 14C) to quantify and date changes in vegetation, examining soil properties and leaf traits of tree species (nutrient content, δ 13C, δ 15N, and specific leaf area-SLA) to describe potential mechanisms of expansion. Our results show that after several millennia of stability, forests have been expanding over grasslands through continuous, but very slow, border dynamics and patch formation (&lt;100 m since ~4,000 YBP). This process of expansion coincided with past changes in climate, but biotic feedback mechanisms also appear to be important for the long-term persistence and expansion of forests. Soil fertility and microbial biomass match current rather than past vegetation distribution, increasing progressively across the gradient: grasslands &lt; isolated trees &lt; forest patches &lt; forests. Foliar δ 15N values of trees that are able to colonize the grassland are consistently lower across this vegetation gradient, suggesting an increasingly greater reliance on symbiotic nutrient uptake from grasslands to forests. No significant relationships were found between soil and leaf nutrients, but SLA explained variation in leaf N, P, and K (positive relationships) and in leaf δ 13C (negative relationship). These findings suggest that a tradeoff between tree growth and water use efficiency is an important regulator of forest-grassland dynamics in the study region. © 2011 Springer Science+Business Media, LLC.","author":[{"dropping-particle":"","family":"Silva","given":"Lucas C R","non-dropping-particle":"","parse-names":false,"suffix":""},{"dropping-particle":"","family":"Anand","given":"Madhur","non-dropping-particle":"","parse-names":false,"suffix":""}],"container-title":"Ecosystems","id":"ITEM-1","issue":"8","issued":{"date-parts":[["2011"]]},"note":"Interesting paper on expansion of ARF over 9,000 years. Good diagrams showing how and when the patches and forest areas expanded. Expansion speeds suggested, with implications for refugia and past humans mentioned. Thoughts in notes.","page":"1354-1371","title":"Mechanisms of Araucaria (Atlantic) Forest Expansion into Southern Brazilian Grasslands","type":"article-journal","volume":"14"},"uris":["http://www.mendeley.com/documents/?uuid=26302ea3-b67e-3725-bd0a-3f81476d906b"]}],"mendeley":{"formattedCitation":"(Silva and Anand, 2011)","plainTextFormattedCitation":"(Silva and Anand, 2011)","previouslyFormattedCitation":"(Silva and Anand, 2011)"},"properties":{"noteIndex":0},"schema":"https://github.com/citation-style-language/schema/raw/master/csl-citation.json"}</w:instrText>
      </w:r>
      <w:r w:rsidR="00ED5275" w:rsidRPr="0083145E">
        <w:fldChar w:fldCharType="separate"/>
      </w:r>
      <w:r w:rsidR="00ED5275" w:rsidRPr="0083145E">
        <w:rPr>
          <w:noProof/>
        </w:rPr>
        <w:t>(Silva and Anand, 2011)</w:t>
      </w:r>
      <w:r w:rsidR="00ED5275" w:rsidRPr="0083145E">
        <w:fldChar w:fldCharType="end"/>
      </w:r>
      <w:r w:rsidR="0096797A">
        <w:t>)</w:t>
      </w:r>
      <w:r w:rsidR="00ED5275" w:rsidRPr="0083145E">
        <w:t>.</w:t>
      </w:r>
    </w:p>
    <w:p w14:paraId="1FD5EF1B" w14:textId="244510A1" w:rsidR="00DD5BBD" w:rsidRPr="0083145E" w:rsidRDefault="003A0E88" w:rsidP="004F4229">
      <w:pPr>
        <w:pStyle w:val="Mynormal"/>
      </w:pPr>
      <w:r>
        <w:t>Before European arrival, the indigenous people of the highlands, the southern Jê, had lifestyles that were at least semi-sedentary and practi</w:t>
      </w:r>
      <w:r w:rsidR="00CE59B9">
        <w:t>s</w:t>
      </w:r>
      <w:r>
        <w:t>ed a mixed economy that combine</w:t>
      </w:r>
      <w:r w:rsidR="00CE59B9">
        <w:t>d</w:t>
      </w:r>
      <w:r>
        <w:t xml:space="preserve"> the  cultivation of manioc (</w:t>
      </w:r>
      <w:r w:rsidRPr="00CE59B9">
        <w:rPr>
          <w:i/>
        </w:rPr>
        <w:t>Manihot esculenta</w:t>
      </w:r>
      <w:r>
        <w:t>), maize (</w:t>
      </w:r>
      <w:r w:rsidRPr="00CE59B9">
        <w:rPr>
          <w:i/>
        </w:rPr>
        <w:t>Zea mays</w:t>
      </w:r>
      <w:r>
        <w:t>), squash (</w:t>
      </w:r>
      <w:r w:rsidRPr="00CE59B9">
        <w:rPr>
          <w:i/>
        </w:rPr>
        <w:t>Cucurbita</w:t>
      </w:r>
      <w:r>
        <w:t xml:space="preserve"> sp.) and beans (</w:t>
      </w:r>
      <w:r w:rsidRPr="00CE59B9">
        <w:rPr>
          <w:i/>
        </w:rPr>
        <w:t>Phaseolus</w:t>
      </w:r>
      <w:r>
        <w:t xml:space="preserve"> sp.) with hunting, fishing</w:t>
      </w:r>
      <w:r w:rsidR="00CE59B9">
        <w:t>,</w:t>
      </w:r>
      <w:r>
        <w:t xml:space="preserve"> and gathering forest and riverine resources </w:t>
      </w:r>
      <w:r w:rsidR="00B94724" w:rsidRPr="0083145E">
        <w:fldChar w:fldCharType="begin" w:fldLock="1"/>
      </w:r>
      <w:r w:rsidR="00016402">
        <w:instrText>ADDIN CSL_CITATION {"citationItems":[{"id":"ITEM-1","itemData":{"DOI":"10.1016/j.jas.2015.03.017","ISSN":"10959238","abstract":"This article presents the results of starch grain and phytolith residue analyses from 14 ceramic fragments recovered in two domestic cooking structures from a southern proto-Jê pit house at the Bonin site (Urubici, Santa Catarina state, southern Brazil) dating to 1300-1439 and 1297-1414calyr.A.D. The novel application of plant microfossil techniques in this region revealed, for the first time, the consumption of manioc (Manihot esculenta Crantz), beans (Phaseolus sp.), and possibly yams (cf. Dioscorea sp.) in addition to maize (Zea mays L.) and squash (Cucurbita sp.). These findings show that southern proto-Jê people had a subsistence economy based on a variety of plant foods and practiced food production more than one century before European Conquest. Contrary to traditional models of southern proto-Jê mobility, our data suggest that food production may have allowed populations to settle in the southern Brazilian highland plateau year-round without the need for seasonal movements to the Atlantic forest escarpment and the Atlantic coast environments to procure food. Our data complement archaeological evidence for increased sedentism and social complexity among southern proto-Jê groups from A.D. 300-1700, including the construction of large, well-planned pit-house villages, and the creation of a highly structured landscape revolving around funerary/ceremonial structures.","author":[{"dropping-particle":"","family":"Corteletti","given":"Rafael","non-dropping-particle":"","parse-names":false,"suffix":""},{"dropping-particle":"","family":"Dickau","given":"Ruth","non-dropping-particle":"","parse-names":false,"suffix":""},{"dropping-particle":"","family":"DeBlasis","given":"Paulo","non-dropping-particle":"","parse-names":false,"suffix":""},{"dropping-particle":"","family":"Iriarte","given":"José","non-dropping-particle":"","parse-names":false,"suffix":""}],"container-title":"Journal of Archaeological Science","id":"ITEM-1","issued":{"date-parts":[["2015"]]},"note":"Interesting paper on the economy and food sources of southern proto-Je people. Good information on Je/Kaingang plant/animal food use (inc pinhao). Concludes that groups were probably sedentary and cultivating crops from quite early and didn't have to do seasonal movement.","page":"46-61","title":"Revisiting the economy and mobility of southern proto-Jê (Taquara-Itararé) groups in the southern Brazilian highlands: Starch grain and phytoliths analyses from the Bonin site, Urubici, Brazil","type":"article-journal","volume":"58"},"uris":["http://www.mendeley.com/documents/?uuid=e6aa57d8-0a4d-3b65-b6a0-2ca8f07aff58"]},{"id":"ITEM-2","itemData":{"DOI":"10.1590/1981.81222017000100004","ISSN":"21782547","abstract":"For a long time, the Southern Jê Amerindians were perceived through the lens of the ‘standard model’. They were considered demographically reduced, isolated and nomadic. However, recent advances in the archaeology of Southern Brazil allow us to question such model. In this paper, our main aim is to demonstrate, through the mapping of archaeological sites and their dates, that it is possible to identify areas of high population density with permanent occupation. In addition, we discuss other hypotheses based on site distribution such as the peopling of Southern Brazil by the Jê groups; the process of interaction with other populations (mainly from the Tupi-Guarani linguistic family); and about their territorial situation in the beginning of the 16th century.","author":[{"dropping-particle":"","family":"Noelli","given":"Francisco Silva","non-dropping-particle":"","parse-names":false,"suffix":""},{"dropping-particle":"","family":"Souza","given":"Jonas Gregorio","non-dropping-particle":"De","parse-names":false,"suffix":""}],"container-title":"Boletim do Museu Paraense Emilio Goeldi: Ciencias Humanas","id":"ITEM-2","issue":"1","issued":{"date-parts":[["2017","1"]]},"note":"Interesting paper on the Je dynamics in space (not so much time). Interesting maps of sites, and very cool discussion of the interaction between Je and Guarani through time and in space.\nhtml version available on website - google can translate it automatically","page":"57-84","publisher":"MCT/Museu Paraense Emílio Goeldi","title":"Novas perspectivas para a cartografia arqueológica Jê no Brasil meridional","type":"article","volume":"12"},"uris":["http://www.mendeley.com/documents/?uuid=0599b8d5-7b18-3afc-92e6-678e7ac9448d"]},{"id":"ITEM-3","itemData":{"ISBN":"0394705211","author":[{"dropping-particle":"","family":"Henry","given":"J","non-dropping-particle":"","parse-names":false,"suffix":""}],"edition":"2","id":"ITEM-3","issued":{"date-parts":[["1964"]]},"note":"xxi-xxiii details on changes in Xokleng since pacification\nxxii 'They are great week-enders. Every Friday some of them plunge into the jungle and turn up on Monday with a few quarters of tapir, deer or wild pig, or some birds.'\n3 'The Kaingang [Xokleng] were forest nomads. For perhaps 300 years that was the only life they knew, and they resented it. The forest was not their original home, for they were driven into it from their farms on the savannahs to the west by their enemies. They speak with nostalgia of the time long ago when they lived in little fenced villages and planted corn, beans and pumpkins. Before the pacification they had no villages and instead of dividing their time between cultivating their crops and hunting in the forest as they used to do, they wandered forever in the forest and planted no crops at all.'\n4 No use of river craft\n5 'The Indians are acutely aware of their mountain forests as something with which they have to struggle and which is full of pain for them.' Division into clean/pretty places and dirty ones. No skin clothes, only woven robes/vests\n6 Food seasonality. 'They preserve only pine nuts...'\n9-16 Dislike building houses, shelter design, camp life, hunting life\n36 'The Kaingang [Xokleng] have no system of clans or moieties to impose social obligations on them.'\n55 'Had the Brazilians known how efficiently the Kaingang [Xokleng] were destroying themselves, they might never have bothered to hire bands of murderers but could have depended on the Kaingang to do away with themselves. The Brazilians killed many women and children, the death rate they inflicted on women being about twice that of the men; but since the intertribal Kaingang [Xokleng] feuds also reduced the men, the women were dying off only about 25% faster.'\n56-7 Violent use of festivals for fighting and settling blood vendettas\n67 1918 grippe outbreak 'In 1918 when the first wave of the grippe struck the Kaingang [Xokleng], killing them in such numbers that their bodies lay about unburied until the dogs ate them...'\n68 A year = 'Literally - &amp;quot;one period of no pine nuts&amp;quot;'\n69 Festa description and remembering the dead\n70-74 Supernatural monsters and spirits of the natural world\n83-4 Detail on (general) use of medicinal plants and erosion of traditional beliefs/reduction of positive associations with supernatural\n85 Hunting - importance of addressing animal (individual =species) that's been killed to entice others to be easily hunted. Sounds a bit like in Avatar..!\n86 'They feel that arrows have kupleng [spirits]; not only do arrows weep and die if they are deserted or thrown away in the forest, but arrows can see when a man is threatened with death, and will they fall from their places in the house above him at night to warn him of his danger. &amp;quot;The arrows are with one all the time and can see what is going to happen.&amp;quot;'\n87 Talking to bees to take honey - making up imaginary person's important ritual as a reason to take it. Leads into importance to doing ('compulsive obedience') and lower importance of reasons behind requests - needs matter a lot.\n88 Divining by belching ('...belching has been elevated to prophetic dignity.') after drinking erba mate\n88 Erstwhile exogamous system - five groups with names and designs\n89 'Bees are the mang [owned animal] of the line people, just as the tapir is the mang of the dot people.'\n91 'The pine tree is believed to be the exclusive property of the circle people, but from the myth that refers to the origin of an (unnamed) animal from the bark of the young pine it is impossible to determine why the pine tree might not just as well be the property of the dot or disk people. The mark system has been confused for the last two hundred years.'\n92 Totems as death omens, including cone-less pine trees for the circle people. &amp;quot;The pine tree belongs to the Thethe [the circle people], and when they are about to die there are no pine cones.&amp;quot;","number-of-pages":"215","publisher":"Random House","publisher-place":"New York, NY","title":"Jungle people: A Kaingáng tribe of the highlands of Brazil","type":"book"},"uris":["http://www.mendeley.com/documents/?uuid=858c84b0-3569-3e3d-88e1-3596caabc1c8"]},{"id":"ITEM-4","itemData":{"ISBN":"0815160038","author":[{"dropping-particle":"","family":"Métraux","given":"A.","non-dropping-particle":"","parse-names":false,"suffix":""}],"container-title":"Handbook of South American Indians. The marginal tribes","editor":[{"dropping-particle":"","family":"Steward","given":"J.H.","non-dropping-particle":"","parse-names":false,"suffix":""}],"id":"ITEM-4","issued":{"date-parts":[["1946"]]},"note":"Various interesting bits of information, many of which chime with or expand on other works","page":"445-475","publisher":"Smithsonian Institution","publisher-place":"Washington (D.C.)","title":"The Caingang","type":"chapter","volume":"1"},"uris":["http://www.mendeley.com/documents/?uuid=8267061e-11d7-336d-bd95-cf520e1f31da"]},{"id":"ITEM-5","itemData":{"DOI":"10.1371/journal.pone.0158127","ISSN":"19326203","abstract":"A long held view about the occupation of southern proto-Jê pit house villages of the southern Brazilian highlands is that these sites represent cycles of long-term abandonment and reoccupation. However, this assumption is based on an insufficient number of radiocarbon dates for individual pit houses. To address this problem, we conducted a programme of comprehensive AMS radiocarbon dating and Bayesian modelling at the deeply stratified oversized pit House 1, Baggio I site (Cal. A.D. 1395–1650), Campo Belo do Sul, Santa Catarina state, Brazil. The stratigraphy of House 1 revealed an unparalleled sequence of twelve well preserved floors evidencing a major change in occupation dynamics including five completely burnt collapsed roofs. The results of the radiocarbon dating allowed us to understand for the first time the occupation dynamics of an oversized pit house in the southern Brazilian highlands. The Bayesian model demonstrates that House 1 was occupied for over two centuries with no evidence of major periods of abandonment, calling into question previous models of long-term abandonment. In addition, the House 1 sequence allowed us to tie transformations in ceramic style and lithic technology to an absolute chronology. Finally, we can provide new evidence that the emergence of oversized domestic structures is a relatively recent phenomenon among the southern proto-Jê. As monumental pit houses start to be built, small pit houses continue to be inhabited, evidencing emerging disparities in domestic architecture after AD 1000. Our research shows the importance of programmes of intensive dating of individual structures to understand occupation dynamics and site permanence, and challenges long held assumptions that the southern Brazilian highlands were home to marginal cultures in the context of lowland South America.","author":[{"dropping-particle":"","family":"Souza","given":"Jonas Gregorio","non-dropping-particle":"De","parse-names":false,"suffix":""},{"dropping-particle":"","family":"Robinson","given":"Mark","non-dropping-particle":"","parse-names":false,"suffix":""},{"dropping-particle":"","family":"Corteletti","given":"Rafael","non-dropping-particle":"","parse-names":false,"suffix":""},{"dropping-particle":"","family":"C??rdenas","given":"Macarena Lucia","non-dropping-particle":"","parse-names":false,"suffix":""},{"dropping-particle":"","family":"Wolf","given":"Sidnei","non-dropping-particle":"","parse-names":false,"suffix":""},{"dropping-particle":"","family":"Iriarte","given":"Jos??","non-dropping-particle":"","parse-names":false,"suffix":""},{"dropping-particle":"","family":"Mayle","given":"Francis","non-dropping-particle":""</w:instrText>
      </w:r>
      <w:r w:rsidR="00016402" w:rsidRPr="004C4948">
        <w:rPr>
          <w:lang w:val="fr-FR"/>
        </w:rPr>
        <w:instrText>,"parse-names":false,"suffix":""},{"dropping-particle":"","family":"DeBlasis","given":"Paulo","non-dropping-particle":"","parse-names":false,"suffix":""}],"container-title":"PLoS ONE","id":"ITEM-5","issue":"7","issued":{"date-parts":[["2016"]]},"note":"Contrary to previous hypotheses, this oversized pithouse was continuously occupied for something like 1300-1730 or 1425-1620 (depending on which estimates you use). Oversized pithouses existed alongside normal ones (and probably came after the others). People kept setting the building on fire, covering up the remains and rebuilding immediately - probably ritual. There were changes in the early 1500s, possibly indirectly because of Europeans.","page":"1-24","title":"Understanding the chronology and occupation dynamics of oversized pit houses in the southern Brazilian highlands","type":"article-journal","volume":"11"},"uris":["http://www.mendeley.com/documents/?uuid=124ac069-566a-4a1f-96fe-71327ed1d779"]}],"mendeley":{"formattedCitation":"(Corteletti et al., 2015; De Souza et al., 2016b; Henry, 1964; Métraux, 1946; Noelli and De Souza, 2017)","plainTextFormattedCitation":"(Corteletti et al., 2015; De Souza et al., 2016b; Henry, 1964; Métraux, 1946; Noelli and De Souza, 2017)","previouslyFormattedCitation":"(Corteletti et al., 2015; De Souza et al., 2016b; Henry, 1964; Métraux, 1946; Noelli and De Souza, 2017)"},"properties":{"noteIndex":0},"schema":"https://github.com/citation-style-language/schema/raw/master/csl-citation.json"}</w:instrText>
      </w:r>
      <w:r w:rsidR="00B94724" w:rsidRPr="0083145E">
        <w:fldChar w:fldCharType="separate"/>
      </w:r>
      <w:r w:rsidR="00016402" w:rsidRPr="004C4948">
        <w:rPr>
          <w:noProof/>
          <w:lang w:val="fr-FR"/>
        </w:rPr>
        <w:t>(Corteletti et al., 2015; De Souza et al., 2016b; Henry, 1964; Métraux, 1946; Noelli and De Souza, 2017)</w:t>
      </w:r>
      <w:r w:rsidR="00B94724" w:rsidRPr="0083145E">
        <w:fldChar w:fldCharType="end"/>
      </w:r>
      <w:r w:rsidR="00B94724" w:rsidRPr="004C4948">
        <w:rPr>
          <w:lang w:val="fr-FR"/>
        </w:rPr>
        <w:t xml:space="preserve">. </w:t>
      </w:r>
      <w:r w:rsidR="005A4773" w:rsidRPr="0083145E">
        <w:rPr>
          <w:i/>
        </w:rPr>
        <w:t>A</w:t>
      </w:r>
      <w:r w:rsidR="005A4773">
        <w:rPr>
          <w:i/>
        </w:rPr>
        <w:t>raucaria</w:t>
      </w:r>
      <w:r w:rsidR="005A4773" w:rsidRPr="0083145E">
        <w:rPr>
          <w:i/>
        </w:rPr>
        <w:t xml:space="preserve"> angustifolia</w:t>
      </w:r>
      <w:r w:rsidR="005A4773" w:rsidRPr="0083145E">
        <w:t xml:space="preserve"> seeds, known as pinhão, </w:t>
      </w:r>
      <w:r w:rsidR="00B10A09">
        <w:t>have long been</w:t>
      </w:r>
      <w:r w:rsidR="00B10A09" w:rsidRPr="0083145E">
        <w:t xml:space="preserve"> </w:t>
      </w:r>
      <w:r w:rsidR="005A4773" w:rsidRPr="0083145E">
        <w:t xml:space="preserve">a </w:t>
      </w:r>
      <w:r w:rsidR="00B10A09">
        <w:t>critical</w:t>
      </w:r>
      <w:r w:rsidR="005A4773" w:rsidRPr="0083145E">
        <w:t xml:space="preserve"> food source for </w:t>
      </w:r>
      <w:r w:rsidR="00B10A09">
        <w:t>the</w:t>
      </w:r>
      <w:r w:rsidR="00B10A09" w:rsidRPr="0083145E">
        <w:t xml:space="preserve"> </w:t>
      </w:r>
      <w:r w:rsidR="005A4773" w:rsidRPr="0083145E">
        <w:t xml:space="preserve">southern Jê </w:t>
      </w:r>
      <w:r w:rsidR="005A4773" w:rsidRPr="0083145E">
        <w:fldChar w:fldCharType="begin" w:fldLock="1"/>
      </w:r>
      <w:r w:rsidR="005A4773">
        <w:instrText>ADDIN CSL_CITATION {"citationItems":[{"id":"ITEM-1","itemData":{"DOI":"10.1080/14614103.2016.1211382","ISSN":"1461-4103","abstract":"We analyse the isotopic values (δ13C, δ15N) of the diet of pre-Columbian horticulturalist populations from tropical and subtropical areas of southeastern South America, belonging to the Guarani and Taquara archaeological units. The data indicate different trends in each one (T = 4.21; P = 0.0004), showing a mixed diet with maize consumption in the Guarani samples (δ13Cco = −15.5 ± 1.8‰; δ13Cap −10.4 ± 0.8‰) and a depleted one in the Taquara ones (δ13Cco −18.2 ± 1.7‰; δ13Cap −11.9 ± 0.9‰), with a significant internal dispersion in both populations. The first population has higher nitrogen values (δ15N 11.1 ± 0.6‰) compared to the Taquara samples (δ15N 9.3 ± 1‰), suggesting a more carnivorous diet. The recognition of these pre-Columbian mixed diets involves the identification of maize cultivation on the Atlantic side of the southernmost area of South America (Parana Delta, 34° SL). Through the analysis of δ18O we have identified two isotopic ecozones, the first along the Paraná River Valley, with an average value of δ18O −3.7 ± 0.5‰ (CV = 13.5%; CI = −3.83 / −3.16), and the second one, located in the Planalto of southern Brazil (Araucaria Forest), with a mean value of δ18O −1.5 ± 0.3‰ (CV = 16.5%; CI = −1.69 / −1.29). The isotopic data (δ13C, δ15N and δ18O) suggest human movements between these two ecozones. © Association for Environmental Archaeology 2016","author":[{"dropping-particle":"","family":"Loponte","given":"Daniel","non-dropping-particle":"","parse-names":false,"suffix":""},{"dropping-particle":"","family":"Carbonera","given":"Mirian","non-dropping-particle":"","parse-names":false,"suffix":""},{"dropping-particle":"","family":"Corriale","given":"María José","non-dropping-particle":"","parse-names":false,"suffix":""},{"dropping-particle":"","family":"Acosta","given":"Alejandro","non-dropping-particle":"","parse-names":false,"suffix":""}],"container-title":"Environmental Archaeology","id":"ITEM-1","issue":"3","issued":{"date-parts":[["2016","7","3"]]},"note":"Looks at isotope values in human remains in southern Brazil to draw conclusions about people's diets and movement. Some evidence of marine diets near the coast, Taquara people in the Araucaria forest had quite C3-heavy diets (little evidence of maize importance here), with Guarani people further west having more mixed and protein heavy diets. There appears to have been a reasonable amount of moving between the zones","page":"1-21","title":"Horticulturists and oxygen ecozones in the tropical and subtropical forests of Southeast South America","type":"article-journal","volume":"22"},"uris":["http://www.mendeley.com/documents/?uuid=417dca40-bc38-3ccb-9420-a4b213570cde"]},{"id":"ITEM-2","itemData":{"DOI":"10.1016/j.jas.2015.03.017","ISSN":"10959238","abstract":"This article presents the results of starch grain and phytolith residue analyses from 14 ceramic fragments recovered in two domestic cooking structures from a southern proto-Jê pit house at the Bonin site (Urubici, Santa Catarina state, southern Brazil) dating to 1300-1439 and 1297-1414calyr.A.D. The novel application of plant microfossil techniques in this region revealed, for the first time, the consumption of manioc (Manihot esculenta Crantz), beans (Phaseolus sp.), and possibly yams (cf. Dioscorea sp.) in addition to maize (Zea mays L.) and squash (Cucurbita sp.). These findings show that southern proto-Jê people had a subsistence economy based on a variety of plant foods and practiced food production more than one century before European Conquest. Contrary to traditional models of southern proto-Jê mobility, our data suggest that food production may have allowed populations to settle in the southern Brazilian highland plateau year-round without the need for seasonal movements to the Atlantic forest escarpment and the Atlantic coast environments to procure food. Our data complement archaeological evidence for increased sedentism and social complexity among southern proto-Jê groups from A.D. 300-1700, including the construction of large, well-planned pit-house villages, and the creation of a highly structured landscape revolving around funerary/ceremonial structures.","author":[{"dropping-particle":"","family":"Corteletti","given":"Rafael","non-dropping-particle":"","parse-names":false,"suffix":""},{"dropping-particle":"","family":"Dickau","given":"Ruth","non-dropping-particle":"","parse-names":false,"suffix":""},{"dropping-particle":"","family":"DeBlasis","given":"Paulo","non-dropping-particle":"","parse-names":false,"suffix":""},{"dropping-particle":"","family":"Iriarte","given":"José","non-dropping-particle":"","parse-names":false,"suffix":""}],"container-title":"Journal of Archaeological Science","id":"ITEM-2","issued":{"date-parts":[["2015"]]},"note":"Interesting paper on the economy and food sources of southern proto-Je people. Good information on Je/Kaingang plant/animal food use (inc pinhao). Concludes that groups were probably sedentary and cultivating crops from quite early and didn't have to do seasonal movement.","page":"46-61","title":"Revisiting the economy and mobility of southern proto-Jê (Taquara-Itararé) groups in the southern Brazilian highlands: Starch grain and phytoliths analyses from the Bonin site, Urubici, Brazil","type":"article-journal","volume":"58"},"uris":["http://www.mendeley.com/documents/?uuid=e6aa57d8-0a4d-3b65-b6a0-2ca8f07aff58"]},{"id":"ITEM-3","itemData":{"DOI":"10.2307/481922","ISSN":"00141801","abstract":"Between 1914 and 1916, the Shokleng Indians--previously economically and politically autonomous--were brought into the c.bit of the Brazilian state through a process known as \"pacification.\" This paper traces that process through narratives of the Indians and White Men who participated in it. It is argued that \"pacification\" is a form of domination, albeit a particularly subtle one, which relies upon the differential interpretation, by the two sides, of the events--principally, the giving of gifts by the White Men--that made up the early encounters. Adrian Cowell's recent film, \"The Decade of Destruction,\" documents the first peaceful contact established by representatives of the Brazilian government In-dian agency (FUNAI) and the Uru-eu-wau-wau tribe of the western Brazilian state of Rondonia between 1980 and 1983. We see the regional context of development, the opening of a highway through this wilderness, the influx of settlers from other parts of Brazil--part of a government-planned colonization program. We see evidence of skirmishes between the Uru-eu-wau-wau and settlers, and the gradual process of \"pacification\" through attraction by means of gifts. Cowell's film documents a process that is much more general throughout Brazil. Yet, even as this process brings the last remaining isolated groups into the orbit of the national society, we know almost nothing about how the Indians themselves perceive that process, how their experience differs from that of the FUNAI agents involved in the \"pacification,\" how the seemingly identical objective events are reported and made sense of within contrasting cultural paradigms. The present article rectifies some of this imbalance by making available con-trasting reports of a specific pacification--that of the Shokleng Indians2 of the southern Brazilian state of Santa Catarina, with specific reference to the 1914-1915 period. At that time, the Shokleng were a semi-nomadic hunting and gathering people, organized into three bands, each consisting of some 400-600 individuals. The individual bands were in turn organized into trekking groups, the number of which varied between two and four. There was constant feuding between bands, but relations within the band were generally peaceful. At the time of the \"pacification,\" the Shokleng practiced no agriculture, sub-sisting instead primarily on the wild game, especially tapirs and peccaries, and on the fruits and nuts, especially Araucaria pine nuts, of the region. They h…","author":[{"dropping-particle":"","family":"Urban","given":"Greg","non-dropping-particle":"","parse-names":false,"suffix":""}],"container-title":"Ethnohistory","id":"ITEM-3","issue":"3","issued":{"date-parts":[["1985"]]},"note":"Interesting paper on the process of Xokleng 'pacification' in eastern SC in the early 20th century. Fascinating Xokleng narrative included, which sheds light on the emic perspective of colonial contact and its effects on the Xokleng way of life","page":"224-244","title":"Interpretations of Inter-Cultural Contact: The Shokleng and Brazilian National Society 1914-1915","type":"article-journal","volume":"32"},"uris":["http://www.mendeley.com/documents/?uuid=8a4bb73d-dd77-3ce4-a960-e9593db0cc3e"]},{"id":"ITEM-4","itemData":{"ISBN":"0394705211","author":[{"dropping-particle":"","family":"Henry","given":"J","non-dropping-particle":"","parse-names":false,"suffix":""}],"edition":"2","id":"ITEM-4","issued":{"date-parts":[["1964"]]},"note":"xxi-xxiii details on changes in Xokleng since pacification\nxxii 'They are great week-enders. Every Friday some of them plunge into the jungle and turn up on Monday with a few quarters of tapir, deer or wild pig, or some birds.'\n3 'The Kaingang [Xokleng] were forest nomads. For perhaps 300 years that was the only life they knew, and they resented it. The forest was not their original home, for they were driven into it from their farms on the savannahs to the west by their enemies. They speak with nostalgia of the time long ago when they lived in little fenced villages and planted corn, beans and pumpkins. Before the pacification they had no villages and instead of dividing their time between cultivating their crops and hunting in the forest as they used to do, they wandered forever in the forest and planted no crops at all.'\n4 No use of river craft\n5 'The Indians are acutely aware of their mountain forests as something with which they have to struggle and which is full of pain for them.' Division into clean/pretty places and dirty ones. No skin clothes, only woven robes/vests\n6 Food seasonality. 'They preserve only pine nuts...'\n9-16 Dislike building houses, shelter design, camp life, hunting life\n36 'The Kaingang [Xokleng] have no system of clans or moieties to impose social obligations on them.'\n55 'Had the Brazilians known how efficiently the Kaingang [Xokleng] were destroying themselves, they might never have bothered to hire bands of murderers but could have depended on the Kaingang to do away with themselves. The Brazilians killed many women and children, the death rate they inflicted on women being about twice that of the men; but since the intertribal Kaingang [Xokleng] feuds also reduced the men, the women were dying off only about 25% faster.'\n56-7 Violent use of festivals for fighting and settling blood vendettas\n67 1918 grippe outbreak 'In 1918 when the first wave of the grippe struck the Kaingang [Xokleng], killing them in such numbers that their bodies lay about unburied until the dogs ate them...'\n68 A year = 'Literally - &amp;quot;one period of no pine nuts&amp;quot;'\n69 Festa description and remembering the dead\n70-74 Supernatural monsters and spirits of the natural world\n83-4 Detail on (general) use of medicinal plants and erosion of traditional beliefs/reduction of positive associations with supernatural\n85 Hunting - importance of addressing animal (individual =species) that's been killed to entice others to be easily hunted. Sounds a bit like in Avatar..!\n86 'They feel that arrows have kupleng [spirits]; not only do arrows weep and die if they are deserted or thrown away in the forest, but arrows can see when a man is threatened with death, and will they fall from their places in the house above him at night to warn him of his danger. &amp;quot;The arrows are with one all the time and can see what is going to happen.&amp;quot;'\n87 Talking to bees to take honey - making up imaginary person's important ritual as a reason to take it. Leads into importance to doing ('compulsive obedience') and lower importance of reasons behind requests - needs matter a lot.\n88 Divining by belching ('...belching has been elevated to prophetic dignity.') after drinking erba mate\n88 Erstwhile exogamous system - five groups with names and designs\n89 'Bees are the mang [owned animal] of the line people, just as the tapir is the mang of the dot people.'\n91 'The pine tree is believed to be the exclusive property of the circle people, but from the myth that refers to the origin of an (unnamed) animal from the bark of the young pine it is impossible to determine why the pine tree might not just as well be the property of the dot or disk people. The mark system has been confused for the last two hundred years.'\n92 Totems as death omens, including cone-less pine trees for the circle people. &amp;quot;The pine tree belongs to the Thethe [the circle people], and when they are about to die there are no pine cones.&amp;quot;","number-of-pages":"215","publisher":"Random House","publisher-place":"New York, NY","title":"Jungle people: A Kaingáng tribe of the highlands of Brazil","type":"book"},"uris":["http://www.mendeley.com/documents/?uuid=858c84b0-3569-3e3d-88e1-3596caabc1c8"]},{"id":"ITEM-5","itemData":{"abstract":"The scope of ethnobotany research involves the study of the use of plants in their social context. The present study aimed to record the knowledge and use of plants by the Xokleng tribe in Indigenous Land Ibirama-Laklãnõ, in the Itajaí River Valley, in the state of Santa Catarina, Brazil. The Xokleng people, who belong to the Jê linguistic family, were contacted in 1914 and restricted to a designed area to avoid conflicts in the Southern Region colonization process. From then on they endured several adaptations and changes in their livelihood. Currently, this group is the only remaining Xokleng community that still lives in a unitary socio-political organization, therefore recording and valuing their knowledge is fundamental. The survey was conducted in two of the eight villages of the indigenous land, which have different conditions of altitude, climate and vegetation, in addition to different historical trajectories. After obtaining prior consent from the community leaders, 112 interviews were conducted with adults to register socioeconomic data and perform a free listing of known and used plants. Plants were collected during guided tours for further identification. A total of 314 plants were recorded, used primarily for food (35%) medicinal purposes (29%), handicrafts (13%), construction (10%) tools/utilities (6%) symbolic uses (1%) and other uses (3%). The main parts of the plants used by them are trunks (29%), followed by leaves (24%) and fruits (20%). The most mentioned plants were: sweet potatoe (Ipomoea batatas (L.) Lam.), orange (Citrus sp.), (Eucalyptus sp.), (E.grandiflora), (Manihot esculenta Crantz,) (Mollinedia spp.) and (Campomanesia xanthocarpa Mart. ex O. Berg. )Most plants grow spontaneously (59%) and 41% are cultivated. Despite the activities developed by the family units for obtaining food such as cultivating crops in gardens and small fields, collecting plants, hunting and fishing, much of their income is used for food. Among the mentioned plants, 77% are currently being used, 15% are from past use and 8% are only known by the participants, but not used. Analyzing knowledge distribution, men cited more plants than women, for construction, firewood, tools/utilities, categories related to logging, which resembles the pattern found for settlers of European descent in the same region. There is no correlation between the distribution of knowledge and age, but based on ethnographic data, it was possible to note the influence of families o…","author":[{"dropping-particle":"","family":"Heineberg","given":"Marian Ruth","non-dropping-particle":"","parse-names":false,"suffix":""}],"id":"ITEM-5","issued":{"date-parts":[["2014"]]},"number-of-pages":"262","publisher":"Universidade Federal de Santa Catarina","title":"Conhecimento e Uso das Plantas pelos Xokleng na TI Ibirama-Laklãnõ, Santa Catarina","type":"thesis"},"uris":["http://www.mendeley.com/documents/?uuid=c513f3eb-d34f-4ee2-aba7-e7a3e14f0152"]},{"id":"ITEM-6","itemData":{"ISBN":"0815160038","author":[{"dropping-particle":"","family":"Métraux","given":"A.","non-dropping-particle":"","parse-names":false,"suffix":""}],"container-title":"Handbook of South American Indians. The marginal tribes","editor":[{"dropping-particle":"","family":"Steward","given":"J.H.","non-dropping-particle":"","parse-names":false,"suffix":""}],"id":"ITEM-6","issued":{"date-parts":[["1946"]]},"note":"Various interesting bits of information, many of which chime with or expand on other works","page":"445-475","publisher":"Smithsonian Institution","publisher-place":"Washington (D.C.)","title":"The Caingang","type":"chapter","volume":"1"},"uris":["http://www.mendeley.com/documents/?uuid=8267061e-11d7-336d-bd95-cf520e1f31da"]}],"mendeley":{"formattedCitation":"(Corteletti et al., 2015; Heineberg, 2014; Henry, 1964; Loponte et al., 2016; Métraux, 1946; Urban, 1985)","plainTextFormattedCitation":"(Corteletti et al., 2015; Heineberg, 2014; Henry, 1964; Loponte et al., 2016; Métraux, 1946; Urban, 1985)","previouslyFormattedCitation":"(Corteletti et al., 2015; Heineberg, 2014; Henry, 1964; Loponte et al., 2016; Métraux, 1946; Urban, 1985)"},"properties":{"noteIndex":0},"schema":"https://github.com/citation-style-language/schema/raw/master/csl-citation.json"}</w:instrText>
      </w:r>
      <w:r w:rsidR="005A4773" w:rsidRPr="0083145E">
        <w:fldChar w:fldCharType="separate"/>
      </w:r>
      <w:r w:rsidR="005A4773" w:rsidRPr="0083145E">
        <w:rPr>
          <w:noProof/>
        </w:rPr>
        <w:t>(Corteletti et al., 2015; Heineberg, 2014; Henry, 1964; Loponte et al., 2016; Métraux, 1946; Urban, 1985)</w:t>
      </w:r>
      <w:r w:rsidR="005A4773" w:rsidRPr="0083145E">
        <w:fldChar w:fldCharType="end"/>
      </w:r>
      <w:r w:rsidR="005A4773" w:rsidRPr="0083145E">
        <w:t xml:space="preserve">, with </w:t>
      </w:r>
      <w:r w:rsidR="005A4773">
        <w:t xml:space="preserve">one group </w:t>
      </w:r>
      <w:r w:rsidR="005A4773" w:rsidRPr="0083145E">
        <w:t xml:space="preserve"> traditionally defining a year as “one period with no pine nuts” </w:t>
      </w:r>
      <w:r w:rsidR="005A4773" w:rsidRPr="0083145E">
        <w:fldChar w:fldCharType="begin" w:fldLock="1"/>
      </w:r>
      <w:r w:rsidR="005A4773">
        <w:instrText>ADDIN CSL_CITATION {"citationItems":[{"id":"ITEM-1","itemData":{"ISBN":"0394705211","author":[{"dropping-particle":"","family":"Henry","given":"J","non-dropping-particle":"","parse-names":false,"suffix":""}],"edition":"2","id":"ITEM-1","issued":{"date-parts":[["1964"]]},"note":"xxi-xxiii details on changes in Xokleng since pacification\nxxii 'They are great week-enders. Every Friday some of them plunge into the jungle and turn up on Monday with a few quarters of tapir, deer or wild pig, or some birds.'\n3 'The Kaingang [Xokleng] were forest nomads. For perhaps 300 years that was the only life they knew, and they resented it. The forest was not their original home, for they were driven into it from their farms on the savannahs to the west by their enemies. They speak with nostalgia of the time long ago when they lived in little fenced villages and planted corn, beans and pumpkins. Before the pacification they had no villages and instead of dividing their time between cultivating their crops and hunting in the forest as they used to do, they wandered forever in the forest and planted no crops at all.'\n4 No use of river craft\n5 'The Indians are acutely aware of their mountain forests as something with which they have to struggle and which is full of pain for them.' Division into clean/pretty places and dirty ones. No skin clothes, only woven robes/vests\n6 Food seasonality. 'They preserve only pine nuts...'\n9-16 Dislike building houses, shelter design, camp life, hunting life\n36 'The Kaingang [Xokleng] have no system of clans or moieties to impose social obligations on them.'\n55 'Had the Brazilians known how efficiently the Kaingang [Xokleng] were destroying themselves, they might never have bothered to hire bands of murderers but could have depended on the Kaingang to do away with themselves. The Brazilians killed many women and children, the death rate they inflicted on women being about twice that of the men; but since the intertribal Kaingang [Xokleng] feuds also reduced the men, the women were dying off only about 25% faster.'\n56-7 Violent use of festivals for fighting and settling blood vendettas\n67 1918 grippe outbreak 'In 1918 when the first wave of the grippe struck the Kaingang [Xokleng], killing them in such numbers that their bodies lay about unburied until the dogs ate them...'\n68 A year = 'Literally - &amp;quot;one period of no pine nuts&amp;quot;'\n69 Festa description and remembering the dead\n70-74 Supernatural monsters and spirits of the natural world\n83-4 Detail on (general) use of medicinal plants and erosion of traditional beliefs/reduction of positive associations with supernatural\n85 Hunting - importance of addressing animal (individual =species) that's been killed to entice others to be easily hunted. Sounds a bit like in Avatar..!\n86 'They feel that arrows have kupleng [spirits]; not only do arrows weep and die if they are deserted or thrown away in the forest, but arrows can see when a man is threatened with death, and will they fall from their places in the house above him at night to warn him of his danger. &amp;quot;The arrows are with one all the time and can see what is going to happen.&amp;quot;'\n87 Talking to bees to take honey - making up imaginary person's important ritual as a reason to take it. Leads into importance to doing ('compulsive obedience') and lower importance of reasons behind requests - needs matter a lot.\n88 Divining by belching ('...belching has been elevated to prophetic dignity.') after drinking erba mate\n88 Erstwhile exogamous system - five groups with names and designs\n89 'Bees are the mang [owned animal] of the line people, just as the tapir is the mang of the dot people.'\n91 'The pine tree is believed to be the exclusive property of the circle people, but from the myth that refers to the origin of an (unnamed) animal from the bark of the young pine it is impossible to determine why the pine tree might not just as well be the property of the dot or disk people. The mark system has been confused for the last two hundred years.'\n92 Totems as death omens, including cone-less pine trees for the circle people. &amp;quot;The pine tree belongs to the Thethe [the circle people], and when they are about to die there are no pine cones.&amp;quot;","number-of-pages":"215","publisher":"Random House","publisher-place":"New York, NY","title":"Jungle people: A Kaingáng tribe of the highlands of Brazil","type":"book"},"locator":"68","uris":["http://www.mendeley.com/documents/?uuid=858c84b0-3569-3e3d-88e1-3596caabc1c8"]}],"mendeley":{"formattedCitation":"(Henry, 1964, p. 68)","plainTextFormattedCitation":"(Henry, 1964, p. 68)","previouslyFormattedCitation":"(Henry, 1964, p. 68)"},"properties":{"noteIndex":0},"schema":"https://github.com/citation-style-language/schema/raw/master/csl-citation.json"}</w:instrText>
      </w:r>
      <w:r w:rsidR="005A4773" w:rsidRPr="0083145E">
        <w:fldChar w:fldCharType="separate"/>
      </w:r>
      <w:r w:rsidR="005A4773" w:rsidRPr="0083145E">
        <w:rPr>
          <w:noProof/>
        </w:rPr>
        <w:t>(Henry, 1964, p. 68)</w:t>
      </w:r>
      <w:r w:rsidR="005A4773" w:rsidRPr="0083145E">
        <w:fldChar w:fldCharType="end"/>
      </w:r>
      <w:r w:rsidR="005A4773" w:rsidRPr="0083145E">
        <w:t>.</w:t>
      </w:r>
      <w:r w:rsidR="005A4773">
        <w:t xml:space="preserve"> </w:t>
      </w:r>
      <w:r w:rsidR="00CC4673" w:rsidRPr="0083145E">
        <w:t xml:space="preserve">Ethnographic studies of extant southern Jê groups have </w:t>
      </w:r>
      <w:r w:rsidR="009C5C8A" w:rsidRPr="0083145E">
        <w:t xml:space="preserve">also </w:t>
      </w:r>
      <w:r w:rsidR="00CC4673" w:rsidRPr="0083145E">
        <w:t xml:space="preserve">highlighted the importance of </w:t>
      </w:r>
      <w:r w:rsidR="00EF5115" w:rsidRPr="004F4229">
        <w:rPr>
          <w:i/>
        </w:rPr>
        <w:t>Araucaria</w:t>
      </w:r>
      <w:r w:rsidR="00EF5115" w:rsidRPr="0083145E">
        <w:t xml:space="preserve"> forest </w:t>
      </w:r>
      <w:r w:rsidR="005A4773">
        <w:t xml:space="preserve">– and </w:t>
      </w:r>
      <w:r w:rsidR="005A4773" w:rsidRPr="005A4773">
        <w:rPr>
          <w:i/>
        </w:rPr>
        <w:t>A</w:t>
      </w:r>
      <w:r w:rsidR="005A4773">
        <w:rPr>
          <w:i/>
        </w:rPr>
        <w:t>.</w:t>
      </w:r>
      <w:r w:rsidR="005A4773" w:rsidRPr="005A4773">
        <w:rPr>
          <w:i/>
        </w:rPr>
        <w:t xml:space="preserve"> angustifolia</w:t>
      </w:r>
      <w:r w:rsidR="005A4773">
        <w:t xml:space="preserve"> in particular – </w:t>
      </w:r>
      <w:r w:rsidR="00EF5115" w:rsidRPr="0083145E">
        <w:t xml:space="preserve">as a source of spiritual power and cultural identity </w:t>
      </w:r>
      <w:r w:rsidR="00EF5115" w:rsidRPr="0083145E">
        <w:fldChar w:fldCharType="begin" w:fldLock="1"/>
      </w:r>
      <w:r w:rsidR="00016402">
        <w:instrText>ADDIN CSL_CITATION {"citationItems":[{"id":"ITEM-1","itemData":{"abstract":"This paper refl ects upon the Xokleng distinction between the time in the jungle (“pre-pacifi cation” - when the State agencies made contact with the indigenous people and placed them in a limited region) and the time out of the jungle (contemporary). Through the discussion of the relationship between Myth and History our aim is to explain the sociocosmological consequences of such differentiation to the lived in world of these Amerindians. The study argues that the event known as leaving the jungle is of mythical importance for it acts on the sociotemporal organization of the group, and on its constitution as a collectivity. It also acts as a refl exive axis on which everyday practices are conceived.","author":[{"dropping-particle":"","family":"Hoffmann","given":"K. D.","non-dropping-particle":"","parse-names":false,"suffix":""}],"container-title":"Tellus","id":"ITEM-1","issue":"21","issued":{"date-parts":[["2011"]]},"note":"The exit from the forest (saida do mato) as a mythical and historical point of change for the Xokleng. There's a continuity with the indios do mato, but they are 'others'. No desire to change back, but temporary returns are ok","page":"53-69","title":"Mito, história e alteridade entre os Xokleng","type":"article-journal","volume":"11"},"uris":["http://www.mendeley.com/documents/?uuid=3b1e4c76-1e86-4252-b636-239823f8a3bb"]},{"id":"ITEM-2","itemData":{"DOI":"10.1590/S0104-71832002000200009","ISSN":"0104-7183","abstract":"The present article focuses on the interrelationships between the different domains of the Kaingang cosmos. In particular, this article discusses the role of the shaman system as a mediator between these cosmic domains. The present reflection also attempts to understand how the Kaingang society culturally construes its idea of \"nature,\" based on studies of this societies' dualistic cosmological conception, which emphasizes the fertility of uniting principles held to be in opposition.","author":[{"dropping-particle":"da","family":"Silva","given":"Sergio Baptista","non-dropping-particle":"","parse-names":false,"suffix":""}],"container-title":"Horizontes Antropológicos","id":"ITEM-2","issue":"18","issued":{"date-parts":[["2002","12"]]},"note":"Tonnes of interesting stuff on Kaingang cosmology and how it relates to the forest. The forest is considered a thug - it is the source of wild power (cf iangre). (The Je fear of the forest is not shared by the Guarani.) Shamans (Kuia) ~intercede for the other Kaingang with the iangre and turn its power to their good. The use of medicinal plants requires the use of elements of both moieties, and is based on the principle of homology. Also a gem section on ugly names and the protection they bring...","page":"189-209","title":"Dualismo e cosmologia Kaingang: o xamã e o domínio da floresta","type":"article-journal","volume":"8"},"uris":["http://www.mendeley.com/documents/?uuid=80d2d4fa-be63-33e0-b936-f8345babd33b"]},{"id":"ITEM-3","itemData":{"DOI":"10.1590/1809-4422ASOCEx07V1822015en","ISSN":"1809-4422","author":[{"dropping-particle":"","family":"Fernandes","given":"Ricardo Cid","non-dropping-particle":"","parse-names":false,"suffix":""},{"dropping-particle":"","family":"Piovezana","given":"Leonel","non-dropping-particle":"","parse-names":false,"suffix":""}],"container-title":"Ambiente &amp; Sociedade","id":"ITEM-3","issue":"2","issued":{"date-parts":[["2015","6"]]},"note":"Real depth and detail on a number of aspects of Kaingang culture, including the Kiki ritual, shamans and the spiritual relationship/cultural importance of nature. Not really much on how nature would have been used though. \nGreat quote on Aa - &amp;quot;the ritual object par excellence&amp;quot;","page":"111-128","title":"The Kaingang perspectives on land and environmental rights in the south of Brazil","type":"article-journal","volume":"18"},"uris":["http://www.mendeley.com/documents/?uuid=9d0acb58-081d-3eee-b8e7-c32afba8bb1b"]},{"id":"ITEM-4","itemData":{"abstract":"It’s a research made in the Xapecó Indian Area (IA), located in the west of Santa Catarina State, to investigate the use, denomination and classification systems of plants used by the Kaingang Indians, specially plants considered medicinals (v®nh-kagta). As objectives, we can emphasize the investigation of the principles that guide the Kaingang plants classification and the followed criterion for this classification, the register of the denomination and the classification, survey, identification and cataloging categories of plants that are used as medicinals, the possible analysis of relationships between the plants categorization and the kam® and kanhru categories, concerning to the two Kaingang clanicals parts. There are three particular classification systems according to different criterions: morpho-ecological, profitable and symbolical. The field research was consisted in the systematic and regular attendance of the work of many Kaingang cure specialists and other people of the IA. The Kaingang and the usual denominations of almost two hundred plants and informations about their use and properties were registered. The denomination indicates morphological and ecological caracteristics of the plants and cultural aspects of the group related to the plants use for many kinds of purposes, besides the symbolical meanings of some species. The morpho-ecological classification scheme presents three more embracing categories, about 130 medium level categories and about 80 more specific categories. The analysis, systematization and quantification of these categories are based on the type of lexemes that label the plants. The profitable system obeys two basic principles: the purpose or objective to be reached and according to the beneficiary, each of these principles creating many categories of plants-medicin. The symbolical system categorizes plants according to the dual cosmology of the group. From a view of the IA’s general situation, some questions are dicussed in order to make a reflection and to get proposals aiming to improve life conditions in the IA.","author":[{"dropping-particle":"","family":"Haverroth","given":"Moacir","non-dropping-particle":"","parse-names":false,"suffix":""}],"id":"ITEM-4","issued":{"date-parts":[["1997"]]},"publisher":"Universidade Federal de Santa Catarina","title":"Kaingang, um estudo etnobotânico: o uso e a classificação das plantas na Área Indígena Xapecó (oeste de SC)","type":"thesis"},"uris":["http://www.mendeley.com/documents/?uuid=42b64edd-8ce2-3ef4-86c6-e2473573139d"]},{"id":"ITEM-5","itemData":{"DOI":"10.1016/j.jasrep.2016.11.047","ISSN":"2352409X","abstract":"Identification of wood charcoal associated with earth ovens at a southern proto-Jê mortuary complex in Misiones, Argentina, are discussed in relation to a dual social structure. A distinct difference in form between the ovens in the east and west follow a pattern of asymmetry that manifests at multiple levels across the mortuary landscape. The asymmetry reflects a dual social structure that is the precursor to the moiety system employed by modern Jê groups. In the moiety system all people, things, and phenomena are assigned to a moiety in an all-encompassing classificatory system. The identification of charcoal as Jacaranda sp. in the western earth ovens matches the moi-ety associations and suggests a specific use of resources within ritual determined by the dual social system. The results have implications for understanding southern proto-Jê social formation, ritual practice, and resource man-agement, as well as providing a cautionary note for the consideration of cultural formation when designing research questions and methodologies.","author":[{"dropping-particle":"","family":"Robinson","given":"Mark","non-dropping-particle":"","parse-names":false,"suffix":""},{"dropping-particle":"","family":"Iriarte","given":"José","non-dropping-particle":"","parse-names":false,"suffix":""},{"dropping-particle":"","family":"Souza","given":"Jonas Gregorio","non-dropping-particle":"De","parse-names":false,"suffix":""},{"dropping-particle":"","family":"Marozzi","given":"Oscar","non-dropping-particle":"","parse-names":false,"suffix":""},{"dropping-particle":"","family":"Scheel-Ybert","given":"Rita","non-dropping-particle":"","parse-names":false,"suffix":""}],"container-title":"Journal of Archaeological Science: Reports","id":"ITEM-5","issued":{"date-parts":[["2017"]]},"note":"Paper finds Jacaranda charcoal in meat ovens in MECs. Very interesting discussion of Je/Kaingang culture and practices, including ethnoclassification of flora.\n\nHaverroth 1997 PhD thesis on Kaingang ethnobotany (Portuguese?) at UF Santa Catarina\n\nMendes 2015 dissertation (undergrad/MSc?) on Kaingang use of medicinal plants (Portuguese) also UFSC","page":"237-244","title":"Moiety specific wood selection in funerary ritual for the southern proto-Jê","type":"article-journal","volume":"11"},"uris":["http://www.mendeley.com/documents/?uuid=0951863e-65c6-3430-b757-a03c60ae27c9"]}],"mendeley":{"formattedCitation":"(Fernandes and Piovezana, 2015; Haverroth, 1997; Hoffmann, 2011; Robinson et al., 2017; Silva, 2002)","plainTextFormattedCitation":"(Fernandes and Piovezana, 2015; Haverroth, 1997; Hoffmann, 2011; Robinson et al., 2017; Silva, 2002)","previouslyFormattedCitation":"(Fernandes and Piovezana, 2015; Haverroth, 1997; Hoffmann, 2011; Robinson et al., 2017; Silva, 2002)"},"properties":{"noteIndex":0},"schema":"https://github.com/citation-style-language/schema/raw/master/csl-citation.json"}</w:instrText>
      </w:r>
      <w:r w:rsidR="00EF5115" w:rsidRPr="0083145E">
        <w:fldChar w:fldCharType="separate"/>
      </w:r>
      <w:r w:rsidR="00016402" w:rsidRPr="00016402">
        <w:rPr>
          <w:noProof/>
        </w:rPr>
        <w:t>(Fernandes and Piovezana, 2015; Haverroth, 1997; Hoffmann, 2011; Robinson et al., 2017; Silva, 2002)</w:t>
      </w:r>
      <w:r w:rsidR="00EF5115" w:rsidRPr="0083145E">
        <w:fldChar w:fldCharType="end"/>
      </w:r>
      <w:r w:rsidR="009C5C8A" w:rsidRPr="0083145E">
        <w:t xml:space="preserve">. </w:t>
      </w:r>
    </w:p>
    <w:p w14:paraId="0F2F1A06" w14:textId="629BCF28" w:rsidR="00F2727C" w:rsidRPr="00301AE1" w:rsidRDefault="00F2727C" w:rsidP="004F4229">
      <w:pPr>
        <w:spacing w:line="480" w:lineRule="auto"/>
        <w:rPr>
          <w:sz w:val="24"/>
          <w:lang w:eastAsia="en-GB"/>
        </w:rPr>
      </w:pPr>
      <w:r w:rsidRPr="001C1F44">
        <w:rPr>
          <w:rStyle w:val="MynormalChar"/>
        </w:rPr>
        <w:t>Archaeological records show</w:t>
      </w:r>
      <w:r w:rsidR="00472F65" w:rsidRPr="001C1F44">
        <w:rPr>
          <w:rStyle w:val="MynormalChar"/>
        </w:rPr>
        <w:t xml:space="preserve"> that </w:t>
      </w:r>
      <w:r w:rsidRPr="001C1F44">
        <w:rPr>
          <w:rStyle w:val="MynormalChar"/>
        </w:rPr>
        <w:t xml:space="preserve">the southern Jê </w:t>
      </w:r>
      <w:r w:rsidR="00472F65" w:rsidRPr="001C1F44">
        <w:rPr>
          <w:rStyle w:val="MynormalChar"/>
        </w:rPr>
        <w:t xml:space="preserve">flourished around 1,000 years ago </w:t>
      </w:r>
      <w:r w:rsidR="00F05E14" w:rsidRPr="001C1F44">
        <w:rPr>
          <w:rStyle w:val="MynormalChar"/>
        </w:rPr>
        <w:fldChar w:fldCharType="begin" w:fldLock="1"/>
      </w:r>
      <w:r w:rsidR="005A4773" w:rsidRPr="001C1F44">
        <w:rPr>
          <w:rStyle w:val="MynormalChar"/>
        </w:rPr>
        <w:instrText>ADDIN CSL_CITATION {"citationItems":[{"id":"ITEM-1","itemData":{"DOI":"10.1590/1981.81222017000100004","ISSN":"21782547","abstract":"For a long time, the Southern Jê Amerindians were perceived through the lens of the ‘standard model’. They were considered demographically reduced, isolated and nomadic. However, recent advances in the archaeology of Southern Brazil allow us to question such model. In this paper, our main aim is to demonstrate, through the mapping of archaeological sites and their dates, that it is possible to identify areas of high population density with permanent occupation. In addition, we discuss other hypotheses based on site distribution such as the peopling of Southern Brazil by the Jê groups; the process of interaction with other populations (mainly from the Tupi-Guarani linguistic family); and about their territorial situation in the beginning of the 16th century.","author":[{"dropping-particle":"","family":"Noelli","given":"Francisco Silva","non-dropping-particle":"","parse-names":false,"suffix":""},{"dropping-particle":"","family":"Souza","given":"Jonas Gregorio","non-dropping-particle":"De","parse-names":false,"suffix":""}],"container-title":"Boletim do Museu Paraense Emilio Goeldi: Ciencias Humanas","id":"ITEM-1","issue":"1","issued":{"date-parts":[["2017","1"]]},"note":"Interesting paper on the Je dynamics in space (not so much time). Interesting maps of sites, and very cool discussion of the interaction between Je and Guarani through time and in space.\nhtml version available on website - google can translate it automatically","page":"57-84","publisher":"MCT/Museu Paraense Emílio Goeldi","title":"Novas perspectivas para a cartografia arqueológica Jê no Brasil meridional","type":"article","volume":"12"},"uris":["http://www.mendeley.com/documents/?uuid=0599b8d5-7b18-3afc-92e6-678e7ac9448d"]},{"id":"ITEM-2","itemData":{"DOI":"10.1007/s10814-016-9100-0","ISSN":"1059-0161","abstract":"Newly created academic programs at Brazilian universities have provided the impetus for new archaeological projects in southeastern South America during the last two decades. The new data are changing our views on emergent social complexity, natural and human-induced transformation of the landscape, and transcontinental expansions and cultural interactions across the Río de la Plata basin during the Middle and Late Holocene. We concentrate on six major archaeological traditions/regions: the Sambaquis, the Pantanal, the Constructores de Cerritos, the Tupiguarani, the Southern Proto-Jê, and the middle and lower Paraná River. Diverse and autonomous complex developments exhibit distinct built landscapes in a region previously thought of as marginal compared with cultural developments in the Andes or Mesoamerica. The trajectories toward increased sociopolitical complexity flourished in very different and changing environmental conditions. While some groups were pushed to wetland areas during a drier mid-Holocene, others took advantage of the more humid Late Holocene climate to intensively manage Araucaria forests. The start of the second millennium AD was a critical period marked by an increased number of archaeological sites, the construction of ceremonial architecture, and the intensification of landscape transformation; it also was marked by the rapid expansion of influences from outside the La Plata basin. The Amazonian Tupiguarani and Arawak newcomers brought with them significant changes in technologies and social and political structures, as well as novel landscape management practices.","author":[{"dropping-particle":"","family":"Iriarte","given":"José","non-dropping-particle":"","parse-names":false,"suffix":""},{"dropping-particle":"","family":"DeBlasis","given":"Paulo","non-dropping-particle":"","parse-names":false,"suffix":""},{"dropping-particle":"","family":"Souza","given":"Jonas Gregorio","non-dropping-particle":"De","parse-names":false,"suffix":""},{"dropping-particle":"","family":"Corteletti","given":"Rafael","non-dropping-particle":"","parse-names":false,"suffix":""}],"container-title":"Journal of Archaeological Research","id":"ITEM-2","issued":{"date-parts":[["2016","12","30"]]},"note":"Big review looking at the increase in complexity in different people groups in the general as Brazil region. Good comments on lots of things, including holes in the palaeoecological record and an up-to-date interpretation of the social layout/archaeology.","page":"1-63","publisher":"Springer US","title":"Emergent Complexity, Changing Landscapes, and Spheres of Interaction in Southeastern South America During the Middle and Late Holocene","type":"article-journal"},"uris":["http://www.mendeley.com/documents/?uuid=aa4e6a16-dc39-3ac6-85c7-8c4d055f91a4"]},{"id":"ITEM-3","itemData":{"DOI":"10.1038/s41598-018-24429-5","ISSN":"2045-2322","abstract":"In the highlands of southern Brazil an anthropogenitcally driven expansion of forest occurred at the expense of grasslands between 1410 and 900 cal BP, coincident with a period of demographic and cultural change in the region. Previous studies have debated the relative contributions of increasing wetter and warmer climate conditions and human landscape modifications to forest expansion, but generally lacked high resoltiuon proxies to measure these effects, or have relied on single proxies to reconstruct both climate and vegetation. Here, we develop and test a model of natural ecosystem distribution against vegetation histories, paleoclimate proxies, and the archaeological record to distinguish human from temperature and precipitation impacts on the distribution and expansion of Araucaria forests during the late Holocene. Carbon isotopes from soil profiles confirm that in spite of climatic fluctuations, vegetation was stable and forests were spatially limited to south-facing slopes in the absence of human inputs. In contrast, forest management strategies for the past 1400 years expanded this economically important forest beyond its natural geographic boundaries in areas of dense pre-Columbian occupation, suggesting that landscape modifications were linked to demographic changes, the effects of which are still visible today.","author":[{"dropping-particle":"","family":"Robinson","given":"Mark","non-dropping-particle":"","parse-names":false,"suffix":""},{"dropping-particle":"","family":"Souza","given":"Jonas Gregorio","non-dropping-particle":"De","parse-names":false,"suffix":""},{"dropping-particle":"","family":"Maezumi","given":"S Yoshi","non-dropping-particle":"","parse-names":false,"suffix":""},{"dropping-particle":"","family":"Cárdenas","given":"Macarena","non-dropping-particle":"","parse-names":false,"suffix":""},{"dropping-particle":"","family":"Pessenda","given":"Luiz","non-dropping-particle":"","parse-names":false,"suffix":""},{"dropping-particle":"","family":"Prufer","given":"Keith","non-dropping-particle":"","parse-names":false,"suffix":""},{"dropping-particle":"","family":"Corteletti","given":"Rafael","non-dropping-particle":"","parse-names":false,"suffix":""},{"dropping-particle":"","family":"Scunderlick","given":"Deisi","non-dropping-particle":"","parse-names":false,"suffix":""},{"dropping-particle":"","family":"Mayle","given":"Francis Edward","non-dropping-particle":"","parse-names":false,"suffix":""},{"dropping-particle":"","family":"Blasis","given":"Paulo","non-dropping-particle":"De","parse-names":false,"suffix":""},{"dropping-particle":"","family":"Iriarte","given":"José","non-dropping-particle":"","parse-names":false,"suffix":""}],"container-title":"Scientific Reports","id":"ITEM-3","issue":"1","issued":{"date-parts":[["2018","12","17"]]},"page":"7800","title":"Uncoupling human and climate drivers of late Holocene vegetation change in southern Brazil","type":"article-journal","volume":"8"},"uris":["http://www.mendeley.com/documents/?uuid=31596bfb-9a43-43e4-a359-a0d4859f2499"]},{"id":"ITEM-4","itemData":{"DOI":"10.1016/j.jaa.2012.10.003","ISBN":"02784165","ISSN":"02784165","abstract":"Fieldwork involving survey, detailed topographic mapping, and excavations in Pinhal da Serra, Rio Grande do Sul, Brazil, has revealed a highly-structured landscape revolving around funerary/ceremonial structures that began around A.D. 1000. This paper focuses on the results of detailed topographic survey of mound and enclosure complexes and their interpretation in light of southern Je ethnohistorical and ethnographic data. We compare the architectural patterns of mortuary architecture from this study with fundamental spatial features of historic Kaingang's social organisation, mortuary rituals and cosmogony myth. Our results suggest historical continuity in the organisation of space in cardinal directions (E-W), topography (low and high places), and in circular/concentric spatiality revealed in the southern proto-J?? mound and enclosure complexes. It is argued that small paired mound and enclosure complexes are associated with the material representation of a dual ranked opposition materialised in proto-J?? moiety cemeteries where important persona were buried. ?? 2012 Elsevier Inc.","author":[{"dropping-particle":"","family":"Iriarte","given":"José","non-dropping-particle":"","parse-names":false,"suffix":""},{"dropping-particle":"","family":"Moehlecke Copé","given":"Silvia","non-dropping-particle":"","parse-names":false,"suffix":""},{"dropping-particle":"","family":"Fradley","given":"Michael","non-dropping-particle":"","parse-names":false,"suffix":""},{"dropping-particle":"","family":"Lockhart","given":"Jami J","non-dropping-particle":"","parse-names":false,"suffix":""},{"dropping-particle":"","family":"Gillam","given":"J Christopher","non-dropping-particle":"","parse-names":false,"suffix":""}],"container-title":"Journal of Anthropological Archaeology","id":"ITEM-4","issue":"1","issued":{"date-parts":[["2013"]]},"note":"Paper on archaeology of Mound-Enclosure Complexes and their likely cultural importance. Interesting look at creation myths/cultural practices of Kaingang (modern successors to southern proto-Je)","page":"74-96","title":"Sacred landscapes of the southern Brazilian highlands: Understanding southern proto-Je mound and enclosure complexes","type":"article-journal","volume":"32"},"uris":["http://www.mendeley.com/documents/?uuid=abe0fc0e-ff58-33af-9f13-d216c80b120a"]}],"mendeley":{"formattedCitation":"(Iriarte et al., 2016, 2013; Noelli and De Souza, 2017; Robinson et al., 2018)","plainTextFormattedCitation":"(Iriarte et al., 2016, 2013; Noelli and De Souza, 2017; Robinson et al., 2018)","previouslyFormattedCitation":"(Iriarte et al., 2016, 2013; Noelli and De Souza, 2017; Robinson et al., 2018)"},"properties":{"noteIndex":0},"schema":"https://github.com/citation-style-language/schema/raw/master/csl-citation.json"}</w:instrText>
      </w:r>
      <w:r w:rsidR="00F05E14" w:rsidRPr="001C1F44">
        <w:rPr>
          <w:rStyle w:val="MynormalChar"/>
        </w:rPr>
        <w:fldChar w:fldCharType="separate"/>
      </w:r>
      <w:r w:rsidR="00F05E14" w:rsidRPr="001C1F44">
        <w:rPr>
          <w:rStyle w:val="MynormalChar"/>
          <w:noProof/>
        </w:rPr>
        <w:t>(Iriarte et al., 2016, 2013; Noelli and De Souza, 2017; Robinson et al., 2018)</w:t>
      </w:r>
      <w:r w:rsidR="00F05E14" w:rsidRPr="001C1F44">
        <w:rPr>
          <w:rStyle w:val="MynormalChar"/>
        </w:rPr>
        <w:fldChar w:fldCharType="end"/>
      </w:r>
      <w:r w:rsidR="00472F65" w:rsidRPr="001C1F44">
        <w:rPr>
          <w:rStyle w:val="MynormalChar"/>
        </w:rPr>
        <w:t xml:space="preserve">, </w:t>
      </w:r>
      <w:r w:rsidR="0052526A" w:rsidRPr="001C1F44">
        <w:rPr>
          <w:rStyle w:val="MynormalChar"/>
        </w:rPr>
        <w:t>as</w:t>
      </w:r>
      <w:r w:rsidR="004664C8" w:rsidRPr="001C1F44">
        <w:rPr>
          <w:rStyle w:val="MynormalChar"/>
        </w:rPr>
        <w:t xml:space="preserve"> changes in domestic architecture appear</w:t>
      </w:r>
      <w:r w:rsidR="0052526A" w:rsidRPr="001C1F44">
        <w:rPr>
          <w:rStyle w:val="MynormalChar"/>
        </w:rPr>
        <w:t>ed</w:t>
      </w:r>
      <w:r w:rsidR="004664C8" w:rsidRPr="001C1F44">
        <w:rPr>
          <w:rStyle w:val="MynormalChar"/>
        </w:rPr>
        <w:t xml:space="preserve"> </w:t>
      </w:r>
      <w:r w:rsidR="004664C8" w:rsidRPr="001C1F44">
        <w:rPr>
          <w:rStyle w:val="MynormalChar"/>
        </w:rPr>
        <w:fldChar w:fldCharType="begin" w:fldLock="1"/>
      </w:r>
      <w:r w:rsidR="005A4773" w:rsidRPr="001C1F44">
        <w:rPr>
          <w:rStyle w:val="MynormalChar"/>
        </w:rPr>
        <w:instrText>ADDIN CSL_CITATION {"citationItems":[{"id":"ITEM-1","itemData":{"DOI":"10.1371/journal.pone.0158127","ISSN":"19326203","abstract":"A long held view about the occupation of southern proto-Jê pit house villages of the southern Brazilian highlands is that these sites represent cycles of long-term abandonment and reoccupation. However, this assumption is based on an insufficient number of radiocarbon dates for individual pit houses. To address this problem, we conducted a programme of comprehensive AMS radiocarbon dating and Bayesian modelling at the deeply stratified oversized pit House 1, Baggio I site (Cal. A.D. 1395–1650), Campo Belo do Sul, Santa Catarina state, Brazil. The stratigraphy of House 1 revealed an unparalleled sequence of twelve well preserved floors evidencing a major change in occupation dynamics including five completely burnt collapsed roofs. The results of the radiocarbon dating allowed us to understand for the first time the occupation dynamics of an oversized pit house in the southern Brazilian highlands. The Bayesian model demonstrates that House 1 was occupied for over two centuries with no evidence of major periods of abandonment, calling into question previous models of long-term abandonment. In addition, the House 1 sequence allowed us to tie transformations in ceramic style and lithic technology to an absolute chronology. Finally, we can provide new evidence that the emergence of oversized domestic structures is a relatively recent phenomenon among the southern proto-Jê. As monumental pit houses start to be built, small pit houses continue to be inhabited, evidencing emerging disparities in domestic architecture after AD 1000. Our research shows the importance of programmes of intensive dating of individual structures to understand occupation dynamics and site permanence, and challenges long held assumptions that the southern Brazilian highlands were home to marginal cultures in the context of lowland South America.","author":[{"dropping-particle":"","family":"Souza","given":"Jonas Gregorio","non-dropping-particle":"De","parse-names":false,"suffix":""},{"dropping-particle":"","family":"Robinson","given":"Mark","non-dropping-particle":"","parse-names":false,"suffix":""},{"dropping-particle":"","family":"Corteletti","given":"Rafael","non-dropping-particle":"","parse-names":false,"suffix":""},{"dropping-particle":"","family":"C??rdenas","given":"Macarena Lucia","non-dropping-particle":"","parse-names":false,"suffix":""},{"dropping-particle":"","family":"Wolf","given":"Sidnei","non-dropping-particle":"","parse-names":false,"suffix":""},{"dropping-particle":"","family":"Iriarte","given":"Jos??","non-dropping-particle":"","parse-names":false,"suffix":""},{"dropping-particle":"","family":"Mayle","given":"Francis","non-dropping-particle":"","parse-names":false,"suffix":""},{"dropping-particle":"","family":"DeBlasis","given":"Paulo","non-dropping-particle":"","parse-names":false,"suffix":""}],"container-title":"PLoS ONE","id":"ITEM-1","issue":"7","issued":{"date-parts":[["2016"]]},"note":"Contrary to previous hypotheses, this oversized pithouse was continuously occupied for something like 1300-1730 or 1425-1620 (depending on which estimates you use). Oversized pithouses existed alongside normal ones (and probably came after the others). People kept setting the building on fire, covering up the remains and rebuilding immediately - probably ritual. There were changes in the early 1500s, possibly indirectly because of Europeans.","page":"1-24","title":"Understanding the chronology and occupation dynamics of oversized pit houses in the southern Brazilian highlands","type":"article-journal","volume":"11"},"uris":["http://www.mendeley.com/documents/?uuid=124ac069-566a-4a1f-96fe-71327ed1d779"]}],"mendeley":{"formattedCitation":"(De Souza et al., 2016b)","plainTextFormattedCitation":"(De Souza et al., 2016b)","previouslyFormattedCitation":"(De Souza et al., 2016b)"},"properties":{"noteIndex":0},"schema":"https://github.com/citation-style-language/schema/raw/master/csl-citation.json"}</w:instrText>
      </w:r>
      <w:r w:rsidR="004664C8" w:rsidRPr="001C1F44">
        <w:rPr>
          <w:rStyle w:val="MynormalChar"/>
        </w:rPr>
        <w:fldChar w:fldCharType="separate"/>
      </w:r>
      <w:r w:rsidR="004664C8" w:rsidRPr="001C1F44">
        <w:rPr>
          <w:rStyle w:val="MynormalChar"/>
          <w:noProof/>
        </w:rPr>
        <w:t>(De Souza et al., 2016b)</w:t>
      </w:r>
      <w:r w:rsidR="004664C8" w:rsidRPr="001C1F44">
        <w:rPr>
          <w:rStyle w:val="MynormalChar"/>
        </w:rPr>
        <w:fldChar w:fldCharType="end"/>
      </w:r>
      <w:r w:rsidR="0052526A" w:rsidRPr="001C1F44">
        <w:rPr>
          <w:rStyle w:val="MynormalChar"/>
        </w:rPr>
        <w:t>, combining</w:t>
      </w:r>
      <w:r w:rsidR="00472F65" w:rsidRPr="001C1F44">
        <w:rPr>
          <w:rStyle w:val="MynormalChar"/>
        </w:rPr>
        <w:t xml:space="preserve"> with</w:t>
      </w:r>
      <w:r w:rsidR="0017712A" w:rsidRPr="001C1F44">
        <w:rPr>
          <w:rStyle w:val="MynormalChar"/>
        </w:rPr>
        <w:t xml:space="preserve"> the arrival of</w:t>
      </w:r>
      <w:r w:rsidR="00472F65" w:rsidRPr="001C1F44">
        <w:rPr>
          <w:rStyle w:val="MynormalChar"/>
        </w:rPr>
        <w:t xml:space="preserve"> </w:t>
      </w:r>
      <w:r w:rsidR="004664C8" w:rsidRPr="001C1F44">
        <w:rPr>
          <w:rStyle w:val="MynormalChar"/>
        </w:rPr>
        <w:t xml:space="preserve">funerary mound-and-enclosure complexes </w:t>
      </w:r>
      <w:r w:rsidR="004664C8" w:rsidRPr="001C1F44">
        <w:rPr>
          <w:rStyle w:val="MynormalChar"/>
        </w:rPr>
        <w:fldChar w:fldCharType="begin" w:fldLock="1"/>
      </w:r>
      <w:r w:rsidR="005A4773" w:rsidRPr="001C1F44">
        <w:rPr>
          <w:rStyle w:val="MynormalChar"/>
        </w:rPr>
        <w:instrText>ADDIN CSL_CITATION {"citationItems":[{"id":"ITEM-1","itemData":{"DOI":"10.1007/s10814-016-9100-0","ISSN":"1059-0161","abstract":"Newly created academic programs at Brazilian universities have provided the impetus for new archaeological projects in southeastern South America during the last two decades. The new data are changing our views on emergent social complexity, natural and human-induced transformation of the landscape, and transcontinental expansions and cultural interactions across the Río de la Plata basin during the Middle and Late Holocene. We concentrate on six major archaeological traditions/regions: the Sambaquis, the Pantanal, the Constructores de Cerritos, the Tupiguarani, the Southern Proto-Jê, and the middle and lower Paraná River. Diverse and autonomous complex developments exhibit distinct built landscapes in a region previously thought of as marginal compared with cultural developments in the Andes or Mesoamerica. The trajectories toward increased sociopolitical complexity flourished in very different and changing environmental conditions. While some groups were pushed to wetland areas during a drier mid-Holocene, others took advantage of the more humid Late Holocene climate to intensively manage Araucaria forests. The start of the second millennium AD was a critical period marked by an increased number of archaeological sites, the construction of ceremonial architecture, and the intensification of landscape transformation; it also was marked by the rapid expansion of influences from outside the La Plata basin. The Amazonian Tupiguarani and Arawak newcomers brought with them significant changes in technologies and social and political structures, as well as novel landscape management practices.","author":[{"dropping-particle":"","family":"Iriarte","given":"José","non-dropping-particle":"","parse-names":false,"suffix":""},{"dropping-particle":"","family":"DeBlasis","given":"Paulo","non-dropping-particle":"","parse-names":false,"suffix":""},{"dropping-particle":"","family":"Souza","given":"Jonas Gregorio","non-dropping-particle":"De","parse-names":false,"suffix":""},{"dropping-particle":"","family":"Corteletti","given":"Rafael","non-dropping-particle":"","parse-names":false,"suffix":""}],"container-title":"Journal of Archaeological Research","id":"ITEM-1","issued":{"date-parts":[["2016","12","30"]]},"note":"Big review looking at the increase in complexity in different people groups in the general as Brazil region. Good comments on lots of things, including holes in the palaeoecological record and an up-to-date interpretation of the social layout/archaeology.","page":"1-63","publisher":"Springer US","title":"Emergent Complexity, Changing Landscapes, and Spheres of Interaction in Southeastern South America During the Middle and Late Holocene","type":"article-journal"},"uris":["http://www.mendeley.com/documents/?uuid=aa4e6a16-dc39-3ac6-85c7-8c4d055f91a4"]},{"id":"ITEM-2","itemData":{"DOI":"10.1016/j.jaa.2016.01.003","ISSN":"10902686","abstract":"In this article, we examine the emergence of the funerary mound and enclosure complexes of the southern Brazilian highlands during the last 1000. years in relation to processes of population expansion, contact, conflict and the establishment of frontiers. We test the hypothesis that such monuments emerged among the local southern proto-J?? peoples as a response to the migration of a foreign group, the Tupi-Guarani. We compared the spatio-temporal distribution of mound and enclosure complexes in respect to sites of interaction between the two groups. The results indicate that the rise of funerary architecture coincides with the first incursions of the Tupi-Guarani to the southern proto-J?? heartland, and that mounds are concentrated in areas devoid of interaction. We conclude that highly monumentalized landscapes emerged in areas where local groups chose not to interact with the Tupi-Guarani, showing that funerary monuments were an important component in the establishment of impermeable frontiers to resist outsiders.","author":[{"dropping-particle":"","family":"Souza","given":"Jonas Gregorio","non-dropping-particle":"De","parse-names":false,"suffix":""},{"dropping-particle":"","family":"Corteletti","given":"Rafael","non-dropping-particle":"","parse-names":false,"suffix":""},{"dropping-particle":"","family":"Robinson","given":"Mark","non-dropping-particle":"","parse-names":false,"suffix":""},{"dropping-particle":"","family":"Iriarte","given":"José","non-dropping-particle":"","parse-names":false,"suffix":""}],"container-title":"Journal of Anthropological Archaeology","id":"ITEM-2","issued":{"date-parts":[["2016"]]},"note":"Really cool paper on why the spJ built MECs in some places not others. Seems mainly to have been a hard border against expanding Tupi-Guarani people along rivers, and especially in the heartland. Fascinating stuff on interactions of two very different cultures. Worth thinking about environmental effects of these.\n\nThe Tupi-Guarani speaking people expanded rapidly (500km pa) after 1000AD. Why? Did the same thing that drove the southern proto-Je expansion drive theirs? Was the expansion of proto-Je archaeology principally a response to them or an internal (Araucaria-related?) thing?\n\nThe time after 1000AD was a time of big change for the spJ - cultural mixing with the TG as well as everything Araucaria-related. Is there a difference in sites where the TG mixed cf sites where they were resisted?\n\nLots of monuments = resistance to TG. Absence of monumental burial sites = lots of TG-spJ exchange","page":"196-212","title":"The genesis of monuments: Resisting outsiders in the contested landscapes of southern Brazil","type":"article-journal","volume":"41"},"uris":["http://www.mendeley.com/documents/?uuid=dd434944-1216-323b-bcde-9a4998fc46d6"]}],"mendeley":{"formattedCitation":"(De Souza et al., 2016a; Iriarte et al., 2016)","plainTextFormattedCitation":"(De Souza et al., 2016a; Iriarte et al., 2016)","previouslyFormattedCitation":"(De Souza et al., 2016a; Iriarte et al., 2016)"},"properties":{"noteIndex":0},"schema":"https://github.com/citation-style-language/schema/raw/master/csl-citation.json"}</w:instrText>
      </w:r>
      <w:r w:rsidR="004664C8" w:rsidRPr="001C1F44">
        <w:rPr>
          <w:rStyle w:val="MynormalChar"/>
        </w:rPr>
        <w:fldChar w:fldCharType="separate"/>
      </w:r>
      <w:r w:rsidR="00577B51" w:rsidRPr="001C1F44">
        <w:rPr>
          <w:rStyle w:val="MynormalChar"/>
          <w:noProof/>
        </w:rPr>
        <w:t>(De Souza et al., 2016a; Iriarte et al., 2016)</w:t>
      </w:r>
      <w:r w:rsidR="004664C8" w:rsidRPr="001C1F44">
        <w:rPr>
          <w:rStyle w:val="MynormalChar"/>
        </w:rPr>
        <w:fldChar w:fldCharType="end"/>
      </w:r>
      <w:r w:rsidR="00855C7E" w:rsidRPr="001C1F44">
        <w:rPr>
          <w:rStyle w:val="MynormalChar"/>
        </w:rPr>
        <w:t xml:space="preserve"> </w:t>
      </w:r>
      <w:r w:rsidR="00577B51" w:rsidRPr="001C1F44">
        <w:rPr>
          <w:rStyle w:val="MynormalChar"/>
        </w:rPr>
        <w:t>to form highly structured</w:t>
      </w:r>
      <w:r w:rsidR="00686FFC" w:rsidRPr="001C1F44">
        <w:rPr>
          <w:rStyle w:val="MynormalChar"/>
        </w:rPr>
        <w:t xml:space="preserve"> ‘sacred landscape</w:t>
      </w:r>
      <w:r w:rsidR="00577B51" w:rsidRPr="001C1F44">
        <w:rPr>
          <w:rStyle w:val="MynormalChar"/>
        </w:rPr>
        <w:t>s</w:t>
      </w:r>
      <w:r w:rsidR="00686FFC" w:rsidRPr="001C1F44">
        <w:rPr>
          <w:rStyle w:val="MynormalChar"/>
        </w:rPr>
        <w:t xml:space="preserve">’ </w:t>
      </w:r>
      <w:r w:rsidR="00686FFC" w:rsidRPr="001C1F44">
        <w:rPr>
          <w:rStyle w:val="MynormalChar"/>
        </w:rPr>
        <w:fldChar w:fldCharType="begin" w:fldLock="1"/>
      </w:r>
      <w:r w:rsidR="005A4773" w:rsidRPr="001C1F44">
        <w:rPr>
          <w:rStyle w:val="MynormalChar"/>
        </w:rPr>
        <w:instrText>ADDIN CSL_CITATION {"citationItems":[{"id":"ITEM-1","itemData":{"DOI":"10.1016/j.jaa.2012.10.003","ISBN":"02784165","ISSN":"02784165","abstract":"Fieldwork involving survey, detailed topographic mapping, and excavations in Pinhal da Serra, Rio Grande do Sul, Brazil, has revealed a highly-structured landscape revolving around funerary/ceremonial structures that began around A.D. 1000. This paper focuses on the results of detailed topographic survey of mound and enclosure complexes and their interpretation in light of southern Je ethnohistorical and ethnographic data. We compare the architectural patterns of mortuary architecture from this study with fundamental spatial features of historic Kaingang's social organisation, mortuary rituals and cosmogony myth. Our results suggest historical continuity in the organisation of space in cardinal directions (E-W), topography (low and high places), and in circular/concentric spatiality revealed in the southern proto-J?? mound and enclosure complexes. It is argued that small paired mound and enclosure complexes are associated with the material representation of a dual ranked opposition materialised in proto-J?? moiety cemeteries where important persona were buried. ?? 2012 Elsevier Inc.","author":[{"dropping-particle":"","family":"Iriarte","given":"José","non-dropping-particle":"","parse-names":false,"suffix":""},{"dropping-particle":"","family":"Moehlecke Copé","given":"Silvia","non-dropping-particle":"","parse-names":false,"suffix":""},{"dropping-particle":"","family":"Fradley","given":"Michael","non-dropping-particle":"","parse-names":false,"suffix":""},{"dropping-particle":"","family":"Lockhart","given":"Jami J","non-dropping-particle":"","parse-names":false,"suffix":""},{"dropping-particle":"","family":"Gillam","given":"J Christopher","non-dropping-particle":"","parse-names":false,"suffix":""}],"container-title":"Journal of Anthropological Archaeology","id":"ITEM-1","issue":"1","issued":{"date-parts":[["2013"]]},"note":"Paper on archaeology of Mound-Enclosure Complexes and their likely cultural importance. Interesting look at creation myths/cultural practices of Kaingang (modern successors to southern proto-Je)","page":"74-96","title":"Sacred landscapes of the southern Brazilian highlands: Understanding southern proto-Je mound and enclosure complexes","type":"article-journal","volume":"32"},"uris":["http://www.mendeley.com/documents/?uuid=abe0fc0e-ff58-33af-9f13-d216c80b120a"]}],"mendeley":{"formattedCitation":"(Iriarte et al., 2013)","plainTextFormattedCitation":"(Iriarte et al., 2013)","previouslyFormattedCitation":"(Iriarte et al., 2013)"},"properties":{"noteIndex":0},"schema":"https://github.com/citation-style-language/schema/raw/master/csl-citation.json"}</w:instrText>
      </w:r>
      <w:r w:rsidR="00686FFC" w:rsidRPr="001C1F44">
        <w:rPr>
          <w:rStyle w:val="MynormalChar"/>
        </w:rPr>
        <w:fldChar w:fldCharType="separate"/>
      </w:r>
      <w:r w:rsidR="00686FFC" w:rsidRPr="001C1F44">
        <w:rPr>
          <w:rStyle w:val="MynormalChar"/>
          <w:noProof/>
        </w:rPr>
        <w:t>(Iriarte et al., 2013)</w:t>
      </w:r>
      <w:r w:rsidR="00686FFC" w:rsidRPr="001C1F44">
        <w:rPr>
          <w:rStyle w:val="MynormalChar"/>
        </w:rPr>
        <w:fldChar w:fldCharType="end"/>
      </w:r>
      <w:r w:rsidR="00686FFC" w:rsidRPr="001C1F44">
        <w:rPr>
          <w:rStyle w:val="MynormalChar"/>
        </w:rPr>
        <w:t xml:space="preserve"> </w:t>
      </w:r>
      <w:r w:rsidR="00577B51" w:rsidRPr="001C1F44">
        <w:rPr>
          <w:rStyle w:val="MynormalChar"/>
        </w:rPr>
        <w:t xml:space="preserve">in the highlands. The temporal overlap of these changes with </w:t>
      </w:r>
      <w:r w:rsidR="001349A7" w:rsidRPr="001C1F44">
        <w:rPr>
          <w:rStyle w:val="MynormalChar"/>
        </w:rPr>
        <w:t xml:space="preserve">the most recent </w:t>
      </w:r>
      <w:r w:rsidR="004B45F0">
        <w:rPr>
          <w:rStyle w:val="MynormalChar"/>
          <w:i/>
        </w:rPr>
        <w:t>Araucaria</w:t>
      </w:r>
      <w:r w:rsidR="004B45F0">
        <w:rPr>
          <w:rStyle w:val="MynormalChar"/>
        </w:rPr>
        <w:t xml:space="preserve"> forest</w:t>
      </w:r>
      <w:r w:rsidR="004B45F0" w:rsidRPr="001C1F44">
        <w:rPr>
          <w:rStyle w:val="MynormalChar"/>
        </w:rPr>
        <w:t xml:space="preserve"> </w:t>
      </w:r>
      <w:r w:rsidR="00577B51" w:rsidRPr="001C1F44">
        <w:rPr>
          <w:rStyle w:val="MynormalChar"/>
        </w:rPr>
        <w:t>expansion suggests that more available forest resources</w:t>
      </w:r>
      <w:r w:rsidR="0017712A" w:rsidRPr="001C1F44">
        <w:rPr>
          <w:rStyle w:val="MynormalChar"/>
        </w:rPr>
        <w:t xml:space="preserve"> likely</w:t>
      </w:r>
      <w:r w:rsidR="00577B51" w:rsidRPr="001C1F44">
        <w:rPr>
          <w:rStyle w:val="MynormalChar"/>
        </w:rPr>
        <w:t xml:space="preserve"> helped underpin the cultural changes </w:t>
      </w:r>
      <w:r w:rsidR="00577B51" w:rsidRPr="001C1F44">
        <w:rPr>
          <w:rStyle w:val="MynormalChar"/>
        </w:rPr>
        <w:fldChar w:fldCharType="begin" w:fldLock="1"/>
      </w:r>
      <w:r w:rsidR="005A4773" w:rsidRPr="001C1F44">
        <w:rPr>
          <w:rStyle w:val="MynormalChar"/>
        </w:rPr>
        <w:instrText>ADDIN CSL_CITATION {"citationItems":[{"id":"ITEM-1","itemData":{"DOI":"10.1179/174963107x226390","ISBN":"14614103\\r17496314","ISSN":"14614103","abstract":"An examination of the late Holocene environmental and cultural sequences of the southern Brazilian highlands indicates that the colonisation of this region by the Taquara/Itarare ´ people is associated with the expansion of Araucaria forest resulting from the onset of wetter climatic conditions in the region, which started between around 1410 and 900 cal. yr BP. The more intense and permanent human occupation of this region is associated with the advance of Araucaria forest, which provided Taquara/Itararé groups with a newly abundant and reliable resource: Araucaria seeds. In addition, we review the evidence for landscape transformation associated with the beginning of food-production in the region. Charcoal records show that local populations may have practiced slash-and-burn agriculture at lower elevations since the beginning of the late Holocene around 4320 cal. yr BP, and continued this practice during the second part of the late Holocene.","author":[{"dropping-particle":"","family":"Iriarte","given":"José","non-dropping-particle":"","parse-names":false,"suffix":""},{"dropping-particle":"","family":"Behling","given":"Hermann","non-dropping-particle":"","parse-names":false,"suffix":""}],"container-title":"Environmental Archaeology","id":"ITEM-1","issue":"2","issued":{"date-parts":[["2007"]]},"note":"Really good details on ethnobotanical importance of Araucaria to T/I people. Good overview/introduction to changes in landscape, and suggests possible human cause\n\nPalaeoecology:\nFirst Holocene expansion of Araucaria forest (at expense of Campos) in SBHs: 4480-3200 cal yr BP. Wetter climate, expansion of Araucaria gallery forest. (Especially evident in Cambara do Sul, less so in others.)\nLater, bigger expansion between 1410-900 cal yr BP (see highlight amid pollen diagrams for dates from different records). Wettest climate and no real annual dry season. Fires a bit less frequent than in the interval since last expansion (when there had been a lot - probably slash and burn in semideciduous/Atlantic forest), but still a fair number of them. This ended up either in a mosaic with campos or with an Araucaria takeover.\n\nArchaeology:\nPithouses are everyday living places. Closely overlap with Araucaria forest. Diameter 2-20m, most &amp;lt;5m. Charred Araucaria seeds are found in lots of them.\n'Surface sites' (agriculture, quarries etc) are found amongst pithouses in highlands/Araucaria, but are more common at lower altitudes when pithouses get rarer.\nEarthworkds (?geoglyphs) found in the most prominent hills. They were ceremonial spaces\nExpansion of T/I sites: started 1500cal yr BP and peaked after 1000 cal yr BP. 79% of pithouse dates are more recent than 1000 cal yr BP.","page":"115-127","title":"The expansion of Araucaria forest in the southern Brazilian highlands during the last 4000 years and its implications for the development of the Taquara/Itararé Tradition","type":"article-journal","volume":"12"},"uris":["http://www.mendeley.com/documents/?uuid=67c6efcb-8665-3d79-a859-769fcfa45315"]}],"mendeley":{"formattedCitation":"(Iriarte and Behling, 2007)","plainTextFormattedCitation":"(Iriarte and Behling, 2007)","previouslyFormattedCitation":"(Iriarte and Behling, 2007)"},"properties":{"noteIndex":0},"schema":"https://github.com/citation-style-language/schema/raw/master/csl-citation.json"}</w:instrText>
      </w:r>
      <w:r w:rsidR="00577B51" w:rsidRPr="001C1F44">
        <w:rPr>
          <w:rStyle w:val="MynormalChar"/>
        </w:rPr>
        <w:fldChar w:fldCharType="separate"/>
      </w:r>
      <w:r w:rsidR="00577B51" w:rsidRPr="001C1F44">
        <w:rPr>
          <w:rStyle w:val="MynormalChar"/>
          <w:noProof/>
        </w:rPr>
        <w:t>(Iriarte and Behling, 2007)</w:t>
      </w:r>
      <w:r w:rsidR="00577B51" w:rsidRPr="001C1F44">
        <w:rPr>
          <w:rStyle w:val="MynormalChar"/>
        </w:rPr>
        <w:fldChar w:fldCharType="end"/>
      </w:r>
      <w:r w:rsidR="00577B51" w:rsidRPr="001C1F44">
        <w:rPr>
          <w:rStyle w:val="MynormalChar"/>
        </w:rPr>
        <w:t xml:space="preserve">, </w:t>
      </w:r>
      <w:r w:rsidR="00212D62" w:rsidRPr="001C1F44">
        <w:rPr>
          <w:rStyle w:val="MynormalChar"/>
        </w:rPr>
        <w:t xml:space="preserve">and there is some evidence that the southern Jê may in </w:t>
      </w:r>
      <w:r w:rsidR="00212D62" w:rsidRPr="001C1F44">
        <w:rPr>
          <w:rStyle w:val="MynormalChar"/>
        </w:rPr>
        <w:lastRenderedPageBreak/>
        <w:t xml:space="preserve">turn have helped expand the forest </w:t>
      </w:r>
      <w:r w:rsidR="00212D62" w:rsidRPr="001C1F44">
        <w:rPr>
          <w:rStyle w:val="MynormalChar"/>
        </w:rPr>
        <w:fldChar w:fldCharType="begin" w:fldLock="1"/>
      </w:r>
      <w:r w:rsidR="005A4773" w:rsidRPr="001C1F44">
        <w:rPr>
          <w:rStyle w:val="MynormalChar"/>
        </w:rPr>
        <w:instrText>ADDIN CSL_CITATION {"citationItems":[{"id":"ITEM-1","itemData":{"DOI":"10.1038/s41598-018-24429-5","ISSN":"2045-2322","abstract":"In the highlands of southern Brazil an anthropogenitcally driven expansion of forest occurred at the expense of grasslands between 1410 and 900 cal BP, coincident with a period of demographic and cultural change in the region. Previous studies have debated the relative contributions of increasing wetter and warmer climate conditions and human landscape modifications to forest expansion, but generally lacked high resoltiuon proxies to measure these effects, or have relied on single proxies to reconstruct both climate and vegetation. Here, we develop and test a model of natural ecosystem distribution against vegetation histories, paleoclimate proxies, and the archaeological record to distinguish human from temperature and precipitation impacts on the distribution and expansion of Araucaria forests during the late Holocene. Carbon isotopes from soil profiles confirm that in spite of climatic fluctuations, vegetation was stable and forests were spatially limited to south-facing slopes in the absence of human inputs. In contrast, forest management strategies for the past 1400 years expanded this economically important forest beyond its natural geographic boundaries in areas of dense pre-Columbian occupation, suggesting that landscape modifications were linked to demographic changes, the effects of which are still visible today.","author":[{"dropping-particle":"","family":"Robinson","given":"Mark","non-dropping-particle":"","parse-names":false,"suffix":""},{"dropping-particle":"","family":"Souza","given":"Jonas Gregorio","non-dropping-particle":"De","parse-names":false,"suffix":""},{"dropping-particle":"","family":"Maezumi","given":"S Yoshi","non-dropping-particle":"","parse-names":false,"suffix":""},{"dropping-particle":"","family":"Cárdenas","given":"Macarena","non-dropping-particle":"","parse-names":false,"suffix":""},{"dropping-particle":"","family":"Pessenda","given":"Luiz","non-dropping-particle":"","parse-names":false,"suffix":""},{"dropping-particle":"","family":"Prufer","given":"Keith","non-dropping-particle":"","parse-names":false,"suffix":""},{"dropping-particle":"","family":"Corteletti","given":"Rafael","non-dropping-particle":"","parse-names":false,"suffix":""},{"dropping-particle":"","family":"Scunderlick","given":"Deisi","non-dropping-particle":"","parse-names":false,"suffix":""},{"dropping-particle":"","family":"Mayle","given":"Francis Edward","non-dropping-particle":"","parse-names":false,"suffix":""},{"dropping-particle":"","family":"Blasis","given":"Paulo","non-dropping-particle":"De","parse-names":false,"suffix":""},{"dropping-particle":"","family":"Iriarte","given":"José","non-dropping-particle":"","parse-names":false,"suffix":""}],"container-title":"Scientific Reports","id":"ITEM-1","issue":"1","issued":{"date-parts":[["2018","12","17"]]},"page":"7800","title":"Uncoupling human and climate drivers of late Holocene vegetation change in southern Brazil","type":"article-journal","volume":"8"},"uris":["http://www.mendeley.com/documents/?uuid=31596bfb-9a43-43e4-a359-a0d4859f2499"]},{"id":"ITEM-2","itemData":{"DOI":"10.1007/s11295-018-1250-4","ISSN":"1614-2942","abstract":"Phylogeographic studies allow us to better understand the past history of species and the factors that mold their current distri-bution. Here, we demonstrate the potential human impact on the distribution of a tree species. In particular, it was hypothesized that Araucaria angustifolia, an endangered South American conifer, was dispersed from its Pleistocene glacial refugium to its maximum occurrence distribution (MOD), mainly by pre-Columbian human groups (ca 2000 years ago). In order to test this hypothesis, we sampled 20 A. angustifolia populations in southern Brazil. Our analysis consisted of an integrative phylogeo-graphic approach, supported by ecological aspects of the species. Therefore, we constructed the species chloroplast haplotype network, tested for possible neutrality deviations, genetic divergence, association between genetic and geographic distances, and simulated the amount of time that the species required to reach its MOD without human help. The species showed clear signs of rapid and recent expansion from a single refugium. The haplotype network had a star-like shape. Populations and the species showed negative values for the neutrality tests and low divergence values among populations (F ST = 0.041) not associated with geographic distance. The estimated dispersal time required for the species to reach its MOD from its putative refugium without human help is not consistent with the rapid and recent expansion of the species. Hence, we argue that humans played an important role in expanding the distribution of the currently endangered species, and it needs to be accounted for when analyzing landscape genetics or in the development of conservation strategies.","author":[{"dropping-particle":"","family":"Lauterjung","given":"Miguel Busarello","non-dropping-particle":"","parse-names":false,"suffix":""},{"dropping-particle":"","family":"Bernardi","given":"Alison Paulo","non-dropping-particle":"","parse-names":false,"suffix":""},{"dropping-particle":"","family":"Montagna","given":"Tiago","non-dropping-particle":"","parse-names":false,"suffix":""},{"dropping-particle":"","family":"Candido-Ribeiro","given":"Rafael","non-dropping-particle":"","parse-names":false,"suffix":""},{"dropping-particle":"","family":"Costa","given":"Newton Clóvis Freitas","non-dropping-particle":"da","parse-names":false,"suffix":""},{"dropping-particle":"","family":"Mantovani","given":"Adelar","non-dropping-particle":"","parse-names":false,"suffix":""},{"dropping-particle":"","family":"Reis","given":"Maurício Sedrez","non-dropping-particle":"dos","parse-names":false,"suffix":""}],"container-title":"Tree Genetics &amp; Genomes","id":"ITEM-2","issue":"3","issued":{"date-parts":[["2018"]]},"note":"This is an interesting paper looking for genetic evidence of anthropogenic expansion of Aa. I don't agree with all of it, but there is still good, useful stuff within it. Particularly, it finds that there's very little differentiation between populations compared to within, and not really any isolation by distance. This (and other factors) suggests quite rapid expansion from an origin point.\n\nHowever, the proposal here is that the origin point was in the SE highlands, and I don't think that's likely to be right. My modelling suggests Aa could have been present more widely to the west (backed up by the 13ka core by Bertoldo et al 2014) so it's not unreasonable that Aa might have been able to spread across its whole range in the time allowed - it's much less far than the authors assume. Also, there's very little pollen evidence in much of this region - need to be careful about extrapolating to wider area. This does not, however, completely rule out these results - perhaps the spJ ~domesticated Aa or otherwise bottlenecked it in places where it was already suitable, or helped spread it faster than it would otherwise have gone (but it would, nonetheless, have spread there). To explore with past modelling, I think.","page":"36","title":"Phylogeography of Brazilian pine (Araucaria angustifolia): integrative evidence for pre-Columbian anthropogenic dispersal","type":"article-journal","volume":"14"},"uris":["http://www.mendeley.com/documents/?uuid=9809cb5b-ef0a-3553-8096-e722f9a8a6ca"]},{"id":"ITEM-3","itemData":{"DOI":"10.5751/ES-06163-190243","ISBN":"3262","ISSN":"17083087","abstract":"South American Araucaria species include Araucaria araucana (Mol.) C. Koch (Argentina and Chile) and Araucaria angustifolia (Bert.) O. Kuntze (Brazil and Argentina). Both species produce nut-like seeds (piñones, pinhões) that have, since pre- Columbian times, formed part of the traditional diet of local societies: Kaingang (A. angustifolia) and Mapuche-Pehuenche (A. araucana). In this work, we compared and analyzed converging and diverging characteristics of these species founded on ecological and ethnobotanical evidence. We also studied the role of human groups in the construction of Araucaria forests. The methodology used was based on a bibliographical analysis that included a wide range of sources, from ecological to social sciences. Our results show that both species hold strong cultural and symbolic significance for associated human groups. The ecological characteristics of both species have favored their rapid territorial expansion since the Holocene; however, palynological, archaeological, and ethnobotanical evidence reinforces the hypothesis that the human groups involved played a key role in this process. For both societies, there are records of past and present practices related to the transport, storage, and processing of the seeds. The landscapes where A. araucana and A. angustifolia are present also reflect use patterns that hold a level of significance that goes beyond merely utilitarian purposes. For the Kaingang and the Mapuche-Pehuenche, the Araucaria forests are associated with the concept of territoriality and play a key role in determining their identity. Our approach to cultural landscapes, which considers the importance of societies in the modelling of natural landscapes, can offer new perspectives for conservation policies and action in both forests.","author":[{"dropping-particle":"","family":"Reis","given":"Maurício Sedrez","non-dropping-particle":"dos","parse-names":false,"suffix":""},{"dropping-particle":"","family":"Ladio","given":"Ana","non-dropping-particle":"","parse-names":false,"suffix":""},{"dropping-particle":"","family":"Peroni","given":"Nivaldo","non-dropping-particle":"","parse-names":false,"suffix":""}],"container-title":"Ecology and Society","id":"ITEM-3","issue":"2","issued":{"date-parts":[["2014"]]},"note":"This paper looks at forests with Araucaria araucana and A. angustifolia in SA, and the possible cultural genesis of these landscapes. It makes the case that the biological characteristics of these species (broad niches, big, gravity-dispersed (but what about animals??) seeds etc) combined with cultural actions mean the forests are almost certainly cultural landscapes. I'm not 100% convinced (there's less direct and compelling evidence provided than for the Brazil nut, for example), but it shows people are thinking along those lines and it shouldn't be ruled out.\n\nAlso links to a lot of useful/interesting papers (especially ethnography/ethnobotany), but many are in Portuguese.","page":"43","publisher":"The Resilience Alliance","title":"Landscapes with Araucaria in South America: Evidence for a cultural dimension","type":"article-journal","volume":"19"},"uris":["http://www.mendeley.com/documents/?uuid=46d1e447-ad0b-38ea-b396-edca73a224f2"]}],"mendeley":{"formattedCitation":"(dos Reis et al., 2014; Lauterjung et al., 2018; Robinson et al., 2018)","plainTextFormattedCitation":"(dos Reis et al., 2014; Lauterjung et al., 2018; Robinson et al., 2018)","previouslyFormattedCitation":"(dos Reis et al., 2014; Lauterjung et al., 2018; Robinson et al., 2018)"},"properties":{"noteIndex":0},"schema":"https://github.com/citation-style-language/schema/raw/master/csl-citation.json"}</w:instrText>
      </w:r>
      <w:r w:rsidR="00212D62" w:rsidRPr="001C1F44">
        <w:rPr>
          <w:rStyle w:val="MynormalChar"/>
        </w:rPr>
        <w:fldChar w:fldCharType="separate"/>
      </w:r>
      <w:r w:rsidR="00212D62" w:rsidRPr="001C1F44">
        <w:rPr>
          <w:rStyle w:val="MynormalChar"/>
          <w:noProof/>
        </w:rPr>
        <w:t>(dos Reis et al., 2014; Lauterjung et al., 2018; Robinson et al., 2018)</w:t>
      </w:r>
      <w:r w:rsidR="00212D62" w:rsidRPr="001C1F44">
        <w:rPr>
          <w:rStyle w:val="MynormalChar"/>
        </w:rPr>
        <w:fldChar w:fldCharType="end"/>
      </w:r>
      <w:r w:rsidR="00212D62" w:rsidRPr="0083145E">
        <w:rPr>
          <w:lang w:eastAsia="en-GB"/>
        </w:rPr>
        <w:t>,</w:t>
      </w:r>
      <w:r w:rsidR="00212D62" w:rsidRPr="00301AE1">
        <w:rPr>
          <w:sz w:val="24"/>
          <w:lang w:eastAsia="en-GB"/>
        </w:rPr>
        <w:t xml:space="preserve"> though this has not yet been </w:t>
      </w:r>
      <w:r w:rsidR="00C463EE" w:rsidRPr="00301AE1">
        <w:rPr>
          <w:sz w:val="24"/>
          <w:lang w:eastAsia="en-GB"/>
        </w:rPr>
        <w:t>tested</w:t>
      </w:r>
      <w:r w:rsidR="00212D62" w:rsidRPr="00301AE1">
        <w:rPr>
          <w:sz w:val="24"/>
          <w:lang w:eastAsia="en-GB"/>
        </w:rPr>
        <w:t xml:space="preserve"> with fossil pollen</w:t>
      </w:r>
      <w:r w:rsidR="00C463EE" w:rsidRPr="00301AE1">
        <w:rPr>
          <w:sz w:val="24"/>
          <w:lang w:eastAsia="en-GB"/>
        </w:rPr>
        <w:t xml:space="preserve"> data</w:t>
      </w:r>
      <w:r w:rsidR="00212D62" w:rsidRPr="00301AE1">
        <w:rPr>
          <w:sz w:val="24"/>
          <w:lang w:eastAsia="en-GB"/>
        </w:rPr>
        <w:t>.</w:t>
      </w:r>
    </w:p>
    <w:p w14:paraId="50374CA7" w14:textId="549E29EB" w:rsidR="00F2727C" w:rsidRPr="0083145E" w:rsidRDefault="00472F65" w:rsidP="004F4229">
      <w:pPr>
        <w:pStyle w:val="Heading2"/>
        <w:spacing w:line="480" w:lineRule="auto"/>
        <w:rPr>
          <w:lang w:eastAsia="en-GB"/>
        </w:rPr>
      </w:pPr>
      <w:r w:rsidRPr="0083145E">
        <w:rPr>
          <w:lang w:eastAsia="en-GB"/>
        </w:rPr>
        <w:t>1.3. Aims</w:t>
      </w:r>
    </w:p>
    <w:p w14:paraId="6A89DB85" w14:textId="14228EC4" w:rsidR="00472F65" w:rsidRPr="0083145E" w:rsidRDefault="00792112" w:rsidP="001C1F44">
      <w:pPr>
        <w:pStyle w:val="Mynormal"/>
      </w:pPr>
      <w:r>
        <w:t xml:space="preserve">Quantitative studies of the relationships between present-day </w:t>
      </w:r>
      <w:r w:rsidRPr="004F4229">
        <w:rPr>
          <w:i/>
        </w:rPr>
        <w:t>Araucaria</w:t>
      </w:r>
      <w:r>
        <w:t xml:space="preserve"> forest and its constituent pollen assemblages are needed to improve the level of ecological detail that can be extracted from fossil pollen records, and thereby obtain a firmer basis for unravelling the relative roles of climate change versus human land use in driving this threatened forest’s long-term dynamics over the past several millennia. </w:t>
      </w:r>
      <w:r w:rsidR="00BC7795">
        <w:t>We therefore</w:t>
      </w:r>
      <w:r w:rsidR="00B10A09">
        <w:t xml:space="preserve"> conducted a study to quantitatively define the vegetation-pollen relationships of </w:t>
      </w:r>
      <w:r w:rsidR="00B10A09" w:rsidRPr="004F4229">
        <w:rPr>
          <w:i/>
        </w:rPr>
        <w:t>Araucaria</w:t>
      </w:r>
      <w:r w:rsidR="00B10A09">
        <w:t xml:space="preserve"> forest taxa.</w:t>
      </w:r>
      <w:r w:rsidR="00472F65" w:rsidRPr="0083145E">
        <w:t xml:space="preserve"> Specifically, we </w:t>
      </w:r>
      <w:r w:rsidR="00BC7795">
        <w:t>analysed floristic inventories from</w:t>
      </w:r>
      <w:r w:rsidR="00B10A09" w:rsidRPr="0083145E">
        <w:t xml:space="preserve"> vegetation</w:t>
      </w:r>
      <w:r w:rsidR="00BC7795">
        <w:t xml:space="preserve"> plots,</w:t>
      </w:r>
      <w:r w:rsidR="00B10A09" w:rsidRPr="0083145E">
        <w:t xml:space="preserve"> and </w:t>
      </w:r>
      <w:r w:rsidR="00BC7795">
        <w:t xml:space="preserve">collected their constituent pollen assemblages from </w:t>
      </w:r>
      <w:r w:rsidR="001C6F8D">
        <w:t>moss polsters</w:t>
      </w:r>
      <w:r w:rsidR="00BC7795">
        <w:t>,</w:t>
      </w:r>
      <w:r w:rsidR="00B10A09" w:rsidRPr="0083145E">
        <w:t xml:space="preserve"> to</w:t>
      </w:r>
      <w:r w:rsidR="00BC7795">
        <w:t xml:space="preserve"> determine: 1. whether</w:t>
      </w:r>
      <w:r w:rsidR="00472F65" w:rsidRPr="0083145E">
        <w:t xml:space="preserve"> structurally different </w:t>
      </w:r>
      <w:r w:rsidR="00472F65" w:rsidRPr="004F4229">
        <w:rPr>
          <w:i/>
        </w:rPr>
        <w:t>Araucaria</w:t>
      </w:r>
      <w:r w:rsidR="00472F65" w:rsidRPr="0083145E">
        <w:t xml:space="preserve"> forest patches </w:t>
      </w:r>
      <w:r w:rsidR="00BC7795">
        <w:t>can be differentiated by their</w:t>
      </w:r>
      <w:r w:rsidR="00472F65" w:rsidRPr="0083145E">
        <w:t xml:space="preserve"> pollen spectra, and </w:t>
      </w:r>
      <w:r w:rsidR="00BC7795">
        <w:t xml:space="preserve">2. </w:t>
      </w:r>
      <w:r w:rsidR="006A45FC" w:rsidRPr="0083145E">
        <w:t xml:space="preserve">how </w:t>
      </w:r>
      <w:r w:rsidR="00472F65" w:rsidRPr="0083145E">
        <w:t xml:space="preserve">the constituent species of these patches are represented in the modern pollen rain. </w:t>
      </w:r>
    </w:p>
    <w:p w14:paraId="52BAFD07" w14:textId="1F8A1E03" w:rsidR="00472F65" w:rsidRPr="0083145E" w:rsidRDefault="00472F65" w:rsidP="004F4229">
      <w:pPr>
        <w:pStyle w:val="Heading1"/>
        <w:spacing w:line="480" w:lineRule="auto"/>
        <w:rPr>
          <w:lang w:eastAsia="en-GB"/>
        </w:rPr>
      </w:pPr>
      <w:r w:rsidRPr="0083145E">
        <w:rPr>
          <w:lang w:eastAsia="en-GB"/>
        </w:rPr>
        <w:t>2. Methods</w:t>
      </w:r>
    </w:p>
    <w:p w14:paraId="7D18CD97" w14:textId="77777777" w:rsidR="00B82022" w:rsidRPr="0083145E" w:rsidRDefault="00B82022" w:rsidP="004F4229">
      <w:pPr>
        <w:pStyle w:val="Heading2"/>
        <w:spacing w:line="480" w:lineRule="auto"/>
      </w:pPr>
      <w:r w:rsidRPr="0083145E">
        <w:t>2.1. Study site</w:t>
      </w:r>
    </w:p>
    <w:p w14:paraId="5CBBA5F8" w14:textId="755D5C6E" w:rsidR="00B82022" w:rsidRPr="0083145E" w:rsidRDefault="588CF9D5" w:rsidP="004F4229">
      <w:pPr>
        <w:pStyle w:val="Mynormal"/>
        <w:keepNext/>
      </w:pPr>
      <w:r>
        <w:t>[Insert Figure 1 here]</w:t>
      </w:r>
    </w:p>
    <w:p w14:paraId="3B941903" w14:textId="0835A4E2" w:rsidR="00B82022" w:rsidRPr="0083145E" w:rsidRDefault="004C4948" w:rsidP="001C1F44">
      <w:pPr>
        <w:pStyle w:val="Mynormal"/>
      </w:pPr>
      <w:bookmarkStart w:id="0" w:name="_Ref517787654"/>
      <w:r>
        <w:t>Figure 1</w:t>
      </w:r>
      <w:bookmarkEnd w:id="0"/>
      <w:r w:rsidR="00B82022" w:rsidRPr="588CF9D5">
        <w:t>:</w:t>
      </w:r>
      <w:r w:rsidR="00B82022" w:rsidRPr="0083145E">
        <w:t xml:space="preserve"> Map of forest plot locations; numbers refer to plot codes (see Table </w:t>
      </w:r>
      <w:r>
        <w:t xml:space="preserve">1 </w:t>
      </w:r>
      <w:r w:rsidR="00B82022" w:rsidRPr="0083145E">
        <w:t>below). Plot colours: Cyan: riverine; Olive: slope; Black: rock outcrop; Purple: open understorey; Orange: closed understorey; Red: disturbed.</w:t>
      </w:r>
    </w:p>
    <w:p w14:paraId="4BF823EA" w14:textId="4CD3F594" w:rsidR="00472D7A" w:rsidRPr="0083145E" w:rsidRDefault="00B82022" w:rsidP="004C4948">
      <w:pPr>
        <w:pStyle w:val="Mynormal"/>
      </w:pPr>
      <w:r w:rsidRPr="0083145E">
        <w:t>The Reserva Particular do Patrimonio Natural (RPPN) Emilio Einsfeld Filho</w:t>
      </w:r>
      <w:r w:rsidR="001A3B49">
        <w:t xml:space="preserve"> </w:t>
      </w:r>
      <w:r w:rsidR="00621B6B">
        <w:t>(</w:t>
      </w:r>
      <w:r w:rsidR="001A3B49" w:rsidRPr="0083145E">
        <w:t>27°58'0.80"S, 50°49'20.03"W</w:t>
      </w:r>
      <w:r w:rsidR="00C17FD8">
        <w:t xml:space="preserve">, </w:t>
      </w:r>
      <w:r w:rsidR="00C17FD8" w:rsidRPr="0083145E">
        <w:t>650</w:t>
      </w:r>
      <w:r w:rsidR="00C17FD8">
        <w:t>-</w:t>
      </w:r>
      <w:r w:rsidR="00C17FD8" w:rsidRPr="0083145E">
        <w:t>990</w:t>
      </w:r>
      <w:r w:rsidR="00C17AF0">
        <w:t xml:space="preserve"> </w:t>
      </w:r>
      <w:r w:rsidR="00C17FD8" w:rsidRPr="0083145E">
        <w:t>m</w:t>
      </w:r>
      <w:r w:rsidR="00C17FD8">
        <w:t xml:space="preserve"> </w:t>
      </w:r>
      <w:r w:rsidR="00C17FD8" w:rsidRPr="0083145E">
        <w:t>a.s.l.</w:t>
      </w:r>
      <w:r w:rsidR="00621B6B">
        <w:t>)</w:t>
      </w:r>
      <w:r w:rsidRPr="0083145E">
        <w:t xml:space="preserve">, managed by the Florestal Gateados company, is located in the municipalities of Campo Belo do Sul and Capão Alto, southern Santa Catarina State, Brazil </w:t>
      </w:r>
      <w:r w:rsidRPr="588CF9D5">
        <w:t>(</w:t>
      </w:r>
      <w:r w:rsidR="004C4948">
        <w:t xml:space="preserve">Figure </w:t>
      </w:r>
      <w:r w:rsidR="004C4948">
        <w:lastRenderedPageBreak/>
        <w:t>1</w:t>
      </w:r>
      <w:r w:rsidRPr="588CF9D5">
        <w:t>).</w:t>
      </w:r>
      <w:r w:rsidRPr="0083145E">
        <w:t xml:space="preserve"> RPPN Emilio Einsfeld Filho is located on the plateau of the Serra Catarinense, a gently undulating landscape</w:t>
      </w:r>
      <w:r w:rsidR="00C17AF0">
        <w:t>.</w:t>
      </w:r>
      <w:r w:rsidRPr="0083145E">
        <w:t xml:space="preserve">  </w:t>
      </w:r>
      <w:r w:rsidR="00472D7A" w:rsidRPr="0083145E">
        <w:t>The reserve covers 6,32</w:t>
      </w:r>
      <w:r w:rsidR="0018586B">
        <w:t>9</w:t>
      </w:r>
      <w:r w:rsidR="00472D7A" w:rsidRPr="0083145E">
        <w:t xml:space="preserve"> hectares of native </w:t>
      </w:r>
      <w:r w:rsidR="006C6A19">
        <w:rPr>
          <w:i/>
        </w:rPr>
        <w:t>Araucaria</w:t>
      </w:r>
      <w:r w:rsidR="006C6A19">
        <w:t xml:space="preserve"> forest</w:t>
      </w:r>
      <w:r w:rsidR="006C6A19" w:rsidRPr="0083145E">
        <w:t xml:space="preserve"> </w:t>
      </w:r>
      <w:r w:rsidR="00472D7A" w:rsidRPr="0083145E">
        <w:t>patches within a wider matrix of campos</w:t>
      </w:r>
      <w:r w:rsidR="00C17AF0">
        <w:t xml:space="preserve"> grassland</w:t>
      </w:r>
      <w:r w:rsidR="00472D7A" w:rsidRPr="0083145E">
        <w:t xml:space="preserve">, with the largest density of forest along rivers, valleys and slopes. Forested areas have been protected from timber extraction since 1989 and cattle grazing since 1993 </w:t>
      </w:r>
      <w:r w:rsidR="00472D7A" w:rsidRPr="0083145E">
        <w:fldChar w:fldCharType="begin" w:fldLock="1"/>
      </w:r>
      <w:r w:rsidR="005A4773">
        <w:instrText>ADDIN CSL_CITATION {"citationItems":[{"id":"ITEM-1","itemData":{"author":[{"dropping-particle":"","family":"Zeller","given":"R.H.","non-dropping-particle":"","parse-names":false,"suffix":""}],"id":"ITEM-1","issued":{"date-parts":[["2010"]]},"number-of-pages":"136","publisher-place":"Campo Belo do Sul","title":"PLANO DE MANEJO: RESERVA PARTICULAR DO PATRIMÔNIO NATURAL EMILIO EINSFELD FILHO, SANTA CATARINA","type":"report"},"uris":["http://www.mendeley.com/documents/?uuid=0acc01ee-978c-33e0-a30e-5377108f1294"]}],"mendeley":{"formattedCitation":"(Zeller, 2010)","plainTextFormattedCitation":"(Zeller, 2010)","previouslyFormattedCitation":"(Zeller, 2010)"},"properties":{"noteIndex":0},"schema":"https://github.com/citation-style-language/schema/raw/master/csl-citation.json"}</w:instrText>
      </w:r>
      <w:r w:rsidR="00472D7A" w:rsidRPr="0083145E">
        <w:fldChar w:fldCharType="separate"/>
      </w:r>
      <w:r w:rsidR="00472D7A" w:rsidRPr="0083145E">
        <w:rPr>
          <w:noProof/>
        </w:rPr>
        <w:t>(Zeller, 2010)</w:t>
      </w:r>
      <w:r w:rsidR="00472D7A" w:rsidRPr="0083145E">
        <w:fldChar w:fldCharType="end"/>
      </w:r>
      <w:r w:rsidR="00472D7A" w:rsidRPr="0083145E">
        <w:t xml:space="preserve">. </w:t>
      </w:r>
    </w:p>
    <w:p w14:paraId="730F0F7C" w14:textId="0A4137E1" w:rsidR="00B82022" w:rsidRPr="0083145E" w:rsidRDefault="00B82022" w:rsidP="004F4229">
      <w:pPr>
        <w:pStyle w:val="Mynormal"/>
      </w:pPr>
      <w:r w:rsidRPr="0083145E">
        <w:t xml:space="preserve">The climate of the area corresponds to Cfb in the Köppen classification: humid subtropical with temperate summers and no dry season, but with occurrence of severe frosts </w:t>
      </w:r>
      <w:r w:rsidRPr="0083145E">
        <w:fldChar w:fldCharType="begin" w:fldLock="1"/>
      </w:r>
      <w:r w:rsidR="005A4773">
        <w:instrText>ADDIN CSL_CITATION {"citationItems":[{"id":"ITEM-1","itemData":{"DOI":"10.1127/0941-2948/2013/0507","ISBN":"09412948","ISSN":"16101227","abstract":"Ko ¨ppen’s climate classification remains the most widely used system by geographical and climatological societies across the world, with well recognized simple rules and climate symbol letters. In Brazil, climatology has been studied for more than 140 years, and among the many proposed methods Ko ¨ppen0s system remains as the most utilized. Considering Ko ¨ppen’s climate classification importance for Brazil (geography, biology, ecology, meteorology, hydrology, agronomy, forestry and environmental sciences), we developed a geographical information system to identify Ko ¨ppen’s climate types based on monthly temperature and rainfall data from 2,950 weather stations. Temperature maps were spatially described using multivariate equations that took into account the geographical coordinates and altitude; and the map resolution (100 m) was similar to the digital elevation model derived from Shuttle Radar Topography Mission. Patterns of rainfall were interpolated using kriging, with the same resolution of temperature maps. The final climate map obtained for Brazil (851,487,700 ha) has a high spatial resolution (1 ha) which allows to observe the climatic variations at the landscape level. The results are presented as maps, graphs, diagrams and tables, allowing users to interpret the occurrence of climate types in Brazil. The zones and climate types are referenced to the most important mountains, plateaus and depressions, geographical landmarks, rivers and watersheds and major cities across the country making the information accessible to all levels of users. The climate map not only showed that the A, B and C zones represent approximately 81%, 5% and 14% of the country but also allowed the identification of Ko ¨ppen’s climates types never reported before in Brazil.","author":[{"dropping-particle":"","family":"Alvares","given":"Clayton Alcarde","non-dropping-particle":"","parse-names":false,"suffix":""},{"dropping-particle":"","family":"Stape","given":"José Luiz","non-dropping-particle":"","parse-names":false,"suffix":""},{"dropping-particle":"","family":"Sentelhas","given":"Paulo Cesar","non-dropping-particle":"","parse-names":false,"suffix":""},{"dropping-particle":"","family":"Moraes Gonçalves","given":"José Leonardo","non-dropping-particle":"De","parse-names":false,"suffix":""},{"dropping-particle":"","family":"Sparovek","given":"Gerd","non-dropping-particle":"","parse-names":false,"suffix":""}],"container-title":"Meteorologische Zeitschrift","id":"ITEM-1","issue":"6","issued":{"date-parts":[["2013"]]},"note":"ARF is in Cfb (humid subtropical [oceanic climate, without dry season] with temperate summer), rest of SC is Cfa (hot summer).\n\nSC has the highest proportion of Cfb climate zone of any state (59.9%) and is the only one with more than half the state in Cfb (next highest is PR with 37%)\n\nC (subtropical) climate is 13.7% of Brazil; Cfb is only 2.6% (third rarest climate type in the country)","page":"711-728","title":"Köppen's climate classification map for Brazil","type":"article-journal","volume":"22"},"uris":["http://www.mendeley.com/documents/?uuid=fdc707bc-9388-4cd1-bb9b-5a0a5cd70545"]},{"id":"ITEM-2","itemData":{"ISBN":"3415","ISSN":"3415","abstract":"Foi avaliada a dinâmica estrutural arbórea de uma Floresta Ombrófila Mista,\\r\\nentre os anos de 1992 e 2003, pertencente à empresa Florestal Gateados, localizada no\\r\\nmunicípio de Campo Belo do Sul, SC. Para o levantamento, foram amostradas 16 parcelas, de\\r\\n10 x 60m (600 m²), em que foram registrados e identificados todos os indivíduos com DAP &gt;\\r\\n10 cm. Após a análise dos resultados obtidos nesta pesquisa, pôde-se concluir que, Lithraea\\r\\nbrasiliensis foi a espécie mais representativa dentro da estrutura da floresta nos dois períodos\\r\\nanalisados, o que deve-se aos valores elevados de densidade, dominância, freqüência, além da\\r\\ndistribuição nos estratos. As principais espécies que aumentaram a sua participação na\\r\\ncomposição e estrutura foram Ocotea pulchella, Matayba elaeagnoides, Clethra scabra,\\r\\nClethra uleana, Sebastiana commersoniana e Araucaria angustifolia. As espécies que tiveram\\r\\nmaior diminuição de importância na estrutura foram Myrsine coriacea, Nectandra grandiflora,\\r\\nXylosma ciliatifolium, Capsicodendron dinissi, Ilex theezans e Ilex dumosa; a distribuição de\\r\\nárvores nos estratos passou de crescente, em 1992, para uma distribuição mais uniforme em\\r\\n2003, destacando-se o aumento na densidade de árvores no estrato inferior; a floresta encontrase\\r\\nem processo de sucessão, caracterizado especialmente pela dinâmica da estrutura nos\\r\\nestratos inferiores.","author":[{"dropping-particle":"","family":"Formento","given":"Silvio","non-dropping-particle":"","parse-names":false,"suffix":""},{"dropping-particle":"","family":"Schorn","given":"Lauri Amândio","non-dropping-particle":"","parse-names":false,"suffix":""},{"dropping-particle":"","family":"Alaor","given":"Rodrigo","non-dropping-particle":"","parse-names":false,"suffix":""},{"dropping-particle":"","family":"Ramos","given":"Bley","non-dropping-particle":"","parse-names":false,"suffix":""}],"container-title":"Cerne","id":"ITEM-2","issue":"2","issued":{"date-parts":[["2004"]]},"note":"Looks at MOF successional dynamics in Campo Belo. Not essential for me, necessarily, but useful for interpreting Maca's data (same area as pollen rain study I think)","page":"196-212","title":"Dinâmica Estrutural Arbórea De Uma Floresta Ombrófila Mista Em Campo Belo Do Sul , Sc","type":"article-journal","volume":"10"},"uris":["http://www.mendeley.com/documents/?uuid=e212e851-bda7-303b-bfbd-e737d4c03a5d"]},{"id":"ITEM-3","itemData":{"author":[{"dropping-particle":"","family":"Zeller","given":"R.H.","non-dropping-particle":"","parse-names":false,"suffix":""}],"id":"ITEM-3","issued":{"date-parts":[["2010"]]},"number-of-pages":"136","publisher-place":"Campo Belo do Sul","title":"PLANO DE MANEJO: RESERVA PARTICULAR DO PATRIMÔNIO NATURAL EMILIO EINSFELD FILHO, SANTA CATARINA","type":"report"},"uris":["http://www.mendeley.com/documents/?uuid=0acc01ee-978c-33e0-a30e-5377108f1294"]}],"mendeley":{"formattedCitation":"(Alvares et al., 2013; Formento et al., 2004; Zeller, 2010)","plainTextFormattedCitation":"(Alvares et al., 2013; Formento et al., 2004; Zeller, 2010)","previouslyFormattedCitation":"(Alvares et al., 2013; Formento et al., 2004; Zeller, 2010)"},"properties":{"noteIndex":0},"schema":"https://github.com/citation-style-language/schema/raw/master/csl-citation.json"}</w:instrText>
      </w:r>
      <w:r w:rsidRPr="0083145E">
        <w:fldChar w:fldCharType="separate"/>
      </w:r>
      <w:r w:rsidRPr="0083145E">
        <w:rPr>
          <w:noProof/>
        </w:rPr>
        <w:t>(Alvares et al., 2013; Formento et al., 2004; Zeller, 2010)</w:t>
      </w:r>
      <w:r w:rsidRPr="0083145E">
        <w:fldChar w:fldCharType="end"/>
      </w:r>
      <w:r w:rsidRPr="0083145E">
        <w:t>. Between 2005 and 2009 the reserve’s average annual temperature was 16</w:t>
      </w:r>
      <w:r w:rsidRPr="0083145E">
        <w:rPr>
          <w:vertAlign w:val="superscript"/>
        </w:rPr>
        <w:t>o</w:t>
      </w:r>
      <w:r w:rsidRPr="0083145E">
        <w:t>C, with hottest months averaging 31</w:t>
      </w:r>
      <w:r w:rsidRPr="0083145E">
        <w:rPr>
          <w:vertAlign w:val="superscript"/>
        </w:rPr>
        <w:t>o</w:t>
      </w:r>
      <w:r w:rsidRPr="0083145E">
        <w:t>C</w:t>
      </w:r>
      <w:r w:rsidR="00AF0FE0">
        <w:t xml:space="preserve">, </w:t>
      </w:r>
      <w:r w:rsidR="00AF0FE0" w:rsidRPr="0083145E">
        <w:t>coldest months averaging 6.5</w:t>
      </w:r>
      <w:r w:rsidR="00AF0FE0" w:rsidRPr="0083145E">
        <w:rPr>
          <w:vertAlign w:val="superscript"/>
        </w:rPr>
        <w:t>o</w:t>
      </w:r>
      <w:r w:rsidR="00AF0FE0" w:rsidRPr="0083145E">
        <w:t>C</w:t>
      </w:r>
      <w:r w:rsidR="00AF0FE0">
        <w:t xml:space="preserve"> and </w:t>
      </w:r>
      <w:r w:rsidR="00490512">
        <w:t>a lowest recorded</w:t>
      </w:r>
      <w:r w:rsidR="00AF0FE0">
        <w:t xml:space="preserve"> temperature </w:t>
      </w:r>
      <w:r w:rsidR="002570E5">
        <w:t xml:space="preserve">of </w:t>
      </w:r>
      <w:r w:rsidR="00AF0FE0">
        <w:t>-12</w:t>
      </w:r>
      <w:r w:rsidR="00AF0FE0" w:rsidRPr="0083145E">
        <w:rPr>
          <w:vertAlign w:val="superscript"/>
        </w:rPr>
        <w:t>o</w:t>
      </w:r>
      <w:r w:rsidR="00AF0FE0" w:rsidRPr="0083145E">
        <w:t>C</w:t>
      </w:r>
      <w:r w:rsidRPr="0083145E">
        <w:t>; in this period annual precipitation varied between 1300 and 2400</w:t>
      </w:r>
      <w:r w:rsidR="00C17AF0">
        <w:t xml:space="preserve"> </w:t>
      </w:r>
      <w:r w:rsidRPr="0083145E">
        <w:t xml:space="preserve">mm, with an average of 129 rainy days a year </w:t>
      </w:r>
      <w:r w:rsidRPr="0083145E">
        <w:fldChar w:fldCharType="begin" w:fldLock="1"/>
      </w:r>
      <w:r w:rsidR="005A4773">
        <w:instrText>ADDIN CSL_CITATION {"citationItems":[{"id":"ITEM-1","itemData":{"author":[{"dropping-particle":"","family":"Zeller","given":"R.H.","non-dropping-particle":"","parse-names":false,"suffix":""}],"id":"ITEM-1","issued":{"date-parts":[["2010"]]},"number-of-pages":"136","publisher-place":"Campo Belo do Sul","title":"PLANO DE MANEJO: RESERVA PARTICULAR DO PATRIMÔNIO NATURAL EMILIO EINSFELD FILHO, SANTA CATARINA","type":"report"},"uris":["http://www.mendeley.com/documents/?uuid=0acc01ee-978c-33e0-a30e-5377108f1294"]}],"mendeley":{"formattedCitation":"(Zeller, 2010)","plainTextFormattedCitation":"(Zeller, 2010)","previouslyFormattedCitation":"(Zeller, 2010)"},"properties":{"noteIndex":0},"schema":"https://github.com/citation-style-language/schema/raw/master/csl-citation.json"}</w:instrText>
      </w:r>
      <w:r w:rsidRPr="0083145E">
        <w:fldChar w:fldCharType="separate"/>
      </w:r>
      <w:r w:rsidRPr="0083145E">
        <w:rPr>
          <w:noProof/>
        </w:rPr>
        <w:t>(Zeller, 2010)</w:t>
      </w:r>
      <w:r w:rsidRPr="0083145E">
        <w:fldChar w:fldCharType="end"/>
      </w:r>
      <w:r w:rsidRPr="0083145E">
        <w:t>.</w:t>
      </w:r>
    </w:p>
    <w:p w14:paraId="5C729117" w14:textId="77777777" w:rsidR="00B82022" w:rsidRPr="0083145E" w:rsidRDefault="00B82022" w:rsidP="004F4229">
      <w:pPr>
        <w:pStyle w:val="Heading2"/>
        <w:spacing w:line="480" w:lineRule="auto"/>
      </w:pPr>
      <w:r w:rsidRPr="0083145E">
        <w:t>2.2 Field sampling</w:t>
      </w:r>
    </w:p>
    <w:p w14:paraId="32350662" w14:textId="77777777" w:rsidR="00B82022" w:rsidRPr="0083145E" w:rsidRDefault="00B82022" w:rsidP="004F4229">
      <w:pPr>
        <w:pStyle w:val="Heading3"/>
        <w:spacing w:line="480" w:lineRule="auto"/>
      </w:pPr>
      <w:r w:rsidRPr="0083145E">
        <w:t>2.2.1 Vegetation survey</w:t>
      </w:r>
    </w:p>
    <w:p w14:paraId="3742AE13" w14:textId="47E1A795" w:rsidR="00B82022" w:rsidRPr="0083145E" w:rsidRDefault="00B82022" w:rsidP="004F4229">
      <w:pPr>
        <w:pStyle w:val="Mynormal"/>
      </w:pPr>
      <w:r w:rsidRPr="0083145E">
        <w:t xml:space="preserve">The native </w:t>
      </w:r>
      <w:r w:rsidR="006C6A19">
        <w:rPr>
          <w:i/>
        </w:rPr>
        <w:t>Araucaria</w:t>
      </w:r>
      <w:r w:rsidR="006C6A19">
        <w:t xml:space="preserve"> forest</w:t>
      </w:r>
      <w:r w:rsidR="006C6A19" w:rsidRPr="0083145E">
        <w:t xml:space="preserve"> </w:t>
      </w:r>
      <w:r w:rsidRPr="0083145E">
        <w:t>at RPPN Emilio Einsfeld Filho has been subject to ecologica</w:t>
      </w:r>
      <w:r w:rsidR="0027144E" w:rsidRPr="0083145E">
        <w:t>l studies for the last 20 years, with</w:t>
      </w:r>
      <w:r w:rsidRPr="0083145E">
        <w:t xml:space="preserve"> </w:t>
      </w:r>
      <w:r w:rsidR="0027144E" w:rsidRPr="0083145E">
        <w:t>p</w:t>
      </w:r>
      <w:r w:rsidRPr="0083145E">
        <w:t>ermanent plots of 10 x 50 m installed to perform floristic inventories and study forest dynamics under distinct geographic conditions</w:t>
      </w:r>
      <w:r w:rsidR="0027144E" w:rsidRPr="0083145E">
        <w:t>.</w:t>
      </w:r>
      <w:r w:rsidRPr="0083145E">
        <w:t xml:space="preserve"> Within each plot all trees with d</w:t>
      </w:r>
      <w:r w:rsidR="00C17AF0">
        <w:t>.</w:t>
      </w:r>
      <w:r w:rsidRPr="0083145E">
        <w:t>b</w:t>
      </w:r>
      <w:r w:rsidR="00C17AF0">
        <w:t>.</w:t>
      </w:r>
      <w:r w:rsidRPr="0083145E">
        <w:t>h</w:t>
      </w:r>
      <w:r w:rsidR="00C17AF0">
        <w:t>.</w:t>
      </w:r>
      <w:r w:rsidRPr="0083145E">
        <w:t xml:space="preserve"> (diameter at breast height) ≥</w:t>
      </w:r>
      <w:r w:rsidR="00C17AF0">
        <w:t xml:space="preserve"> </w:t>
      </w:r>
      <w:r w:rsidRPr="0083145E">
        <w:t xml:space="preserve">10 cm have been recorded </w:t>
      </w:r>
      <w:r w:rsidRPr="0083145E">
        <w:fldChar w:fldCharType="begin" w:fldLock="1"/>
      </w:r>
      <w:r w:rsidR="0006304A">
        <w:instrText>ADDIN CSL_CITATION {"citationItems":[{"id":"ITEM-1","itemData":{"ISBN":"3415","ISSN":"3415","abstract":"Foi avaliada a dinâmica estrutural arbórea de uma Floresta Ombrófila Mista,\\r\\nentre os anos de 1992 e 2003, pertencente à empresa Florestal Gateados, localizada no\\r\\nmunicípio de Campo Belo do Sul, SC. Para o levantamento, foram amostradas 16 parcelas, de\\r\\n10 x 60m (600 m²), em que foram registrados e identificados todos os indivíduos com DAP &gt;\\r\\n10 cm. Após a análise dos resultados obtidos nesta pesquisa, pôde-se concluir que, Lithraea\\r\\nbrasiliensis foi a espécie mais representativa dentro da estrutura da floresta nos dois períodos\\r\\nanalisados, o que deve-se aos valores elevados de densidade, dominância, freqüência, além da\\r\\ndistribuição nos estratos. As principais espécies que aumentaram a sua participação na\\r\\ncomposição e estrutura foram Ocotea pulchella, Matayba elaeagnoides, Clethra scabra,\\r\\nClethra uleana, Sebastiana commersoniana e Araucaria angustifolia. As espécies que tiveram\\r\\nmaior diminuição de importância na estrutura foram Myrsine coriacea, Nectandra grandiflora,\\r\\nXylosma ciliatifolium, Capsicodendron dinissi, Ilex theezans e Ilex dumosa; a distribuição de\\r\\nárvores nos estratos passou de crescente, em 1992, para uma distribuição mais uniforme em\\r\\n2003, destacando-se o aumento na densidade de árvores no estrato inferior; a floresta encontrase\\r\\nem processo de sucessão, caracterizado especialmente pela dinâmica da estrutura nos\\r\\nestratos inferiores.","author":[{"dropping-particle":"","family":"Formento","given":"Silvio","non-dropping-particle":"","parse-names":false,"suffix":""},{"dropping-particle":"","family":"Schorn","given":"Lauri Amândio","non-dropping-particle":"","parse-names":false,"suffix":""},{"dropping-particle":"","family":"Alaor","given":"Rodrigo","non-dropping-particle":"","parse-names":false,"suffix":""},{"dropping-particle":"","family":"Ramos","given":"Bley","non-dropping-particle":"","parse-names":false,"suffix":""}],"container-title":"Cerne","id":"ITEM-1","issue":"2","issued":{"date-parts":[["2004"]]},"note":"Looks at MOF successional dynamics in Campo Belo. Not essential for me, necessarily, but useful for interpreting Maca's data (same area as pollen rain study I think)","page":"196-212","title":"Dinâmica Estrutural Arbórea De Uma Floresta Ombrófila Mista Em Campo Belo Do Sul , Sc","type":"article-journal","volume":"10"},"uris":["http://www.mendeley.com/documents/?uuid=e212e851-bda7-303b-bfbd-e737d4c03a5d"]},{"id":"ITEM-2","itemData":{"DOI":"10.1590/0001-3765201820170150","ISSN":"1678-2690","author":[{"dropping-particle":"DE","family":"Maçaneiro","given":"JOÃO PAULO","non-dropping-particle":"","parse-names":false,"suffix":""},{"dropping-particle":"DE","family":"Gasper","given":"ANDRÉ LUÍS","non-dropping-particle":"","parse-names":false,"suffix":""},{"dropping-particle":"","family":"Galvão","given":"FRANKLIN","non-dropping-particle":"","parse-names":false,"suffix":""},{"dropping-particle":"","family":"Schorn","given":"LAURI A.","non-dropping-particle":"","parse-names":false,"suffix":""}],"container-title":"Anais da Academia Brasileira de Ciências","id":"ITEM-2","issue":"2 suppl 1","issued":{"date-parts":[["2018","8"]]},"page":"2397-2408","title":"Dispersion and aggregation patterns of tree species in Araucaria Forest, Southern Brazil","type":"article-journal","volume":"90"},"uris":["http://www.mendeley.com/documents/?uuid=0868f875-7ae4-4dbf-9efe-ba27b5e409b8"]}],"mendeley":{"formattedCitation":"(Formento et al., 2004; Maçaneiro et al., 2018)","plainTextFormattedCitation":"(Formento et al., 2004; Maçaneiro et al., 2018)","previouslyFormattedCitation":"(Formento et al., 2004; Maçaneiro et al., 2018)"},"properties":{"noteIndex":0},"schema":"https://github.com/citation-style-language/schema/raw/master/csl-citation.json"}</w:instrText>
      </w:r>
      <w:r w:rsidRPr="0083145E">
        <w:fldChar w:fldCharType="separate"/>
      </w:r>
      <w:r w:rsidR="00605BCF" w:rsidRPr="00605BCF">
        <w:rPr>
          <w:noProof/>
        </w:rPr>
        <w:t>(Formento et al., 2004; Maçaneiro et al., 2018)</w:t>
      </w:r>
      <w:r w:rsidRPr="0083145E">
        <w:fldChar w:fldCharType="end"/>
      </w:r>
      <w:r w:rsidRPr="0083145E">
        <w:t>. Percentage abundance</w:t>
      </w:r>
      <w:r w:rsidR="00C17AF0">
        <w:t>s</w:t>
      </w:r>
      <w:r w:rsidRPr="0083145E">
        <w:t xml:space="preserve"> w</w:t>
      </w:r>
      <w:r w:rsidR="00C17AF0">
        <w:t>ere</w:t>
      </w:r>
      <w:r w:rsidRPr="0083145E">
        <w:t xml:space="preserve"> calculated </w:t>
      </w:r>
      <w:r w:rsidR="00C17AF0">
        <w:t>based upon</w:t>
      </w:r>
      <w:r w:rsidRPr="0083145E">
        <w:t xml:space="preserve"> all recorded </w:t>
      </w:r>
      <w:r w:rsidR="00C17AF0">
        <w:t>stems</w:t>
      </w:r>
      <w:r w:rsidRPr="0083145E">
        <w:t xml:space="preserve"> surveyed within each plot.</w:t>
      </w:r>
    </w:p>
    <w:p w14:paraId="592A0C04" w14:textId="17DD60A4" w:rsidR="007B1CEC" w:rsidRDefault="00B57749" w:rsidP="004C4948">
      <w:pPr>
        <w:pStyle w:val="Mynormal"/>
      </w:pPr>
      <w:r w:rsidRPr="0083145E">
        <w:t>The s</w:t>
      </w:r>
      <w:r w:rsidR="00B82022" w:rsidRPr="0083145E">
        <w:t>ixteen plots</w:t>
      </w:r>
      <w:r w:rsidRPr="0083145E">
        <w:t xml:space="preserve"> used in this study are</w:t>
      </w:r>
      <w:r w:rsidR="00B82022" w:rsidRPr="0083145E">
        <w:t xml:space="preserve"> located within the oldest and </w:t>
      </w:r>
      <w:r w:rsidR="00645C3D">
        <w:t xml:space="preserve">least </w:t>
      </w:r>
      <w:r w:rsidR="00B82022" w:rsidRPr="0083145E">
        <w:t>disturbed areas of forest</w:t>
      </w:r>
      <w:r w:rsidRPr="0083145E">
        <w:t xml:space="preserve"> and incorporate the widest available range of vegetation form</w:t>
      </w:r>
      <w:r w:rsidR="00645C3D">
        <w:t xml:space="preserve"> and physical setting</w:t>
      </w:r>
      <w:r w:rsidR="00B82022" w:rsidRPr="0083145E">
        <w:t xml:space="preserve"> (</w:t>
      </w:r>
      <w:r w:rsidR="004C4948">
        <w:t>Table 1</w:t>
      </w:r>
      <w:r w:rsidR="00B82022" w:rsidRPr="0083145E">
        <w:t xml:space="preserve">). </w:t>
      </w:r>
      <w:r w:rsidRPr="0083145E">
        <w:t>Data on canopy openness, slope, animal disturbance, geographical feature associations and topographic position</w:t>
      </w:r>
      <w:r w:rsidR="006A3052">
        <w:t xml:space="preserve"> were</w:t>
      </w:r>
      <w:r w:rsidRPr="0083145E">
        <w:t xml:space="preserve"> collected during botanical surveys in 2015, </w:t>
      </w:r>
      <w:r w:rsidR="006A3052">
        <w:t>and</w:t>
      </w:r>
      <w:r w:rsidR="006A3052" w:rsidRPr="0083145E">
        <w:t xml:space="preserve"> </w:t>
      </w:r>
      <w:r w:rsidRPr="0083145E">
        <w:t xml:space="preserve">the plots classified into six structural </w:t>
      </w:r>
      <w:r w:rsidRPr="0083145E">
        <w:lastRenderedPageBreak/>
        <w:t>categories</w:t>
      </w:r>
      <w:r w:rsidR="006A3052">
        <w:t xml:space="preserve"> according to their dominant feature:</w:t>
      </w:r>
      <w:r w:rsidR="00DB4C1C" w:rsidRPr="0083145E">
        <w:t xml:space="preserve"> </w:t>
      </w:r>
    </w:p>
    <w:p w14:paraId="6E98E5AA" w14:textId="23976591" w:rsidR="007B1CEC" w:rsidRDefault="007B1CEC" w:rsidP="004F4229">
      <w:pPr>
        <w:pStyle w:val="Mynormal"/>
        <w:numPr>
          <w:ilvl w:val="0"/>
          <w:numId w:val="5"/>
        </w:numPr>
        <w:spacing w:before="120"/>
      </w:pPr>
      <w:r w:rsidRPr="0083145E">
        <w:t>slope: forest patches in areas with &gt;</w:t>
      </w:r>
      <w:r w:rsidR="00C17AF0">
        <w:t xml:space="preserve"> </w:t>
      </w:r>
      <w:r w:rsidRPr="0083145E">
        <w:t>25% inclination</w:t>
      </w:r>
    </w:p>
    <w:p w14:paraId="048BCEBE" w14:textId="51225690" w:rsidR="00B57749" w:rsidRPr="0083145E" w:rsidRDefault="00B57749" w:rsidP="004F4229">
      <w:pPr>
        <w:pStyle w:val="Mynormal"/>
        <w:numPr>
          <w:ilvl w:val="0"/>
          <w:numId w:val="5"/>
        </w:numPr>
        <w:spacing w:before="120"/>
      </w:pPr>
      <w:r w:rsidRPr="0083145E">
        <w:t xml:space="preserve">rock outcrop: </w:t>
      </w:r>
      <w:r w:rsidR="001C6F8D">
        <w:t xml:space="preserve">forest patches where </w:t>
      </w:r>
      <w:r w:rsidRPr="0083145E">
        <w:t>rock outcrops cover &gt;</w:t>
      </w:r>
      <w:r w:rsidR="00C17AF0">
        <w:t xml:space="preserve"> </w:t>
      </w:r>
      <w:r w:rsidRPr="0083145E">
        <w:t xml:space="preserve">20% of plot surface </w:t>
      </w:r>
    </w:p>
    <w:p w14:paraId="5C9B8828" w14:textId="47181B48" w:rsidR="00B57749" w:rsidRPr="00EA201E" w:rsidRDefault="00B57749" w:rsidP="00EA201E">
      <w:pPr>
        <w:pStyle w:val="Mynormal"/>
        <w:numPr>
          <w:ilvl w:val="0"/>
          <w:numId w:val="5"/>
        </w:numPr>
      </w:pPr>
      <w:r w:rsidRPr="00EA201E">
        <w:t xml:space="preserve">riverine: forest </w:t>
      </w:r>
      <w:r w:rsidR="001C6F8D" w:rsidRPr="00EA201E">
        <w:t>patch bounded by</w:t>
      </w:r>
      <w:r w:rsidR="00C33CF3" w:rsidRPr="00EA201E">
        <w:t>,</w:t>
      </w:r>
      <w:r w:rsidR="001C6F8D" w:rsidRPr="00EA201E">
        <w:t xml:space="preserve"> or entirely within 50</w:t>
      </w:r>
      <w:r w:rsidR="00C17AF0">
        <w:t xml:space="preserve"> </w:t>
      </w:r>
      <w:r w:rsidR="001C6F8D" w:rsidRPr="00EA201E">
        <w:t>m of</w:t>
      </w:r>
      <w:r w:rsidR="00C33CF3" w:rsidRPr="00EA201E">
        <w:t>,</w:t>
      </w:r>
      <w:r w:rsidRPr="00EA201E">
        <w:t xml:space="preserve"> a water course (river or creek)</w:t>
      </w:r>
    </w:p>
    <w:p w14:paraId="34924D44" w14:textId="65F5A7CE" w:rsidR="00B82022" w:rsidRPr="0083145E" w:rsidRDefault="00B82022" w:rsidP="004F4229">
      <w:pPr>
        <w:pStyle w:val="Mynormal"/>
        <w:numPr>
          <w:ilvl w:val="0"/>
          <w:numId w:val="5"/>
        </w:numPr>
        <w:spacing w:before="120"/>
      </w:pPr>
      <w:r w:rsidRPr="0083145E">
        <w:t xml:space="preserve">open </w:t>
      </w:r>
      <w:r w:rsidR="00B57749" w:rsidRPr="0083145E">
        <w:t>understorey</w:t>
      </w:r>
      <w:r w:rsidRPr="0083145E">
        <w:t xml:space="preserve">: </w:t>
      </w:r>
      <w:r w:rsidR="00B57749" w:rsidRPr="0083145E">
        <w:t>forest with closed canopy and scarce understorey</w:t>
      </w:r>
      <w:r w:rsidRPr="0083145E">
        <w:t xml:space="preserve"> </w:t>
      </w:r>
    </w:p>
    <w:p w14:paraId="6BAAEF76" w14:textId="3E69865F" w:rsidR="00B82022" w:rsidRPr="0083145E" w:rsidRDefault="00B82022" w:rsidP="004F4229">
      <w:pPr>
        <w:pStyle w:val="Mynormal"/>
        <w:numPr>
          <w:ilvl w:val="0"/>
          <w:numId w:val="5"/>
        </w:numPr>
        <w:spacing w:before="120"/>
      </w:pPr>
      <w:r w:rsidRPr="0083145E">
        <w:t>closed</w:t>
      </w:r>
      <w:r w:rsidR="00B57749" w:rsidRPr="0083145E">
        <w:t xml:space="preserve"> understorey</w:t>
      </w:r>
      <w:r w:rsidRPr="0083145E">
        <w:t xml:space="preserve">: forest </w:t>
      </w:r>
      <w:r w:rsidR="00B57749" w:rsidRPr="0083145E">
        <w:t>with closed canopy and dense understorey</w:t>
      </w:r>
    </w:p>
    <w:p w14:paraId="17B15FD4" w14:textId="36E6CD5B" w:rsidR="00B82022" w:rsidRPr="0083145E" w:rsidRDefault="00B82022" w:rsidP="004F4229">
      <w:pPr>
        <w:pStyle w:val="Mynormal"/>
        <w:numPr>
          <w:ilvl w:val="0"/>
          <w:numId w:val="5"/>
        </w:numPr>
        <w:spacing w:before="120"/>
      </w:pPr>
      <w:r w:rsidRPr="0083145E">
        <w:t xml:space="preserve">naturally disturbed: forest patches with evidence of ground disturbance </w:t>
      </w:r>
      <w:r w:rsidR="00C17AF0">
        <w:t>by</w:t>
      </w:r>
      <w:r w:rsidRPr="0083145E">
        <w:t xml:space="preserve"> wild boars</w:t>
      </w:r>
    </w:p>
    <w:tbl>
      <w:tblPr>
        <w:tblW w:w="5544" w:type="dxa"/>
        <w:jc w:val="center"/>
        <w:tblLayout w:type="fixed"/>
        <w:tblLook w:val="0400" w:firstRow="0" w:lastRow="0" w:firstColumn="0" w:lastColumn="0" w:noHBand="0" w:noVBand="1"/>
      </w:tblPr>
      <w:tblGrid>
        <w:gridCol w:w="960"/>
        <w:gridCol w:w="1465"/>
        <w:gridCol w:w="1823"/>
        <w:gridCol w:w="1296"/>
      </w:tblGrid>
      <w:tr w:rsidR="00393053" w:rsidRPr="0083145E" w14:paraId="284C66A5" w14:textId="77777777" w:rsidTr="00393053">
        <w:trPr>
          <w:trHeight w:val="300"/>
          <w:jc w:val="center"/>
        </w:trPr>
        <w:tc>
          <w:tcPr>
            <w:tcW w:w="96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4B005A9" w14:textId="77777777" w:rsidR="00393053" w:rsidRPr="0083145E" w:rsidRDefault="00393053" w:rsidP="004F4229">
            <w:pPr>
              <w:spacing w:line="480" w:lineRule="auto"/>
              <w:rPr>
                <w:rFonts w:cs="Times New Roman"/>
                <w:b/>
                <w:sz w:val="24"/>
                <w:szCs w:val="20"/>
              </w:rPr>
            </w:pPr>
            <w:r w:rsidRPr="0083145E">
              <w:rPr>
                <w:rFonts w:cs="Times New Roman"/>
                <w:b/>
                <w:sz w:val="24"/>
                <w:szCs w:val="20"/>
              </w:rPr>
              <w:t>Plot ID</w:t>
            </w:r>
          </w:p>
        </w:tc>
        <w:tc>
          <w:tcPr>
            <w:tcW w:w="1465" w:type="dxa"/>
            <w:tcBorders>
              <w:top w:val="single" w:sz="4" w:space="0" w:color="000000"/>
              <w:left w:val="nil"/>
              <w:bottom w:val="single" w:sz="4" w:space="0" w:color="000000"/>
              <w:right w:val="single" w:sz="4" w:space="0" w:color="000000"/>
            </w:tcBorders>
            <w:shd w:val="clear" w:color="auto" w:fill="FFFFFF"/>
            <w:vAlign w:val="bottom"/>
          </w:tcPr>
          <w:p w14:paraId="2FD5F23F" w14:textId="77777777" w:rsidR="00393053" w:rsidRPr="0083145E" w:rsidRDefault="00393053" w:rsidP="004F4229">
            <w:pPr>
              <w:spacing w:line="480" w:lineRule="auto"/>
              <w:jc w:val="center"/>
              <w:rPr>
                <w:rFonts w:cs="Times New Roman"/>
                <w:b/>
                <w:sz w:val="24"/>
                <w:szCs w:val="20"/>
              </w:rPr>
            </w:pPr>
            <w:r w:rsidRPr="0083145E">
              <w:rPr>
                <w:rFonts w:cs="Times New Roman"/>
                <w:b/>
                <w:sz w:val="24"/>
                <w:szCs w:val="20"/>
              </w:rPr>
              <w:t>Forest Plot category</w:t>
            </w:r>
          </w:p>
        </w:tc>
        <w:tc>
          <w:tcPr>
            <w:tcW w:w="1823" w:type="dxa"/>
            <w:tcBorders>
              <w:top w:val="single" w:sz="4" w:space="0" w:color="000000"/>
              <w:left w:val="nil"/>
              <w:bottom w:val="single" w:sz="4" w:space="0" w:color="000000"/>
              <w:right w:val="single" w:sz="4" w:space="0" w:color="000000"/>
            </w:tcBorders>
            <w:shd w:val="clear" w:color="auto" w:fill="FFFFFF"/>
            <w:vAlign w:val="bottom"/>
          </w:tcPr>
          <w:p w14:paraId="3DBB2A29" w14:textId="77777777" w:rsidR="00393053" w:rsidRPr="0083145E" w:rsidRDefault="00393053" w:rsidP="004F4229">
            <w:pPr>
              <w:spacing w:line="480" w:lineRule="auto"/>
              <w:jc w:val="center"/>
              <w:rPr>
                <w:rFonts w:cs="Times New Roman"/>
                <w:b/>
                <w:sz w:val="24"/>
                <w:szCs w:val="20"/>
              </w:rPr>
            </w:pPr>
            <w:r w:rsidRPr="0083145E">
              <w:rPr>
                <w:rFonts w:cs="Times New Roman"/>
                <w:b/>
                <w:sz w:val="24"/>
                <w:szCs w:val="20"/>
              </w:rPr>
              <w:t>Coordinates</w:t>
            </w:r>
          </w:p>
        </w:tc>
        <w:tc>
          <w:tcPr>
            <w:tcW w:w="1296" w:type="dxa"/>
            <w:tcBorders>
              <w:top w:val="single" w:sz="4" w:space="0" w:color="000000"/>
              <w:left w:val="nil"/>
              <w:bottom w:val="single" w:sz="4" w:space="0" w:color="000000"/>
              <w:right w:val="single" w:sz="4" w:space="0" w:color="000000"/>
            </w:tcBorders>
            <w:shd w:val="clear" w:color="auto" w:fill="FFFFFF"/>
            <w:vAlign w:val="bottom"/>
          </w:tcPr>
          <w:p w14:paraId="504D477A" w14:textId="77777777" w:rsidR="00393053" w:rsidRPr="0083145E" w:rsidRDefault="00393053" w:rsidP="004F4229">
            <w:pPr>
              <w:spacing w:line="480" w:lineRule="auto"/>
              <w:jc w:val="center"/>
              <w:rPr>
                <w:rFonts w:cs="Times New Roman"/>
                <w:b/>
                <w:sz w:val="24"/>
                <w:szCs w:val="20"/>
              </w:rPr>
            </w:pPr>
            <w:r w:rsidRPr="0083145E">
              <w:rPr>
                <w:rFonts w:cs="Times New Roman"/>
                <w:b/>
                <w:sz w:val="24"/>
                <w:szCs w:val="20"/>
              </w:rPr>
              <w:t>Altitude (a.s.l.)</w:t>
            </w:r>
          </w:p>
        </w:tc>
      </w:tr>
      <w:tr w:rsidR="00393053" w:rsidRPr="0083145E" w14:paraId="7343E49C"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160A9186" w14:textId="77777777" w:rsidR="00393053" w:rsidRPr="0083145E" w:rsidRDefault="00393053" w:rsidP="004F4229">
            <w:pPr>
              <w:pStyle w:val="Mynormal"/>
            </w:pPr>
            <w:r w:rsidRPr="0083145E">
              <w:t>114</w:t>
            </w:r>
          </w:p>
        </w:tc>
        <w:tc>
          <w:tcPr>
            <w:tcW w:w="1465" w:type="dxa"/>
            <w:tcBorders>
              <w:top w:val="nil"/>
              <w:left w:val="nil"/>
              <w:bottom w:val="single" w:sz="4" w:space="0" w:color="000000"/>
              <w:right w:val="single" w:sz="4" w:space="0" w:color="000000"/>
            </w:tcBorders>
            <w:shd w:val="clear" w:color="auto" w:fill="FFFFFF"/>
            <w:vAlign w:val="bottom"/>
          </w:tcPr>
          <w:p w14:paraId="2E7D8365" w14:textId="77777777" w:rsidR="00393053" w:rsidRPr="0083145E" w:rsidRDefault="00393053" w:rsidP="004F4229">
            <w:pPr>
              <w:pStyle w:val="Mynormal"/>
            </w:pPr>
            <w:r w:rsidRPr="0083145E">
              <w:t>Slope</w:t>
            </w:r>
          </w:p>
        </w:tc>
        <w:tc>
          <w:tcPr>
            <w:tcW w:w="1823" w:type="dxa"/>
            <w:tcBorders>
              <w:top w:val="nil"/>
              <w:left w:val="nil"/>
              <w:bottom w:val="single" w:sz="4" w:space="0" w:color="000000"/>
              <w:right w:val="single" w:sz="4" w:space="0" w:color="000000"/>
            </w:tcBorders>
            <w:shd w:val="clear" w:color="auto" w:fill="FFFFFF"/>
            <w:vAlign w:val="bottom"/>
          </w:tcPr>
          <w:p w14:paraId="202678A2" w14:textId="77777777" w:rsidR="00393053" w:rsidRPr="0083145E" w:rsidRDefault="00393053" w:rsidP="004F4229">
            <w:pPr>
              <w:pStyle w:val="Mynormal"/>
              <w:rPr>
                <w:szCs w:val="18"/>
              </w:rPr>
            </w:pPr>
            <w:r w:rsidRPr="0083145E">
              <w:rPr>
                <w:szCs w:val="18"/>
              </w:rPr>
              <w:t xml:space="preserve"> 28° 2'34.70"S,  50°45'21.40"W</w:t>
            </w:r>
          </w:p>
        </w:tc>
        <w:tc>
          <w:tcPr>
            <w:tcW w:w="1296" w:type="dxa"/>
            <w:tcBorders>
              <w:top w:val="nil"/>
              <w:left w:val="nil"/>
              <w:bottom w:val="single" w:sz="4" w:space="0" w:color="000000"/>
              <w:right w:val="single" w:sz="4" w:space="0" w:color="000000"/>
            </w:tcBorders>
            <w:shd w:val="clear" w:color="auto" w:fill="FFFFFF"/>
            <w:vAlign w:val="bottom"/>
          </w:tcPr>
          <w:p w14:paraId="7EEEA881" w14:textId="03393834" w:rsidR="00393053" w:rsidRPr="0083145E" w:rsidRDefault="00393053" w:rsidP="004F4229">
            <w:pPr>
              <w:pStyle w:val="Mynormal"/>
            </w:pPr>
            <w:r w:rsidRPr="0083145E">
              <w:t>780</w:t>
            </w:r>
            <w:r w:rsidR="00C17AF0">
              <w:t xml:space="preserve"> </w:t>
            </w:r>
            <w:r w:rsidRPr="0083145E">
              <w:t>m</w:t>
            </w:r>
          </w:p>
        </w:tc>
      </w:tr>
      <w:tr w:rsidR="00393053" w:rsidRPr="0083145E" w14:paraId="47948E75"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0EA63301" w14:textId="77777777" w:rsidR="00393053" w:rsidRPr="0083145E" w:rsidRDefault="00393053" w:rsidP="004F4229">
            <w:pPr>
              <w:pStyle w:val="Mynormal"/>
            </w:pPr>
            <w:r w:rsidRPr="0083145E">
              <w:t>118</w:t>
            </w:r>
          </w:p>
        </w:tc>
        <w:tc>
          <w:tcPr>
            <w:tcW w:w="1465" w:type="dxa"/>
            <w:tcBorders>
              <w:top w:val="nil"/>
              <w:left w:val="nil"/>
              <w:bottom w:val="single" w:sz="4" w:space="0" w:color="000000"/>
              <w:right w:val="single" w:sz="4" w:space="0" w:color="000000"/>
            </w:tcBorders>
            <w:shd w:val="clear" w:color="auto" w:fill="FFFFFF"/>
            <w:vAlign w:val="bottom"/>
          </w:tcPr>
          <w:p w14:paraId="18FF6A6F" w14:textId="77777777" w:rsidR="00393053" w:rsidRPr="0083145E" w:rsidRDefault="00393053" w:rsidP="004F4229">
            <w:pPr>
              <w:pStyle w:val="Mynormal"/>
            </w:pPr>
            <w:r w:rsidRPr="0083145E">
              <w:t>Slope</w:t>
            </w:r>
          </w:p>
        </w:tc>
        <w:tc>
          <w:tcPr>
            <w:tcW w:w="1823" w:type="dxa"/>
            <w:tcBorders>
              <w:top w:val="nil"/>
              <w:left w:val="nil"/>
              <w:bottom w:val="single" w:sz="4" w:space="0" w:color="000000"/>
              <w:right w:val="single" w:sz="4" w:space="0" w:color="000000"/>
            </w:tcBorders>
            <w:shd w:val="clear" w:color="auto" w:fill="FFFFFF"/>
            <w:vAlign w:val="bottom"/>
          </w:tcPr>
          <w:p w14:paraId="19A2D93A" w14:textId="77777777" w:rsidR="00393053" w:rsidRPr="0083145E" w:rsidRDefault="00393053" w:rsidP="004F4229">
            <w:pPr>
              <w:pStyle w:val="Mynormal"/>
              <w:rPr>
                <w:szCs w:val="18"/>
              </w:rPr>
            </w:pPr>
            <w:r w:rsidRPr="0083145E">
              <w:rPr>
                <w:szCs w:val="18"/>
              </w:rPr>
              <w:t xml:space="preserve"> 28° 3'28.80"S,  50°45'45.80"W</w:t>
            </w:r>
          </w:p>
        </w:tc>
        <w:tc>
          <w:tcPr>
            <w:tcW w:w="1296" w:type="dxa"/>
            <w:tcBorders>
              <w:top w:val="nil"/>
              <w:left w:val="nil"/>
              <w:bottom w:val="single" w:sz="4" w:space="0" w:color="000000"/>
              <w:right w:val="single" w:sz="4" w:space="0" w:color="000000"/>
            </w:tcBorders>
            <w:shd w:val="clear" w:color="auto" w:fill="FFFFFF"/>
            <w:vAlign w:val="bottom"/>
          </w:tcPr>
          <w:p w14:paraId="177442B1" w14:textId="452DD5FE" w:rsidR="00393053" w:rsidRPr="0083145E" w:rsidRDefault="00393053" w:rsidP="004F4229">
            <w:pPr>
              <w:pStyle w:val="Mynormal"/>
            </w:pPr>
            <w:r w:rsidRPr="0083145E">
              <w:t>924</w:t>
            </w:r>
            <w:r w:rsidR="00C17AF0">
              <w:t xml:space="preserve"> </w:t>
            </w:r>
            <w:r w:rsidRPr="0083145E">
              <w:t>m</w:t>
            </w:r>
          </w:p>
        </w:tc>
      </w:tr>
      <w:tr w:rsidR="00393053" w:rsidRPr="0083145E" w14:paraId="50A298CF"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2929F413" w14:textId="77777777" w:rsidR="00393053" w:rsidRPr="0083145E" w:rsidRDefault="00393053" w:rsidP="004F4229">
            <w:pPr>
              <w:pStyle w:val="Mynormal"/>
            </w:pPr>
            <w:r w:rsidRPr="0083145E">
              <w:t>117</w:t>
            </w:r>
          </w:p>
        </w:tc>
        <w:tc>
          <w:tcPr>
            <w:tcW w:w="1465" w:type="dxa"/>
            <w:tcBorders>
              <w:top w:val="nil"/>
              <w:left w:val="nil"/>
              <w:bottom w:val="single" w:sz="4" w:space="0" w:color="000000"/>
              <w:right w:val="single" w:sz="4" w:space="0" w:color="000000"/>
            </w:tcBorders>
            <w:shd w:val="clear" w:color="auto" w:fill="FFFFFF"/>
            <w:vAlign w:val="bottom"/>
          </w:tcPr>
          <w:p w14:paraId="49854103" w14:textId="77777777" w:rsidR="00393053" w:rsidRPr="0083145E" w:rsidRDefault="00393053" w:rsidP="004F4229">
            <w:pPr>
              <w:pStyle w:val="Mynormal"/>
            </w:pPr>
            <w:r w:rsidRPr="0083145E">
              <w:t>Rock outcrop</w:t>
            </w:r>
          </w:p>
        </w:tc>
        <w:tc>
          <w:tcPr>
            <w:tcW w:w="1823" w:type="dxa"/>
            <w:tcBorders>
              <w:top w:val="nil"/>
              <w:left w:val="nil"/>
              <w:bottom w:val="single" w:sz="4" w:space="0" w:color="000000"/>
              <w:right w:val="single" w:sz="4" w:space="0" w:color="000000"/>
            </w:tcBorders>
            <w:shd w:val="clear" w:color="auto" w:fill="FFFFFF"/>
            <w:vAlign w:val="bottom"/>
          </w:tcPr>
          <w:p w14:paraId="181BEE34" w14:textId="77777777" w:rsidR="00393053" w:rsidRPr="0083145E" w:rsidRDefault="00393053" w:rsidP="004F4229">
            <w:pPr>
              <w:pStyle w:val="Mynormal"/>
              <w:rPr>
                <w:szCs w:val="18"/>
              </w:rPr>
            </w:pPr>
            <w:r w:rsidRPr="0083145E">
              <w:rPr>
                <w:szCs w:val="18"/>
              </w:rPr>
              <w:t xml:space="preserve"> 28° 3'0.10"S,  50°45'16.50"W</w:t>
            </w:r>
          </w:p>
        </w:tc>
        <w:tc>
          <w:tcPr>
            <w:tcW w:w="1296" w:type="dxa"/>
            <w:tcBorders>
              <w:top w:val="nil"/>
              <w:left w:val="nil"/>
              <w:bottom w:val="single" w:sz="4" w:space="0" w:color="000000"/>
              <w:right w:val="single" w:sz="4" w:space="0" w:color="000000"/>
            </w:tcBorders>
            <w:shd w:val="clear" w:color="auto" w:fill="FFFFFF"/>
            <w:vAlign w:val="bottom"/>
          </w:tcPr>
          <w:p w14:paraId="028DF9C4" w14:textId="0814FD59" w:rsidR="00393053" w:rsidRPr="0083145E" w:rsidRDefault="00393053" w:rsidP="004F4229">
            <w:pPr>
              <w:pStyle w:val="Mynormal"/>
            </w:pPr>
            <w:r w:rsidRPr="0083145E">
              <w:t>856</w:t>
            </w:r>
            <w:r w:rsidR="00C17AF0">
              <w:t xml:space="preserve"> </w:t>
            </w:r>
            <w:r w:rsidRPr="0083145E">
              <w:t>m</w:t>
            </w:r>
          </w:p>
        </w:tc>
      </w:tr>
      <w:tr w:rsidR="00393053" w:rsidRPr="0083145E" w14:paraId="52F1A143"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08CD170B" w14:textId="77777777" w:rsidR="00393053" w:rsidRPr="0083145E" w:rsidRDefault="00393053" w:rsidP="004F4229">
            <w:pPr>
              <w:pStyle w:val="Mynormal"/>
            </w:pPr>
            <w:r w:rsidRPr="0083145E">
              <w:t>110</w:t>
            </w:r>
          </w:p>
        </w:tc>
        <w:tc>
          <w:tcPr>
            <w:tcW w:w="1465" w:type="dxa"/>
            <w:tcBorders>
              <w:top w:val="nil"/>
              <w:left w:val="nil"/>
              <w:bottom w:val="single" w:sz="4" w:space="0" w:color="000000"/>
              <w:right w:val="single" w:sz="4" w:space="0" w:color="000000"/>
            </w:tcBorders>
            <w:shd w:val="clear" w:color="auto" w:fill="FFFFFF"/>
            <w:vAlign w:val="bottom"/>
          </w:tcPr>
          <w:p w14:paraId="3EF9AC4E" w14:textId="77777777" w:rsidR="00393053" w:rsidRPr="0083145E" w:rsidRDefault="00393053" w:rsidP="004F4229">
            <w:pPr>
              <w:pStyle w:val="Mynormal"/>
            </w:pPr>
            <w:r w:rsidRPr="0083145E">
              <w:t>Riverine</w:t>
            </w:r>
          </w:p>
        </w:tc>
        <w:tc>
          <w:tcPr>
            <w:tcW w:w="1823" w:type="dxa"/>
            <w:tcBorders>
              <w:top w:val="nil"/>
              <w:left w:val="nil"/>
              <w:bottom w:val="single" w:sz="4" w:space="0" w:color="000000"/>
              <w:right w:val="single" w:sz="4" w:space="0" w:color="000000"/>
            </w:tcBorders>
            <w:shd w:val="clear" w:color="auto" w:fill="FFFFFF"/>
            <w:vAlign w:val="bottom"/>
          </w:tcPr>
          <w:p w14:paraId="0B5405BB" w14:textId="77777777" w:rsidR="00393053" w:rsidRPr="0083145E" w:rsidRDefault="00393053" w:rsidP="004F4229">
            <w:pPr>
              <w:pStyle w:val="Mynormal"/>
              <w:rPr>
                <w:szCs w:val="18"/>
              </w:rPr>
            </w:pPr>
            <w:r w:rsidRPr="0083145E">
              <w:rPr>
                <w:szCs w:val="18"/>
              </w:rPr>
              <w:t xml:space="preserve"> 28° 1'17.30"S, 50°46'55.50"W</w:t>
            </w:r>
          </w:p>
        </w:tc>
        <w:tc>
          <w:tcPr>
            <w:tcW w:w="1296" w:type="dxa"/>
            <w:tcBorders>
              <w:top w:val="nil"/>
              <w:left w:val="nil"/>
              <w:bottom w:val="single" w:sz="4" w:space="0" w:color="000000"/>
              <w:right w:val="single" w:sz="4" w:space="0" w:color="000000"/>
            </w:tcBorders>
            <w:shd w:val="clear" w:color="auto" w:fill="FFFFFF"/>
            <w:vAlign w:val="bottom"/>
          </w:tcPr>
          <w:p w14:paraId="316C7ECC" w14:textId="56360740" w:rsidR="00393053" w:rsidRPr="0083145E" w:rsidRDefault="00393053" w:rsidP="004F4229">
            <w:pPr>
              <w:pStyle w:val="Mynormal"/>
            </w:pPr>
            <w:r w:rsidRPr="0083145E">
              <w:t>721</w:t>
            </w:r>
            <w:r w:rsidR="00C17AF0">
              <w:t xml:space="preserve"> </w:t>
            </w:r>
            <w:r w:rsidRPr="0083145E">
              <w:t>m</w:t>
            </w:r>
          </w:p>
        </w:tc>
      </w:tr>
      <w:tr w:rsidR="00393053" w:rsidRPr="0083145E" w14:paraId="1B9EAFB0"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1AC4683A" w14:textId="77777777" w:rsidR="00393053" w:rsidRPr="0083145E" w:rsidRDefault="00393053" w:rsidP="004F4229">
            <w:pPr>
              <w:pStyle w:val="Mynormal"/>
            </w:pPr>
            <w:r w:rsidRPr="0083145E">
              <w:t>136</w:t>
            </w:r>
          </w:p>
        </w:tc>
        <w:tc>
          <w:tcPr>
            <w:tcW w:w="1465" w:type="dxa"/>
            <w:tcBorders>
              <w:top w:val="nil"/>
              <w:left w:val="nil"/>
              <w:bottom w:val="single" w:sz="4" w:space="0" w:color="000000"/>
              <w:right w:val="single" w:sz="4" w:space="0" w:color="000000"/>
            </w:tcBorders>
            <w:shd w:val="clear" w:color="auto" w:fill="FFFFFF"/>
            <w:vAlign w:val="bottom"/>
          </w:tcPr>
          <w:p w14:paraId="7BDF2739" w14:textId="77777777" w:rsidR="00393053" w:rsidRPr="0083145E" w:rsidRDefault="00393053" w:rsidP="004F4229">
            <w:pPr>
              <w:pStyle w:val="Mynormal"/>
            </w:pPr>
            <w:r w:rsidRPr="0083145E">
              <w:t>Riverine</w:t>
            </w:r>
          </w:p>
        </w:tc>
        <w:tc>
          <w:tcPr>
            <w:tcW w:w="1823" w:type="dxa"/>
            <w:tcBorders>
              <w:top w:val="nil"/>
              <w:left w:val="nil"/>
              <w:bottom w:val="single" w:sz="4" w:space="0" w:color="000000"/>
              <w:right w:val="single" w:sz="4" w:space="0" w:color="000000"/>
            </w:tcBorders>
            <w:shd w:val="clear" w:color="auto" w:fill="FFFFFF"/>
            <w:vAlign w:val="bottom"/>
          </w:tcPr>
          <w:p w14:paraId="3AF0B1B7" w14:textId="77777777" w:rsidR="00393053" w:rsidRPr="0083145E" w:rsidRDefault="00393053" w:rsidP="004F4229">
            <w:pPr>
              <w:pStyle w:val="Mynormal"/>
              <w:rPr>
                <w:szCs w:val="18"/>
              </w:rPr>
            </w:pPr>
            <w:r w:rsidRPr="0083145E">
              <w:rPr>
                <w:szCs w:val="18"/>
              </w:rPr>
              <w:t xml:space="preserve"> 28° 1'55.50"S,  50°45'59.00"W</w:t>
            </w:r>
          </w:p>
        </w:tc>
        <w:tc>
          <w:tcPr>
            <w:tcW w:w="1296" w:type="dxa"/>
            <w:tcBorders>
              <w:top w:val="nil"/>
              <w:left w:val="nil"/>
              <w:bottom w:val="single" w:sz="4" w:space="0" w:color="000000"/>
              <w:right w:val="single" w:sz="4" w:space="0" w:color="000000"/>
            </w:tcBorders>
            <w:shd w:val="clear" w:color="auto" w:fill="FFFFFF"/>
            <w:vAlign w:val="bottom"/>
          </w:tcPr>
          <w:p w14:paraId="3EDE84A2" w14:textId="16682F71" w:rsidR="00393053" w:rsidRPr="0083145E" w:rsidRDefault="00393053" w:rsidP="004F4229">
            <w:pPr>
              <w:pStyle w:val="Mynormal"/>
            </w:pPr>
            <w:r w:rsidRPr="0083145E">
              <w:t>740</w:t>
            </w:r>
            <w:r w:rsidR="00C17AF0">
              <w:t xml:space="preserve"> </w:t>
            </w:r>
            <w:r w:rsidRPr="0083145E">
              <w:t>m</w:t>
            </w:r>
          </w:p>
        </w:tc>
      </w:tr>
      <w:tr w:rsidR="00393053" w:rsidRPr="0083145E" w14:paraId="0B20AD46"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31C6C489" w14:textId="77777777" w:rsidR="00393053" w:rsidRPr="0083145E" w:rsidRDefault="00393053" w:rsidP="004F4229">
            <w:pPr>
              <w:pStyle w:val="Mynormal"/>
            </w:pPr>
            <w:r w:rsidRPr="0083145E">
              <w:t>151</w:t>
            </w:r>
          </w:p>
        </w:tc>
        <w:tc>
          <w:tcPr>
            <w:tcW w:w="1465" w:type="dxa"/>
            <w:tcBorders>
              <w:top w:val="nil"/>
              <w:left w:val="nil"/>
              <w:bottom w:val="single" w:sz="4" w:space="0" w:color="000000"/>
              <w:right w:val="single" w:sz="4" w:space="0" w:color="000000"/>
            </w:tcBorders>
            <w:shd w:val="clear" w:color="auto" w:fill="FFFFFF"/>
            <w:vAlign w:val="bottom"/>
          </w:tcPr>
          <w:p w14:paraId="316E8E31" w14:textId="77777777" w:rsidR="00393053" w:rsidRPr="0083145E" w:rsidRDefault="00393053" w:rsidP="004F4229">
            <w:pPr>
              <w:pStyle w:val="Mynormal"/>
            </w:pPr>
            <w:r w:rsidRPr="0083145E">
              <w:t>Riverine</w:t>
            </w:r>
          </w:p>
        </w:tc>
        <w:tc>
          <w:tcPr>
            <w:tcW w:w="1823" w:type="dxa"/>
            <w:tcBorders>
              <w:top w:val="nil"/>
              <w:left w:val="nil"/>
              <w:bottom w:val="single" w:sz="4" w:space="0" w:color="000000"/>
              <w:right w:val="single" w:sz="4" w:space="0" w:color="000000"/>
            </w:tcBorders>
            <w:shd w:val="clear" w:color="auto" w:fill="FFFFFF"/>
            <w:vAlign w:val="bottom"/>
          </w:tcPr>
          <w:p w14:paraId="7951C025" w14:textId="77777777" w:rsidR="00393053" w:rsidRPr="0083145E" w:rsidRDefault="00393053" w:rsidP="004F4229">
            <w:pPr>
              <w:pStyle w:val="Mynormal"/>
              <w:rPr>
                <w:szCs w:val="18"/>
              </w:rPr>
            </w:pPr>
            <w:r w:rsidRPr="0083145E">
              <w:rPr>
                <w:szCs w:val="18"/>
              </w:rPr>
              <w:t xml:space="preserve"> 28° 3'22.50"S,  </w:t>
            </w:r>
            <w:r w:rsidRPr="0083145E">
              <w:rPr>
                <w:szCs w:val="18"/>
              </w:rPr>
              <w:lastRenderedPageBreak/>
              <w:t>50°45'29.60"W</w:t>
            </w:r>
          </w:p>
        </w:tc>
        <w:tc>
          <w:tcPr>
            <w:tcW w:w="1296" w:type="dxa"/>
            <w:tcBorders>
              <w:top w:val="nil"/>
              <w:left w:val="nil"/>
              <w:bottom w:val="single" w:sz="4" w:space="0" w:color="000000"/>
              <w:right w:val="single" w:sz="4" w:space="0" w:color="000000"/>
            </w:tcBorders>
            <w:shd w:val="clear" w:color="auto" w:fill="FFFFFF"/>
            <w:vAlign w:val="bottom"/>
          </w:tcPr>
          <w:p w14:paraId="50453D2F" w14:textId="35F0B288" w:rsidR="00393053" w:rsidRPr="0083145E" w:rsidRDefault="00393053" w:rsidP="004F4229">
            <w:pPr>
              <w:pStyle w:val="Mynormal"/>
            </w:pPr>
            <w:r w:rsidRPr="0083145E">
              <w:lastRenderedPageBreak/>
              <w:t>874</w:t>
            </w:r>
            <w:r w:rsidR="00C17AF0">
              <w:t xml:space="preserve"> </w:t>
            </w:r>
            <w:r w:rsidRPr="0083145E">
              <w:t>m</w:t>
            </w:r>
          </w:p>
        </w:tc>
      </w:tr>
      <w:tr w:rsidR="00393053" w:rsidRPr="0083145E" w14:paraId="60E5AA0F"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7FA3FA77" w14:textId="77777777" w:rsidR="00393053" w:rsidRPr="0083145E" w:rsidRDefault="00393053" w:rsidP="004F4229">
            <w:pPr>
              <w:pStyle w:val="Mynormal"/>
            </w:pPr>
            <w:r w:rsidRPr="0083145E">
              <w:t>119</w:t>
            </w:r>
          </w:p>
        </w:tc>
        <w:tc>
          <w:tcPr>
            <w:tcW w:w="1465" w:type="dxa"/>
            <w:tcBorders>
              <w:top w:val="nil"/>
              <w:left w:val="nil"/>
              <w:bottom w:val="single" w:sz="4" w:space="0" w:color="000000"/>
              <w:right w:val="single" w:sz="4" w:space="0" w:color="000000"/>
            </w:tcBorders>
            <w:shd w:val="clear" w:color="auto" w:fill="FFFFFF"/>
            <w:vAlign w:val="bottom"/>
          </w:tcPr>
          <w:p w14:paraId="50CCB598" w14:textId="2C41E9DA" w:rsidR="00393053" w:rsidRPr="0083145E" w:rsidRDefault="00393053" w:rsidP="004F4229">
            <w:pPr>
              <w:pStyle w:val="Mynormal"/>
            </w:pPr>
            <w:r w:rsidRPr="0083145E">
              <w:t>Open understorey</w:t>
            </w:r>
          </w:p>
        </w:tc>
        <w:tc>
          <w:tcPr>
            <w:tcW w:w="1823" w:type="dxa"/>
            <w:tcBorders>
              <w:top w:val="nil"/>
              <w:left w:val="nil"/>
              <w:bottom w:val="single" w:sz="4" w:space="0" w:color="000000"/>
              <w:right w:val="single" w:sz="4" w:space="0" w:color="000000"/>
            </w:tcBorders>
            <w:shd w:val="clear" w:color="auto" w:fill="FFFFFF"/>
            <w:vAlign w:val="bottom"/>
          </w:tcPr>
          <w:p w14:paraId="585F668D" w14:textId="77777777" w:rsidR="00393053" w:rsidRPr="0083145E" w:rsidRDefault="00393053" w:rsidP="004F4229">
            <w:pPr>
              <w:pStyle w:val="Mynormal"/>
              <w:rPr>
                <w:szCs w:val="18"/>
              </w:rPr>
            </w:pPr>
            <w:r w:rsidRPr="0083145E">
              <w:rPr>
                <w:szCs w:val="18"/>
              </w:rPr>
              <w:t xml:space="preserve"> 28° 3'16.80"S,  50°45'51.70"W</w:t>
            </w:r>
          </w:p>
        </w:tc>
        <w:tc>
          <w:tcPr>
            <w:tcW w:w="1296" w:type="dxa"/>
            <w:tcBorders>
              <w:top w:val="nil"/>
              <w:left w:val="nil"/>
              <w:bottom w:val="single" w:sz="4" w:space="0" w:color="000000"/>
              <w:right w:val="single" w:sz="4" w:space="0" w:color="000000"/>
            </w:tcBorders>
            <w:shd w:val="clear" w:color="auto" w:fill="FFFFFF"/>
            <w:vAlign w:val="bottom"/>
          </w:tcPr>
          <w:p w14:paraId="5EEE235C" w14:textId="0316EA4D" w:rsidR="00393053" w:rsidRPr="0083145E" w:rsidRDefault="00393053" w:rsidP="004F4229">
            <w:pPr>
              <w:pStyle w:val="Mynormal"/>
            </w:pPr>
            <w:r w:rsidRPr="0083145E">
              <w:t>929</w:t>
            </w:r>
            <w:r w:rsidR="00C17AF0">
              <w:t xml:space="preserve"> </w:t>
            </w:r>
            <w:r w:rsidRPr="0083145E">
              <w:t>m</w:t>
            </w:r>
          </w:p>
        </w:tc>
      </w:tr>
      <w:tr w:rsidR="00393053" w:rsidRPr="0083145E" w14:paraId="77530A86"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65B9E015" w14:textId="77777777" w:rsidR="00393053" w:rsidRPr="0083145E" w:rsidRDefault="00393053" w:rsidP="004F4229">
            <w:pPr>
              <w:pStyle w:val="Mynormal"/>
            </w:pPr>
            <w:r w:rsidRPr="0083145E">
              <w:t>122</w:t>
            </w:r>
          </w:p>
        </w:tc>
        <w:tc>
          <w:tcPr>
            <w:tcW w:w="1465" w:type="dxa"/>
            <w:tcBorders>
              <w:top w:val="nil"/>
              <w:left w:val="nil"/>
              <w:bottom w:val="single" w:sz="4" w:space="0" w:color="000000"/>
              <w:right w:val="single" w:sz="4" w:space="0" w:color="000000"/>
            </w:tcBorders>
            <w:shd w:val="clear" w:color="auto" w:fill="FFFFFF"/>
            <w:vAlign w:val="bottom"/>
          </w:tcPr>
          <w:p w14:paraId="26D66F48" w14:textId="624E1BE4" w:rsidR="00393053" w:rsidRPr="0083145E" w:rsidRDefault="00393053" w:rsidP="004F4229">
            <w:pPr>
              <w:pStyle w:val="Mynormal"/>
            </w:pPr>
            <w:r w:rsidRPr="0083145E">
              <w:t>Open understorey</w:t>
            </w:r>
          </w:p>
        </w:tc>
        <w:tc>
          <w:tcPr>
            <w:tcW w:w="1823" w:type="dxa"/>
            <w:tcBorders>
              <w:top w:val="nil"/>
              <w:left w:val="nil"/>
              <w:bottom w:val="single" w:sz="4" w:space="0" w:color="000000"/>
              <w:right w:val="single" w:sz="4" w:space="0" w:color="000000"/>
            </w:tcBorders>
            <w:shd w:val="clear" w:color="auto" w:fill="FFFFFF"/>
            <w:vAlign w:val="bottom"/>
          </w:tcPr>
          <w:p w14:paraId="0B77D4FB" w14:textId="77777777" w:rsidR="00393053" w:rsidRPr="0083145E" w:rsidRDefault="00393053" w:rsidP="004F4229">
            <w:pPr>
              <w:pStyle w:val="Mynormal"/>
              <w:rPr>
                <w:szCs w:val="18"/>
              </w:rPr>
            </w:pPr>
            <w:r w:rsidRPr="0083145E">
              <w:rPr>
                <w:szCs w:val="18"/>
              </w:rPr>
              <w:t xml:space="preserve"> 28° 2'59.00"S,  50°46'28.10"W</w:t>
            </w:r>
          </w:p>
        </w:tc>
        <w:tc>
          <w:tcPr>
            <w:tcW w:w="1296" w:type="dxa"/>
            <w:tcBorders>
              <w:top w:val="nil"/>
              <w:left w:val="nil"/>
              <w:bottom w:val="single" w:sz="4" w:space="0" w:color="000000"/>
              <w:right w:val="single" w:sz="4" w:space="0" w:color="000000"/>
            </w:tcBorders>
            <w:shd w:val="clear" w:color="auto" w:fill="FFFFFF"/>
            <w:vAlign w:val="bottom"/>
          </w:tcPr>
          <w:p w14:paraId="0F326107" w14:textId="212730C4" w:rsidR="00393053" w:rsidRPr="0083145E" w:rsidRDefault="00393053" w:rsidP="004F4229">
            <w:pPr>
              <w:pStyle w:val="Mynormal"/>
            </w:pPr>
            <w:r w:rsidRPr="0083145E">
              <w:t>921</w:t>
            </w:r>
            <w:r w:rsidR="00C17AF0">
              <w:t xml:space="preserve"> </w:t>
            </w:r>
            <w:r w:rsidRPr="0083145E">
              <w:t>m</w:t>
            </w:r>
          </w:p>
        </w:tc>
      </w:tr>
      <w:tr w:rsidR="00393053" w:rsidRPr="0083145E" w14:paraId="1462A5CD"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47C79C5B" w14:textId="77777777" w:rsidR="00393053" w:rsidRPr="0083145E" w:rsidRDefault="00393053" w:rsidP="004F4229">
            <w:pPr>
              <w:pStyle w:val="Mynormal"/>
            </w:pPr>
            <w:r w:rsidRPr="0083145E">
              <w:t>123</w:t>
            </w:r>
          </w:p>
        </w:tc>
        <w:tc>
          <w:tcPr>
            <w:tcW w:w="1465" w:type="dxa"/>
            <w:tcBorders>
              <w:top w:val="nil"/>
              <w:left w:val="nil"/>
              <w:bottom w:val="single" w:sz="4" w:space="0" w:color="000000"/>
              <w:right w:val="single" w:sz="4" w:space="0" w:color="000000"/>
            </w:tcBorders>
            <w:shd w:val="clear" w:color="auto" w:fill="FFFFFF"/>
            <w:vAlign w:val="bottom"/>
          </w:tcPr>
          <w:p w14:paraId="4FC63BA1" w14:textId="74D88FFF" w:rsidR="00393053" w:rsidRPr="0083145E" w:rsidRDefault="00393053" w:rsidP="004F4229">
            <w:pPr>
              <w:pStyle w:val="Mynormal"/>
            </w:pPr>
            <w:r w:rsidRPr="0083145E">
              <w:t>Open understorey</w:t>
            </w:r>
          </w:p>
        </w:tc>
        <w:tc>
          <w:tcPr>
            <w:tcW w:w="1823" w:type="dxa"/>
            <w:tcBorders>
              <w:top w:val="nil"/>
              <w:left w:val="nil"/>
              <w:bottom w:val="single" w:sz="4" w:space="0" w:color="000000"/>
              <w:right w:val="single" w:sz="4" w:space="0" w:color="000000"/>
            </w:tcBorders>
            <w:shd w:val="clear" w:color="auto" w:fill="FFFFFF"/>
            <w:vAlign w:val="bottom"/>
          </w:tcPr>
          <w:p w14:paraId="02EA70E6" w14:textId="77777777" w:rsidR="00393053" w:rsidRPr="0083145E" w:rsidRDefault="00393053" w:rsidP="004F4229">
            <w:pPr>
              <w:pStyle w:val="Mynormal"/>
              <w:rPr>
                <w:szCs w:val="18"/>
              </w:rPr>
            </w:pPr>
            <w:r w:rsidRPr="0083145E">
              <w:rPr>
                <w:szCs w:val="18"/>
              </w:rPr>
              <w:t xml:space="preserve"> 28° 3'4.10"S,  50°46'11.60"W</w:t>
            </w:r>
          </w:p>
        </w:tc>
        <w:tc>
          <w:tcPr>
            <w:tcW w:w="1296" w:type="dxa"/>
            <w:tcBorders>
              <w:top w:val="nil"/>
              <w:left w:val="nil"/>
              <w:bottom w:val="single" w:sz="4" w:space="0" w:color="000000"/>
              <w:right w:val="single" w:sz="4" w:space="0" w:color="000000"/>
            </w:tcBorders>
            <w:shd w:val="clear" w:color="auto" w:fill="FFFFFF"/>
            <w:vAlign w:val="bottom"/>
          </w:tcPr>
          <w:p w14:paraId="76F9E01F" w14:textId="778689CC" w:rsidR="00393053" w:rsidRPr="0083145E" w:rsidRDefault="00393053" w:rsidP="004F4229">
            <w:pPr>
              <w:pStyle w:val="Mynormal"/>
            </w:pPr>
            <w:r w:rsidRPr="0083145E">
              <w:t>935</w:t>
            </w:r>
            <w:r w:rsidR="00C17AF0">
              <w:t xml:space="preserve"> </w:t>
            </w:r>
            <w:r w:rsidRPr="0083145E">
              <w:t>m</w:t>
            </w:r>
          </w:p>
        </w:tc>
      </w:tr>
      <w:tr w:rsidR="00393053" w:rsidRPr="0083145E" w14:paraId="05CEC131"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277F68CA" w14:textId="77777777" w:rsidR="00393053" w:rsidRPr="0083145E" w:rsidRDefault="00393053" w:rsidP="004F4229">
            <w:pPr>
              <w:pStyle w:val="Mynormal"/>
            </w:pPr>
            <w:r w:rsidRPr="0083145E">
              <w:t>142</w:t>
            </w:r>
          </w:p>
        </w:tc>
        <w:tc>
          <w:tcPr>
            <w:tcW w:w="1465" w:type="dxa"/>
            <w:tcBorders>
              <w:top w:val="nil"/>
              <w:left w:val="nil"/>
              <w:bottom w:val="single" w:sz="4" w:space="0" w:color="000000"/>
              <w:right w:val="single" w:sz="4" w:space="0" w:color="000000"/>
            </w:tcBorders>
            <w:shd w:val="clear" w:color="auto" w:fill="FFFFFF"/>
            <w:vAlign w:val="bottom"/>
          </w:tcPr>
          <w:p w14:paraId="5DE3D384" w14:textId="659543CD" w:rsidR="00393053" w:rsidRPr="0083145E" w:rsidRDefault="00393053" w:rsidP="004F4229">
            <w:pPr>
              <w:pStyle w:val="Mynormal"/>
            </w:pPr>
            <w:r w:rsidRPr="0083145E">
              <w:t>Open understorey</w:t>
            </w:r>
          </w:p>
        </w:tc>
        <w:tc>
          <w:tcPr>
            <w:tcW w:w="1823" w:type="dxa"/>
            <w:tcBorders>
              <w:top w:val="nil"/>
              <w:left w:val="nil"/>
              <w:bottom w:val="single" w:sz="4" w:space="0" w:color="000000"/>
              <w:right w:val="single" w:sz="4" w:space="0" w:color="000000"/>
            </w:tcBorders>
            <w:shd w:val="clear" w:color="auto" w:fill="FFFFFF"/>
            <w:vAlign w:val="bottom"/>
          </w:tcPr>
          <w:p w14:paraId="08364965" w14:textId="77777777" w:rsidR="00393053" w:rsidRPr="0083145E" w:rsidRDefault="00393053" w:rsidP="004F4229">
            <w:pPr>
              <w:pStyle w:val="Mynormal"/>
              <w:rPr>
                <w:szCs w:val="18"/>
              </w:rPr>
            </w:pPr>
            <w:r w:rsidRPr="0083145E">
              <w:rPr>
                <w:szCs w:val="18"/>
              </w:rPr>
              <w:t xml:space="preserve"> 28° 3'42.60"S,  50°46'26.60"W</w:t>
            </w:r>
          </w:p>
        </w:tc>
        <w:tc>
          <w:tcPr>
            <w:tcW w:w="1296" w:type="dxa"/>
            <w:tcBorders>
              <w:top w:val="nil"/>
              <w:left w:val="nil"/>
              <w:bottom w:val="single" w:sz="4" w:space="0" w:color="000000"/>
              <w:right w:val="single" w:sz="4" w:space="0" w:color="000000"/>
            </w:tcBorders>
            <w:shd w:val="clear" w:color="auto" w:fill="FFFFFF"/>
            <w:vAlign w:val="bottom"/>
          </w:tcPr>
          <w:p w14:paraId="25AA6463" w14:textId="6197976D" w:rsidR="00393053" w:rsidRPr="0083145E" w:rsidRDefault="00393053" w:rsidP="004F4229">
            <w:pPr>
              <w:pStyle w:val="Mynormal"/>
            </w:pPr>
            <w:r w:rsidRPr="0083145E">
              <w:t>922</w:t>
            </w:r>
            <w:r w:rsidR="00C17AF0">
              <w:t xml:space="preserve"> </w:t>
            </w:r>
            <w:r w:rsidRPr="0083145E">
              <w:t>m</w:t>
            </w:r>
          </w:p>
        </w:tc>
      </w:tr>
      <w:tr w:rsidR="00393053" w:rsidRPr="0083145E" w14:paraId="76AFE297"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67D62461" w14:textId="77777777" w:rsidR="00393053" w:rsidRPr="0083145E" w:rsidRDefault="00393053" w:rsidP="004F4229">
            <w:pPr>
              <w:pStyle w:val="Mynormal"/>
            </w:pPr>
            <w:r w:rsidRPr="0083145E">
              <w:t>144</w:t>
            </w:r>
          </w:p>
        </w:tc>
        <w:tc>
          <w:tcPr>
            <w:tcW w:w="1465" w:type="dxa"/>
            <w:tcBorders>
              <w:top w:val="nil"/>
              <w:left w:val="nil"/>
              <w:bottom w:val="single" w:sz="4" w:space="0" w:color="000000"/>
              <w:right w:val="single" w:sz="4" w:space="0" w:color="000000"/>
            </w:tcBorders>
            <w:shd w:val="clear" w:color="auto" w:fill="FFFFFF"/>
            <w:vAlign w:val="bottom"/>
          </w:tcPr>
          <w:p w14:paraId="1D3E8431" w14:textId="668BADD7" w:rsidR="00393053" w:rsidRPr="0083145E" w:rsidRDefault="00393053" w:rsidP="004F4229">
            <w:pPr>
              <w:pStyle w:val="Mynormal"/>
            </w:pPr>
            <w:r w:rsidRPr="0083145E">
              <w:t>Open understorey</w:t>
            </w:r>
          </w:p>
        </w:tc>
        <w:tc>
          <w:tcPr>
            <w:tcW w:w="1823" w:type="dxa"/>
            <w:tcBorders>
              <w:top w:val="nil"/>
              <w:left w:val="nil"/>
              <w:bottom w:val="single" w:sz="4" w:space="0" w:color="000000"/>
              <w:right w:val="single" w:sz="4" w:space="0" w:color="000000"/>
            </w:tcBorders>
            <w:shd w:val="clear" w:color="auto" w:fill="FFFFFF"/>
            <w:vAlign w:val="bottom"/>
          </w:tcPr>
          <w:p w14:paraId="0262154F" w14:textId="77777777" w:rsidR="00393053" w:rsidRPr="0083145E" w:rsidRDefault="00393053" w:rsidP="004F4229">
            <w:pPr>
              <w:pStyle w:val="Mynormal"/>
              <w:rPr>
                <w:szCs w:val="18"/>
              </w:rPr>
            </w:pPr>
            <w:r w:rsidRPr="0083145E">
              <w:rPr>
                <w:szCs w:val="18"/>
              </w:rPr>
              <w:t xml:space="preserve"> 28° 3'24.30"S,  50°46'21.50"W</w:t>
            </w:r>
          </w:p>
        </w:tc>
        <w:tc>
          <w:tcPr>
            <w:tcW w:w="1296" w:type="dxa"/>
            <w:tcBorders>
              <w:top w:val="nil"/>
              <w:left w:val="nil"/>
              <w:bottom w:val="single" w:sz="4" w:space="0" w:color="000000"/>
              <w:right w:val="single" w:sz="4" w:space="0" w:color="000000"/>
            </w:tcBorders>
            <w:shd w:val="clear" w:color="auto" w:fill="FFFFFF"/>
            <w:vAlign w:val="bottom"/>
          </w:tcPr>
          <w:p w14:paraId="07D83272" w14:textId="0F991754" w:rsidR="00393053" w:rsidRPr="0083145E" w:rsidRDefault="00393053" w:rsidP="004F4229">
            <w:pPr>
              <w:pStyle w:val="Mynormal"/>
            </w:pPr>
            <w:r w:rsidRPr="0083145E">
              <w:t>953</w:t>
            </w:r>
            <w:r w:rsidR="00C17AF0">
              <w:t xml:space="preserve"> </w:t>
            </w:r>
            <w:r w:rsidRPr="0083145E">
              <w:t>m</w:t>
            </w:r>
          </w:p>
        </w:tc>
      </w:tr>
      <w:tr w:rsidR="00393053" w:rsidRPr="0083145E" w14:paraId="2438BFCE"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5494BB76" w14:textId="77777777" w:rsidR="00393053" w:rsidRPr="0083145E" w:rsidRDefault="00393053" w:rsidP="004F4229">
            <w:pPr>
              <w:pStyle w:val="Mynormal"/>
            </w:pPr>
            <w:r w:rsidRPr="0083145E">
              <w:t>156</w:t>
            </w:r>
          </w:p>
        </w:tc>
        <w:tc>
          <w:tcPr>
            <w:tcW w:w="1465" w:type="dxa"/>
            <w:tcBorders>
              <w:top w:val="nil"/>
              <w:left w:val="nil"/>
              <w:bottom w:val="single" w:sz="4" w:space="0" w:color="000000"/>
              <w:right w:val="single" w:sz="4" w:space="0" w:color="000000"/>
            </w:tcBorders>
            <w:shd w:val="clear" w:color="auto" w:fill="FFFFFF"/>
            <w:vAlign w:val="bottom"/>
          </w:tcPr>
          <w:p w14:paraId="68E87382" w14:textId="77777777" w:rsidR="00393053" w:rsidRPr="0083145E" w:rsidRDefault="00393053" w:rsidP="004F4229">
            <w:pPr>
              <w:pStyle w:val="Mynormal"/>
            </w:pPr>
            <w:r w:rsidRPr="0083145E">
              <w:t>Disturbed</w:t>
            </w:r>
          </w:p>
        </w:tc>
        <w:tc>
          <w:tcPr>
            <w:tcW w:w="1823" w:type="dxa"/>
            <w:tcBorders>
              <w:top w:val="nil"/>
              <w:left w:val="nil"/>
              <w:bottom w:val="single" w:sz="4" w:space="0" w:color="000000"/>
              <w:right w:val="single" w:sz="4" w:space="0" w:color="000000"/>
            </w:tcBorders>
            <w:shd w:val="clear" w:color="auto" w:fill="FFFFFF"/>
            <w:vAlign w:val="bottom"/>
          </w:tcPr>
          <w:p w14:paraId="38A433AB" w14:textId="77777777" w:rsidR="00393053" w:rsidRPr="0083145E" w:rsidRDefault="00393053" w:rsidP="004F4229">
            <w:pPr>
              <w:pStyle w:val="Mynormal"/>
              <w:rPr>
                <w:szCs w:val="18"/>
              </w:rPr>
            </w:pPr>
            <w:r w:rsidRPr="0083145E">
              <w:rPr>
                <w:szCs w:val="18"/>
              </w:rPr>
              <w:t xml:space="preserve"> 28° 4'29.00"S,  50°46'22.10"W</w:t>
            </w:r>
          </w:p>
        </w:tc>
        <w:tc>
          <w:tcPr>
            <w:tcW w:w="1296" w:type="dxa"/>
            <w:tcBorders>
              <w:top w:val="nil"/>
              <w:left w:val="nil"/>
              <w:bottom w:val="single" w:sz="4" w:space="0" w:color="000000"/>
              <w:right w:val="single" w:sz="4" w:space="0" w:color="000000"/>
            </w:tcBorders>
            <w:shd w:val="clear" w:color="auto" w:fill="FFFFFF"/>
            <w:vAlign w:val="bottom"/>
          </w:tcPr>
          <w:p w14:paraId="0E5F011D" w14:textId="7F20A61D" w:rsidR="00393053" w:rsidRPr="0083145E" w:rsidRDefault="00393053" w:rsidP="004F4229">
            <w:pPr>
              <w:pStyle w:val="Mynormal"/>
            </w:pPr>
            <w:r w:rsidRPr="0083145E">
              <w:t>850</w:t>
            </w:r>
            <w:r w:rsidR="00C17AF0">
              <w:t xml:space="preserve"> </w:t>
            </w:r>
            <w:r w:rsidRPr="0083145E">
              <w:t>m</w:t>
            </w:r>
          </w:p>
        </w:tc>
      </w:tr>
      <w:tr w:rsidR="00393053" w:rsidRPr="0083145E" w14:paraId="393FFDA3"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302310E3" w14:textId="77777777" w:rsidR="00393053" w:rsidRPr="0083145E" w:rsidRDefault="00393053" w:rsidP="004F4229">
            <w:pPr>
              <w:pStyle w:val="Mynormal"/>
            </w:pPr>
            <w:r w:rsidRPr="0083145E">
              <w:t>157</w:t>
            </w:r>
          </w:p>
        </w:tc>
        <w:tc>
          <w:tcPr>
            <w:tcW w:w="1465" w:type="dxa"/>
            <w:tcBorders>
              <w:top w:val="nil"/>
              <w:left w:val="nil"/>
              <w:bottom w:val="single" w:sz="4" w:space="0" w:color="000000"/>
              <w:right w:val="single" w:sz="4" w:space="0" w:color="000000"/>
            </w:tcBorders>
            <w:shd w:val="clear" w:color="auto" w:fill="FFFFFF"/>
            <w:vAlign w:val="bottom"/>
          </w:tcPr>
          <w:p w14:paraId="4C4BA024" w14:textId="77777777" w:rsidR="00393053" w:rsidRPr="0083145E" w:rsidRDefault="00393053" w:rsidP="004F4229">
            <w:pPr>
              <w:pStyle w:val="Mynormal"/>
            </w:pPr>
            <w:r w:rsidRPr="0083145E">
              <w:t>Disturbed</w:t>
            </w:r>
          </w:p>
        </w:tc>
        <w:tc>
          <w:tcPr>
            <w:tcW w:w="1823" w:type="dxa"/>
            <w:tcBorders>
              <w:top w:val="nil"/>
              <w:left w:val="nil"/>
              <w:bottom w:val="single" w:sz="4" w:space="0" w:color="000000"/>
              <w:right w:val="single" w:sz="4" w:space="0" w:color="000000"/>
            </w:tcBorders>
            <w:shd w:val="clear" w:color="auto" w:fill="FFFFFF"/>
            <w:vAlign w:val="bottom"/>
          </w:tcPr>
          <w:p w14:paraId="0C4B7074" w14:textId="77777777" w:rsidR="00393053" w:rsidRPr="0083145E" w:rsidRDefault="00393053" w:rsidP="004F4229">
            <w:pPr>
              <w:pStyle w:val="Mynormal"/>
              <w:rPr>
                <w:szCs w:val="18"/>
              </w:rPr>
            </w:pPr>
            <w:r w:rsidRPr="0083145E">
              <w:rPr>
                <w:szCs w:val="18"/>
              </w:rPr>
              <w:t xml:space="preserve"> 28° 4'11.80"S,  50°46'20.90"W</w:t>
            </w:r>
          </w:p>
        </w:tc>
        <w:tc>
          <w:tcPr>
            <w:tcW w:w="1296" w:type="dxa"/>
            <w:tcBorders>
              <w:top w:val="nil"/>
              <w:left w:val="nil"/>
              <w:bottom w:val="single" w:sz="4" w:space="0" w:color="000000"/>
              <w:right w:val="single" w:sz="4" w:space="0" w:color="000000"/>
            </w:tcBorders>
            <w:shd w:val="clear" w:color="auto" w:fill="FFFFFF"/>
            <w:vAlign w:val="bottom"/>
          </w:tcPr>
          <w:p w14:paraId="4525D0C8" w14:textId="22919402" w:rsidR="00393053" w:rsidRPr="0083145E" w:rsidRDefault="00393053" w:rsidP="004F4229">
            <w:pPr>
              <w:pStyle w:val="Mynormal"/>
            </w:pPr>
            <w:r w:rsidRPr="0083145E">
              <w:t>851</w:t>
            </w:r>
            <w:r w:rsidR="00C17AF0">
              <w:t xml:space="preserve"> </w:t>
            </w:r>
            <w:r w:rsidRPr="0083145E">
              <w:t>m</w:t>
            </w:r>
          </w:p>
        </w:tc>
      </w:tr>
      <w:tr w:rsidR="00393053" w:rsidRPr="0083145E" w14:paraId="3BCF868F"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66F235E5" w14:textId="77777777" w:rsidR="00393053" w:rsidRPr="0083145E" w:rsidRDefault="00393053" w:rsidP="004F4229">
            <w:pPr>
              <w:pStyle w:val="Mynormal"/>
            </w:pPr>
            <w:r w:rsidRPr="0083145E">
              <w:t>159</w:t>
            </w:r>
          </w:p>
        </w:tc>
        <w:tc>
          <w:tcPr>
            <w:tcW w:w="1465" w:type="dxa"/>
            <w:tcBorders>
              <w:top w:val="nil"/>
              <w:left w:val="nil"/>
              <w:bottom w:val="single" w:sz="4" w:space="0" w:color="000000"/>
              <w:right w:val="single" w:sz="4" w:space="0" w:color="000000"/>
            </w:tcBorders>
            <w:shd w:val="clear" w:color="auto" w:fill="FFFFFF"/>
            <w:vAlign w:val="bottom"/>
          </w:tcPr>
          <w:p w14:paraId="750A90AB" w14:textId="77777777" w:rsidR="00393053" w:rsidRPr="0083145E" w:rsidRDefault="00393053" w:rsidP="004F4229">
            <w:pPr>
              <w:pStyle w:val="Mynormal"/>
            </w:pPr>
            <w:r w:rsidRPr="0083145E">
              <w:t>Disturbed</w:t>
            </w:r>
          </w:p>
        </w:tc>
        <w:tc>
          <w:tcPr>
            <w:tcW w:w="1823" w:type="dxa"/>
            <w:tcBorders>
              <w:top w:val="nil"/>
              <w:left w:val="nil"/>
              <w:bottom w:val="single" w:sz="4" w:space="0" w:color="000000"/>
              <w:right w:val="single" w:sz="4" w:space="0" w:color="000000"/>
            </w:tcBorders>
            <w:shd w:val="clear" w:color="auto" w:fill="FFFFFF"/>
            <w:vAlign w:val="bottom"/>
          </w:tcPr>
          <w:p w14:paraId="315CE157" w14:textId="77777777" w:rsidR="00393053" w:rsidRPr="0083145E" w:rsidRDefault="00393053" w:rsidP="004F4229">
            <w:pPr>
              <w:pStyle w:val="Mynormal"/>
              <w:rPr>
                <w:szCs w:val="18"/>
              </w:rPr>
            </w:pPr>
            <w:r w:rsidRPr="0083145E">
              <w:rPr>
                <w:szCs w:val="18"/>
              </w:rPr>
              <w:t xml:space="preserve"> 28° 4'21.60"S,  50°45'53.60"W</w:t>
            </w:r>
          </w:p>
        </w:tc>
        <w:tc>
          <w:tcPr>
            <w:tcW w:w="1296" w:type="dxa"/>
            <w:tcBorders>
              <w:top w:val="nil"/>
              <w:left w:val="nil"/>
              <w:bottom w:val="single" w:sz="4" w:space="0" w:color="000000"/>
              <w:right w:val="single" w:sz="4" w:space="0" w:color="000000"/>
            </w:tcBorders>
            <w:shd w:val="clear" w:color="auto" w:fill="FFFFFF"/>
            <w:vAlign w:val="bottom"/>
          </w:tcPr>
          <w:p w14:paraId="533D8BC3" w14:textId="6142D9AB" w:rsidR="00393053" w:rsidRPr="0083145E" w:rsidRDefault="00393053" w:rsidP="004F4229">
            <w:pPr>
              <w:pStyle w:val="Mynormal"/>
            </w:pPr>
            <w:r w:rsidRPr="0083145E">
              <w:t>868</w:t>
            </w:r>
            <w:r w:rsidR="00C17AF0">
              <w:t xml:space="preserve"> </w:t>
            </w:r>
            <w:r w:rsidRPr="0083145E">
              <w:t>m</w:t>
            </w:r>
          </w:p>
        </w:tc>
      </w:tr>
      <w:tr w:rsidR="00393053" w:rsidRPr="0083145E" w14:paraId="610D5ED3"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2369F5F1" w14:textId="77777777" w:rsidR="00393053" w:rsidRPr="0083145E" w:rsidRDefault="00393053" w:rsidP="004F4229">
            <w:pPr>
              <w:pStyle w:val="Mynormal"/>
            </w:pPr>
            <w:r w:rsidRPr="0083145E">
              <w:t>141</w:t>
            </w:r>
          </w:p>
        </w:tc>
        <w:tc>
          <w:tcPr>
            <w:tcW w:w="1465" w:type="dxa"/>
            <w:tcBorders>
              <w:top w:val="nil"/>
              <w:left w:val="nil"/>
              <w:bottom w:val="single" w:sz="4" w:space="0" w:color="000000"/>
              <w:right w:val="single" w:sz="4" w:space="0" w:color="000000"/>
            </w:tcBorders>
            <w:shd w:val="clear" w:color="auto" w:fill="FFFFFF"/>
            <w:vAlign w:val="bottom"/>
          </w:tcPr>
          <w:p w14:paraId="330CD7CC" w14:textId="636E1592" w:rsidR="00393053" w:rsidRPr="0083145E" w:rsidRDefault="00393053" w:rsidP="004F4229">
            <w:pPr>
              <w:pStyle w:val="Mynormal"/>
            </w:pPr>
            <w:r w:rsidRPr="0083145E">
              <w:t>Closed understorey</w:t>
            </w:r>
          </w:p>
        </w:tc>
        <w:tc>
          <w:tcPr>
            <w:tcW w:w="1823" w:type="dxa"/>
            <w:tcBorders>
              <w:top w:val="nil"/>
              <w:left w:val="nil"/>
              <w:bottom w:val="single" w:sz="4" w:space="0" w:color="000000"/>
              <w:right w:val="single" w:sz="4" w:space="0" w:color="000000"/>
            </w:tcBorders>
            <w:shd w:val="clear" w:color="auto" w:fill="FFFFFF"/>
            <w:vAlign w:val="bottom"/>
          </w:tcPr>
          <w:p w14:paraId="0EBF7E43" w14:textId="77777777" w:rsidR="00393053" w:rsidRPr="0083145E" w:rsidRDefault="00393053" w:rsidP="004F4229">
            <w:pPr>
              <w:pStyle w:val="Mynormal"/>
              <w:rPr>
                <w:szCs w:val="18"/>
              </w:rPr>
            </w:pPr>
            <w:r w:rsidRPr="0083145E">
              <w:rPr>
                <w:szCs w:val="18"/>
              </w:rPr>
              <w:t xml:space="preserve"> 28° 3'40.70"S,  50°46'14.90"W</w:t>
            </w:r>
          </w:p>
        </w:tc>
        <w:tc>
          <w:tcPr>
            <w:tcW w:w="1296" w:type="dxa"/>
            <w:tcBorders>
              <w:top w:val="nil"/>
              <w:left w:val="nil"/>
              <w:bottom w:val="single" w:sz="4" w:space="0" w:color="000000"/>
              <w:right w:val="single" w:sz="4" w:space="0" w:color="000000"/>
            </w:tcBorders>
            <w:shd w:val="clear" w:color="auto" w:fill="FFFFFF"/>
            <w:vAlign w:val="bottom"/>
          </w:tcPr>
          <w:p w14:paraId="635B78F3" w14:textId="5CA55301" w:rsidR="00393053" w:rsidRPr="0083145E" w:rsidRDefault="00393053" w:rsidP="004F4229">
            <w:pPr>
              <w:pStyle w:val="Mynormal"/>
            </w:pPr>
            <w:r w:rsidRPr="0083145E">
              <w:t>931</w:t>
            </w:r>
            <w:r w:rsidR="00C17AF0">
              <w:t xml:space="preserve"> </w:t>
            </w:r>
            <w:r w:rsidRPr="0083145E">
              <w:t>m</w:t>
            </w:r>
          </w:p>
        </w:tc>
      </w:tr>
      <w:tr w:rsidR="00393053" w:rsidRPr="0083145E" w14:paraId="77DBDA2D" w14:textId="77777777" w:rsidTr="00393053">
        <w:trPr>
          <w:trHeight w:val="300"/>
          <w:jc w:val="center"/>
        </w:trPr>
        <w:tc>
          <w:tcPr>
            <w:tcW w:w="960" w:type="dxa"/>
            <w:tcBorders>
              <w:top w:val="nil"/>
              <w:left w:val="single" w:sz="4" w:space="0" w:color="000000"/>
              <w:bottom w:val="single" w:sz="4" w:space="0" w:color="000000"/>
              <w:right w:val="single" w:sz="4" w:space="0" w:color="000000"/>
            </w:tcBorders>
            <w:shd w:val="clear" w:color="auto" w:fill="FFFFFF"/>
            <w:vAlign w:val="bottom"/>
          </w:tcPr>
          <w:p w14:paraId="58FBA948" w14:textId="77777777" w:rsidR="00393053" w:rsidRPr="0083145E" w:rsidRDefault="00393053" w:rsidP="004F4229">
            <w:pPr>
              <w:pStyle w:val="Mynormal"/>
            </w:pPr>
            <w:r w:rsidRPr="0083145E">
              <w:t>149</w:t>
            </w:r>
          </w:p>
        </w:tc>
        <w:tc>
          <w:tcPr>
            <w:tcW w:w="1465" w:type="dxa"/>
            <w:tcBorders>
              <w:top w:val="nil"/>
              <w:left w:val="nil"/>
              <w:bottom w:val="single" w:sz="4" w:space="0" w:color="000000"/>
              <w:right w:val="single" w:sz="4" w:space="0" w:color="000000"/>
            </w:tcBorders>
            <w:shd w:val="clear" w:color="auto" w:fill="FFFFFF"/>
            <w:vAlign w:val="bottom"/>
          </w:tcPr>
          <w:p w14:paraId="499A06D2" w14:textId="249347A8" w:rsidR="00393053" w:rsidRPr="0083145E" w:rsidRDefault="00393053" w:rsidP="004F4229">
            <w:pPr>
              <w:pStyle w:val="Mynormal"/>
            </w:pPr>
            <w:r w:rsidRPr="0083145E">
              <w:t>Closed understorey</w:t>
            </w:r>
          </w:p>
        </w:tc>
        <w:tc>
          <w:tcPr>
            <w:tcW w:w="1823" w:type="dxa"/>
            <w:tcBorders>
              <w:top w:val="nil"/>
              <w:left w:val="nil"/>
              <w:bottom w:val="single" w:sz="4" w:space="0" w:color="000000"/>
              <w:right w:val="single" w:sz="4" w:space="0" w:color="000000"/>
            </w:tcBorders>
            <w:shd w:val="clear" w:color="auto" w:fill="FFFFFF"/>
            <w:vAlign w:val="bottom"/>
          </w:tcPr>
          <w:p w14:paraId="3504940F" w14:textId="77777777" w:rsidR="00393053" w:rsidRPr="0083145E" w:rsidRDefault="00393053" w:rsidP="004F4229">
            <w:pPr>
              <w:pStyle w:val="Mynormal"/>
              <w:rPr>
                <w:szCs w:val="18"/>
              </w:rPr>
            </w:pPr>
            <w:r w:rsidRPr="0083145E">
              <w:rPr>
                <w:szCs w:val="18"/>
              </w:rPr>
              <w:t xml:space="preserve"> 28° 3'53.50"S,  50°45'39.20"W</w:t>
            </w:r>
          </w:p>
        </w:tc>
        <w:tc>
          <w:tcPr>
            <w:tcW w:w="1296" w:type="dxa"/>
            <w:tcBorders>
              <w:top w:val="nil"/>
              <w:left w:val="nil"/>
              <w:bottom w:val="single" w:sz="4" w:space="0" w:color="000000"/>
              <w:right w:val="single" w:sz="4" w:space="0" w:color="000000"/>
            </w:tcBorders>
            <w:shd w:val="clear" w:color="auto" w:fill="FFFFFF"/>
            <w:vAlign w:val="bottom"/>
          </w:tcPr>
          <w:p w14:paraId="0BB0E143" w14:textId="4D6E3E0E" w:rsidR="00393053" w:rsidRPr="0083145E" w:rsidRDefault="00393053" w:rsidP="004F4229">
            <w:pPr>
              <w:pStyle w:val="Mynormal"/>
              <w:keepNext/>
            </w:pPr>
            <w:r w:rsidRPr="0083145E">
              <w:t>891</w:t>
            </w:r>
            <w:r w:rsidR="00C17AF0">
              <w:t xml:space="preserve"> </w:t>
            </w:r>
            <w:r w:rsidRPr="0083145E">
              <w:t>m</w:t>
            </w:r>
          </w:p>
        </w:tc>
      </w:tr>
    </w:tbl>
    <w:p w14:paraId="10AE0D05" w14:textId="029C1451" w:rsidR="00472F65" w:rsidRPr="0083145E" w:rsidRDefault="004C4948" w:rsidP="001C1F44">
      <w:pPr>
        <w:pStyle w:val="Mynormal"/>
      </w:pPr>
      <w:bookmarkStart w:id="1" w:name="_Ref517789138"/>
      <w:bookmarkStart w:id="2" w:name="_Ref517789133"/>
      <w:bookmarkEnd w:id="1"/>
      <w:r>
        <w:lastRenderedPageBreak/>
        <w:t>Table 1</w:t>
      </w:r>
      <w:r w:rsidR="00393053" w:rsidRPr="0083145E">
        <w:t>: The studied forest plots, their structural category, and the location and altitude of each transect</w:t>
      </w:r>
      <w:r w:rsidR="00580164">
        <w:t>’</w:t>
      </w:r>
      <w:r w:rsidR="00393053" w:rsidRPr="0083145E">
        <w:t>s start</w:t>
      </w:r>
      <w:r w:rsidR="0027144E" w:rsidRPr="0083145E">
        <w:t>ing</w:t>
      </w:r>
      <w:r w:rsidR="00393053" w:rsidRPr="0083145E">
        <w:t xml:space="preserve"> point. </w:t>
      </w:r>
      <w:bookmarkEnd w:id="2"/>
    </w:p>
    <w:p w14:paraId="38D8EB23" w14:textId="77777777" w:rsidR="0027144E" w:rsidRPr="0083145E" w:rsidRDefault="0027144E" w:rsidP="004F4229">
      <w:pPr>
        <w:pStyle w:val="Heading3"/>
        <w:spacing w:line="480" w:lineRule="auto"/>
      </w:pPr>
      <w:r w:rsidRPr="0083145E">
        <w:t>2.2.2 Modern pollen rain</w:t>
      </w:r>
    </w:p>
    <w:p w14:paraId="3ADB2DDD" w14:textId="3764A904" w:rsidR="0027144E" w:rsidRPr="0083145E" w:rsidRDefault="0027144E" w:rsidP="004F4229">
      <w:pPr>
        <w:pStyle w:val="Mynormal"/>
      </w:pPr>
      <w:r w:rsidRPr="0083145E">
        <w:t>Using moss polsters to study modern pollen rain has been widely used and recognized as a reliable technique</w:t>
      </w:r>
      <w:r w:rsidR="00BF0B04" w:rsidRPr="0083145E">
        <w:t xml:space="preserve"> </w:t>
      </w:r>
      <w:r w:rsidR="00BF0B04" w:rsidRPr="0083145E">
        <w:fldChar w:fldCharType="begin" w:fldLock="1"/>
      </w:r>
      <w:r w:rsidR="005A4773">
        <w:instrText>ADDIN CSL_CITATION {"citationItems":[{"id":"ITEM-1","itemData":{"abstract":"The present study is a first attempt at applying the pollentrap method in the Central Stara Planina Mts by investigating the relationship between pollen assemblages and source vegetation. Five pollen traps were placed in Mt Shipchenska for four consecutive years (2002–2005). Moss samples were also collected from the immediate vicinity of the traps. The values obtained for the pollen traps are presented in percent and compared for each of the four years and with the values obtained for the moss samples. The results of the pollen traps are presented also as Pollen Accumulation Rate (grains cm -2 yr -1). They indicate that the Pinus pollen is overrepresented in the pollen traps and in the moss samples, but the moss samples show higher Pinus and Picea percentage than the pollen traps, probably due to the different type of collection and preservation of pollen grains. The cyclicity of the Fagus pollen productivity explains the variation in Fagus values in the pollen spectra. The higher pollen accumulation in the 2002/2003 pollen traps for Quercus, Corylus, and Betula indicates more favourable climatic conditions and more intensive flowering in 2003.","author":[{"dropping-particle":"","family":"Atanassova","given":"Juliana R","non-dropping-particle":"","parse-names":false,"suffix":""}],"container-title":"Phytologia Balcanica","id":"ITEM-1","issue":"2","issued":{"date-parts":[["2007"]]},"page":"223-228","title":"Pollen deposition in moss polsters and pollen traps in the Central Stara Planina Mts (2002–2005)","type":"article-journal","volume":"13"},"uris":["http://www.mendeley.com/documents/?uuid=db0413d8-3410-3d98-a3d1-3284a24d8051"]},{"id":"ITEM-2","itemData":{"DOI":"10.1111/j.1469-8137.1989.tb04224.x","ISBN":"0028-646X","ISSN":"14698137","author":[{"dropping-particle":"","family":"Caseldine","given":"C. J.","non-dropping-particle":"","parse-names":false,"suffix":""}],"container-title":"New Phytologist","id":"ITEM-2","issue":"1","issued":{"date-parts":[["1989","1"]]},"page":"105-118","publisher":"Wiley/Blackwell (10.1111)","title":"Pollen assemblage–plant community relationships on the Storbreen glacier foreland, Jotunheimen Mountains, southern Norway","type":"article-journal","volume":"111"},"uris":["http://www.mendeley.com/documents/?uuid=b28ccf1e-f601-30c5-951c-7e281611b155"]},{"id":"ITEM-3","itemData":{"DOI":"10.1111/j.1469-8137.1977.tb02176.x","ISSN":"14698137","author":[{"dropping-particle":"","family":"Hicks","given":"Sheila","non-dropping-particle":"","parse-names":false,"suffix":""}],"container-title":"New Phytologist","id":"ITEM-3","issue":"3","issued":{"date-parts":[["1977","5"]]},"page":"715-734","publisher":"Wiley/Blackwell (10.1111)","title":"Modern pollen rain in Finnish Lapland investigated by analysis of surface moss samples","type":"article-journal","volume":"78"},"uris":["http://www.mendeley.com/documents/?uuid=dc100b57-c999-3b07-a9f0-8f822f1bbcbb"]},{"id":"ITEM-4","itemData":{"DOI":"10.1127/0340-269X/2010/0040-0430","ISSN":"0340-269X","author":[{"dropping-particle":"","family":"López-Sáez","given":"José Antonio","non-dropping-particle":"","parse-names":false,"suffix":""},{"dropping-particle":"","family":"Alba-Sánchez","given":"Francisca","non-dropping-particle":"","parse-names":false,"suffix":""},{"dropping-particle":"","family":"López-Merino","given":"Lourdes","non-dropping-particle":"","parse-names":false,"suffix":""},{"dropping-particle":"","family":"Pérez-Díaz","given":"Sebastián","non-dropping-particle":"","parse-names":false,"suffix":""}],"container-title":"Phytocoenologia","id":"ITEM-4","issue":"1","issued":{"date-parts":[["2010","5","21"]]},"page":"57-72","title":"Modern pollen analysis: a reliable tool for discriminating Quercus rotundifolia communities in Central Spain","type":"article-journal","volume":"40"},"uris":["http://www.mendeley.com/documents/?uuid=52d2544d-fca0-3a84-9651-379cd168e93b"]},{"id":"ITEM-5","itemData":{"DOI":"10.1177/0959683606069422","ISSN":"0959-6836","abstract":"The relationship between vegetation and surface pollen deposition is examined at Storbreen glacier foreland where a clear plant succession exists. The aim is to determine whether the distinct plant communities present produce characteristic pollen assemblages. The influence of environmental factors is also considered. Pollen assemblages from moss polsters, collected from 22 paired sampling sites across the foreland, are compared with local vegetation. Two-way indicator species analysis and detrended correspondence analysis are employed to identify clusters and sequences, initially in the vegetation data and subsequently in the pollen data sets. Vegetation and pollen data are compared simultaneously using canonical correspondence analysis. Three main plant communities are distinguished: pioneer, heath and snowbed. Broadly, each community produces characteristic pollen assemblages. Boundaries between groups are not clear-cut, reflecting the mosaic of plant communities present. Recognition of distinct plant ...","author":[{"dropping-particle":"","family":"Pardoe","given":"H. S.","non-dropping-particle":"","parse-names":false,"suffix":""}],"container-title":"The Holocene","id":"ITEM-5","issue":"8","issued":{"date-parts":[["2006","12","27"]]},"page":"1149-1161","publisher":"Sage PublicationsSage CA: Thousand Oaks, CA","title":"Surface pollen deposition on glacier forelands in southern Norway I: local patterns of representation and source area at Storbreen, Jotunheimen","type":"article-journal","volume":"16"},"uris":["http://www.mendeley.com/documents/?uuid=c40b9fa1-2211-3415-a6f2-0bf3724750c7"]},{"id":"ITEM-6","itemData":{"DOI":"10.1007/s00334-010-0258-y","ISSN":"0939-6314","author":[{"dropping-particle":"","family":"Pardoe","given":"Heather S.","non-dropping-particle":"","parse-names":false,"suffix":""},{"dropping-particle":"","family":"Giesecke","given":"Thomas","non-dropping-particle":"","parse-names":false,"suffix":""},{"dropping-particle":"","family":"Knaap","given":"Willem O.","non-dropping-particle":"van der","parse-names":false,"suffix":""},{"dropping-particle":"","family":"Svitavská-Svobodová","given":"Helena","non-dropping-particle":"","parse-names":false,"suffix":""},{"dropping-particle":"V.","family":"Kvavadze","given":"Eliso","non-dropping-particle":"","parse-names":false,"suffix":""},{"dropping-particle":"","family":"Panajiotidis","given":"Sampson","non-dropping-particle":"","parse-names":false,"suffix":""},{"dropping-particle":"","family":"Gerasimidis","given":"Achilles","non-dropping-particle":"","parse-names":false,"suffix":""},{"dropping-particle":"","family":"Pidek","given":"Irena A.","non-dropping-particle":"","parse-names":false,"suffix":""},{"dropping-particle":"","family":"Zimny","given":"Marcelina","non-dropping-particle":"","parse-names":false,"suffix":""},{"dropping-particle":"","family":"Święta-Musznicka","given":"Joanna","non-dropping-particle":"","parse-names":false,"suffix":""},{"dropping-particle":"","family":"Latałowa","given":"Małgorzata","non-dropping-particle":"","parse-names":false,"suffix":""},{"dropping-particle":"","family":"Noryśkiewicz","given":"Agnieszka M.","non-dropping-particle":"","parse-names":false,"suffix":""},{"dropping-particle":"","family":"Bozilova","given":"Elissaveta","non-dropping-particle":"","parse-names":false,"suffix":""},{"dropping-particle":"","family":"Tonkov","given":"Spassimir","non-dropping-particle":"","parse-names":false,"suffix":""},{"dropping-particle":"V.","family":"Filipova-Marinova","given":"Mariana","non-dropping-particle":"","parse-names":false,"suffix":""},{"dropping-particle":"","family":"Leeuwen","given":"Jacqueline F. N.","non-dropping-particle":"van","parse-names":false,"suffix":""},{"dropping-particle":"","family":"Kalniņa","given":"Laimdota","non-dropping-particle":"","parse-names":false,"suffix":""}],"container-title":"Vegetation History and Archaeobotany","id":"ITEM-6","issue":"4","issued":{"date-parts":[["2010","8","11"]]},"page":"271-283","publisher":"Springer-Verlag","title":"Comparing pollen spectra from modified Tauber traps and moss samples: examples from a selection of woodlands across Europe","type":"article-journal","volume":"19"},"uris":["http://www.mendeley.com/documents/?uuid=4dc0ad83-cadd-3c1e-b933-6f1828154680"]},{"id":"ITEM-7","itemData":{"DOI":"10.1016/S0034-6667(01)00085-9","ISSN":"0034-6667","abstract":"Modern pollen deposition is monitored for the Central Rila Mountains, Southwestern Bulgaria, by means of pollen traps, moss samples and lake surface sediments. Results are presented for three sampling sites from different vegetation belts along an altitudinal transect (1000–1900m) for a seven-year period of observations (1993–1999). Both the annual influx and percentage values of the main arboreal and non-arboreal taxa are presented and discussed in relation to pollen production and dispersal distance. The greatest proportion of the pollen being deposited originates from Pinus diploxylon-type (P. sylvestris and P. mugo) irrespective of its abundance in the local vegetation. The influx values of the endemic Balkan species Pinus peuce (Pinus haploxylon-type pollen) are several times lower than those of P. diploxylon-type. Abies alba and Picea abies have a representation in the deposited pollen assemblage which is comparable with the distribution and abundance of those species in the surrounding vegetation. Although the monitoring series is too short to confirm it, the cyclical flowering of Fagus sylvatica seems to be reflected in the trap results. The amount of pollen of low altitude species, which is deposited in the sub-alpine zone is very high. The data obtained from the different depositional media are compared. That the moss samples reflect pollen deposition from more than one year is evidenced by the absence of the distinct peak years seen in the trap results. In the light of these results the interpretation of previously analysed fossil pollen assemblages from the same study area may need to be revised.","author":[{"dropping-particle":"","family":"Tonkov","given":"Spassimi</w:instrText>
      </w:r>
      <w:r w:rsidR="005A4773" w:rsidRPr="004C4948">
        <w:instrText>r","non-dropping-particle":"","parse-names":false,"suffix":""},{"dropping-particle":"","family":"Hicks","given":"Sheila","non-dropping-particle":"","parse-names":false,"suffix":""},{"dropping-particle":"","family":"Bozilova","given":"Elissaveta","non-dropping-particle":"","parse-names":false,"suffix":""},{"dropping-particle":"","family":"Atanassova","given":"Juliana","non-dropping-particle":"","parse-names":false,"suffix":""}],"container-title":"Review of Palaeobotany and Palynology","id":"ITEM-7","issue":"1-3","issued":{"date-parts":[["2001","10","1"]]},"page":"167-182","publisher":"Elsevier","title":"Pollen monitoring in the central Rila Mountains, Southwestern Bulgaria: comparisons between pollen traps and surface samples for the period 1993–1999","type":"article-journal","volume":"117"},"uris":["http://www.mendeley.com/documents/?uuid=7d2d8306-40c6-329b-82bc-7b37aabac6fc"]}],"mendeley":{"formattedCitation":"(Atanassova, 2007; Caseldine, 1989; Hicks, 1977; López-Sáez et al., 2010; Pardoe, 2006; Pardoe et al., 2010; Tonkov et al., 2001)","plainTextFormattedCitation":"(Atanassova, 2007; Caseldine, 1989; Hicks, 1977; López-Sáez et al., 2010; Pardoe, 2006; Pardoe et al., 2010; Tonkov et al., 2001)","previouslyFormattedCitation":"(Atanassova, 2007; Caseldine, 1989; Hicks, 1977; López-Sáez et al., 2010; Pardoe, 2006; Pardoe et al., 2010; Tonkov et al., 2001)"},"properties":{"noteIndex":0},"schema":"https://github.com/citation-style-language/schema/raw/master/csl-citation.json"}</w:instrText>
      </w:r>
      <w:r w:rsidR="00BF0B04" w:rsidRPr="0083145E">
        <w:fldChar w:fldCharType="separate"/>
      </w:r>
      <w:r w:rsidR="00BF0B04" w:rsidRPr="004C4948">
        <w:rPr>
          <w:noProof/>
        </w:rPr>
        <w:t>(Atanassova, 2007; Caseldine, 1989; Hicks, 1977; López-Sáez et al., 2010; Pardoe, 2006; Pardoe et al., 2010; Tonkov et al., 2001)</w:t>
      </w:r>
      <w:r w:rsidR="00BF0B04" w:rsidRPr="0083145E">
        <w:fldChar w:fldCharType="end"/>
      </w:r>
      <w:r w:rsidR="007A15E8" w:rsidRPr="004C4948">
        <w:t>.</w:t>
      </w:r>
      <w:r w:rsidRPr="004C4948">
        <w:t xml:space="preserve"> </w:t>
      </w:r>
      <w:r w:rsidR="007A15E8">
        <w:t>M</w:t>
      </w:r>
      <w:r w:rsidRPr="0083145E">
        <w:t>oss polsters can collect several years’ pollen</w:t>
      </w:r>
      <w:r w:rsidR="00BF0B04" w:rsidRPr="0083145E">
        <w:t xml:space="preserve"> </w:t>
      </w:r>
      <w:r w:rsidR="00BF0B04" w:rsidRPr="0083145E">
        <w:fldChar w:fldCharType="begin" w:fldLock="1"/>
      </w:r>
      <w:r w:rsidR="005A4773">
        <w:instrText>ADDIN CSL_CITATION {"citationItems":[{"id":"ITEM-1","itemData":{"DOI":"10.1007/s00334-010-0258-y","ISSN":"0939-6314","author":[{"dropping-particle":"","family":"Pardoe","given":"Heather S.","non-dropping-particle":"","parse-names":false,"suffix":""},{"dropping-particle":"","family":"Giesecke","given":"Thomas","non-dropping-particle":"","parse-names":false,"suffix":""},{"dropping-particle":"","family":"Knaap","given":"Willem O.","non-dropping-particle":"van der","parse-names":false,"suffix":""},{"dropping-particle":"","family":"Svitavská-Svobodová","given":"Helena","non-dropping-particle":"","parse-names":false,"suffix":""},{"dropping-particle":"V.","family":"Kvavadze","given":"Eliso","non-dropping-particle":"","parse-names":false,"suffix":""},{"dropping-particle":"","family":"Panajiotidis","given":"Sampson","non-dropping-particle":"","parse-names":false,"suffix":""},{"dropping-particle":"","family":"Gerasimidis","given":"Achilles","non-dropping-particle":"","parse-names":false,"suffix":""},{"dropping-particle":"","family":"Pidek","given":"Irena A.","non-dropping-particle":"","parse-names":false,"suffix":""},{"dropping-particle":"","family":"Zimny","given":"Marcelina","non-dropping-particle":"","parse-names":false,"suffix":""},{"dropping-particle":"","family":"Święta-Musznicka","given":"Joanna","non-dropping-particle":"","parse-names":false,"suffix":""},{"dropping-particle":"","family":"Latałowa","given":"Małgorzata","non-dropping-particle":"","parse-names":false,"suffix":""},{"dropping-particle":"","family":"Noryśkiewicz","given":"Agnieszka M.","non-dropping-particle":"","parse-names":false,"suffix":""},{"dropping-particle":"","family":"Bozilova","given":"Elissaveta","non-dropping-particle":"","parse-names":false,"suffix":""},{"dropping-particle":"","family":"Tonkov","given":"Spassimir","non-dropping-particle":"","parse-names":false,"suffix":""},{"dropping-particle":"V.","family":"Filipova-Marinova","given":"Mariana","non-dropping-particle":"","parse-names":false,"suffix":""},{"dropping-particle":"","family":"Leeuwen","given":"Jacqueline F. N.","non-dropping-particle":"van","parse-names":false,"suffix":""},{"dropping-particle":"","family":"Kalniņa","given":"Laimdota","non-dropping-particle":"","parse-names":false,"suffix":""}],"container-title":"Vegetation History and Archaeobotany","id":"ITEM-1","issue":"4","issued":{"date-parts":[["2010","8","11"]]},"page":"271-283","publisher":"Springer-Verlag","title":"Comparing pollen spectra from modified Tauber traps and moss samples: examples from a selection of woodlands across Europe","type":"article-journal","volume":"19"},"uris":["http://www.mendeley.com/documents/?uuid=4dc0ad83-cadd-3c1e-b933-6f1828154680"]}],"mendeley":{"formattedCitation":"(Pardoe et al., 2010)","plainTextFormattedCitation":"(Pardoe et al., 2010)","previouslyFormattedCitation":"(Pardoe et al., 2010)"},"properties":{"noteIndex":0},"schema":"https://github.com/citation-style-language/schema/raw/master/csl-citation.json"}</w:instrText>
      </w:r>
      <w:r w:rsidR="00BF0B04" w:rsidRPr="0083145E">
        <w:fldChar w:fldCharType="separate"/>
      </w:r>
      <w:r w:rsidR="00BF0B04" w:rsidRPr="0083145E">
        <w:rPr>
          <w:noProof/>
        </w:rPr>
        <w:t>(Pardoe et al., 2010)</w:t>
      </w:r>
      <w:r w:rsidR="00BF0B04" w:rsidRPr="0083145E">
        <w:fldChar w:fldCharType="end"/>
      </w:r>
      <w:r w:rsidRPr="0083145E">
        <w:t xml:space="preserve">, </w:t>
      </w:r>
      <w:r w:rsidR="006A3052" w:rsidRPr="0083145E">
        <w:t xml:space="preserve">occur naturally within the forest on different substrates and at varied heights </w:t>
      </w:r>
      <w:r w:rsidR="00C33CF3">
        <w:t>(</w:t>
      </w:r>
      <w:r w:rsidR="006A3052" w:rsidRPr="0083145E">
        <w:t xml:space="preserve">allowing for </w:t>
      </w:r>
      <w:r w:rsidR="007B1CEC">
        <w:t>effective capture of pollen rain</w:t>
      </w:r>
      <w:r w:rsidR="00C33CF3">
        <w:t>)</w:t>
      </w:r>
      <w:r w:rsidR="006A3052" w:rsidRPr="0083145E">
        <w:t xml:space="preserve"> </w:t>
      </w:r>
      <w:r w:rsidR="006A3052">
        <w:t>and</w:t>
      </w:r>
      <w:r w:rsidRPr="0083145E">
        <w:t xml:space="preserve"> do not need to be installed and managed before analysis</w:t>
      </w:r>
      <w:r w:rsidR="00BF0B04" w:rsidRPr="0083145E">
        <w:t xml:space="preserve"> </w:t>
      </w:r>
      <w:r w:rsidR="00BF0B04" w:rsidRPr="0083145E">
        <w:fldChar w:fldCharType="begin" w:fldLock="1"/>
      </w:r>
      <w:r w:rsidR="005A4773">
        <w:instrText>ADDIN CSL_CITATION {"citationItems":[{"id":"ITEM-1","itemData":{"DOI":"10.1080/00173138509431005","ISSN":"0017-3134","abstract":"Abstract Seasonal and annual pollen deposition values are presented for a two year period 1969–71 from a series of local vegetation types within the boreal forest area of Kuusamo, Finland. Seasonal variation is seen to be closely related to time of flowering. Annual variation is marked, particularly in the case of Picea and Betula. The representation of non-local species is more constant both from site to site and from year to year but seasonal variation is noticeable. In any applications of these modern deposition values to the interpretation of fossil assemblages the time of commencement of the sampling year and the number of years for which results are available should be taken into account.","author":[{"dropping-particle":"","family":"Hicks","given":"Sheila","non-dropping-particle":"","parse-names":false,"suffix":""}],"container-title":"Grana","id":"ITEM-1","issue":"3","issued":{"date-parts":[["1985","12"]]},"page":"167-184","publisher":" Taylor &amp; Francis Group ","title":"Modern pollen deposition records from Kuusamo, Finland","type":"article-journal","volume":"24"},"uris":["http://www.mendeley.com/documents/?uuid=2d073b51-891d-37be-8fd9-31fa86fb7f32"]}],"mendeley":{"formattedCitation":"(Hicks, 1985)","plainTextFormattedCitation":"(Hicks, 1985)","previouslyFormattedCitation":"(Hicks, 1985)"},"properties":{"noteIndex":0},"schema":"https://github.com/citation-style-language/schema/raw/master/csl-citation.json"}</w:instrText>
      </w:r>
      <w:r w:rsidR="00BF0B04" w:rsidRPr="0083145E">
        <w:fldChar w:fldCharType="separate"/>
      </w:r>
      <w:r w:rsidR="00BF0B04" w:rsidRPr="0083145E">
        <w:rPr>
          <w:noProof/>
        </w:rPr>
        <w:t>(Hicks, 1985)</w:t>
      </w:r>
      <w:r w:rsidR="00BF0B04" w:rsidRPr="0083145E">
        <w:fldChar w:fldCharType="end"/>
      </w:r>
      <w:r w:rsidR="00BF0B04" w:rsidRPr="0083145E">
        <w:t>.</w:t>
      </w:r>
      <w:r w:rsidRPr="0083145E">
        <w:t xml:space="preserve"> Moss polsters were gathered every 10 m along the 50</w:t>
      </w:r>
      <w:r w:rsidR="00EA201E">
        <w:t xml:space="preserve"> </w:t>
      </w:r>
      <w:r w:rsidRPr="0083145E">
        <w:t>m length of each forest inventory plot surveyed. At each collection point, polsters were obtained from ground</w:t>
      </w:r>
      <w:r w:rsidR="007D3E4D">
        <w:t xml:space="preserve"> level</w:t>
      </w:r>
      <w:r w:rsidRPr="0083145E">
        <w:t xml:space="preserve"> (including rocks), chest</w:t>
      </w:r>
      <w:r w:rsidR="00FA2F2F">
        <w:t xml:space="preserve"> </w:t>
      </w:r>
      <w:r w:rsidR="007D3E4D">
        <w:t>height</w:t>
      </w:r>
      <w:r w:rsidRPr="0083145E">
        <w:t xml:space="preserve"> (1.20</w:t>
      </w:r>
      <w:r w:rsidR="00F20527">
        <w:t xml:space="preserve"> </w:t>
      </w:r>
      <w:r w:rsidRPr="0083145E">
        <w:t>m) and overhead (1.80</w:t>
      </w:r>
      <w:r w:rsidR="00F20527">
        <w:t xml:space="preserve"> </w:t>
      </w:r>
      <w:r w:rsidRPr="0083145E">
        <w:t xml:space="preserve">m). The samples for each point of collection were mixed to form one homogeneous sample for each plot </w:t>
      </w:r>
      <w:r w:rsidR="00BF0B04" w:rsidRPr="0083145E">
        <w:fldChar w:fldCharType="begin" w:fldLock="1"/>
      </w:r>
      <w:r w:rsidR="005A4773">
        <w:instrText>ADDIN CSL_CITATION {"citationItems":[{"id":"ITEM-1","itemData":{"DOI":"10.1007/s00334-010-0258-y","ISSN":"0939-6314","author":[{"dropping-particle":"","family":"Pardoe","given":"Heather S.","non-dropping-particle":"","parse-names":false,"suffix":""},{"dropping-particle":"","family":"Giesecke","given":"Thomas","non-dropping-particle":"","parse-names":false,"suffix":""},{"dropping-particle":"","family":"Knaap","given":"Willem O.","non-dropping-particle":"van der","parse-names":false,"suffix":""},{"dropping-particle":"","family":"Svitavská-Svobodová","given":"Helena","non-dropping-particle":"","parse-names":false,"suffix":""},{"dropping-particle":"V.","family":"Kvavadze","given":"Eliso","non-dropping-particle":"","parse-names":false,"suffix":""},{"dropping-particle":"","family":"Panajiotidis","given":"Sampson","non-dropping-particle":"","parse-names":false,"suffix":""},{"dropping-particle":"","family":"Gerasimidis","given":"Achilles","non-dropping-particle":"","parse-names":false,"suffix":""},{"dropping-particle":"","family":"Pidek","given":"Irena A.","non-dropping-particle":"","parse-names":false,"suffix":""},{"dropping-particle":"","family":"Zimny","given":"Marcelina","non-dropping-particle":"","parse-names":false,"suffix":""},{"dropping-particle":"","family":"Święta-Musznicka","given":"Joanna","non-dropping-particle":"","parse-names":false,"suffix":""},{"dropping-particle":"","family":"Latałowa","given":"Małgorzata","non-dropping-particle":"","parse-names":false,"suffix":""},{"dropping-particle":"","family":"Noryśkiewicz","given":"Agnieszka M.","non-dropping-particle":"","parse-names":false,"suffix":""},{"dropping-particle":"","family":"Bozilova","given":"Elissaveta","non-dropping-particle":"","parse-names":false,"suffix":""},{"dropping-particle":"","family":"Tonkov","given":"Spassimir","non-dropping-particle":"","parse-names":false,"suffix":""},{"dropping-particle":"V.","family":"Filipova-Marinova","given":"Mariana","non-dropping-particle":"","parse-names":false,"suffix":""},{"dropping-particle":"","family":"Leeuwen","given":"Jacqueline F. N.","non-dropping-particle":"van","parse-names":false,"suffix":""},{"dropping-particle":"","family":"Kalniņa","given":"Laimdota","non-dropping-particle":"","parse-names":false,"suffix":""}],"container-title":"Vegetation History and Archaeobotany","id":"ITEM-1","issue":"4","issued":{"date-parts":[["2010","8","11"]]},"page":"271-283","publisher":"Springer-Verlag","title":"Comparing pollen spectra from modified Tauber traps and moss samples: examples from a selection of woodlands across Europe","type":"article-journal","volume":"19"},"prefix":"following","uris":["http://www.mendeley.com/documents/?uuid=4dc0ad83-cadd-3c1e-b933-6f1828154680"]}],"mendeley":{"formattedCitation":"(following Pardoe et al., 2010)","plainTextFormattedCitation":"(following Pardoe et al., 2010)","previouslyFormattedCitation":"(following Pardoe et al., 2010)"},"properties":{"noteIndex":0},"schema":"https://github.com/citation-style-language/schema/raw/master/csl-citation.json"}</w:instrText>
      </w:r>
      <w:r w:rsidR="00BF0B04" w:rsidRPr="0083145E">
        <w:fldChar w:fldCharType="separate"/>
      </w:r>
      <w:r w:rsidR="00BF0B04" w:rsidRPr="0083145E">
        <w:rPr>
          <w:noProof/>
        </w:rPr>
        <w:t>(following Pardoe et al., 2010)</w:t>
      </w:r>
      <w:r w:rsidR="00BF0B04" w:rsidRPr="0083145E">
        <w:fldChar w:fldCharType="end"/>
      </w:r>
      <w:r w:rsidRPr="0083145E">
        <w:t>, placed in a labelled, sealed plastic bag, and stored at 4</w:t>
      </w:r>
      <w:r w:rsidRPr="0083145E">
        <w:rPr>
          <w:vertAlign w:val="superscript"/>
        </w:rPr>
        <w:t>o</w:t>
      </w:r>
      <w:r w:rsidRPr="0083145E">
        <w:t>C to preserve the material.</w:t>
      </w:r>
    </w:p>
    <w:p w14:paraId="3B40BBF5" w14:textId="77777777" w:rsidR="00BF0B04" w:rsidRPr="0083145E" w:rsidRDefault="00BF0B04" w:rsidP="004F4229">
      <w:pPr>
        <w:pStyle w:val="Heading2"/>
        <w:spacing w:line="480" w:lineRule="auto"/>
      </w:pPr>
      <w:r w:rsidRPr="0083145E">
        <w:t>2.3. Laboratory methods</w:t>
      </w:r>
    </w:p>
    <w:p w14:paraId="3D776E03" w14:textId="4D7A49C9" w:rsidR="00BF0B04" w:rsidRPr="0083145E" w:rsidRDefault="00BF0B04" w:rsidP="004F4229">
      <w:pPr>
        <w:pStyle w:val="Mynormal"/>
      </w:pPr>
      <w:r w:rsidRPr="0083145E">
        <w:t>Subsamples of 1</w:t>
      </w:r>
      <w:r w:rsidR="00F20527">
        <w:t xml:space="preserve"> </w:t>
      </w:r>
      <w:r w:rsidRPr="0083145E">
        <w:t>cm</w:t>
      </w:r>
      <w:r w:rsidRPr="0083145E">
        <w:rPr>
          <w:vertAlign w:val="superscript"/>
        </w:rPr>
        <w:t>3</w:t>
      </w:r>
      <w:r w:rsidRPr="0083145E">
        <w:t xml:space="preserve"> were extracted from each homogenised sample for pollen processing. Each subsample was centrifuged, washed with </w:t>
      </w:r>
      <w:r w:rsidR="007B1CEC">
        <w:t xml:space="preserve">distilled </w:t>
      </w:r>
      <w:r w:rsidRPr="0083145E">
        <w:t xml:space="preserve">water, centrifuged again, then treated with 10% NaOH and put in a hot-water bath to deflocculate the organics. Afterwards, acetolysis was carried out in the samples to dissolve cellulose material </w:t>
      </w:r>
      <w:r w:rsidR="00CA0B20" w:rsidRPr="0083145E">
        <w:fldChar w:fldCharType="begin" w:fldLock="1"/>
      </w:r>
      <w:r w:rsidR="005A4773">
        <w:instrText>ADDIN CSL_CITATION {"citationItems":[{"id":"ITEM-1","itemData":{"ISBN":"0471937193","author":[{"dropping-particle":"","family":"Faegri","given":"K","non-dropping-particle":"","parse-names":false,"suffix":""},{"dropping-particle":"","family":"Iversen","given":"J","non-dropping-particle":"","parse-names":false,"suffix":""}],"container-title":"Textbook of pollen analysis","edition":"4","id":"ITEM-1","issued":{"date-parts":[["1989"]]},"publisher":"John Wiley &amp; Sons Ltd.","publisher-place":"Chichester, UK","title":"Textbook of Pollen Analysis","type":"book"},"uris":["http://www.mendeley.com/documents/?uuid=a3ab1a63-a41c-38aa-ba99-5869fd5a2d1c"]}],"mendeley":{"formattedCitation":"(Faegri and Iversen, 1989)","plainTextFormattedCitation":"(Faegri and Iversen, 1989)","previouslyFormattedCitation":"(Faegri and Iversen, 1989)"},"properties":{"noteIndex":0},"schema":"https://github.com/citation-style-language/schema/raw/master/csl-citation.json"}</w:instrText>
      </w:r>
      <w:r w:rsidR="00CA0B20" w:rsidRPr="0083145E">
        <w:fldChar w:fldCharType="separate"/>
      </w:r>
      <w:r w:rsidR="00CA0B20" w:rsidRPr="0083145E">
        <w:rPr>
          <w:noProof/>
        </w:rPr>
        <w:t>(Faegri and Iversen, 1989)</w:t>
      </w:r>
      <w:r w:rsidR="00CA0B20" w:rsidRPr="0083145E">
        <w:fldChar w:fldCharType="end"/>
      </w:r>
      <w:r w:rsidRPr="0083145E">
        <w:t xml:space="preserve">. </w:t>
      </w:r>
    </w:p>
    <w:p w14:paraId="29C431EC" w14:textId="638274C8" w:rsidR="00BF0B04" w:rsidRPr="0083145E" w:rsidRDefault="00BF0B04" w:rsidP="004F4229">
      <w:pPr>
        <w:pStyle w:val="Mynormal"/>
      </w:pPr>
      <w:r w:rsidRPr="0083145E">
        <w:t>Samples were mounted on slides in silicone oil and counted at 400× and 1000× magnification using a Leica DME binocular microscope. Samples were counted to a minimum of 300 terrestrial pollen grains. Aquatic taxa and spores were also counted as is standard practice, but were excluded from the total terrestrial pollen (TTP) sum; non-native species (e.g. pine from recent plantations</w:t>
      </w:r>
      <w:r w:rsidR="007B1CEC">
        <w:t xml:space="preserve"> </w:t>
      </w:r>
      <w:r w:rsidR="00A2648B">
        <w:t>surrounding</w:t>
      </w:r>
      <w:r w:rsidR="007B1CEC">
        <w:t xml:space="preserve"> the reserve</w:t>
      </w:r>
      <w:r w:rsidRPr="0083145E">
        <w:t xml:space="preserve">) were also excluded from the TTP sum. For pollen determination, the </w:t>
      </w:r>
      <w:r w:rsidRPr="0083145E">
        <w:lastRenderedPageBreak/>
        <w:t xml:space="preserve">reference collection of the Tropical Palaeoecology Research Group of the University of Reading was used, </w:t>
      </w:r>
      <w:r w:rsidR="00284F9C">
        <w:t xml:space="preserve">along with several pollen atlases – </w:t>
      </w:r>
      <w:r w:rsidRPr="0083145E">
        <w:t xml:space="preserve">Colinvaux et al. </w:t>
      </w:r>
      <w:r w:rsidR="00513330" w:rsidRPr="0083145E">
        <w:fldChar w:fldCharType="begin" w:fldLock="1"/>
      </w:r>
      <w:r w:rsidR="005A4773">
        <w:instrText>ADDIN CSL_CITATION {"citationItems":[{"id":"ITEM-1","itemData":{"ISBN":"978-0-203-30517-1","abstract":"Amazon will prove a powerful tool for ecologists and climate modelers. It also contains brief reviews of pioneering pollen work in the Amazon to date; sections on pollen methods, pollen statistics, paleoecology, and lake coring methods.","author":[{"dropping-particle":"","family":"Colinvaux","given":"Paul","non-dropping-particle":"","parse-names":false,"suffix":""},{"dropping-particle":"de","family":"Oliveira","given":"Paulo Eduardo","non-dropping-particle":"","parse-names":false,"suffix":""},{"dropping-particle":"","family":"Moreno Patiño","given":"Jorge Enrique","non-dropping-particle":"","parse-names":false,"suffix":""}],"id":"ITEM-1","issued":{"date-parts":[["1999"]]},"number-of-pages":"332","publisher":"Harwood Academic Publishers","title":"Amazon pollen manual and atlas","type":"book"},"suppress-author":1,"uris":["http://www.mendeley.com/documents/?uuid=79efd3bb-16f3-3eea-a6a2-517471af4a63"]}],"mendeley":{"formattedCitation":"(1999)","plainTextFormattedCitation":"(1999)","previouslyFormattedCitation":"(1999)"},"properties":{"noteIndex":0},"schema":"https://github.com/citation-style-language/schema/raw/master/csl-citation.json"}</w:instrText>
      </w:r>
      <w:r w:rsidR="00513330" w:rsidRPr="0083145E">
        <w:fldChar w:fldCharType="separate"/>
      </w:r>
      <w:r w:rsidR="00513330" w:rsidRPr="0083145E">
        <w:rPr>
          <w:noProof/>
        </w:rPr>
        <w:t>(1999)</w:t>
      </w:r>
      <w:r w:rsidR="00513330" w:rsidRPr="0083145E">
        <w:fldChar w:fldCharType="end"/>
      </w:r>
      <w:r w:rsidRPr="0083145E">
        <w:t>, Hooghiemstra</w:t>
      </w:r>
      <w:r w:rsidR="00513330" w:rsidRPr="0083145E">
        <w:t xml:space="preserve"> </w:t>
      </w:r>
      <w:r w:rsidR="00513330" w:rsidRPr="0083145E">
        <w:fldChar w:fldCharType="begin" w:fldLock="1"/>
      </w:r>
      <w:r w:rsidR="005A4773">
        <w:instrText>ADDIN CSL_CITATION {"citationItems":[{"id":"ITEM-1","itemData":{"ISBN":"3768214044","author":[{"dropping-particle":"","family":"Hooghiemstra","given":"Henry.","non-dropping-particle":"","parse-names":false,"suffix":""}],"container-title":"Dissertationes Botanicae","id":"ITEM-1","issued":{"date-parts":[["1984"]]},"language":"English","number-of-pages":"368","publisher":"J. Cramer","title":"Vegetational and climatic history of the high plain of Bogota, Colombia: a continuous record of the last 3.5 million years","type":"book","volume":"79"},"suppress-author":1,"uris":["http://www.mendeley.com/documents/?uuid=eb699fd6-fe77-4abc-a246-2a937b0d496e"]}],"mendeley":{"formattedCitation":"(1984)","plainTextFormattedCitation":"(1984)","previouslyFormattedCitation":"(1984)"},"properties":{"noteIndex":0},"schema":"https://github.com/citation-style-language/schema/raw/master/csl-citation.json"}</w:instrText>
      </w:r>
      <w:r w:rsidR="00513330" w:rsidRPr="0083145E">
        <w:fldChar w:fldCharType="separate"/>
      </w:r>
      <w:r w:rsidR="00513330" w:rsidRPr="0083145E">
        <w:rPr>
          <w:noProof/>
        </w:rPr>
        <w:t>(1984)</w:t>
      </w:r>
      <w:r w:rsidR="00513330" w:rsidRPr="0083145E">
        <w:fldChar w:fldCharType="end"/>
      </w:r>
      <w:r w:rsidRPr="0083145E">
        <w:t xml:space="preserve">, Roubik and Moreno </w:t>
      </w:r>
      <w:r w:rsidR="00513330" w:rsidRPr="0083145E">
        <w:fldChar w:fldCharType="begin" w:fldLock="1"/>
      </w:r>
      <w:r w:rsidR="005A4773">
        <w:instrText>ADDIN CSL_CITATION {"citationItems":[{"id":"ITEM-1","itemData":{"author":[{"dropping-particle":"","family":"Roubik","given":"D W","non-dropping-particle":"","parse-names":false,"suffix":""},{"dropping-particle":"","family":"Moreno","given":"J E","non-dropping-particle":"","parse-names":false,"suffix":""}],"container-title":"Monographs in Systematic Botany","id":"ITEM-1","issued":{"date-parts":[["1991"]]},"publisher":"Missouri Botanical Garden","publisher-place":"St. Louis, MO, USA","title":"Pollen and spores of Barro Colorado Island (Panama)","type":"book"},"suppress-author":1,"uris":["http://www.mendeley.com/documents/?uuid=3ea04747-3642-45d5-a1e9-f2bc255927d1"]}],"mendeley":{"formattedCitation":"(1991)","plainTextFormattedCitation":"(1991)","previouslyFormattedCitation":"(1991)"},"properties":{"noteIndex":0},"schema":"https://github.com/citation-style-language/schema/raw/master/csl-citation.json"}</w:instrText>
      </w:r>
      <w:r w:rsidR="00513330" w:rsidRPr="0083145E">
        <w:fldChar w:fldCharType="separate"/>
      </w:r>
      <w:r w:rsidR="00513330" w:rsidRPr="0083145E">
        <w:rPr>
          <w:noProof/>
        </w:rPr>
        <w:t>(1991)</w:t>
      </w:r>
      <w:r w:rsidR="00513330" w:rsidRPr="0083145E">
        <w:fldChar w:fldCharType="end"/>
      </w:r>
      <w:r w:rsidR="00513330" w:rsidRPr="0083145E">
        <w:t xml:space="preserve">, Behling </w:t>
      </w:r>
      <w:r w:rsidR="00513330" w:rsidRPr="0083145E">
        <w:fldChar w:fldCharType="begin" w:fldLock="1"/>
      </w:r>
      <w:r w:rsidR="005A4773">
        <w:instrText>ADDIN CSL_CITATION {"citationItems":[{"id":"ITEM-1","itemData":{"ISBN":"9783443641184","abstract":"One folded map inserted in back pocket.","author":[{"dropping-particle":"","family":"Behling","given":"Hermann","non-dropping-particle":"","parse-names":false,"suffix":""}],"container-title":"Dissertationes Botanicae","id":"ITEM-1","issued":{"date-parts":[["1993"]]},"number-of-pages":"149","publisher":"J. Cramer","publisher-place":"Stuttgart, Germany","title":"Untersuchungen zur Spatpleistozänen und Holozänen Vegetations- und Klimageschichte der Tropischen Kustenwalder und der Araukarienwälder in Santa Catarina (Sudbrasilien)","type":"thesis","volume":"206"},"suppress-author":1,"uris":["http://www.mendeley.com/documents/?uuid=b531aefe-2848-35b3-986a-629578f80cca"]}],"mendeley":{"formattedCitation":"(1993)","plainTextFormattedCitation":"(1993)","previouslyFormattedCitation":"(1993)"},"properties":{"noteIndex":0},"schema":"https://github.com/citation-style-language/schema/raw/master/csl-citation.json"}</w:instrText>
      </w:r>
      <w:r w:rsidR="00513330" w:rsidRPr="0083145E">
        <w:fldChar w:fldCharType="separate"/>
      </w:r>
      <w:r w:rsidR="00513330" w:rsidRPr="0083145E">
        <w:rPr>
          <w:noProof/>
        </w:rPr>
        <w:t>(1993)</w:t>
      </w:r>
      <w:r w:rsidR="00513330" w:rsidRPr="0083145E">
        <w:fldChar w:fldCharType="end"/>
      </w:r>
      <w:r w:rsidRPr="0083145E">
        <w:t xml:space="preserve"> </w:t>
      </w:r>
      <w:r w:rsidR="00284F9C">
        <w:t xml:space="preserve">– </w:t>
      </w:r>
      <w:r w:rsidRPr="0083145E">
        <w:t xml:space="preserve">and the </w:t>
      </w:r>
      <w:r w:rsidR="00284F9C">
        <w:t xml:space="preserve">online </w:t>
      </w:r>
      <w:r w:rsidRPr="0083145E">
        <w:t xml:space="preserve">Neotropical Pollen Key </w:t>
      </w:r>
      <w:r w:rsidR="00513330" w:rsidRPr="0083145E">
        <w:fldChar w:fldCharType="begin" w:fldLock="1"/>
      </w:r>
      <w:r w:rsidR="005A4773">
        <w:instrText>ADDIN CSL_CITATION {"citationItems":[{"id":"ITEM-1","itemData":{"DOI":"10.1111/j.1365-2699.2006.01645.x","ISSN":"0305-0270","abstract":"We present a multiple-access key and searchable data base to Neotropic that is available as freeware. The data base is based on FileMaker 5 and contains c. 6000 images of &gt;1000 taxa. All pollen images are of acetolysed grains collected from vouchered herbarium specimens. The selection of taxa to be included in the data base is predicated upon their probable occurrence in lake sedimentary re-cords, which in turn was based on their flower structure, sexual mechanisms and ecology. The multiple-access key is a forgiving format as it can be used with incomplete data or where the researcher cannot decide between the choices of-fered. The data base is downloadable and is compatible with both Mac and PC platforms.","author":[{"dropping-particle":"","family":"Bush","given":"Mark B","non-dropping-particle":"","parse-names":false,"suffix":""},{"dropping-particle":"","family":"Weng","given":"Chengyu","non-dropping-particle":"","parse-names":false,"suffix":""}],"container-title":"Journal of Biogeography","id":"ITEM-1","issue":"3","issued":{"date-parts":[["2007","3"]]},"note":"This is the article to cite when using the pollen database","page":"377-380","title":"Introducing a new (freeware) tool for palynology","type":"article-journal","volume":"34"},"uris":["http://www.mendeley.com/documents/?uuid=54094606-0299-379c-acc0-c9012b768397"]}],"mendeley":{"formattedCitation":"(Bush and Weng, 2007)","plainTextFormattedCitation":"(Bush and Weng, 2007)","previouslyFormattedCitation":"(Bush and Weng, 2007)"},"properties":{"noteIndex":0},"schema":"https://github.com/citation-style-language/schema/raw/master/csl-citation.json"}</w:instrText>
      </w:r>
      <w:r w:rsidR="00513330" w:rsidRPr="0083145E">
        <w:fldChar w:fldCharType="separate"/>
      </w:r>
      <w:r w:rsidR="00513330" w:rsidRPr="0083145E">
        <w:rPr>
          <w:noProof/>
        </w:rPr>
        <w:t>(Bush and Weng, 2007)</w:t>
      </w:r>
      <w:r w:rsidR="00513330" w:rsidRPr="0083145E">
        <w:fldChar w:fldCharType="end"/>
      </w:r>
      <w:r w:rsidRPr="0083145E">
        <w:t xml:space="preserve">. Diagrams of vegetation and pollen abundance were made using C2 v.1.7.7 </w:t>
      </w:r>
      <w:r w:rsidRPr="0083145E">
        <w:fldChar w:fldCharType="begin" w:fldLock="1"/>
      </w:r>
      <w:r w:rsidR="005A4773">
        <w:instrText>ADDIN CSL_CITATION {"citationItems":[{"id":"ITEM-1","itemData":{"author":[{"dropping-particle":"","family":"Juggins","given":"Steve","non-dropping-particle":"","parse-names":false,"suffix":""}],"id":"ITEM-1","issued":{"date-parts":[["2016"]]},"number":"1.7.7","publisher":"University of Newcastle","publisher-place":"Newcastle-upon-Tyne, UK","title":"C2 Software for Ecological and Palaeoecological Data Analysis and Visualisation","type":"article"},"uris":["http://www.mendeley.com/documents/?uuid=b8aa20d3-f35a-32f4-894e-a3ea6f6a533c"]}],"mendeley":{"formattedCitation":"(Juggins, 2016)","plainTextFormattedCitation":"(Juggins, 2016)","previouslyFormattedCitation":"(Juggins, 2016)"},"properties":{"noteIndex":0},"schema":"https://github.com/citation-style-language/schema/raw/master/csl-citation.json"}</w:instrText>
      </w:r>
      <w:r w:rsidRPr="0083145E">
        <w:fldChar w:fldCharType="separate"/>
      </w:r>
      <w:r w:rsidRPr="0083145E">
        <w:rPr>
          <w:noProof/>
        </w:rPr>
        <w:t>(Juggins, 2016)</w:t>
      </w:r>
      <w:r w:rsidRPr="0083145E">
        <w:fldChar w:fldCharType="end"/>
      </w:r>
      <w:r w:rsidRPr="0083145E">
        <w:t xml:space="preserve">. </w:t>
      </w:r>
    </w:p>
    <w:p w14:paraId="40B0A25F" w14:textId="77777777" w:rsidR="0097058E" w:rsidRPr="0083145E" w:rsidRDefault="0097058E" w:rsidP="004F4229">
      <w:pPr>
        <w:pStyle w:val="Heading2"/>
        <w:spacing w:line="480" w:lineRule="auto"/>
      </w:pPr>
      <w:r w:rsidRPr="0083145E">
        <w:t>2.4. Data analysis</w:t>
      </w:r>
    </w:p>
    <w:p w14:paraId="5351F944" w14:textId="77777777" w:rsidR="0097058E" w:rsidRPr="0083145E" w:rsidRDefault="0097058E" w:rsidP="004F4229">
      <w:pPr>
        <w:pStyle w:val="Heading3"/>
        <w:spacing w:line="480" w:lineRule="auto"/>
      </w:pPr>
      <w:r w:rsidRPr="0083145E">
        <w:t>2.4.1 Vegetation data processing</w:t>
      </w:r>
    </w:p>
    <w:p w14:paraId="0AD48EFB" w14:textId="39745F5F" w:rsidR="0097058E" w:rsidRPr="0083145E" w:rsidRDefault="0097058E" w:rsidP="004F4229">
      <w:pPr>
        <w:pStyle w:val="Mynormal"/>
      </w:pPr>
      <w:r w:rsidRPr="0083145E">
        <w:t>Analysis of each plot’s floristic inventory data used percentage</w:t>
      </w:r>
      <w:r w:rsidR="003A6D98">
        <w:t xml:space="preserve"> abundance</w:t>
      </w:r>
      <w:r w:rsidRPr="0083145E">
        <w:t xml:space="preserve"> (relative to the total number of individual trees counted) and </w:t>
      </w:r>
      <w:r w:rsidR="00C75855">
        <w:t>r</w:t>
      </w:r>
      <w:r w:rsidRPr="0083145E">
        <w:t xml:space="preserve">elative </w:t>
      </w:r>
      <w:r w:rsidR="00C75855">
        <w:t>c</w:t>
      </w:r>
      <w:r w:rsidRPr="0083145E">
        <w:t xml:space="preserve">overage </w:t>
      </w:r>
      <w:r w:rsidR="00C75855">
        <w:t>v</w:t>
      </w:r>
      <w:r w:rsidRPr="0083145E">
        <w:t>alue (RCV</w:t>
      </w:r>
      <w:r w:rsidR="009177FC">
        <w:t>)</w:t>
      </w:r>
      <w:r w:rsidRPr="0083145E">
        <w:t>. RCV (expressed as a percentage) indicates the importance of a species within a forest plot, taking into account its individuals’ density and dominance.</w:t>
      </w:r>
    </w:p>
    <w:p w14:paraId="177DEE88" w14:textId="77777777" w:rsidR="0097058E" w:rsidRPr="0083145E" w:rsidRDefault="000754C8" w:rsidP="004F4229">
      <w:pPr>
        <w:pStyle w:val="Mynormal"/>
      </w:pPr>
      <m:oMathPara>
        <m:oMath>
          <m:r>
            <w:rPr>
              <w:rFonts w:ascii="Cambria Math" w:hAnsi="Cambria Math"/>
            </w:rPr>
            <m:t>RCVi=</m:t>
          </m:r>
          <m:f>
            <m:fPr>
              <m:ctrlPr>
                <w:rPr>
                  <w:rFonts w:ascii="Cambria Math" w:hAnsi="Cambria Math"/>
                  <w:i/>
                </w:rPr>
              </m:ctrlPr>
            </m:fPr>
            <m:num>
              <m:r>
                <w:rPr>
                  <w:rFonts w:ascii="Cambria Math" w:hAnsi="Cambria Math"/>
                </w:rPr>
                <m:t>(RDoi+RDeni)</m:t>
              </m:r>
            </m:num>
            <m:den>
              <m:nary>
                <m:naryPr>
                  <m:chr m:val="∑"/>
                  <m:limLoc m:val="undOvr"/>
                  <m:subHide m:val="1"/>
                  <m:supHide m:val="1"/>
                  <m:ctrlPr>
                    <w:rPr>
                      <w:rFonts w:ascii="Cambria Math" w:hAnsi="Cambria Math"/>
                      <w:i/>
                    </w:rPr>
                  </m:ctrlPr>
                </m:naryPr>
                <m:sub/>
                <m:sup/>
                <m:e>
                  <m:r>
                    <w:rPr>
                      <w:rFonts w:ascii="Cambria Math" w:hAnsi="Cambria Math"/>
                    </w:rPr>
                    <m:t>(RDo+RDen)</m:t>
                  </m:r>
                </m:e>
              </m:nary>
            </m:den>
          </m:f>
          <m:r>
            <w:rPr>
              <w:rFonts w:ascii="Cambria Math" w:hAnsi="Cambria Math"/>
            </w:rPr>
            <m:t>*100</m:t>
          </m:r>
        </m:oMath>
      </m:oMathPara>
    </w:p>
    <w:p w14:paraId="5534857C" w14:textId="77777777" w:rsidR="0097058E" w:rsidRPr="0083145E" w:rsidRDefault="0097058E" w:rsidP="004F4229">
      <w:pPr>
        <w:pStyle w:val="Mynormal"/>
        <w:rPr>
          <w:i/>
        </w:rPr>
      </w:pPr>
      <w:r w:rsidRPr="0083145E">
        <w:rPr>
          <w:i/>
        </w:rPr>
        <w:t>RCVi: Relative Coverage Value for species i (%)</w:t>
      </w:r>
    </w:p>
    <w:p w14:paraId="5AF1DB15" w14:textId="77777777" w:rsidR="0097058E" w:rsidRPr="0083145E" w:rsidRDefault="0097058E" w:rsidP="004F4229">
      <w:pPr>
        <w:pStyle w:val="Mynormal"/>
        <w:rPr>
          <w:i/>
        </w:rPr>
      </w:pPr>
      <w:r w:rsidRPr="0083145E">
        <w:rPr>
          <w:i/>
        </w:rPr>
        <w:t>RDoi: Relative dominance for species i (basal area (m²) per hectare)</w:t>
      </w:r>
    </w:p>
    <w:p w14:paraId="0B6EAA32" w14:textId="77777777" w:rsidR="0097058E" w:rsidRPr="0083145E" w:rsidRDefault="0097058E" w:rsidP="004F4229">
      <w:pPr>
        <w:pStyle w:val="Mynormal"/>
        <w:rPr>
          <w:i/>
        </w:rPr>
      </w:pPr>
      <w:r w:rsidRPr="0083145E">
        <w:rPr>
          <w:i/>
        </w:rPr>
        <w:t>RDeni: Relative density for species i (number of individuals per hectare)</w:t>
      </w:r>
    </w:p>
    <w:p w14:paraId="2F83F36B" w14:textId="77777777" w:rsidR="0097058E" w:rsidRPr="0083145E" w:rsidRDefault="0097058E" w:rsidP="004F4229">
      <w:pPr>
        <w:pStyle w:val="Mynormal"/>
        <w:rPr>
          <w:i/>
        </w:rPr>
      </w:pPr>
      <w:r w:rsidRPr="0083145E">
        <w:rPr>
          <w:i/>
        </w:rPr>
        <w:t>RDo: Relative dominance for all species (m² / ha)</w:t>
      </w:r>
    </w:p>
    <w:p w14:paraId="741E0CA3" w14:textId="77777777" w:rsidR="0097058E" w:rsidRPr="0083145E" w:rsidRDefault="0097058E" w:rsidP="004F4229">
      <w:pPr>
        <w:pStyle w:val="Mynormal"/>
        <w:rPr>
          <w:i/>
        </w:rPr>
      </w:pPr>
      <w:r w:rsidRPr="0083145E">
        <w:rPr>
          <w:i/>
        </w:rPr>
        <w:t>RDen: Relative density for all species (n / ha)</w:t>
      </w:r>
    </w:p>
    <w:p w14:paraId="50602D58" w14:textId="77777777" w:rsidR="0097058E" w:rsidRPr="0083145E" w:rsidRDefault="0097058E" w:rsidP="004F4229">
      <w:pPr>
        <w:pStyle w:val="Heading3"/>
        <w:spacing w:line="480" w:lineRule="auto"/>
      </w:pPr>
      <w:r w:rsidRPr="0083145E">
        <w:t>2.4.2 Statistical analysis of vegetation and pollen data</w:t>
      </w:r>
    </w:p>
    <w:p w14:paraId="14B86D3A" w14:textId="0B3E7FAE" w:rsidR="0097058E" w:rsidRPr="0083145E" w:rsidRDefault="0097058E" w:rsidP="004F4229">
      <w:pPr>
        <w:pStyle w:val="Mynormal"/>
      </w:pPr>
      <w:r w:rsidRPr="0083145E">
        <w:t xml:space="preserve">To investigate the extent to which structural differences between plots are reflected in their vegetation composition and pollen rain, we conducted cluster and Detrended Correspondence Analysis (DCA) multivariate analyses using PAST </w:t>
      </w:r>
      <w:r w:rsidRPr="0083145E">
        <w:fldChar w:fldCharType="begin" w:fldLock="1"/>
      </w:r>
      <w:r w:rsidR="005A4773">
        <w:instrText>ADDIN CSL_CITATION {"citationItems":[{"id":"ITEM-1","itemData":{"DOI":"10.1016/j.bcp.2008.05.025","ISBN":"1935-3952","ISSN":"18732968","PMID":"18619574","abstract":"A comprehensive, but simple-to-use software package for executing a range of standard numerical analysis and operations used in quantitative paleontology has been developed. The program, called PAST (PAleontological STatistics), runs on stan- dard Windows computers and is available free of charge. PAST integrates spread- sheet-type data entry with univariate and multivariate statistics, curve fitting, time- series analysis, data plotting, and simple phylogenetic analysis. Many of the functions are specific to paleontology and ecology, and these functions are not found in stan- dard, more extensive, statistical packages. PAST also includes fourteen case studies (data files and exercises) illustrating use of the program for paleontological problems, making it a complete educational package for courses in quantitative methods.","author":[{"dropping-particle":"","family":"Hammer","given":"Øyvind","non-dropping-particle":"","parse-names":false,"suffix":""},{"dropping-particle":"","family":"Harper","given":"David A.T.","non-dropping-particle":"","parse-names":false,"suffix":""},{"dropping-particle":"","family":"Ryan","given":"Paul D.","non-dropping-particle":"","parse-names":false,"suffix":""}],"container-title":"Palaeontologia Electronica","id":"ITEM-1","issue":"1","issued":{"date-parts":[["2001"]]},"page":"1-9","title":"PAST: Paleontological Statistics Software Package for Education and Data Analysis","type":"article-journal","volume":"4"},"uris":["http://www.mendeley.com/documents/?uuid=b3b1c7c2-bc1b-397e-9807-cd81c7989699"]}],"mendeley":{"formattedCitation":"(Hammer et al., 2001)","plainTextFormattedCitation":"(Hammer et al., 2001)","previouslyFormattedCitation":"(Hammer et al., 2001)"},"properties":{"noteIndex":0},"schema":"https://github.com/citation-style-language/schema/raw/master/csl-citation.json"}</w:instrText>
      </w:r>
      <w:r w:rsidRPr="0083145E">
        <w:fldChar w:fldCharType="separate"/>
      </w:r>
      <w:r w:rsidRPr="0083145E">
        <w:rPr>
          <w:noProof/>
        </w:rPr>
        <w:t>(Hammer et al., 2001)</w:t>
      </w:r>
      <w:r w:rsidRPr="0083145E">
        <w:fldChar w:fldCharType="end"/>
      </w:r>
      <w:r w:rsidRPr="0083145E">
        <w:t xml:space="preserve"> v.3.19 (2018). Raw floristic inventory and pollen data were normalised using natural logarithm before running the analyses. Only taxa with abundance ≥</w:t>
      </w:r>
      <w:r w:rsidR="00F20527">
        <w:t xml:space="preserve"> </w:t>
      </w:r>
      <w:r w:rsidRPr="0083145E">
        <w:t xml:space="preserve">2% in two or more plots were considered for cluster and multivariate </w:t>
      </w:r>
      <w:r w:rsidRPr="0083145E">
        <w:lastRenderedPageBreak/>
        <w:t xml:space="preserve">analysis. </w:t>
      </w:r>
    </w:p>
    <w:p w14:paraId="0242FEE6" w14:textId="70BF9356" w:rsidR="0097058E" w:rsidRPr="0083145E" w:rsidRDefault="0097058E" w:rsidP="004F4229">
      <w:pPr>
        <w:pStyle w:val="Mynormal"/>
      </w:pPr>
      <w:r w:rsidRPr="0083145E">
        <w:t>Cluster analysis was run with hierarchical clustering using the Unweighted Pair Group Method (UPGM) algorithm, which</w:t>
      </w:r>
      <w:r w:rsidR="00DE6866" w:rsidRPr="0083145E">
        <w:t xml:space="preserve"> iteratively </w:t>
      </w:r>
      <w:r w:rsidRPr="0083145E">
        <w:t xml:space="preserve">joins clusters based on the average distance between all members of the groups </w:t>
      </w:r>
      <w:r w:rsidR="00AA3EAF" w:rsidRPr="0083145E">
        <w:fldChar w:fldCharType="begin" w:fldLock="1"/>
      </w:r>
      <w:r w:rsidR="005A4773">
        <w:instrText>ADDIN CSL_CITATION {"citationItems":[{"id":"ITEM-1","itemData":{"ISBN":"0849377560","abstract":"1. The nature of quantitative plant ecology and vegetation science -- 2. The description of vegetation in the field -- 3. The nature and properties of vegetation data -- 4. Basic statistical analysis of vegetation and environmental data -- 5. Ordination methods I, 1950-70 -- 6. Ordination methods II, 1970-92 -- 7. Phytosociology and the Zurich-Montpellier (Braun-Blanquet) school of subjective classification -- 8. Numerical classification and phytosociology -- 9. Computer programs for vegetation and environmental data analysis -- 10. Quantitative plant ecology, vegetation science and the future.","author":[{"dropping-particle":"","family":"Kent","given":"M.","non-dropping-particle":"","parse-names":false,"suffix":""},{"dropping-particle":"","family":"Coker","given":"Paddy.","non-dropping-particle":"","parse-names":false,"suffix":""}],"id":"ITEM-1","issued":{"date-parts":[["1992"]]},"number-of-pages":"363","publisher":"CRC Press","title":"Vegetation description and analysis : a practical approach","type":"book"},"uris":["http://www.mendeley.com/documents/?uuid=3cb8e1ff-1f4e-31ac-8e8b-d98790a4e801"]},{"id":"ITEM-2","itemData":{"ISBN":"9780444538697","abstract":"Third English edition. The book describes and discusses the numerical methods which are successfully being used for analysing ecological data, using a clear and comprehensive approach. These methods are derived from the fields of mathematical physics, parametric and nonparametric statistics, information theory, numerical taxonomy, archaeology, psychometry, sociometry, econometry and others. An updated, 3rd English edition of the most widely cited book on quantitative analysis of multivariate ecological data. Relates ecological questions to methods of statistical analysis, with a clear description of complex numerical methods. All methods are illustrated by examples from the ecological literature so that ecologists clearly see how to use the methods and approaches in their own research. All calculations are available in R language functions. Complex ecological data sets -- Matrix algebra : a summary -- Dimensional analysis in ecology -- Multidimensional quantitative data -- Multidimensional semiquantitative data -- Multidimensional qualitative data -- Ecological resemblance -- Cluster analysis -- Ordination in reduced space -- Interpretation of ecological structures -- Canonical analysis -- Ecological data series -- Spatial analysis -- Multiscale analysis : spatial eigenfunctions.","author":[{"dropping-particle":"","family":"Legendre","given":"Pierre","non-dropping-particle":"","parse-names":false,"suffix":""},{"dropping-particle":"","family":"Legendre","given":"Louis.","non-dropping-particle":"","parse-names":false,"suffix":""},{"dropping-particle":"","family":"Legendre","given":"Louis.","non-dropping-particle":"","parse-names":false,"suffix":""},{"dropping-particle":"","family":"Legendre","given":"Pierre","non-dropping-particle":"","parse-names":false,"suffix":""}],"id":"ITEM-2","issued":{"date-parts":[["2012"]]},"number-of-pages":"990","publisher":"Elsevier","title":"Numerical ecology","type":"book"},"uris":["http://www.mendeley.com/documents/?uuid=d3615e28-f35a-31d9-8f15-2be9e1116bb0"]}],"mendeley":{"formattedCitation":"(Kent and Coker, 1992; Legendre et al., 2012)","plainTextFormattedCitation":"(Kent and Coker, 1992; Legendre et al., 2012)","previouslyFormattedCitation":"(Kent and Coker, 1992; Legendre et al., 2012)"},"properties":{"noteIndex":0},"schema":"https://github.com/citation-style-language/schema/raw/master/csl-citation.json"}</w:instrText>
      </w:r>
      <w:r w:rsidR="00AA3EAF" w:rsidRPr="0083145E">
        <w:fldChar w:fldCharType="separate"/>
      </w:r>
      <w:r w:rsidR="00AA3EAF" w:rsidRPr="0083145E">
        <w:rPr>
          <w:noProof/>
        </w:rPr>
        <w:t>(Kent and Coker, 1992; Legendre et al., 2012)</w:t>
      </w:r>
      <w:r w:rsidR="00AA3EAF" w:rsidRPr="0083145E">
        <w:fldChar w:fldCharType="end"/>
      </w:r>
      <w:r w:rsidRPr="0083145E">
        <w:t xml:space="preserve">. The measure of similarity or distance measurements between samples (forest plots) was calculated using Bray-Curtis index of dissimilarity </w:t>
      </w:r>
      <w:r w:rsidR="00DC427A" w:rsidRPr="0083145E">
        <w:fldChar w:fldCharType="begin" w:fldLock="1"/>
      </w:r>
      <w:r w:rsidR="005A4773">
        <w:instrText>ADDIN CSL_CITATION {"citationItems":[{"id":"ITEM-1","itemData":{"ISBN":"0849377560","abstract":"1. The nature of quantitative plant ecology and vegetation science -- 2. The description of vegetation in the field -- 3. The nature and properties of vegetation data -- 4. Basic statistical analysis of vegetation and environmental data -- 5. Ordination methods I, 1950-70 -- 6. Ordination methods II, 1970-92 -- 7. Phytosociology and the Zurich-Montpellier (Braun-Blanquet) school of subjective classification -- 8. Numerical classification and phytosociology -- 9. Computer programs for vegetation and environmental data analysis -- 10. Quantitative plant ecology, vegetation science and the future.","author":[{"dropping-particle":"","family":"Kent","given":"M.","non-dropping-particle":"","parse-names":false,"suffix":""},{"dropping-particle":"","family":"Coker","given":"Paddy.","non-dropping-particle":"","parse-names":false,"suffix":""}],"id":"ITEM-1","issued":{"date-parts":[["1992"]]},"number-of-pages":"363","publisher":"CRC Press","title":"Vegetation description and analysis : a practical approach","type":"book"},"uris":["http://www.mendeley.com/documents/?uuid=3cb8e1ff-1f4e-31ac-8e8b-d98790a4e801"]}],"mendeley":{"formattedCitation":"(Kent and Coker, 1992)","plainTextFormattedCitation":"(Kent and Coker, 1992)","previouslyFormattedCitation":"(Kent and Coker, 1992)"},"properties":{"noteIndex":0},"schema":"https://github.com/citation-style-language/schema/raw/master/csl-citation.json"}</w:instrText>
      </w:r>
      <w:r w:rsidR="00DC427A" w:rsidRPr="0083145E">
        <w:fldChar w:fldCharType="separate"/>
      </w:r>
      <w:r w:rsidR="00DC427A" w:rsidRPr="0083145E">
        <w:rPr>
          <w:noProof/>
        </w:rPr>
        <w:t>(Kent and Coker, 1992)</w:t>
      </w:r>
      <w:r w:rsidR="00DC427A" w:rsidRPr="0083145E">
        <w:fldChar w:fldCharType="end"/>
      </w:r>
      <w:r w:rsidRPr="0083145E">
        <w:t xml:space="preserve">. The DCA uses the same algorithm as Decorana </w:t>
      </w:r>
      <w:r w:rsidR="00DC427A" w:rsidRPr="0083145E">
        <w:fldChar w:fldCharType="begin" w:fldLock="1"/>
      </w:r>
      <w:r w:rsidR="005A4773">
        <w:instrText>ADDIN CSL_CITATION {"citationItems":[{"id":"ITEM-1","itemData":{"DOI":"10.1007/BF00048870","ISBN":"1385-0237","ISSN":"00423106","PMID":"21768151","abstract":"Detrended correspondence analysis (DCA) is an improvement upon the reciprocal averaging (RA) ordination technique. RA has two main faults: the second axis is often an ‘arch’ or ‘horseshoe’ distortion of the first axis, and distances in the ordination space do not have a consistent meaning in terms of compositional change (in particular, distances at the ends of the first RA axis are compressed relative to the middle). DCA corrects these two faults. Tests with simulated and field data show DCA superior to RA and to nonmetric multidimensional sealing in giving clear, interpretable results. DCA has several advantages. (a) Its performance is the best of the ordination techniques tested, and both species and sample ordinations are produced simultaneously. (b) The axes are scaled in standard deviation units with a definite meaning, (c) As implemented in a FORTRAN program called DECORANA, computing time rises only linearly with the amount of data analyzed, and only positive entries in the data matrix are stored in memory, so very large data sets present no difficulty. However, DCA has limitations, making it best to remove extreme outliers and discontinuities prior to analysis. DCA consistently gives the most interpretable ordination results, but as always the interpretation of results remains a matter of ecological insight and is improved by field experience and by integration of supplementary environmental data for the vegetation sample sites.","author":[{"dropping-particle":"","family":"Hill","given":"M. O.","non-dropping-particle":"","parse-names":false,"suffix":""},{"dropping-particle":"","family":"Gauch","given":"H. G.","non-dropping-particle":"","parse-names":false,"suffix":""}],"container-title":"Vegetatio","id":"ITEM-1","issue":"1-3","issued":{"date-parts":[["1980","10"]]},"page":"47-58","publisher":"Kluwer Academic Publishers","title":"Detrended correspondence analysis: An improved ordination technique","type":"article-journal","volume":"42"},"uris":["http://www.mendeley.com/documents/?uuid=7c9040c9-1108-3bb3-a0a2-f01b0f9e0319"]}],"mendeley":{"formattedCitation":"(Hill and Gauch, 1980)","plainTextFormattedCitation":"(Hill and Gauch, 1980)","previouslyFormattedCitation":"(Hill and Gauch, 1980)"},"properties":{"noteIndex":0},"schema":"https://github.com/citation-style-language/schema/raw/master/csl-citation.json"}</w:instrText>
      </w:r>
      <w:r w:rsidR="00DC427A" w:rsidRPr="0083145E">
        <w:fldChar w:fldCharType="separate"/>
      </w:r>
      <w:r w:rsidR="00DC427A" w:rsidRPr="0083145E">
        <w:rPr>
          <w:noProof/>
        </w:rPr>
        <w:t>(Hill and Gauch, 1980)</w:t>
      </w:r>
      <w:r w:rsidR="00DC427A" w:rsidRPr="0083145E">
        <w:fldChar w:fldCharType="end"/>
      </w:r>
      <w:r w:rsidRPr="0083145E">
        <w:t>, with modifications according to</w:t>
      </w:r>
      <w:r w:rsidR="00DC427A" w:rsidRPr="0083145E">
        <w:t xml:space="preserve"> Oksanen and Minchin </w:t>
      </w:r>
      <w:r w:rsidR="00DC427A" w:rsidRPr="0083145E">
        <w:fldChar w:fldCharType="begin" w:fldLock="1"/>
      </w:r>
      <w:r w:rsidR="005A4773">
        <w:instrText>ADDIN CSL_CITATION {"citationItems":[{"id":"ITEM-1","itemData":{"DOI":"10.2307/3237336","ISSN":"11009233","author":[{"dropping-particle":"","family":"Oksanen","given":"Jari","non-dropping-particle":"","parse-names":false,"suffix":""},{"dropping-particle":"","family":"Minchin","given":"Peter R.","non-dropping-particle":"","parse-names":false,"suffix":""}],"container-title":"Journal of Vegetation Science","id":"ITEM-1","issue":"3","issued":{"date-parts":[["1997","6"]]},"page":"447-454","publisher":"Wiley/Blackwell (10.1111)","title":"Instability of ordination results under changes in input data order: explanations and remedies","type":"article-journal","volume":"8"},"suppress-author":1,"uris":["http://www.mendeley.com/documents/?uuid=0b8dd465-dbef-39b4-b1e3-91c7e2029e85"]}],"mendeley":{"formattedCitation":"(1997)","plainTextFormattedCitation":"(1997)","previouslyFormattedCitation":"(1997)"},"properties":{"noteIndex":0},"schema":"https://github.com/citation-style-language/schema/raw/master/csl-citation.json"}</w:instrText>
      </w:r>
      <w:r w:rsidR="00DC427A" w:rsidRPr="0083145E">
        <w:fldChar w:fldCharType="separate"/>
      </w:r>
      <w:r w:rsidR="00DC427A" w:rsidRPr="0083145E">
        <w:rPr>
          <w:noProof/>
        </w:rPr>
        <w:t>(1997)</w:t>
      </w:r>
      <w:r w:rsidR="00DC427A" w:rsidRPr="0083145E">
        <w:fldChar w:fldCharType="end"/>
      </w:r>
      <w:r w:rsidRPr="0083145E">
        <w:t>. The DCA method was preferred as it allows the identification of the ecological variances amongst the forest plots</w:t>
      </w:r>
      <w:r w:rsidR="00DC427A" w:rsidRPr="0083145E">
        <w:t xml:space="preserve"> </w:t>
      </w:r>
      <w:r w:rsidR="00DC427A" w:rsidRPr="0083145E">
        <w:fldChar w:fldCharType="begin" w:fldLock="1"/>
      </w:r>
      <w:r w:rsidR="005A4773">
        <w:instrText>ADDIN CSL_CITATION {"citationItems":[{"id":"ITEM-1","itemData":{"abstract":"Fossil assemblages reflect the parental communities that produced them, and are in turn associated with specific environmental conditions. Thus, climatic and environmental changes are associated with changes in both the biotic communities and the fossil as-semblages they produce. As a consequence, the environmental reconstruction of the past relies on the interpretation of multivariate fossil sequences that are commonly analyzed through dimensional rescaling techniques. Detrended correspondence analysis (DCA) has proven as an excellent technique to summarize ecological changes through time with the advantage of few prior assumptions and results that can be directly interpreted in terms of ecological turnover. In this paper we elaborate on a brief description of the technique and the interpretation of results, using a worked example on pollen and diatom data sets from Lago Verde (Los Tuxtlas, Mexico). With this worked example, we highlight the three basic ways in which DCA can provide useful approaches for a clear and relatively easy interpretation of the fossil data: i) identification of the ecological space through the a priori interpretation of species ordination; ii) localization of time slices within the ecological space defined by species, and quantification of the ecological turnover among samples; and iii) calculation of ecological distances as a means for putting individual samples into the historical context provided by the time frame in question.","author":[{"dropping-particle":"","family":"Correa-Metrio","given":"Alexander","non-dropping-particle":"","parse-names":false,"suffix":""},{"dropping-particle":"","family":"Dechnik","given":"Yanus","non-dropping-particle":"","parse-names":false,"suffix":""},{"dropping-particle":"","family":"Lozano-García","given":"Socorro","non-dropping-particle":"","parse-names":false,"suffix":""},{"dropping-particle":"","family":"Caballero","given":"Margarita","non-dropping-particle":"","parse-names":false,"suffix":""}],"container-title":"Boletín de la Sociedad Geológica Mexicana","id":"ITEM-1","issue":"1","issued":{"date-parts":[["2014"]]},"page":"135-143","title":"Detrended correspondence analysis: A useful tool to quantify ecological changes from fossil data sets","type":"article-journal","volume":"66"},"uris":["http://www.mendeley.com/documents/?uuid=c2f520fd-eb85-3905-a99b-1ba818ac549b"]}],"mendeley":{"formattedCitation":"(Correa-Metrio et al., 2014)","plainTextFormattedCitation":"(Correa-Metrio et al., 2014)","previouslyFormattedCitation":"(Correa-Metrio et al., 2014)"},"properties":{"noteIndex":0},"schema":"https://github.com/citation-style-language/schema/raw/master/csl-citation.json"}</w:instrText>
      </w:r>
      <w:r w:rsidR="00DC427A" w:rsidRPr="0083145E">
        <w:fldChar w:fldCharType="separate"/>
      </w:r>
      <w:r w:rsidR="00DC427A" w:rsidRPr="0083145E">
        <w:rPr>
          <w:noProof/>
        </w:rPr>
        <w:t>(Correa-Metrio et al., 2014)</w:t>
      </w:r>
      <w:r w:rsidR="00DC427A" w:rsidRPr="0083145E">
        <w:fldChar w:fldCharType="end"/>
      </w:r>
      <w:r w:rsidR="00DC427A" w:rsidRPr="0083145E">
        <w:t>.</w:t>
      </w:r>
    </w:p>
    <w:p w14:paraId="5F397334" w14:textId="1C722AE8" w:rsidR="0097058E" w:rsidRPr="0083145E" w:rsidRDefault="0097058E" w:rsidP="004F4229">
      <w:pPr>
        <w:pStyle w:val="Mynormal"/>
      </w:pPr>
      <w:r w:rsidRPr="0083145E">
        <w:t xml:space="preserve">To enable direct comparisons between taxa in the vegetation and pollen rain, which were mostly identified at different taxonomic levels, the vegetation-pollen analysis was performed at genus level, with congeneric species combined for the analysis </w:t>
      </w:r>
      <w:r w:rsidRPr="0083145E">
        <w:fldChar w:fldCharType="begin" w:fldLock="1"/>
      </w:r>
      <w:r w:rsidR="005A4773">
        <w:instrText>ADDIN CSL_CITATION {"citationItems":[{"id":"ITEM-1","itemData":{"DOI":"10.1016/j.palaeo.2010.05.009","ISBN":"0031-0182","ISSN":"00310182","abstract":"An ongoing controversy in Amazonian palaeoecology is the manner in which Amazonian rainforest communities have responded to environmental change over the last glacial-interglacial cycle. Much of this controversy results from an inability to identify the floristic heterogeneity exhibited by rainforest communities within fossil pollen records. We apply multivariate (Principal Components Analysis) and classification (Unweighted Pair Group with Arithmetic Mean Agglomerative Classification) techniques to floral-biometric, modern pollen trap and lake sediment pollen data situated within different rainforest communities in the tropical lowlands of Amazonian Bolivia. Modern pollen rain analyses from artificial pollen traps show that evergreen terra firme (well-drained), evergreen terra firme liana, evergreen seasonally inundated, and evergreen riparian rainforests may be readily differentiated, floristically and palynologically. Analogue matching techniques, based on Euclidean distance measures, are employed to compare these pollen signatures with surface sediment pollen assemblages from five lakes: Laguna Bella Vista, Laguna Chaplin, and Laguna Huachi situated within the Madeira-Tapajós moist forest ecoregion, and Laguna Isirere and Laguna Loma Suarez, which are situated within forest patches in the Beni savanna ecoregion. The same numerical techniques are used to compare rainforest pollen trap signatures with the fossil pollen record of Laguna Chaplin.Pollen assemblages of pollen traps situated within riparian forest communities are most similar to surface sediment samples from Lagunas Bella Vista and Chaplin. Pollen derived from terra firme forests also comprises a significant proportion of these assemblages. Together, these pollen spectra successfully identify riparian and terra firme rainforest communities surrounding the two lakes today. Close similarity between terra firme liana pollen trap assemblages and surface samples obtained from Laguna Huachi, a lake surrounded by relatively undisturbed liana forest, suggests liana forest pollen rain may also be identified within lake sediment records. Pollen spectra obtained from surface sediment samples from lakes situated within gallery forests of the Beni savanna ecoregion are significantly different to those obtained from the Madeira-Tapajós ecoregion, reflecting their different floristic compositions. By applying our findings to the previously published Laguna Chaplin Quaternary pollen record, we show that d…","author":[{"dropping-particle":"","family":"Burn","given":"Michael J.","non-dropping-particle":"","parse-names":false,"suffix":""},{"dropping-particle":"","family":"Mayle","given":"Francis E.","non-dropping-particle":"","parse-names":false,"suffix":""},{"dropping-particle":"","family":"Killeen","given":"Timothy J.","non-dropping-particle":"","parse-names":false,"suffix":""}],"container-title":"Palaeogeography, Palaeoclimatology, Palaeoecology","id":"ITEM-1","issue":"1-2","issued":{"date-parts":[["2010"]]},"page":"1-18","publisher":"Elsevier B.V.","title":"Pollen-based differentiation of Amazonian rainforest communities and implications for lowland palaeoecology in tropical South America","type":"article-journal","volume":"295"},"uris":["http://www.mendeley.com/documents/?uuid=2781dd90-dc30-449b-98bc-36ebe50732b7"]}],"mendeley":{"formattedCitation":"(Burn et al., 2010)","plainTextFormattedCitation":"(Burn et al., 2010)","previouslyFormattedCitation":"(Burn et al., 2010)"},"properties":{"noteIndex":0},"schema":"https://github.com/citation-style-language/schema/raw/master/csl-citation.json"}</w:instrText>
      </w:r>
      <w:r w:rsidRPr="0083145E">
        <w:fldChar w:fldCharType="separate"/>
      </w:r>
      <w:r w:rsidRPr="0083145E">
        <w:rPr>
          <w:noProof/>
        </w:rPr>
        <w:t>(Burn et al., 2010)</w:t>
      </w:r>
      <w:r w:rsidRPr="0083145E">
        <w:fldChar w:fldCharType="end"/>
      </w:r>
      <w:r w:rsidRPr="0083145E">
        <w:t>.</w:t>
      </w:r>
    </w:p>
    <w:p w14:paraId="3A056DD5" w14:textId="39C2AB79" w:rsidR="0097058E" w:rsidRPr="0083145E" w:rsidRDefault="0097058E" w:rsidP="004F4229">
      <w:pPr>
        <w:pStyle w:val="Mynormal"/>
      </w:pPr>
      <w:r w:rsidRPr="0083145E">
        <w:t xml:space="preserve">To quantify the vegetation-pollen relationships of taxa in this study area, we calculated </w:t>
      </w:r>
      <w:r w:rsidR="00DC427A" w:rsidRPr="0083145E">
        <w:t>mean p/v (pollen/vegetation)</w:t>
      </w:r>
      <w:r w:rsidRPr="0083145E">
        <w:t xml:space="preserve"> values </w:t>
      </w:r>
      <w:r w:rsidR="00DC427A" w:rsidRPr="0083145E">
        <w:fldChar w:fldCharType="begin" w:fldLock="1"/>
      </w:r>
      <w:r w:rsidR="005A4773">
        <w:instrText>ADDIN CSL_CITATION {"citationItems":[{"id":"ITEM-1","itemData":{"DOI":"10.1016/j.revpalbo.2008.06.007","ISBN":"0034-6667","ISSN":"00346667","abstract":"Accurate differentiation between tropical forest and savannah ecosystems in the fossil pollen record is hampered by the combination of: i) poor taxonomic resolution in pollen identification, and ii) the high species diversity of many lowland tropical families, i.e. with many different growth forms living in numerous environmental settings. These barriers to interpreting the fossil record hinder our understanding of the past distributions of different Neotropical ecosystems and consequently cloud our knowledge of past climatic, biodiversity and carbon storage patterns. Modern pollen studies facilitate an improved understanding of how ecosystems are represented by the pollen their plants produce and therefore aid interpretation of fossil pollen records. To understand how to differentiate ecosystems palynologically, it is essential that a consistent sampling method is used across ecosystems. However, to date, modern pollen studies from tropical South America have employed a variety of methodologies (e.g. pollen traps, moss polsters, soil samples). In this paper, we present the first modern pollen study from the Neotropics to examine the modern pollen rain from moist evergreen tropical forest (METF), semi-deciduous dry tropical forest (SDTF) and wooded savannah (cerradão) using a consistent sampling methodology (pollen traps). Pollen rain was sampled annually in September for the years 1999-2001 from within permanent vegetation study plots in, or near, the Noel Kempff Mercado National Park (NKMNP), Bolivia. Comparison of the modern pollen rain within these plots with detailed floristic inventories allowed estimates of the relative pollen productivity and dispersal for individual taxa to be made (% pollen/% vegetation or 'p/v'). The applicability of these data to interpreting fossil records from lake sediments was then explored by comparison with pollen assemblages obtained from five lake surface samples. Pollen productivity is demonstrated to vary inter-annually and conforms to a consistent hierarchy for any given year: METF &gt; SDTF &gt; cerradão. This suggests an association between pollen productivity and basic structural characteristics of the ecosystem, i.e. closed canopy vs. open canopy vs. savannah. Comparison of modern pollen and vegetation revealed that some important floristic elements were completely absent from the pollen: Qualea and Erisma (METF), Bauhinia, Simira and Guazuma (SDTF), and Pouteria and Caryocar (cerradão). Anadenanthera was found to b…","author":[{"dropping-particle":"","family":"Gosling","given":"William D.","non-dropping-particle":"","parse-names":false,"suffix":""},{"dropping-particle":"","family":"Mayle","given":"Francis E.","non-dropping-particle":"","parse-names":false,"suffix":""},{"dropping-particle":"","family":"Tate","given":"Nicholas J.","non-dropping-particle":"","parse-names":false,"suffix":""},{"dropping-particle":"","family":"Killeen","given":"Timothy J.","non-dropping-particle":"","parse-names":false,"suffix":""}],"container-title":"Review of Palaeobotany and Palynology","id":"ITEM-1","issue":"1-2","issued":{"date-parts":[["2009"]]},"note":"Reading for style and structure","page":"70-85","publisher":"Elsevier B.V.","title":"Differentiation between Neotropical rainforest, dry forest, and savannah ecosystems by their modern pollen spectra and implications for the fossil pollen record","type":"article-journal","volume":"153"},"uris":["http://www.mendeley.com/documents/?uuid=08d7ea17-d5d2-4d1a-b3bf-d1145c7b320d"]},{"id":"ITEM-2","itemData":{"DOI":"10.1016/j.palaeo.2010.05.009","ISBN":"0031-0182","ISSN":"00310182","abstract":"An ongoing controversy in Amazonian palaeoecology is the manner in which Amazonian rainforest communities have responded to environmental change over the last glacial-interglacial cycle. Much of this controversy results from an inability to identify the floristic heterogeneity exhibited by rainforest communities within fossil pollen records. We apply multivariate (Principal Components Analysis) and classification (Unweighted Pair Group with Arithmetic Mean Agglomerative Classification) techniques to floral-biometric, modern pollen trap and lake sediment pollen data situated within different rainforest communities in the tropical lowlands of Amazonian Bolivia. Modern pollen rain analyses from artificial pollen traps show that evergreen terra firme (well-drained), evergreen terra firme liana, evergreen seasonally inundated, and evergreen riparian rainforests may be readily differentiated, floristically and palynologically. Analogue matching techniques, based on Euclidean distance measures, are employed to compare these pollen signatures with surface sediment pollen assemblages from five lakes: Laguna Bella Vista, Laguna Chaplin, and Laguna Huachi situated within the Madeira-Tapajós moist forest ecoregion, and Laguna Isirere and Laguna Loma Suarez, which are situated within forest patches in the Beni savanna ecoregion. The same numerical techniques are used to compare rainforest pollen trap signatures with the fossil pollen record of Laguna Chaplin.Pollen assemblages of pollen traps situated within riparian forest communities are most similar to surface sediment samples from Lagunas Bella Vista and Chaplin. Pollen derived from terra firme forests also comprises a significant proportion of these assemblages. Together, these pollen spectra successfully identify riparian and terra firme rainforest communities surrounding the two lakes today. Close similarity between terra firme liana pollen trap assemblages and surface samples obtained from Laguna Huachi, a lake surrounded by relatively undisturbed liana forest, suggests liana forest pollen rain may also be identified within lake sediment records. Pollen spectra obtained from surface sediment samples from lakes situated within gallery forests of the Beni savanna ecoregion are significantly different to those obtained from the Madeira-Tapajós ecoregion, reflecting their different floristic compositions. By applying our findings to the previously published Laguna Chaplin Quaternary pollen record, we show that d…","author":[{"dropping-particle":"","family":"Burn","given":"Michael J.","non-dropping-particle":"","parse-names":false,"suffix":""},{"dropping-particle":"","family":"Mayle","given":"Francis E.","non-dropping-particle":"","parse-names":false,"suffix":""},{"dropping-particle":"","family":"Killeen","given":"Timothy J.","non-dropping-particle":"","parse-names":false,"suffix":""}],"container-title":"Palaeogeography, Palaeoclimatology, Palaeoecology","id":"ITEM-2","issue":"1-2","issued":{"date-parts":[["2010"]]},"page":"1-18","publisher":"Elsevier B.V.","title":"Pollen-based differentiation of Amazonian rainforest communities and implications for lowland palaeoecology in tropical South America","type":"article-journal","volume":"295"},"uris":["http://www.mendeley.com/documents/?uuid=2781dd90-dc30-449b-98bc-36ebe50732b7"]},{"id":"ITEM-3","itemData":{"DOI":"10.1016/j.revpalbo.2016.07.003","ISBN":"0034-6667","ISSN":"00346667","abstract":"Surface soil samples were collected in three mountainous massifs in north-eastern Brazil to characterize the different vegetation types according to their respective pollen assemblages. Complementary approach between pollen and vegetation data shows that the pollen rain accurately reflects the following three main forest types: i) a dense ombrophilous forest (or tropical moist broadleaf forest) characterized by Myrtaceae associated with high percentages of Miconia, Guapira, Ilex, Moraceae-Urticaceae undif. or Byrsonima, ii) a seasonal semi-deciduous montane forest characterized by an increase of Arecaceae associated with Fabaceae-Mimosideae, Myrtaceae, Piper, Cecropia, Urera and Mitracarpus, and iii) a seasonal deciduous forest dominated by Fabaceae-Mimosideae and Arecaceae tree taxa associated with Alternanthera, Cyperaceae and Mitracarpus. Using of botanical data from several plots of ombrophilous forest, in which several surface soil samples have been collected, allows to roughly estimate the over- and underrepresentation of pollen taxa relative to their floristic abundance. Furthermore, distribution of surface soil samples at different altitude and mountain sides also allows to characterize vegetation variation according to several environmental parameters. The precipitation increase with altitude is confirmed as the main environmental factor controlling vegetation distribution. However, the forests located close to the crest with a proportion increase of pollen taxa characteristic of heliophilous and pioneer trees (Alchornea, Miconia, Clusia), are also influenced by changes of edaphic conditions. In addition to provide useful information in understanding of fossil pollen records, this approach improves our understanding of the ecosystem functioning in mountainous massifs in north-eastern Brazil. A useful knowledge for conservation or restoration purposes.","author":[{"dropping-particle":"","family":"Montade","given":"Vincent","non-dropping-particle":"","parse-names":false,"suffix":""},{"dropping-particle":"","family":"Diogo","given":"Ivan Jeferson Sampaio","non-dropping-particle":"","parse-names":false,"suffix":""},{"dropping-particle":"","family":"Bremond","given":"Laurent","non-dropping-particle":"","parse-names":false,"suffix":""},{"dropping-particle":"","family":"Favier","given":"Charly","non-dropping-particle":"","parse-names":false,"suffix":""},{"dropping-particle":"da","family":"Costa","given":"Itayguara Ribeiro","non-dropping-particle":"","parse-names":false,"suffix":""},{"dropping-particle":"","fam</w:instrText>
      </w:r>
      <w:r w:rsidR="005A4773" w:rsidRPr="004C4948">
        <w:rPr>
          <w:lang w:val="da-DK"/>
        </w:rPr>
        <w:instrText>ily":"Ledru","given":"Marie Pierre","non-dropping-particle":"","parse-names":false,"suffix":""},{"dropping-particle":"","family":"Paradis","given":"Laure","non-dropping-particle":"","parse-names":false,"suffix":""},{"dropping-particle":"","family":"Martins","given":"Eduardo Sávio Passos Rodrigues","non-dropping-particle":"","parse-names":false,"suffix":""},{"dropping-particle":"","family":"Burte","given":"Julien","non-dropping-particle":"","parse-names":false,"suffix":""},{"dropping-particle":"","family":"Silva","given":"Francisco Hilder Magalhãese","non-dropping-particle":"","parse-names":false,"suffix":""},{"dropping-particle":"","family":"Verola","given":"Christiano Franco","non-dropping-particle":"","parse-names":false,"suffix":""}],"container-title":"Review of Palaeobotany and Palynology","id":"ITEM-3","issued":{"date-parts":[["2016"]]},"page":"147-158","title":"Pollen-based characterization of montane forest types in north-eastern Brazil","type":"article-journal","volume":"234"},"uris":["http://www.mendeley.com/documents/?uuid=3d01b5d7-71a9-3048-9762-695b8dc387fe"]}],"mendeley":{"formattedCitation":"(Burn et al., 2010; Gosling et al., 2009; Montade et al., 2016)","plainTextFormattedCitation":"(Burn et al., 2010; Gosling et al., 2009; Montade et al., 2016)","previouslyFormattedCitation":"(Burn et al., 2010; Gosling et al., 2009; Montade et al., 2016)"},"properties":{"noteIndex":0},"schema":"https://github.com/citation-style-language/schema/raw/master/csl-citation.json"}</w:instrText>
      </w:r>
      <w:r w:rsidR="00DC427A" w:rsidRPr="0083145E">
        <w:fldChar w:fldCharType="separate"/>
      </w:r>
      <w:r w:rsidR="00DC427A" w:rsidRPr="004C4948">
        <w:rPr>
          <w:noProof/>
          <w:lang w:val="da-DK"/>
        </w:rPr>
        <w:t>(Burn et al., 2010; Gosling et al., 2009; Montade et al., 2016)</w:t>
      </w:r>
      <w:r w:rsidR="00DC427A" w:rsidRPr="0083145E">
        <w:fldChar w:fldCharType="end"/>
      </w:r>
      <w:r w:rsidR="00DC427A" w:rsidRPr="004C4948">
        <w:rPr>
          <w:lang w:val="da-DK"/>
        </w:rPr>
        <w:t xml:space="preserve">, which are analogous to R values </w:t>
      </w:r>
      <w:r w:rsidRPr="0083145E">
        <w:fldChar w:fldCharType="begin" w:fldLock="1"/>
      </w:r>
      <w:r w:rsidR="005A4773" w:rsidRPr="004C4948">
        <w:rPr>
          <w:lang w:val="da-DK"/>
        </w:rPr>
        <w:instrText>ADDIN CSL_CITATION {"citationItems":[{"id":"ITEM-1","itemData":{"author":[{"dropping-particle":"","family":"Davis","given":"Margaret B.","non-dropping-particle":"","parse-names":false,"suffix":""}],"container-title":"American Journal of Science","id":"ITEM-1","issued":{"date-parts":[["1963"]]},"page":"897-912","title":"On the Theory of Pollen Analysis","type":"article-journal","volume":"261"},"uris":["http://www.mendeley.com/documents/?uuid=a4e6ed2c-4b3d-455f-9286-03b0fa849f07"]}],"mendeley":{"formattedCitation":"(Davis, 1963)","plainTextFormattedCitation":"(Davis, 1963)","previouslyFormattedCitation":"(Davis, 1963)"},"properties":{"noteIndex":0},"schema":"https://github.com/citation-style-language/schema/raw/master/csl-citation.json"}</w:instrText>
      </w:r>
      <w:r w:rsidRPr="0083145E">
        <w:fldChar w:fldCharType="separate"/>
      </w:r>
      <w:r w:rsidRPr="004C4948">
        <w:rPr>
          <w:noProof/>
          <w:lang w:val="da-DK"/>
        </w:rPr>
        <w:t>(Davis, 1963)</w:t>
      </w:r>
      <w:r w:rsidRPr="0083145E">
        <w:fldChar w:fldCharType="end"/>
      </w:r>
      <w:r w:rsidRPr="004C4948">
        <w:rPr>
          <w:lang w:val="da-DK"/>
        </w:rPr>
        <w:t xml:space="preserve">. </w:t>
      </w:r>
      <w:r w:rsidR="00854A8C" w:rsidRPr="0083145E">
        <w:t>We calculate t</w:t>
      </w:r>
      <w:r w:rsidRPr="0083145E">
        <w:t xml:space="preserve">he </w:t>
      </w:r>
      <w:r w:rsidR="00DC427A" w:rsidRPr="0083145E">
        <w:t>p/v</w:t>
      </w:r>
      <w:r w:rsidRPr="0083145E">
        <w:t xml:space="preserve"> value for taxon </w:t>
      </w:r>
      <w:r w:rsidRPr="0083145E">
        <w:rPr>
          <w:i/>
        </w:rPr>
        <w:t xml:space="preserve">i </w:t>
      </w:r>
      <w:r w:rsidRPr="0083145E">
        <w:t xml:space="preserve">as: </w:t>
      </w:r>
    </w:p>
    <w:p w14:paraId="7D5349FC" w14:textId="0EFC63FF" w:rsidR="0097058E" w:rsidRPr="0083145E" w:rsidRDefault="00705506" w:rsidP="004F4229">
      <w:pPr>
        <w:spacing w:line="480" w:lineRule="auto"/>
      </w:pPr>
      <m:oMathPara>
        <m:oMath>
          <m:sSub>
            <m:sSubPr>
              <m:ctrlPr>
                <w:rPr>
                  <w:rFonts w:ascii="Cambria Math" w:hAnsi="Cambria Math"/>
                  <w:i/>
                </w:rPr>
              </m:ctrlPr>
            </m:sSubPr>
            <m:e>
              <m:r>
                <w:rPr>
                  <w:rFonts w:ascii="Cambria Math" w:hAnsi="Cambria Math"/>
                </w:rPr>
                <m:t>p/v</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 xml:space="preserve">Pollen abundance </m:t>
                  </m:r>
                  <m:d>
                    <m:dPr>
                      <m:ctrlPr>
                        <w:rPr>
                          <w:rFonts w:ascii="Cambria Math" w:hAnsi="Cambria Math"/>
                          <w:i/>
                        </w:rPr>
                      </m:ctrlPr>
                    </m:dPr>
                    <m:e>
                      <m:r>
                        <w:rPr>
                          <w:rFonts w:ascii="Cambria Math" w:hAnsi="Cambria Math"/>
                        </w:rPr>
                        <m:t>%</m:t>
                      </m:r>
                    </m:e>
                  </m:d>
                  <m:r>
                    <w:rPr>
                      <w:rFonts w:ascii="Cambria Math" w:hAnsi="Cambria Math"/>
                    </w:rPr>
                    <m:t xml:space="preserve"> averaged over all plots</m:t>
                  </m:r>
                </m:e>
                <m:sub>
                  <m:r>
                    <w:rPr>
                      <w:rFonts w:ascii="Cambria Math" w:hAnsi="Cambria Math"/>
                    </w:rPr>
                    <m:t xml:space="preserve"> i</m:t>
                  </m:r>
                </m:sub>
              </m:sSub>
            </m:num>
            <m:den>
              <m:sSub>
                <m:sSubPr>
                  <m:ctrlPr>
                    <w:rPr>
                      <w:rFonts w:ascii="Cambria Math" w:hAnsi="Cambria Math"/>
                      <w:i/>
                    </w:rPr>
                  </m:ctrlPr>
                </m:sSubPr>
                <m:e>
                  <m:r>
                    <w:rPr>
                      <w:rFonts w:ascii="Cambria Math" w:hAnsi="Cambria Math"/>
                    </w:rPr>
                    <m:t xml:space="preserve">Vegetation abundance </m:t>
                  </m:r>
                  <m:d>
                    <m:dPr>
                      <m:ctrlPr>
                        <w:rPr>
                          <w:rFonts w:ascii="Cambria Math" w:hAnsi="Cambria Math"/>
                          <w:i/>
                        </w:rPr>
                      </m:ctrlPr>
                    </m:dPr>
                    <m:e>
                      <m:r>
                        <w:rPr>
                          <w:rFonts w:ascii="Cambria Math" w:hAnsi="Cambria Math"/>
                        </w:rPr>
                        <m:t>%</m:t>
                      </m:r>
                    </m:e>
                  </m:d>
                  <m:r>
                    <w:rPr>
                      <w:rFonts w:ascii="Cambria Math" w:hAnsi="Cambria Math"/>
                    </w:rPr>
                    <m:t xml:space="preserve"> averaged over all plots</m:t>
                  </m:r>
                </m:e>
                <m:sub>
                  <m:r>
                    <w:rPr>
                      <w:rFonts w:ascii="Cambria Math" w:hAnsi="Cambria Math"/>
                    </w:rPr>
                    <m:t xml:space="preserve"> i</m:t>
                  </m:r>
                </m:sub>
              </m:sSub>
            </m:den>
          </m:f>
        </m:oMath>
      </m:oMathPara>
    </w:p>
    <w:p w14:paraId="75889854" w14:textId="7B8CCDBD" w:rsidR="00D912F9" w:rsidRPr="0083145E" w:rsidRDefault="0097058E" w:rsidP="004F4229">
      <w:pPr>
        <w:pStyle w:val="Mynormal"/>
      </w:pPr>
      <w:r w:rsidRPr="0083145E">
        <w:t xml:space="preserve">Although more complex measures of pollen production </w:t>
      </w:r>
      <w:r w:rsidR="00AE2250" w:rsidRPr="0083145E">
        <w:t>exist</w:t>
      </w:r>
      <w:r w:rsidRPr="0083145E">
        <w:t xml:space="preserve"> </w:t>
      </w:r>
      <w:r w:rsidRPr="0083145E">
        <w:fldChar w:fldCharType="begin" w:fldLock="1"/>
      </w:r>
      <w:r w:rsidR="005A4773">
        <w:instrText>ADDIN CSL_CITATION {"citationItems":[{"id":"ITEM-1","itemData":{"DOI":"10.1016/0034-6667(81)90001-4","ISSN":"0034-6667","abstract":"R-values are ratios of pollen to vegetational percentages for different taxa. They may be used as correction factors for Late Quaternary pollen spectra—subject to certain caveats. The use of R-values implies a particular mathematical model, which is discussed in depth. Various problems are shown to arise; three computer-based statistical approaches are described in an attempt to overcome these problems. The first uses cluster and principal component analyses to group modern sites according to “R-spectra” and to detect departures from the model. The other two approaches obtain maximum likelihood estimates of (a) R-values and (b) representation coefficients and “background” coefficients in a model that attempts to allow for long-distance transport. Each approach is illustrated by application to Livingstone's surface pollen and forest-inventory data from southeast Canada. It is shown how long-distance Quercus (oak) pollen inflates R-values for oak at sites where oak trees are scarce. Livingstone's average R-values for oak was much too high since it was heavily biased by these sites. Maximum likelihood estimation gave a more realistic overall figure. Background oak pollen values estimated via the third approach are close to total oak pollen percentage at many sites, i.e. the method ascribes much of the incoming oak pollen to non-local sources. It is concluded that the three approaches together will make it possible to avoid the worst statistical problems associated with R-values, although vegetational heterogeneity and differential pollen transport will continue to limit achievable precision in the reconstruction of vegetation.","author":[{"dropping-particle":"","family":"Parsons","given":"R.W.","non-dropping-particle":"","parse-names":false,"suffix":""},{"dropping-particle":"","family":"Prentice","given":"I.C.","non-dropping-particle":"","parse-names":false,"suffix":""}],"container-title":"Review of Palaeobotany and Palynology","id":"ITEM-1","issue":"2-3","issued":{"date-parts":[["1981","3","1"]]},"page":"127-152","publisher":"Elsevier","title":"Statistical approaches to R-values and the pollen— vegetation relationship","type":"article-journal","volume":"32"},"prefix":"e.g.","uris":["http://www.mendeley.com/documents/?uuid=b4b94159-6bb9-3ac8-9d6a-dfec7411a0fa"]},{"id":"ITEM-2","itemData":{"DOI":"10.1177/0959683607075837","ISBN":"0959-6836","ISSN":"0959-6836","abstract":"Quantitative reconstruction of past vegetation is one of the primary goals in Quaternary palynology and palaeoecology but still remains difficult. This paper proposes a model, REVEALS, that estimates regional vegetation composition using pollen from 'large lakes' that have small site-to-site variations of pollen assemblages even if vegetation is highly heterogeneous. Once these data have been used to quantify regional vegetation composition within 10(4)-10(5) km(2), background pollen, one of the parameters crucial for vegetation reconstruction, can be estimated for smaller-sized sites, and incorporated into the Landscape Reconstruction Algorithm (LRA), a multistep framework for quantitative reconstruction of vegetation in smaller areas (&lt;= 10(4) ha). Simulations using the POLLSCAPE modelling show that REVEALS can provide accurate estimates of regional vegetation composition in various landscapes and under different atmospheric conditions. If pollen assemblages from lakes that are much smaller than 'large lakes' are used, estimates of regional vegetation at individual sites could be significantly different from the expected values, and their site-to-site variation could be large. However, when pollen data from multiple lakes &gt;= 100-500 ha in size are available, REVEALS can provide accurate estimates of the regional vegetation with relatively small standard errors. Quantitative reconstruction of regional landscape and vegetation change will be critical for testing some of the controversial hypotheses and concepts in global change and conservation research, such as the impacts of agricultural activities on global climate over the last 8000 years and the open-woodland hypothesis in northern Europe in the early Holocene.","author":[{"dropping-particle":"","family":"Sugita","given":"Shinya","non-dropping-particle":"","parse-names":false,"suffix":""}],"container-title":"The Holocene","id":"ITEM-2","issue":"2","issued":{"date-parts":[["2007"]]},"note":"REVEALS estimates the big-scale regional vegetation composition by using pollen from big lakes, which lets you estimate background pollen (from regional sources) in smaller sites. This lets you use the LRA to work out how much of the pollen signal in your small lake is from local vegetation and how much has blown in from all over.\n\nLRA = Landscape Reconstruction Algorithm (various spatial scales) uses both of the below:\nREVEALS = Regional Estimates of VEgetation Abundance from Large Sites first, then\nLOVE (Local Vegetation Estimate)","page":"229-241","title":"Theory of quantitative reconstruction of vegetation I: pollen from large sites REVEALS regional vegetation composition","type":"article-journal","volume":"17"},"uris":["http://www.mendeley.com/documents/?uuid=3c277251-e058-3752-8f02-51bd3e53d19c"]},{"id":"ITEM-3","itemData":{"DOI":"10.1177/0959683607075838","ISBN":"0959-6836","ISSN":"0959-6836","abstract":"This paper describes the LOVE (LOcal Vegetation Estimates) model for estimating local vegetation composition within the relevant source area of pollen. This model quantifies and then subtracts background pollen tie, pollen coming from beyond the relevant source area) in order to arrive at a quantitative reconstruction of local vegetation. Parameters required for LOVE applications are pollen counts from target sites, the relevant source area of pollen of these sites, pollen productivity estimates and regional vegetation composition within 10(4)-10(5) km(2). Regional vegetation composition is obtained using fossil pollen from large sites (&gt;= 10(2) ha) with the REVEALS (Regional Estimates of VEgetation Abundance from Large Sites) model, the first step of the Landscape Reconstruction Algorithm (LRA) specifically designed for LOVE applications. POLLSCAPE simulations demonstrate that (1) regional vegetation composition can be used to predict background pollen at and beyond the relevant source area of pollen for given-sized basins, (2) LOVE with the LRA framework provides a robust and accurate estimate of local vegetation composition much better than vegetation reconstruction using pollen percentages alone and (3) although the relevant source area of pollen is difficult to estimate particularly in past landscapes, a proposed method using backward modelling of LOVE is effective to estimate the relevant source area in landscapes of unknown vegetation patchiness and heterogeneity. Thus, the LRA will also be useful to estimate indirectly changes in spatial structure of past vegetation and landscape caused by natural and anthropogenic forcing.","author":[{"dropping-particle":"","family":"Sugita","given":"Shinya","non-dropping-particle":"","parse-names":false,"suffix":""}],"container-title":"The Holocene","id":"ITEM-3","issue":"2","issued":{"date-parts":[["2007","2","1"]]},"note":"LOVE is the second stage of the LRA (landscape reconstruction algorithm). This paper talks about how to use it after doing REVEALS. Useful, if information-intensive, for reconstructing past vegetation.\n\nTo make the LRA work, you need to do lots of counts (up to 1000 grains) at each site, especially at the large lakes. You also need good data on pollen productivity. It's important to use information from the same time period.","page":"243-257","publisher":"Sage PublicationsSage CA: Thousand Oaks, CA","title":"Theory of quantitative reconstruction of vegetation II: all you need is LOVE","type":"article-journal","volume":"17"},"uris":["http://www.mendeley.com/documents/?uuid=f674c11a-b04a-310b-a5e4-ea913a2e1f8d"]}],"mendeley":{"formattedCitation":"(e.g. Parsons and Prentice, 1981; Sugita, 2007a, 2007b)","plainTextFormattedCitation":"(e.g. Parsons and Prentice, 1981; Sugita, 2007a, 2007b)","previouslyFormattedCitation":"(e.g. Parsons and Prentice, 1981; Sugita, 2007a, 2007b)"},"properties":{"noteIndex":0},"schema":"https://github.com/citation-style-language/schema/raw/master/csl-citation.json"}</w:instrText>
      </w:r>
      <w:r w:rsidRPr="0083145E">
        <w:fldChar w:fldCharType="separate"/>
      </w:r>
      <w:r w:rsidRPr="0083145E">
        <w:rPr>
          <w:noProof/>
        </w:rPr>
        <w:t>(e.g. Parsons and Prentice, 1981; Sugita, 2007a, 2007b)</w:t>
      </w:r>
      <w:r w:rsidRPr="0083145E">
        <w:fldChar w:fldCharType="end"/>
      </w:r>
      <w:r w:rsidRPr="0083145E">
        <w:t xml:space="preserve">, </w:t>
      </w:r>
      <w:r w:rsidR="00DC427A" w:rsidRPr="0083145E">
        <w:t>p/v</w:t>
      </w:r>
      <w:r w:rsidRPr="0083145E">
        <w:t xml:space="preserve"> values provide a straightforward and intuitive index of the relationship between vegetation and pollen abundance and continue to be foundational for vegetation reconstruction </w:t>
      </w:r>
      <w:r w:rsidRPr="0083145E">
        <w:fldChar w:fldCharType="begin" w:fldLock="1"/>
      </w:r>
      <w:r w:rsidR="005A4773">
        <w:instrText>ADDIN CSL_CITATION {"citationItems":[{"id":"ITEM-1","itemData":{"DOI":"10.1177/0959683616660171","ISSN":"0959-6836","abstract":"Hitherto, the Landscape Reconstruction Algorithm (LRA) has been the only truly quantitative approach to stand-scale palynology. However, the LRA requires information on pollen productivity and dispersal, which is not always available. The alternative approach MARCO POLO (MAnipulating pollen sums to ReCOnstruct POllen of Local Origin) presented here is solely based on pollen values and does not rely on a pollen dispersal function. In a stepwise fashion, MARCO POLO removes those pollen types from the pollen sum whose values are significantly higher than in a neighbouring large basin. The resulting regional pollen sum is free of the disturbing factor of (extra-)local pollen. Based on this sum, comparison with the pollen record from the large basin allows calculating sharp (extra-)local signals. Treating the (extra-)local pollen portion with representation factors (R-values) then produces a quantitative reconstruction of the stand-scale vegetation composition. We tested MARCO POLO and the LRA on a dataset of ...","author":[{"dropping-particle":"","family":"Mrotzek","given":"Almut","non-dropping-particle":"","parse-names":false,"suffix":""},{"dropping-particle":"","family":"Couwenberg","given":"John","non-dropping-particle":"","parse-names":false,"suffix":""},{"dropping-particle":"","family":"Theuerkauf","given":"Martin","non-dropping-particle":"","parse-names":false,"suffix":""},{"dropping-particle":"","family":"Joosten","given":"Hans","non-dropping-particle":"","parse-names":false,"suffix":""}],"container-title":"The Holocene","id":"ITEM-1","issue":"3","issued":{"date-parts":[["2017","3"]]},"note":"Introduces the Marco Polo model for quantitative palaeoecological reconstruction. It's simpler than the LRA but works on a similar scale, and appears to be about as accurate above 2% presence. Needs local and regional scale pollen values and R-values.","page":"321-330","publisher":"SAGE PublicationsSage UK: London, England","title":"MARCO POLO - A new and simple tool for pollen-based stand-scale vegetation reconstruction","type":"article-journal","volume":"27"},"uris":["http://www.mendeley.com/documents/?uuid=dbb89a06-d46d-4c20-9537-0827d8369a81"]}],"mendeley":{"formattedCitation":"(Mrotzek et al., 2017)","plainTextFormattedCitation":"(Mrotzek et al., 2017)","previouslyFormattedCitation":"(Mrotzek et al., 2017)"},"properties":{"noteIndex":0},"schema":"https://github.com/citation-style-language/schema/raw/master/csl-citation.json"}</w:instrText>
      </w:r>
      <w:r w:rsidRPr="0083145E">
        <w:fldChar w:fldCharType="separate"/>
      </w:r>
      <w:r w:rsidRPr="0083145E">
        <w:rPr>
          <w:noProof/>
        </w:rPr>
        <w:t>(Mrotzek et al., 2017)</w:t>
      </w:r>
      <w:r w:rsidRPr="0083145E">
        <w:fldChar w:fldCharType="end"/>
      </w:r>
      <w:r w:rsidRPr="0083145E">
        <w:t xml:space="preserve">. </w:t>
      </w:r>
    </w:p>
    <w:p w14:paraId="7F4A3EEE" w14:textId="3353C7B0" w:rsidR="0097058E" w:rsidRPr="0083145E" w:rsidRDefault="0097058E" w:rsidP="004F4229">
      <w:pPr>
        <w:pStyle w:val="Mynormal"/>
      </w:pPr>
      <w:r w:rsidRPr="0083145E">
        <w:t>To c</w:t>
      </w:r>
      <w:r w:rsidR="00D912F9" w:rsidRPr="0083145E">
        <w:t>omplement this metric and show the variability in pollen-vegetation relationships between plots,</w:t>
      </w:r>
      <w:r w:rsidRPr="0083145E">
        <w:t xml:space="preserve"> we also calculated a pollen-vegetation abundance differential</w:t>
      </w:r>
      <w:r w:rsidR="00C23039">
        <w:t xml:space="preserve"> for taxon </w:t>
      </w:r>
      <w:r w:rsidR="00C23039">
        <w:rPr>
          <w:i/>
        </w:rPr>
        <w:t>i</w:t>
      </w:r>
      <w:r w:rsidRPr="0083145E">
        <w:t>:</w:t>
      </w:r>
    </w:p>
    <w:p w14:paraId="5E5D305D" w14:textId="77777777" w:rsidR="0097058E" w:rsidRPr="0083145E" w:rsidRDefault="00705506" w:rsidP="004F4229">
      <w:pPr>
        <w:pStyle w:val="Mynormal"/>
      </w:pPr>
      <m:oMathPara>
        <m:oMath>
          <m:sSub>
            <m:sSubPr>
              <m:ctrlPr>
                <w:rPr>
                  <w:rFonts w:ascii="Cambria Math" w:hAnsi="Cambria Math"/>
                  <w:i/>
                </w:rPr>
              </m:ctrlPr>
            </m:sSubPr>
            <m:e>
              <m:r>
                <w:rPr>
                  <w:rFonts w:ascii="Cambria Math" w:hAnsi="Cambria Math"/>
                </w:rPr>
                <m:t>Abundance differential</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Pollen abundance (%)</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Vegetation abundance (%)</m:t>
              </m:r>
            </m:e>
            <m:sub>
              <m:r>
                <w:rPr>
                  <w:rFonts w:ascii="Cambria Math" w:hAnsi="Cambria Math"/>
                </w:rPr>
                <m:t>i</m:t>
              </m:r>
            </m:sub>
          </m:sSub>
        </m:oMath>
      </m:oMathPara>
    </w:p>
    <w:p w14:paraId="38153C06" w14:textId="52DE5933" w:rsidR="0097058E" w:rsidRPr="0083145E" w:rsidRDefault="00D912F9" w:rsidP="004F4229">
      <w:pPr>
        <w:pStyle w:val="Mynormal"/>
      </w:pPr>
      <w:r w:rsidRPr="0083145E">
        <w:t>P</w:t>
      </w:r>
      <w:r w:rsidR="0097058E" w:rsidRPr="0083145E">
        <w:t xml:space="preserve">lots where </w:t>
      </w:r>
      <w:r w:rsidRPr="0083145E">
        <w:t>a taxon was absent from both</w:t>
      </w:r>
      <w:r w:rsidR="00D13356" w:rsidRPr="0083145E">
        <w:t xml:space="preserve"> the</w:t>
      </w:r>
      <w:r w:rsidRPr="0083145E">
        <w:t xml:space="preserve"> pollen rain and vegetation survey were not included in calculations of mean differentials</w:t>
      </w:r>
      <w:r w:rsidR="0097058E" w:rsidRPr="0083145E">
        <w:t xml:space="preserve">. </w:t>
      </w:r>
      <w:r w:rsidR="00D13356" w:rsidRPr="0083145E">
        <w:t xml:space="preserve">p/v values and abundance differentials could not be calculated for herbaceous taxa as these were not included in the vegetation survey. </w:t>
      </w:r>
      <w:r w:rsidR="0097058E" w:rsidRPr="0083145E">
        <w:t xml:space="preserve">Data were </w:t>
      </w:r>
      <w:r w:rsidR="006C2878">
        <w:t>plotted</w:t>
      </w:r>
      <w:r w:rsidR="0097058E" w:rsidRPr="0083145E">
        <w:t xml:space="preserve"> using R v.3.4.2 </w:t>
      </w:r>
      <w:r w:rsidR="0097058E" w:rsidRPr="0083145E">
        <w:fldChar w:fldCharType="begin" w:fldLock="1"/>
      </w:r>
      <w:r w:rsidR="005A4773">
        <w:instrText>ADDIN CSL_CITATION {"citationItems":[{"id":"ITEM-1","itemData":{"author":[{"dropping-particle":"","family":"R Core Team","given":"","non-dropping-particle":"","parse-names":false,"suffix":""}],"id":"ITEM-1","issued":{"date-parts":[["2017"]]},"number":"3.4.2","publisher":"R Foundation for Statistical Computing","publisher-place":"Vienna, Austria","title":"R: a Language and Environment for Statistical Computing","type":"article"},"uris":["http://www.mendeley.com/documents/?uuid=03493f75-2d6a-4f93-a674-09e6b98771bf"]}],"mendeley":{"formattedCitation":"(R Core Team, 2017)","plainTextFormattedCitation":"(R Core Team, 2017)","previouslyFormattedCitation":"(R Core Team, 2017)"},"properties":{"noteIndex":0},"schema":"https://github.com/citation-style-language/schema/raw/master/csl-citation.json"}</w:instrText>
      </w:r>
      <w:r w:rsidR="0097058E" w:rsidRPr="0083145E">
        <w:fldChar w:fldCharType="separate"/>
      </w:r>
      <w:r w:rsidR="0097058E" w:rsidRPr="0083145E">
        <w:rPr>
          <w:noProof/>
        </w:rPr>
        <w:t>(R Core Team, 2017)</w:t>
      </w:r>
      <w:r w:rsidR="0097058E" w:rsidRPr="0083145E">
        <w:fldChar w:fldCharType="end"/>
      </w:r>
      <w:r w:rsidR="0097058E" w:rsidRPr="0083145E">
        <w:t xml:space="preserve"> and</w:t>
      </w:r>
      <w:r w:rsidR="00557C22">
        <w:t xml:space="preserve"> </w:t>
      </w:r>
      <w:r w:rsidR="00557C22" w:rsidRPr="0083145E">
        <w:t xml:space="preserve">PAST </w:t>
      </w:r>
      <w:r w:rsidR="00557C22" w:rsidRPr="0083145E">
        <w:fldChar w:fldCharType="begin" w:fldLock="1"/>
      </w:r>
      <w:r w:rsidR="00557C22">
        <w:instrText>ADDIN CSL_CITATION {"citationItems":[{"id":"ITEM-1","itemData":{"DOI":"10.1016/j.bcp.2008.05.025","ISBN":"1935-3952","ISSN":"18732968","PMID":"18619574","abstract":"A comprehensive, but simple-to-use software package for executing a range of standard numerical analysis and operations used in quantitative paleontology has been developed. The program, called PAST (PAleontological STatistics), runs on stan- dard Windows computers and is available free of charge. PAST integrates spread- sheet-type data entry with univariate and multivariate statistics, curve fitting, time- series analysis, data plotting, and simple phylogenetic analysis. Many of the functions are specific to paleontology and ecology, and these functions are not found in stan- dard, more extensive, statistical packages. PAST also includes fourteen case studies (data files and exercises) illustrating use of the program for paleontological problems, making it a complete educational package for courses in quantitative methods.","author":[{"dropping-particle":"","family":"Hammer","given":"Øyvind","non-dropping-particle":"","parse-names":false,"suffix":""},{"dropping-particle":"","family":"Harper","given":"David A.T.","non-dropping-particle":"","parse-names":false,"suffix":""},{"dropping-particle":"","family":"Ryan","given":"Paul D.","non-dropping-particle":"","parse-names":false,"suffix":""}],"container-title":"Palaeontologia Electronica","id":"ITEM-1","issue":"1","issued":{"date-parts":[["2001"]]},"page":"1-9","title":"PAST: Paleontological Statistics Software Package for Education and Data Analysis","type":"article-journal","volume":"4"},"uris":["http://www.mendeley.com/documents/?uuid=b3b1c7c2-bc1b-397e-9807-cd81c7989699"]}],"mendeley":{"formattedCitation":"(Hammer et al., 2001)","plainTextFormattedCitation":"(Hammer et al., 2001)","previouslyFormattedCitation":"(Hammer et al., 2001)"},"properties":{"noteIndex":0},"schema":"https://github.com/citation-style-language/schema/raw/master/csl-citation.json"}</w:instrText>
      </w:r>
      <w:r w:rsidR="00557C22" w:rsidRPr="0083145E">
        <w:fldChar w:fldCharType="separate"/>
      </w:r>
      <w:r w:rsidR="00557C22" w:rsidRPr="0083145E">
        <w:rPr>
          <w:noProof/>
        </w:rPr>
        <w:t>(Hammer et al., 2001)</w:t>
      </w:r>
      <w:r w:rsidR="00557C22" w:rsidRPr="0083145E">
        <w:fldChar w:fldCharType="end"/>
      </w:r>
      <w:r w:rsidR="00557C22" w:rsidRPr="0083145E">
        <w:t xml:space="preserve"> v.3.19 (2018)</w:t>
      </w:r>
      <w:r w:rsidR="0097058E" w:rsidRPr="0083145E">
        <w:t>.</w:t>
      </w:r>
    </w:p>
    <w:p w14:paraId="74CB529E" w14:textId="0CDF24B0" w:rsidR="0097058E" w:rsidRPr="0083145E" w:rsidRDefault="00854A8C" w:rsidP="004F4229">
      <w:pPr>
        <w:pStyle w:val="Heading1"/>
        <w:spacing w:line="480" w:lineRule="auto"/>
        <w:rPr>
          <w:lang w:eastAsia="en-GB"/>
        </w:rPr>
      </w:pPr>
      <w:r w:rsidRPr="0083145E">
        <w:rPr>
          <w:lang w:eastAsia="en-GB"/>
        </w:rPr>
        <w:t>3. Results</w:t>
      </w:r>
    </w:p>
    <w:p w14:paraId="4BB9E5FD" w14:textId="6516F9C9" w:rsidR="00854A8C" w:rsidRPr="0083145E" w:rsidRDefault="00854A8C" w:rsidP="004F4229">
      <w:pPr>
        <w:pStyle w:val="Heading2"/>
        <w:spacing w:line="480" w:lineRule="auto"/>
      </w:pPr>
      <w:r w:rsidRPr="0083145E">
        <w:t>3.1. Vegetation</w:t>
      </w:r>
    </w:p>
    <w:p w14:paraId="35B9016A" w14:textId="1A8F2CCF" w:rsidR="00854A8C" w:rsidRPr="0083145E" w:rsidRDefault="00854A8C" w:rsidP="004C4948">
      <w:pPr>
        <w:pStyle w:val="Mynormal"/>
        <w:rPr>
          <w:color w:val="FF0000"/>
        </w:rPr>
      </w:pPr>
      <w:r w:rsidRPr="0083145E">
        <w:t>Across the 16 forest plots, 54 tree species with d</w:t>
      </w:r>
      <w:r w:rsidR="00F20527">
        <w:t>.</w:t>
      </w:r>
      <w:r w:rsidRPr="0083145E">
        <w:t>b</w:t>
      </w:r>
      <w:r w:rsidR="00F20527">
        <w:t>.</w:t>
      </w:r>
      <w:r w:rsidRPr="0083145E">
        <w:t>h</w:t>
      </w:r>
      <w:r w:rsidR="00F20527">
        <w:t>.</w:t>
      </w:r>
      <w:r w:rsidRPr="0083145E">
        <w:t xml:space="preserve"> ≥</w:t>
      </w:r>
      <w:r w:rsidR="00F20527">
        <w:t xml:space="preserve"> </w:t>
      </w:r>
      <w:r w:rsidRPr="0083145E">
        <w:t>10</w:t>
      </w:r>
      <w:r w:rsidR="00F20527">
        <w:t xml:space="preserve"> </w:t>
      </w:r>
      <w:r w:rsidRPr="0083145E">
        <w:t>cm were recorded, of which 33 had relative abundances of 2% or higher in at least two plots; the relative (percentage) abundance of these species within each plot is shown in</w:t>
      </w:r>
      <w:r w:rsidR="004C4948">
        <w:t xml:space="preserve"> Figure 2.</w:t>
      </w:r>
      <w:r w:rsidRPr="0083145E">
        <w:t xml:space="preserve"> </w:t>
      </w:r>
      <w:r w:rsidRPr="0083145E">
        <w:rPr>
          <w:color w:val="auto"/>
        </w:rPr>
        <w:t xml:space="preserve">The most consistently present species were </w:t>
      </w:r>
      <w:r w:rsidRPr="0083145E">
        <w:rPr>
          <w:i/>
          <w:color w:val="auto"/>
        </w:rPr>
        <w:t>Lithraea brasiliensis</w:t>
      </w:r>
      <w:r w:rsidRPr="0083145E">
        <w:rPr>
          <w:color w:val="auto"/>
        </w:rPr>
        <w:t xml:space="preserve"> (15 plots), </w:t>
      </w:r>
      <w:r w:rsidRPr="0083145E">
        <w:rPr>
          <w:i/>
          <w:color w:val="auto"/>
        </w:rPr>
        <w:t>Cinnamodendron din</w:t>
      </w:r>
      <w:r w:rsidR="0061705D" w:rsidRPr="0083145E">
        <w:rPr>
          <w:i/>
          <w:color w:val="auto"/>
        </w:rPr>
        <w:t>i</w:t>
      </w:r>
      <w:r w:rsidRPr="0083145E">
        <w:rPr>
          <w:i/>
          <w:color w:val="auto"/>
        </w:rPr>
        <w:t>sii</w:t>
      </w:r>
      <w:r w:rsidRPr="0083145E">
        <w:rPr>
          <w:color w:val="auto"/>
        </w:rPr>
        <w:t xml:space="preserve"> (13 plots), </w:t>
      </w:r>
      <w:r w:rsidRPr="0083145E">
        <w:rPr>
          <w:i/>
          <w:color w:val="auto"/>
        </w:rPr>
        <w:t>Myrsine coriacea, Ocotea pulchella</w:t>
      </w:r>
      <w:r w:rsidRPr="0083145E">
        <w:rPr>
          <w:color w:val="auto"/>
        </w:rPr>
        <w:t xml:space="preserve"> and </w:t>
      </w:r>
      <w:r w:rsidRPr="0083145E">
        <w:rPr>
          <w:i/>
          <w:color w:val="auto"/>
        </w:rPr>
        <w:t>Araucaria angustifolia</w:t>
      </w:r>
      <w:r w:rsidRPr="0083145E">
        <w:rPr>
          <w:color w:val="auto"/>
        </w:rPr>
        <w:t xml:space="preserve"> (12 plots), undifferentiated </w:t>
      </w:r>
      <w:r w:rsidRPr="0083145E">
        <w:rPr>
          <w:i/>
          <w:color w:val="auto"/>
        </w:rPr>
        <w:t>Eugenia</w:t>
      </w:r>
      <w:r w:rsidRPr="0083145E">
        <w:rPr>
          <w:color w:val="auto"/>
        </w:rPr>
        <w:t xml:space="preserve"> sp. (11 plots), and </w:t>
      </w:r>
      <w:r w:rsidRPr="0083145E">
        <w:rPr>
          <w:i/>
          <w:color w:val="auto"/>
        </w:rPr>
        <w:t>Calyptranthes</w:t>
      </w:r>
      <w:r w:rsidRPr="0083145E">
        <w:rPr>
          <w:color w:val="auto"/>
        </w:rPr>
        <w:t xml:space="preserve"> cf. </w:t>
      </w:r>
      <w:r w:rsidRPr="0083145E">
        <w:rPr>
          <w:i/>
          <w:color w:val="auto"/>
        </w:rPr>
        <w:t>concinna, Ilex theezans, Pera glabrata, Podocarpus lambertii</w:t>
      </w:r>
      <w:r w:rsidRPr="0083145E">
        <w:rPr>
          <w:color w:val="auto"/>
        </w:rPr>
        <w:t xml:space="preserve"> and </w:t>
      </w:r>
      <w:r w:rsidRPr="0083145E">
        <w:rPr>
          <w:i/>
          <w:color w:val="auto"/>
        </w:rPr>
        <w:t>Zanthoxylum kleinii</w:t>
      </w:r>
      <w:r w:rsidRPr="0083145E">
        <w:rPr>
          <w:color w:val="auto"/>
        </w:rPr>
        <w:t xml:space="preserve"> (10 plots). </w:t>
      </w:r>
    </w:p>
    <w:p w14:paraId="15780592" w14:textId="59728AB9" w:rsidR="00854A8C" w:rsidRPr="0083145E" w:rsidRDefault="00854A8C" w:rsidP="004F4229">
      <w:pPr>
        <w:pStyle w:val="Mynormal"/>
        <w:rPr>
          <w:color w:val="auto"/>
        </w:rPr>
      </w:pPr>
      <w:r w:rsidRPr="0083145E">
        <w:rPr>
          <w:color w:val="auto"/>
        </w:rPr>
        <w:t xml:space="preserve">The taxa with the highest average abundance in the vegetation were </w:t>
      </w:r>
      <w:r w:rsidRPr="0083145E">
        <w:rPr>
          <w:i/>
          <w:color w:val="auto"/>
        </w:rPr>
        <w:t>L. brasiliensis</w:t>
      </w:r>
      <w:r w:rsidRPr="0083145E">
        <w:rPr>
          <w:color w:val="auto"/>
        </w:rPr>
        <w:t xml:space="preserve"> (9.1%), </w:t>
      </w:r>
      <w:r w:rsidRPr="0083145E">
        <w:rPr>
          <w:i/>
          <w:color w:val="auto"/>
        </w:rPr>
        <w:t>Cinnamodendron din</w:t>
      </w:r>
      <w:r w:rsidR="007A289D" w:rsidRPr="0083145E">
        <w:rPr>
          <w:i/>
          <w:color w:val="auto"/>
        </w:rPr>
        <w:t>i</w:t>
      </w:r>
      <w:r w:rsidRPr="0083145E">
        <w:rPr>
          <w:i/>
          <w:color w:val="auto"/>
        </w:rPr>
        <w:t>sii</w:t>
      </w:r>
      <w:r w:rsidRPr="0083145E">
        <w:rPr>
          <w:color w:val="auto"/>
        </w:rPr>
        <w:t xml:space="preserve"> (7.7%), </w:t>
      </w:r>
      <w:r w:rsidRPr="0083145E">
        <w:rPr>
          <w:i/>
          <w:color w:val="auto"/>
        </w:rPr>
        <w:t>A. angustifolia</w:t>
      </w:r>
      <w:r w:rsidRPr="0083145E">
        <w:rPr>
          <w:color w:val="auto"/>
        </w:rPr>
        <w:t xml:space="preserve"> (7.3%), undifferentiated </w:t>
      </w:r>
      <w:r w:rsidRPr="0083145E">
        <w:rPr>
          <w:i/>
          <w:color w:val="auto"/>
        </w:rPr>
        <w:t>Eugenia</w:t>
      </w:r>
      <w:r w:rsidRPr="0083145E">
        <w:rPr>
          <w:color w:val="auto"/>
        </w:rPr>
        <w:t xml:space="preserve"> sp. (6.7%), </w:t>
      </w:r>
      <w:r w:rsidRPr="0083145E">
        <w:rPr>
          <w:i/>
          <w:color w:val="auto"/>
        </w:rPr>
        <w:t>O. pulchella</w:t>
      </w:r>
      <w:r w:rsidRPr="0083145E">
        <w:rPr>
          <w:color w:val="auto"/>
        </w:rPr>
        <w:t xml:space="preserve"> (5.7%), and </w:t>
      </w:r>
      <w:r w:rsidRPr="0083145E">
        <w:rPr>
          <w:i/>
          <w:color w:val="auto"/>
        </w:rPr>
        <w:t>Calyptranthes</w:t>
      </w:r>
      <w:r w:rsidRPr="0083145E">
        <w:rPr>
          <w:color w:val="auto"/>
        </w:rPr>
        <w:t xml:space="preserve"> cf. </w:t>
      </w:r>
      <w:r w:rsidRPr="0083145E">
        <w:rPr>
          <w:i/>
          <w:color w:val="auto"/>
        </w:rPr>
        <w:t>concinna</w:t>
      </w:r>
      <w:r w:rsidRPr="0083145E">
        <w:rPr>
          <w:color w:val="auto"/>
        </w:rPr>
        <w:t xml:space="preserve"> (5.0%). Of the common taxa, </w:t>
      </w:r>
      <w:r w:rsidRPr="0083145E">
        <w:rPr>
          <w:i/>
          <w:color w:val="auto"/>
        </w:rPr>
        <w:t>L. brasiliensis</w:t>
      </w:r>
      <w:r w:rsidRPr="0083145E">
        <w:rPr>
          <w:color w:val="auto"/>
        </w:rPr>
        <w:t xml:space="preserve"> had the highest maximum abundance (34.2%), followed by </w:t>
      </w:r>
      <w:r w:rsidRPr="0083145E">
        <w:rPr>
          <w:i/>
          <w:color w:val="auto"/>
        </w:rPr>
        <w:t>Eugenia</w:t>
      </w:r>
      <w:r w:rsidRPr="0083145E">
        <w:rPr>
          <w:color w:val="auto"/>
        </w:rPr>
        <w:t xml:space="preserve"> sp. (26.4%), </w:t>
      </w:r>
      <w:r w:rsidRPr="0083145E">
        <w:rPr>
          <w:i/>
          <w:color w:val="auto"/>
        </w:rPr>
        <w:t>A. angustifolia</w:t>
      </w:r>
      <w:r w:rsidRPr="0083145E">
        <w:rPr>
          <w:color w:val="auto"/>
        </w:rPr>
        <w:t xml:space="preserve"> (26.1%), </w:t>
      </w:r>
      <w:r w:rsidRPr="0083145E">
        <w:rPr>
          <w:i/>
          <w:color w:val="auto"/>
        </w:rPr>
        <w:t xml:space="preserve">E. uniflora </w:t>
      </w:r>
      <w:r w:rsidRPr="0083145E">
        <w:rPr>
          <w:color w:val="auto"/>
        </w:rPr>
        <w:t xml:space="preserve">(25.7%) and </w:t>
      </w:r>
      <w:r w:rsidRPr="0083145E">
        <w:rPr>
          <w:i/>
          <w:color w:val="auto"/>
        </w:rPr>
        <w:t>Cinnamodendron din</w:t>
      </w:r>
      <w:r w:rsidR="0061705D" w:rsidRPr="0083145E">
        <w:rPr>
          <w:i/>
          <w:color w:val="auto"/>
        </w:rPr>
        <w:t>i</w:t>
      </w:r>
      <w:r w:rsidRPr="0083145E">
        <w:rPr>
          <w:i/>
          <w:color w:val="auto"/>
        </w:rPr>
        <w:t>sii</w:t>
      </w:r>
      <w:r w:rsidRPr="0083145E">
        <w:rPr>
          <w:color w:val="auto"/>
        </w:rPr>
        <w:t xml:space="preserve"> (24.1%). Two less common species with high maximum abundances were </w:t>
      </w:r>
      <w:r w:rsidRPr="0083145E">
        <w:rPr>
          <w:i/>
          <w:color w:val="auto"/>
        </w:rPr>
        <w:t>Matayba elaeagnoides</w:t>
      </w:r>
      <w:r w:rsidRPr="0083145E">
        <w:rPr>
          <w:color w:val="auto"/>
        </w:rPr>
        <w:t xml:space="preserve"> (found in three plots, max. 35.6%) and </w:t>
      </w:r>
      <w:r w:rsidRPr="0083145E">
        <w:rPr>
          <w:i/>
          <w:color w:val="auto"/>
        </w:rPr>
        <w:t>Nectandra megapotamica</w:t>
      </w:r>
      <w:r w:rsidRPr="0083145E">
        <w:rPr>
          <w:color w:val="auto"/>
        </w:rPr>
        <w:t xml:space="preserve"> (three plots, max. 28.6%). </w:t>
      </w:r>
    </w:p>
    <w:p w14:paraId="387A5F26" w14:textId="64599629" w:rsidR="00854A8C" w:rsidRPr="0083145E" w:rsidRDefault="00854A8C" w:rsidP="004C4948">
      <w:pPr>
        <w:pStyle w:val="Mynormal"/>
        <w:rPr>
          <w:color w:val="auto"/>
        </w:rPr>
      </w:pPr>
      <w:r w:rsidRPr="0083145E">
        <w:rPr>
          <w:color w:val="auto"/>
        </w:rPr>
        <w:t xml:space="preserve">Generally, </w:t>
      </w:r>
      <w:r w:rsidR="00E81AF2">
        <w:rPr>
          <w:color w:val="auto"/>
        </w:rPr>
        <w:t>tree species that were</w:t>
      </w:r>
      <w:r w:rsidRPr="0083145E">
        <w:rPr>
          <w:color w:val="auto"/>
        </w:rPr>
        <w:t xml:space="preserve"> more abundant also had highe</w:t>
      </w:r>
      <w:r w:rsidR="00E81AF2">
        <w:rPr>
          <w:color w:val="auto"/>
        </w:rPr>
        <w:t>r</w:t>
      </w:r>
      <w:r w:rsidRPr="0083145E">
        <w:rPr>
          <w:color w:val="auto"/>
        </w:rPr>
        <w:t xml:space="preserve"> relative coverage values (RCVs</w:t>
      </w:r>
      <w:r w:rsidR="00140621" w:rsidRPr="0083145E">
        <w:rPr>
          <w:color w:val="auto"/>
        </w:rPr>
        <w:t>;</w:t>
      </w:r>
      <w:r w:rsidR="004C4948">
        <w:rPr>
          <w:color w:val="auto"/>
        </w:rPr>
        <w:t xml:space="preserve"> </w:t>
      </w:r>
      <w:r w:rsidR="004C4948">
        <w:rPr>
          <w:color w:val="auto"/>
        </w:rPr>
        <w:lastRenderedPageBreak/>
        <w:t>Figure 3</w:t>
      </w:r>
      <w:r w:rsidRPr="0083145E">
        <w:rPr>
          <w:color w:val="auto"/>
        </w:rPr>
        <w:t xml:space="preserve">): the taxa with the highest RCVs averaged across all plots were </w:t>
      </w:r>
      <w:r w:rsidRPr="0083145E">
        <w:rPr>
          <w:i/>
          <w:color w:val="auto"/>
        </w:rPr>
        <w:t>L. brasiliensis</w:t>
      </w:r>
      <w:r w:rsidRPr="0083145E">
        <w:rPr>
          <w:color w:val="auto"/>
        </w:rPr>
        <w:t xml:space="preserve"> (10.3%), </w:t>
      </w:r>
      <w:r w:rsidRPr="0083145E">
        <w:rPr>
          <w:i/>
          <w:color w:val="auto"/>
        </w:rPr>
        <w:t>A. angustifolia</w:t>
      </w:r>
      <w:r w:rsidRPr="0083145E">
        <w:rPr>
          <w:color w:val="auto"/>
        </w:rPr>
        <w:t xml:space="preserve"> (10.0%), </w:t>
      </w:r>
      <w:r w:rsidRPr="0083145E">
        <w:rPr>
          <w:i/>
          <w:color w:val="auto"/>
        </w:rPr>
        <w:t xml:space="preserve">O. pulchella </w:t>
      </w:r>
      <w:r w:rsidRPr="0083145E">
        <w:rPr>
          <w:color w:val="auto"/>
        </w:rPr>
        <w:t xml:space="preserve">(7.8%), </w:t>
      </w:r>
      <w:r w:rsidRPr="0083145E">
        <w:rPr>
          <w:i/>
          <w:color w:val="auto"/>
        </w:rPr>
        <w:t>C. din</w:t>
      </w:r>
      <w:r w:rsidR="0061705D" w:rsidRPr="0083145E">
        <w:rPr>
          <w:i/>
          <w:color w:val="auto"/>
        </w:rPr>
        <w:t>i</w:t>
      </w:r>
      <w:r w:rsidRPr="0083145E">
        <w:rPr>
          <w:i/>
          <w:color w:val="auto"/>
        </w:rPr>
        <w:t>sii</w:t>
      </w:r>
      <w:r w:rsidRPr="0083145E">
        <w:rPr>
          <w:color w:val="auto"/>
        </w:rPr>
        <w:t xml:space="preserve"> (6.1%), </w:t>
      </w:r>
      <w:r w:rsidRPr="0083145E">
        <w:rPr>
          <w:i/>
          <w:color w:val="auto"/>
        </w:rPr>
        <w:t xml:space="preserve">Styrax leprosus </w:t>
      </w:r>
      <w:r w:rsidRPr="0083145E">
        <w:rPr>
          <w:color w:val="auto"/>
        </w:rPr>
        <w:t xml:space="preserve">(5.3%) and undifferentiated </w:t>
      </w:r>
      <w:r w:rsidRPr="0083145E">
        <w:rPr>
          <w:i/>
          <w:color w:val="auto"/>
        </w:rPr>
        <w:t>Eugenia</w:t>
      </w:r>
      <w:r w:rsidRPr="0083145E">
        <w:rPr>
          <w:color w:val="auto"/>
        </w:rPr>
        <w:t xml:space="preserve"> sp. (5.2%). Some species were found in few plots, but </w:t>
      </w:r>
      <w:r w:rsidR="00825C6F" w:rsidRPr="0083145E">
        <w:rPr>
          <w:color w:val="auto"/>
        </w:rPr>
        <w:t xml:space="preserve">had high RCVs </w:t>
      </w:r>
      <w:r w:rsidRPr="0083145E">
        <w:rPr>
          <w:color w:val="auto"/>
        </w:rPr>
        <w:t xml:space="preserve">where they were present: the less frequent species with the highest RCVs averaged across the plots in which they were found were </w:t>
      </w:r>
      <w:r w:rsidRPr="0083145E">
        <w:rPr>
          <w:i/>
          <w:color w:val="auto"/>
        </w:rPr>
        <w:t>M. elaeagnoides</w:t>
      </w:r>
      <w:r w:rsidRPr="0083145E">
        <w:rPr>
          <w:color w:val="auto"/>
        </w:rPr>
        <w:t xml:space="preserve"> (15.6%, four plots), </w:t>
      </w:r>
      <w:r w:rsidRPr="0083145E">
        <w:rPr>
          <w:i/>
          <w:color w:val="auto"/>
        </w:rPr>
        <w:t>Luehea divaricata</w:t>
      </w:r>
      <w:r w:rsidRPr="0083145E">
        <w:rPr>
          <w:color w:val="auto"/>
        </w:rPr>
        <w:t xml:space="preserve"> (9.2%, three plots), </w:t>
      </w:r>
      <w:r w:rsidRPr="0083145E">
        <w:rPr>
          <w:i/>
          <w:color w:val="auto"/>
        </w:rPr>
        <w:t xml:space="preserve">N. megapotamica </w:t>
      </w:r>
      <w:r w:rsidRPr="0083145E">
        <w:rPr>
          <w:color w:val="auto"/>
        </w:rPr>
        <w:t xml:space="preserve">(9.0%, three plots), </w:t>
      </w:r>
      <w:r w:rsidRPr="0083145E">
        <w:rPr>
          <w:i/>
          <w:color w:val="auto"/>
        </w:rPr>
        <w:t>Vernonanthura discolor</w:t>
      </w:r>
      <w:r w:rsidRPr="0083145E">
        <w:rPr>
          <w:color w:val="auto"/>
        </w:rPr>
        <w:t xml:space="preserve"> (7.4%, five plots), </w:t>
      </w:r>
      <w:r w:rsidRPr="0083145E">
        <w:rPr>
          <w:i/>
          <w:color w:val="auto"/>
        </w:rPr>
        <w:t>Sebastiania commersoniana</w:t>
      </w:r>
      <w:r w:rsidRPr="0083145E">
        <w:rPr>
          <w:color w:val="auto"/>
        </w:rPr>
        <w:t xml:space="preserve"> (7.0%, six plots), </w:t>
      </w:r>
      <w:r w:rsidRPr="0083145E">
        <w:rPr>
          <w:i/>
          <w:color w:val="auto"/>
        </w:rPr>
        <w:t>Prunus myrtifolia</w:t>
      </w:r>
      <w:r w:rsidRPr="0083145E">
        <w:rPr>
          <w:color w:val="auto"/>
        </w:rPr>
        <w:t xml:space="preserve"> (5.7%, six plots), </w:t>
      </w:r>
      <w:r w:rsidRPr="0083145E">
        <w:rPr>
          <w:i/>
          <w:color w:val="auto"/>
        </w:rPr>
        <w:t>Piptocarpha angustifolia</w:t>
      </w:r>
      <w:r w:rsidRPr="0083145E">
        <w:rPr>
          <w:color w:val="auto"/>
        </w:rPr>
        <w:t xml:space="preserve"> (5.2%, two plots), </w:t>
      </w:r>
      <w:r w:rsidRPr="0083145E">
        <w:rPr>
          <w:i/>
          <w:color w:val="auto"/>
        </w:rPr>
        <w:t xml:space="preserve">Myrceugenia </w:t>
      </w:r>
      <w:r w:rsidRPr="007C18E8">
        <w:rPr>
          <w:color w:val="auto"/>
        </w:rPr>
        <w:t>sp</w:t>
      </w:r>
      <w:r w:rsidRPr="0083145E">
        <w:rPr>
          <w:i/>
          <w:color w:val="auto"/>
        </w:rPr>
        <w:t>.</w:t>
      </w:r>
      <w:r w:rsidRPr="0083145E">
        <w:rPr>
          <w:color w:val="auto"/>
        </w:rPr>
        <w:t xml:space="preserve"> (5.1%, five plots) and </w:t>
      </w:r>
      <w:r w:rsidRPr="0083145E">
        <w:rPr>
          <w:i/>
          <w:color w:val="auto"/>
        </w:rPr>
        <w:t>Myrsine umbellata</w:t>
      </w:r>
      <w:r w:rsidRPr="0083145E">
        <w:rPr>
          <w:color w:val="auto"/>
        </w:rPr>
        <w:t xml:space="preserve"> (5.0%, two plots).</w:t>
      </w:r>
    </w:p>
    <w:p w14:paraId="3EFB8CCF" w14:textId="07581FD9" w:rsidR="00854A8C" w:rsidRPr="0083145E" w:rsidRDefault="00854A8C" w:rsidP="004F4229">
      <w:pPr>
        <w:pStyle w:val="Heading2"/>
        <w:spacing w:line="480" w:lineRule="auto"/>
      </w:pPr>
      <w:r w:rsidRPr="0083145E">
        <w:t>3.2. Pollen</w:t>
      </w:r>
    </w:p>
    <w:p w14:paraId="5355B5F1" w14:textId="1C3F97F4" w:rsidR="00854A8C" w:rsidRPr="0083145E" w:rsidRDefault="00854A8C" w:rsidP="004C4948">
      <w:pPr>
        <w:pStyle w:val="Mynormal"/>
      </w:pPr>
      <w:r w:rsidRPr="0083145E">
        <w:t xml:space="preserve">170 pollen and spore types were found in the 16 forest plots. Of these, 118 could be identified to family level, 95 of which could be refined to genus, </w:t>
      </w:r>
      <w:r w:rsidR="00EA201E" w:rsidRPr="00EA201E">
        <w:t>one to species (</w:t>
      </w:r>
      <w:r w:rsidR="00EA201E" w:rsidRPr="00EA201E">
        <w:rPr>
          <w:i/>
          <w:iCs/>
        </w:rPr>
        <w:t>Ilex theezans</w:t>
      </w:r>
      <w:r w:rsidR="00EA201E" w:rsidRPr="00EA201E">
        <w:t>).  We also assign species names to</w:t>
      </w:r>
      <w:r w:rsidR="00EA201E" w:rsidRPr="00EA201E">
        <w:rPr>
          <w:i/>
          <w:iCs/>
        </w:rPr>
        <w:t xml:space="preserve"> Araucaria angustifolia </w:t>
      </w:r>
      <w:r w:rsidR="00EA201E" w:rsidRPr="00EA201E">
        <w:t xml:space="preserve">and </w:t>
      </w:r>
      <w:r w:rsidR="00EA201E" w:rsidRPr="00EA201E">
        <w:rPr>
          <w:i/>
          <w:iCs/>
        </w:rPr>
        <w:t>Podocarpus lambertii</w:t>
      </w:r>
      <w:r w:rsidR="00EA201E" w:rsidRPr="00EA201E">
        <w:t xml:space="preserve"> because no other species of these genera occur in our study area</w:t>
      </w:r>
      <w:r w:rsidR="00EA201E" w:rsidRPr="00EA201E">
        <w:rPr>
          <w:i/>
          <w:iCs/>
        </w:rPr>
        <w:t>.</w:t>
      </w:r>
      <w:r w:rsidR="00140621" w:rsidRPr="0083145E">
        <w:t xml:space="preserve"> The plots’ pollen spectra are summarised in</w:t>
      </w:r>
      <w:r w:rsidR="004C4948">
        <w:t xml:space="preserve"> Figure 4</w:t>
      </w:r>
      <w:r w:rsidR="00067B89">
        <w:t xml:space="preserve">, where abundant </w:t>
      </w:r>
      <w:r w:rsidR="00315D79">
        <w:t xml:space="preserve">and important </w:t>
      </w:r>
      <w:r w:rsidR="00067B89">
        <w:t>taxa are shown</w:t>
      </w:r>
      <w:r w:rsidR="00140621" w:rsidRPr="0083145E">
        <w:t>.</w:t>
      </w:r>
    </w:p>
    <w:p w14:paraId="1A31C91A" w14:textId="589ED429" w:rsidR="00854A8C" w:rsidRPr="0083145E" w:rsidRDefault="00854A8C" w:rsidP="004F4229">
      <w:pPr>
        <w:pStyle w:val="Mynormal"/>
      </w:pPr>
      <w:r w:rsidRPr="0083145E">
        <w:t xml:space="preserve">Eight pollen types were found in all 16 plots: </w:t>
      </w:r>
      <w:r w:rsidRPr="0083145E">
        <w:rPr>
          <w:i/>
        </w:rPr>
        <w:t>A</w:t>
      </w:r>
      <w:r w:rsidR="00067B89">
        <w:rPr>
          <w:i/>
        </w:rPr>
        <w:t>.</w:t>
      </w:r>
      <w:r w:rsidRPr="0083145E">
        <w:rPr>
          <w:i/>
        </w:rPr>
        <w:t xml:space="preserve"> angustifolia</w:t>
      </w:r>
      <w:r w:rsidRPr="0083145E">
        <w:t xml:space="preserve">, Asteraceae (others total), </w:t>
      </w:r>
      <w:r w:rsidRPr="0083145E">
        <w:rPr>
          <w:i/>
        </w:rPr>
        <w:t xml:space="preserve">Eugenia </w:t>
      </w:r>
      <w:r w:rsidRPr="0083145E">
        <w:t xml:space="preserve">type, </w:t>
      </w:r>
      <w:r w:rsidR="00140621" w:rsidRPr="0083145E">
        <w:t xml:space="preserve">‘cf </w:t>
      </w:r>
      <w:r w:rsidRPr="0083145E">
        <w:rPr>
          <w:i/>
        </w:rPr>
        <w:t>Lithraea</w:t>
      </w:r>
      <w:r w:rsidRPr="0083145E">
        <w:t xml:space="preserve"> a (Anacardiaceae)</w:t>
      </w:r>
      <w:r w:rsidR="00140621" w:rsidRPr="0083145E">
        <w:t>’</w:t>
      </w:r>
      <w:r w:rsidRPr="0083145E">
        <w:t xml:space="preserve">, </w:t>
      </w:r>
      <w:r w:rsidRPr="0083145E">
        <w:rPr>
          <w:i/>
        </w:rPr>
        <w:t>Myrsine</w:t>
      </w:r>
      <w:r w:rsidRPr="0083145E">
        <w:t xml:space="preserve">, Poaceae, </w:t>
      </w:r>
      <w:r w:rsidRPr="0083145E">
        <w:rPr>
          <w:i/>
        </w:rPr>
        <w:t>P</w:t>
      </w:r>
      <w:r w:rsidR="00E81AF2">
        <w:rPr>
          <w:i/>
        </w:rPr>
        <w:t>.</w:t>
      </w:r>
      <w:r w:rsidRPr="0083145E">
        <w:rPr>
          <w:i/>
        </w:rPr>
        <w:t xml:space="preserve"> lambertii</w:t>
      </w:r>
      <w:r w:rsidRPr="0083145E">
        <w:t xml:space="preserve">, and Pteridophyta. Additionally, Araceae pollen was found in 15 plots, and </w:t>
      </w:r>
      <w:r w:rsidRPr="0083145E">
        <w:rPr>
          <w:i/>
        </w:rPr>
        <w:t>Lithraea, Vernonanthura-</w:t>
      </w:r>
      <w:r w:rsidRPr="0083145E">
        <w:t xml:space="preserve">type and </w:t>
      </w:r>
      <w:r w:rsidRPr="0083145E">
        <w:rPr>
          <w:i/>
        </w:rPr>
        <w:t>Calyptranthes</w:t>
      </w:r>
      <w:r w:rsidRPr="0083145E">
        <w:t xml:space="preserve">-type in 14; </w:t>
      </w:r>
      <w:r w:rsidRPr="0083145E">
        <w:rPr>
          <w:i/>
        </w:rPr>
        <w:t>Sebastiania</w:t>
      </w:r>
      <w:r w:rsidRPr="0083145E">
        <w:t xml:space="preserve"> and undifferentiated Myrtaceae pollen was found in 12 plots, and </w:t>
      </w:r>
      <w:r w:rsidRPr="0083145E">
        <w:rPr>
          <w:i/>
        </w:rPr>
        <w:t>Clethra</w:t>
      </w:r>
      <w:r w:rsidRPr="0083145E">
        <w:t xml:space="preserve">, </w:t>
      </w:r>
      <w:r w:rsidRPr="0083145E">
        <w:rPr>
          <w:i/>
        </w:rPr>
        <w:t>I</w:t>
      </w:r>
      <w:r w:rsidR="00E81AF2">
        <w:rPr>
          <w:i/>
        </w:rPr>
        <w:t>.</w:t>
      </w:r>
      <w:r w:rsidRPr="0083145E">
        <w:rPr>
          <w:i/>
        </w:rPr>
        <w:t xml:space="preserve"> theezans</w:t>
      </w:r>
      <w:r w:rsidRPr="0083145E">
        <w:t xml:space="preserve"> and </w:t>
      </w:r>
      <w:r w:rsidRPr="0083145E">
        <w:rPr>
          <w:i/>
        </w:rPr>
        <w:t>Pteris</w:t>
      </w:r>
      <w:r w:rsidRPr="0083145E">
        <w:t xml:space="preserve"> each in 10 plots. Additionally, </w:t>
      </w:r>
      <w:r w:rsidRPr="0083145E">
        <w:rPr>
          <w:i/>
        </w:rPr>
        <w:t>Alchornea</w:t>
      </w:r>
      <w:r w:rsidRPr="0083145E">
        <w:t xml:space="preserve"> pollen and </w:t>
      </w:r>
      <w:r w:rsidRPr="0083145E">
        <w:rPr>
          <w:i/>
        </w:rPr>
        <w:t>Cyathea</w:t>
      </w:r>
      <w:r w:rsidRPr="0083145E">
        <w:t xml:space="preserve">-type spores were found at very low levels (average abundance 0.27% and 0.2% respectively) in 11 plots, with </w:t>
      </w:r>
      <w:r w:rsidRPr="0083145E">
        <w:rPr>
          <w:i/>
        </w:rPr>
        <w:t>Senecio</w:t>
      </w:r>
      <w:r w:rsidRPr="0083145E">
        <w:t xml:space="preserve">-type (average 0.35%) and </w:t>
      </w:r>
      <w:r w:rsidRPr="0083145E">
        <w:rPr>
          <w:i/>
        </w:rPr>
        <w:t>Mimosa scabrella</w:t>
      </w:r>
      <w:r w:rsidRPr="0083145E">
        <w:t>-type (average 0.25%) present in 10 plots.</w:t>
      </w:r>
    </w:p>
    <w:p w14:paraId="7B6BA231" w14:textId="11A809CC" w:rsidR="00140621" w:rsidRPr="0083145E" w:rsidRDefault="00854A8C" w:rsidP="00CE59B9">
      <w:pPr>
        <w:pStyle w:val="Mynormal"/>
      </w:pPr>
      <w:r w:rsidRPr="0083145E">
        <w:rPr>
          <w:i/>
        </w:rPr>
        <w:t>Myrsine</w:t>
      </w:r>
      <w:r w:rsidRPr="0083145E">
        <w:t xml:space="preserve"> pollen was the most abundant across all plots (averaging 19.5%), followed by </w:t>
      </w:r>
      <w:r w:rsidRPr="0083145E">
        <w:rPr>
          <w:i/>
        </w:rPr>
        <w:t>A. angustifolia</w:t>
      </w:r>
      <w:r w:rsidRPr="0083145E">
        <w:t xml:space="preserve"> (16.6%), Pteridophyta (13.2%), </w:t>
      </w:r>
      <w:r w:rsidRPr="0083145E">
        <w:rPr>
          <w:i/>
        </w:rPr>
        <w:t>Podocarpus lambertii</w:t>
      </w:r>
      <w:r w:rsidRPr="0083145E">
        <w:t xml:space="preserve"> (7.9%)</w:t>
      </w:r>
      <w:r w:rsidR="00214E64">
        <w:t xml:space="preserve"> and</w:t>
      </w:r>
      <w:r w:rsidRPr="0083145E">
        <w:t xml:space="preserve"> Poaceae (5.2%). </w:t>
      </w:r>
      <w:r w:rsidRPr="0083145E">
        <w:rPr>
          <w:i/>
        </w:rPr>
        <w:lastRenderedPageBreak/>
        <w:t>Eugenia-</w:t>
      </w:r>
      <w:r w:rsidRPr="0083145E">
        <w:t xml:space="preserve">type, </w:t>
      </w:r>
      <w:r w:rsidR="00825C6F" w:rsidRPr="0083145E">
        <w:t>‘cf</w:t>
      </w:r>
      <w:r w:rsidRPr="0083145E">
        <w:t xml:space="preserve"> </w:t>
      </w:r>
      <w:r w:rsidRPr="0083145E">
        <w:rPr>
          <w:i/>
        </w:rPr>
        <w:t>Lithraea</w:t>
      </w:r>
      <w:r w:rsidRPr="0083145E">
        <w:t xml:space="preserve"> a (Anacardiaceae)</w:t>
      </w:r>
      <w:r w:rsidR="00825C6F" w:rsidRPr="0083145E">
        <w:t>’</w:t>
      </w:r>
      <w:r w:rsidRPr="0083145E">
        <w:t xml:space="preserve">, Asteraceae (others total), </w:t>
      </w:r>
      <w:r w:rsidRPr="0083145E">
        <w:rPr>
          <w:i/>
        </w:rPr>
        <w:t>Lamanonia</w:t>
      </w:r>
      <w:r w:rsidRPr="0083145E">
        <w:t xml:space="preserve">, </w:t>
      </w:r>
      <w:r w:rsidRPr="0083145E">
        <w:rPr>
          <w:i/>
        </w:rPr>
        <w:t>I. theezans, Calyptranthes-</w:t>
      </w:r>
      <w:r w:rsidRPr="0083145E">
        <w:t xml:space="preserve">type, </w:t>
      </w:r>
      <w:r w:rsidRPr="0083145E">
        <w:rPr>
          <w:i/>
        </w:rPr>
        <w:t>Vernonanthura-</w:t>
      </w:r>
      <w:r w:rsidRPr="0083145E">
        <w:t xml:space="preserve">type and </w:t>
      </w:r>
      <w:r w:rsidRPr="00D601B8">
        <w:rPr>
          <w:i/>
        </w:rPr>
        <w:t>Clethra</w:t>
      </w:r>
      <w:r w:rsidRPr="0083145E">
        <w:t xml:space="preserve"> pollen all had average abundances between 1% and 5%.</w:t>
      </w:r>
    </w:p>
    <w:p w14:paraId="32668958" w14:textId="6792FFE8" w:rsidR="00CE153A" w:rsidRPr="0083145E" w:rsidRDefault="007D6F19" w:rsidP="004F4229">
      <w:pPr>
        <w:keepNext/>
        <w:spacing w:line="480" w:lineRule="auto"/>
      </w:pPr>
      <w:r>
        <w:t>[Insert Figure 2 here]</w:t>
      </w:r>
    </w:p>
    <w:p w14:paraId="26D7826C" w14:textId="442176A9" w:rsidR="00140621" w:rsidRPr="0083145E" w:rsidRDefault="004C4948" w:rsidP="004C4948">
      <w:pPr>
        <w:pStyle w:val="Mynormal"/>
      </w:pPr>
      <w:bookmarkStart w:id="3" w:name="_Ref517799573"/>
      <w:bookmarkEnd w:id="3"/>
      <w:r>
        <w:t>Figure 2</w:t>
      </w:r>
      <w:r w:rsidR="00CE153A" w:rsidRPr="0083145E">
        <w:t xml:space="preserve">: Relative abundance (%) of selected </w:t>
      </w:r>
      <w:r w:rsidR="00315D79">
        <w:t xml:space="preserve">tree </w:t>
      </w:r>
      <w:r w:rsidR="00CE153A" w:rsidRPr="0083145E">
        <w:t>species in the vegetation survey. Species included in the cluster analysis and DCA are indicated with an asterisk.</w:t>
      </w:r>
    </w:p>
    <w:p w14:paraId="0B395586" w14:textId="4C061ADE" w:rsidR="00CE153A" w:rsidRPr="0083145E" w:rsidRDefault="007D6F19" w:rsidP="007D6F19">
      <w:pPr>
        <w:pStyle w:val="Mynormal"/>
      </w:pPr>
      <w:r>
        <w:t>[Insert Figure 3 here]</w:t>
      </w:r>
    </w:p>
    <w:p w14:paraId="25A9F48B" w14:textId="2627BB42" w:rsidR="00CE153A" w:rsidRPr="0083145E" w:rsidRDefault="004C4948" w:rsidP="004C4948">
      <w:pPr>
        <w:pStyle w:val="Mynormal"/>
      </w:pPr>
      <w:bookmarkStart w:id="4" w:name="_Ref517799595"/>
      <w:bookmarkEnd w:id="4"/>
      <w:r>
        <w:t>Figure 3</w:t>
      </w:r>
      <w:r w:rsidR="00CE153A" w:rsidRPr="0083145E">
        <w:t>: Relative Coverage Values (RCVs, %) of selected</w:t>
      </w:r>
      <w:r w:rsidR="00315D79">
        <w:t xml:space="preserve"> tree</w:t>
      </w:r>
      <w:r w:rsidR="00CE153A" w:rsidRPr="0083145E">
        <w:t xml:space="preserve"> species in the vegetation survey. ‘Ave. (all)’ = sum of RCVs/total number of plots; ‘Ave. (present)’ = sum of RCVs/number of plots in which taxon was present.</w:t>
      </w:r>
    </w:p>
    <w:p w14:paraId="6A1EBD68" w14:textId="4F76976C" w:rsidR="00140621" w:rsidRPr="0083145E" w:rsidRDefault="007D6F19" w:rsidP="007D6F19">
      <w:pPr>
        <w:pStyle w:val="Mynormal"/>
      </w:pPr>
      <w:r>
        <w:t>[Insert Figure 4 here]</w:t>
      </w:r>
    </w:p>
    <w:p w14:paraId="385536E4" w14:textId="61724957" w:rsidR="00140621" w:rsidRPr="0083145E" w:rsidRDefault="004C4948" w:rsidP="004C4948">
      <w:pPr>
        <w:pStyle w:val="Mynormal"/>
      </w:pPr>
      <w:bookmarkStart w:id="5" w:name="_Ref517799833"/>
      <w:bookmarkEnd w:id="5"/>
      <w:r>
        <w:t>Figure 4</w:t>
      </w:r>
      <w:r w:rsidR="00140621" w:rsidRPr="0083145E">
        <w:t>: Relative abundance (%) of selected pollen types. Taxa included in the cluster analysis and DCA are indicated with an asterisk</w:t>
      </w:r>
    </w:p>
    <w:p w14:paraId="19288CF6" w14:textId="459EB818" w:rsidR="00FF158F" w:rsidRPr="0083145E" w:rsidRDefault="00FF158F" w:rsidP="004F4229">
      <w:pPr>
        <w:pStyle w:val="Heading2"/>
        <w:spacing w:line="480" w:lineRule="auto"/>
      </w:pPr>
      <w:r w:rsidRPr="0083145E">
        <w:t>3.3. Plot differentiation</w:t>
      </w:r>
    </w:p>
    <w:p w14:paraId="43B4698C" w14:textId="73E81654" w:rsidR="00FF158F" w:rsidRPr="0083145E" w:rsidRDefault="00FF158F" w:rsidP="001C1F44">
      <w:pPr>
        <w:pStyle w:val="Mynormal"/>
      </w:pPr>
      <w:r w:rsidRPr="0083145E">
        <w:t xml:space="preserve">33 taxa from the vegetation survey and 15 pollen types met the 2% abundance threshold for inclusion in the plot differentiation analysis (see </w:t>
      </w:r>
      <w:r w:rsidRPr="004C4948">
        <w:t>section 2.4.2</w:t>
      </w:r>
      <w:r w:rsidRPr="0083145E">
        <w:t>); these are identified with asterisks in the summary diagrams (</w:t>
      </w:r>
      <w:r w:rsidR="004C4948">
        <w:t>Figures 2 and 4</w:t>
      </w:r>
      <w:r w:rsidRPr="0083145E">
        <w:t>).</w:t>
      </w:r>
    </w:p>
    <w:p w14:paraId="46DA5E16" w14:textId="4D69EA8B" w:rsidR="00FF158F" w:rsidRPr="0083145E" w:rsidRDefault="00107604" w:rsidP="004F4229">
      <w:pPr>
        <w:pStyle w:val="Mynormal"/>
        <w:keepNext/>
      </w:pPr>
      <w:r>
        <w:t>[Insert Figure 5 here]</w:t>
      </w:r>
    </w:p>
    <w:p w14:paraId="7B41F1D4" w14:textId="4F51DA35" w:rsidR="00FF158F" w:rsidRPr="0083145E" w:rsidRDefault="004C4948" w:rsidP="004C4948">
      <w:pPr>
        <w:pStyle w:val="Mynormal"/>
        <w:rPr>
          <w:i/>
        </w:rPr>
      </w:pPr>
      <w:bookmarkStart w:id="6" w:name="_Ref517800774"/>
      <w:bookmarkEnd w:id="6"/>
      <w:r>
        <w:t>Figure 5</w:t>
      </w:r>
      <w:r w:rsidR="00FF158F" w:rsidRPr="0083145E">
        <w:t>: Cluster analys</w:t>
      </w:r>
      <w:r>
        <w:t>e</w:t>
      </w:r>
      <w:r w:rsidR="00FF158F" w:rsidRPr="0083145E">
        <w:t xml:space="preserve">s </w:t>
      </w:r>
      <w:r>
        <w:t xml:space="preserve">(left; a, c) and DCAs (right; b, d) </w:t>
      </w:r>
      <w:r w:rsidR="00FF158F" w:rsidRPr="0083145E">
        <w:t xml:space="preserve">of plots by vegetation </w:t>
      </w:r>
      <w:r>
        <w:t>(top; a, b</w:t>
      </w:r>
      <w:r w:rsidR="00FF158F" w:rsidRPr="0083145E">
        <w:t>)</w:t>
      </w:r>
      <w:r>
        <w:t xml:space="preserve"> and pollen (bottom; c, d) taxa found in ≥</w:t>
      </w:r>
      <w:r w:rsidRPr="0083145E">
        <w:t>2 plots</w:t>
      </w:r>
      <w:r>
        <w:t xml:space="preserve"> at ≥2% abundance.</w:t>
      </w:r>
      <w:r w:rsidR="00FF158F" w:rsidRPr="0083145E">
        <w:t xml:space="preserve"> </w:t>
      </w:r>
      <w:r>
        <w:t>In the DCAs, c</w:t>
      </w:r>
      <w:r w:rsidRPr="0083145E">
        <w:t xml:space="preserve">onvex hulls are delimited for structural categories </w:t>
      </w:r>
      <w:r>
        <w:t xml:space="preserve">containing </w:t>
      </w:r>
      <w:r w:rsidRPr="0083145E">
        <w:t>three or more plots.</w:t>
      </w:r>
      <w:r>
        <w:t xml:space="preserve"> </w:t>
      </w:r>
      <w:r w:rsidR="00FF158F" w:rsidRPr="0083145E">
        <w:t>Plot types are identified by colour and two-letter code</w:t>
      </w:r>
      <w:r w:rsidR="00967404">
        <w:t xml:space="preserve"> (op: open</w:t>
      </w:r>
      <w:r>
        <w:t>;</w:t>
      </w:r>
      <w:r w:rsidR="00967404">
        <w:t xml:space="preserve"> cl: closed</w:t>
      </w:r>
      <w:r>
        <w:t>; ri: riverine;</w:t>
      </w:r>
      <w:r w:rsidR="00967404">
        <w:t xml:space="preserve"> di: disturbed</w:t>
      </w:r>
      <w:r>
        <w:t>;</w:t>
      </w:r>
      <w:r w:rsidR="00967404">
        <w:t xml:space="preserve"> ro: rock</w:t>
      </w:r>
      <w:r>
        <w:t>;</w:t>
      </w:r>
      <w:r w:rsidR="00967404">
        <w:t xml:space="preserve"> sl: slope</w:t>
      </w:r>
      <w:r w:rsidR="00315D79">
        <w:t xml:space="preserve">; </w:t>
      </w:r>
      <w:r w:rsidR="00FF158F" w:rsidRPr="0083145E">
        <w:t xml:space="preserve">see </w:t>
      </w:r>
      <w:r>
        <w:lastRenderedPageBreak/>
        <w:t>Table 1</w:t>
      </w:r>
      <w:r w:rsidR="00967404">
        <w:t>)</w:t>
      </w:r>
      <w:r w:rsidR="00315D79">
        <w:t>.</w:t>
      </w:r>
    </w:p>
    <w:p w14:paraId="62A652F8" w14:textId="5506E5D7" w:rsidR="00FF158F" w:rsidRPr="0083145E" w:rsidRDefault="005B1E18" w:rsidP="004C4948">
      <w:pPr>
        <w:pStyle w:val="Mynormal"/>
      </w:pPr>
      <w:r w:rsidRPr="0083145E">
        <w:t>In t</w:t>
      </w:r>
      <w:r w:rsidR="002C4289" w:rsidRPr="0083145E">
        <w:t>he cluster analysis of vegetation data (</w:t>
      </w:r>
      <w:r w:rsidR="004C4948">
        <w:t>Figure 5a</w:t>
      </w:r>
      <w:r w:rsidR="002C4289" w:rsidRPr="0083145E">
        <w:t>)</w:t>
      </w:r>
      <w:r w:rsidRPr="0083145E">
        <w:t xml:space="preserve">, similarity scores range from ~0.25 </w:t>
      </w:r>
      <w:r w:rsidR="00EE4B17">
        <w:t>to</w:t>
      </w:r>
      <w:r w:rsidRPr="0083145E">
        <w:t xml:space="preserve"> &gt;</w:t>
      </w:r>
      <w:r w:rsidR="00B12D1A">
        <w:t xml:space="preserve"> </w:t>
      </w:r>
      <w:r w:rsidRPr="0083145E">
        <w:t>0.75. T</w:t>
      </w:r>
      <w:r w:rsidR="002C4289" w:rsidRPr="0083145E">
        <w:t xml:space="preserve">wo plot groupings that are </w:t>
      </w:r>
      <w:r w:rsidRPr="0083145E">
        <w:t>somewhat</w:t>
      </w:r>
      <w:r w:rsidR="002C4289" w:rsidRPr="0083145E">
        <w:t xml:space="preserve"> structurally consistent</w:t>
      </w:r>
      <w:r w:rsidRPr="0083145E">
        <w:t xml:space="preserve"> </w:t>
      </w:r>
      <w:r w:rsidR="00315D79">
        <w:t>can be</w:t>
      </w:r>
      <w:r w:rsidR="00315D79" w:rsidRPr="0083145E">
        <w:t xml:space="preserve"> </w:t>
      </w:r>
      <w:r w:rsidRPr="0083145E">
        <w:t>highlighted</w:t>
      </w:r>
      <w:r w:rsidR="002C4289" w:rsidRPr="0083145E">
        <w:t xml:space="preserve">. One such cluster contains three of the five open-understorey plots </w:t>
      </w:r>
      <w:r w:rsidR="001225B9">
        <w:t>(</w:t>
      </w:r>
      <w:r w:rsidR="002C4289" w:rsidRPr="0083145E">
        <w:t>P119, P122 and P123</w:t>
      </w:r>
      <w:r w:rsidR="001225B9">
        <w:t>)</w:t>
      </w:r>
      <w:r w:rsidR="002C4289" w:rsidRPr="0083145E">
        <w:t xml:space="preserve"> with the lone slope plot P118 (similarity score &gt;</w:t>
      </w:r>
      <w:r w:rsidR="00B12D1A">
        <w:t xml:space="preserve"> </w:t>
      </w:r>
      <w:r w:rsidR="002C4289" w:rsidRPr="0083145E">
        <w:t xml:space="preserve">0.65); the other </w:t>
      </w:r>
      <w:r w:rsidR="00FF158F" w:rsidRPr="0083145E">
        <w:t xml:space="preserve">is the pairing of </w:t>
      </w:r>
      <w:r w:rsidR="002C4289" w:rsidRPr="0083145E">
        <w:t xml:space="preserve">riverine plots </w:t>
      </w:r>
      <w:r w:rsidR="00FF158F" w:rsidRPr="0083145E">
        <w:t>P136 and P110 which, despite having similarity scores &lt;</w:t>
      </w:r>
      <w:r w:rsidR="00B12D1A">
        <w:t xml:space="preserve"> </w:t>
      </w:r>
      <w:r w:rsidR="00FF158F" w:rsidRPr="0083145E">
        <w:t>0.6 relative to each other, are together highly dissimilar to all other plots.</w:t>
      </w:r>
    </w:p>
    <w:p w14:paraId="68D472BE" w14:textId="403B611F" w:rsidR="00FF158F" w:rsidRPr="0083145E" w:rsidRDefault="001607CF" w:rsidP="004C4948">
      <w:pPr>
        <w:pStyle w:val="Mynormal"/>
      </w:pPr>
      <w:r w:rsidRPr="0083145E">
        <w:t>In</w:t>
      </w:r>
      <w:r w:rsidR="00FF158F" w:rsidRPr="0083145E">
        <w:t xml:space="preserve"> the DCA of vegetation data </w:t>
      </w:r>
      <w:r w:rsidR="004C4948">
        <w:t>(Figure 5b</w:t>
      </w:r>
      <w:r w:rsidRPr="0083145E">
        <w:t>),</w:t>
      </w:r>
      <w:r w:rsidR="00FF158F" w:rsidRPr="0083145E">
        <w:t xml:space="preserve"> </w:t>
      </w:r>
      <w:r w:rsidRPr="0083145E">
        <w:t>m</w:t>
      </w:r>
      <w:r w:rsidR="00FF158F" w:rsidRPr="0083145E">
        <w:t>ost variation is explained on axis 1 (eigenvalue 0.3781), with values ranging from -196 (</w:t>
      </w:r>
      <w:r w:rsidR="00FF158F" w:rsidRPr="0083145E">
        <w:rPr>
          <w:i/>
        </w:rPr>
        <w:t>Cyathea</w:t>
      </w:r>
      <w:r w:rsidR="00FF158F" w:rsidRPr="0083145E">
        <w:t xml:space="preserve"> sp.) to 365 (</w:t>
      </w:r>
      <w:r w:rsidR="00FF158F" w:rsidRPr="0083145E">
        <w:rPr>
          <w:i/>
        </w:rPr>
        <w:t>Nectandra megapotamica</w:t>
      </w:r>
      <w:r w:rsidR="00FF158F" w:rsidRPr="0083145E">
        <w:t xml:space="preserve">). The majority of sample plots </w:t>
      </w:r>
      <w:r w:rsidR="00814A7A">
        <w:t>a</w:t>
      </w:r>
      <w:r w:rsidR="00FF158F" w:rsidRPr="0083145E">
        <w:t xml:space="preserve">re clustered between 0 and 143 on axis 1, with the riverine plots P136 (202) and P110 (255) more distinguished. </w:t>
      </w:r>
      <w:r w:rsidR="00814A7A">
        <w:t>The values on a</w:t>
      </w:r>
      <w:r w:rsidR="00FF158F" w:rsidRPr="0083145E">
        <w:t>xis 2 (eigenvalue 0.1268) rang</w:t>
      </w:r>
      <w:r w:rsidR="00814A7A">
        <w:t>e</w:t>
      </w:r>
      <w:r w:rsidR="00FF158F" w:rsidRPr="0083145E">
        <w:t xml:space="preserve"> from -337 (</w:t>
      </w:r>
      <w:r w:rsidR="00FF158F" w:rsidRPr="0083145E">
        <w:rPr>
          <w:i/>
        </w:rPr>
        <w:t>Sapium glandulosum</w:t>
      </w:r>
      <w:r w:rsidR="00FF158F" w:rsidRPr="0083145E">
        <w:t>) to 388 (</w:t>
      </w:r>
      <w:r w:rsidR="00FF158F" w:rsidRPr="0083145E">
        <w:rPr>
          <w:i/>
        </w:rPr>
        <w:t>Myrsine umbellata</w:t>
      </w:r>
      <w:r w:rsidRPr="0083145E">
        <w:t xml:space="preserve">); </w:t>
      </w:r>
      <w:r w:rsidR="00FF158F" w:rsidRPr="0083145E">
        <w:t xml:space="preserve">sample plots </w:t>
      </w:r>
      <w:r w:rsidR="00814A7A">
        <w:t>a</w:t>
      </w:r>
      <w:r w:rsidR="00FF158F" w:rsidRPr="0083145E">
        <w:t>re all clustered between 0 and 140</w:t>
      </w:r>
      <w:r w:rsidRPr="0083145E">
        <w:t xml:space="preserve"> on this axis</w:t>
      </w:r>
      <w:r w:rsidR="00FF158F" w:rsidRPr="0083145E">
        <w:t>.</w:t>
      </w:r>
    </w:p>
    <w:p w14:paraId="7B715814" w14:textId="12467569" w:rsidR="00FF158F" w:rsidRPr="0083145E" w:rsidRDefault="005B1E18" w:rsidP="004C4948">
      <w:pPr>
        <w:pStyle w:val="Mynormal"/>
      </w:pPr>
      <w:r w:rsidRPr="0083145E">
        <w:t>In t</w:t>
      </w:r>
      <w:r w:rsidR="00FF158F" w:rsidRPr="0083145E">
        <w:t xml:space="preserve">he </w:t>
      </w:r>
      <w:r w:rsidR="00A86576">
        <w:t xml:space="preserve">pollen </w:t>
      </w:r>
      <w:r w:rsidR="00FF158F" w:rsidRPr="0083145E">
        <w:t>cluster analysis (</w:t>
      </w:r>
      <w:r w:rsidR="004C4948">
        <w:t>Figure 5c</w:t>
      </w:r>
      <w:r w:rsidRPr="0083145E">
        <w:t>), plots’ similarity scores range from</w:t>
      </w:r>
      <w:r w:rsidR="00FF158F" w:rsidRPr="0083145E">
        <w:t xml:space="preserve"> ~0.5</w:t>
      </w:r>
      <w:r w:rsidRPr="0083145E">
        <w:t xml:space="preserve"> to</w:t>
      </w:r>
      <w:r w:rsidR="00FF158F" w:rsidRPr="0083145E">
        <w:t xml:space="preserve"> &gt;</w:t>
      </w:r>
      <w:r w:rsidR="00B12D1A">
        <w:t xml:space="preserve"> </w:t>
      </w:r>
      <w:r w:rsidR="00FF158F" w:rsidRPr="0083145E">
        <w:t xml:space="preserve">0.85. </w:t>
      </w:r>
      <w:r w:rsidRPr="0083145E">
        <w:t xml:space="preserve">Two small clusters dominated by </w:t>
      </w:r>
      <w:r w:rsidR="00FF158F" w:rsidRPr="0083145E">
        <w:t xml:space="preserve">open </w:t>
      </w:r>
      <w:r w:rsidRPr="0083145E">
        <w:t xml:space="preserve">understorey </w:t>
      </w:r>
      <w:r w:rsidR="00FF158F" w:rsidRPr="0083145E">
        <w:t xml:space="preserve">forest plots </w:t>
      </w:r>
      <w:r w:rsidRPr="0083145E">
        <w:t xml:space="preserve">were found: </w:t>
      </w:r>
      <w:r w:rsidR="00FF158F" w:rsidRPr="0083145E">
        <w:t xml:space="preserve">P122 and P123 </w:t>
      </w:r>
      <w:r w:rsidRPr="0083145E">
        <w:t>(both open; similarity &gt;</w:t>
      </w:r>
      <w:r w:rsidR="00B12D1A">
        <w:t xml:space="preserve"> </w:t>
      </w:r>
      <w:r w:rsidRPr="0083145E">
        <w:t>0.7), and</w:t>
      </w:r>
      <w:r w:rsidR="00FF158F" w:rsidRPr="0083145E">
        <w:t xml:space="preserve"> P144 and P119 (</w:t>
      </w:r>
      <w:r w:rsidR="00DE1C9B" w:rsidRPr="0083145E">
        <w:t xml:space="preserve">both </w:t>
      </w:r>
      <w:r w:rsidRPr="0083145E">
        <w:t>open</w:t>
      </w:r>
      <w:r w:rsidR="00DE1C9B" w:rsidRPr="0083145E">
        <w:t>)</w:t>
      </w:r>
      <w:r w:rsidRPr="0083145E">
        <w:t xml:space="preserve"> </w:t>
      </w:r>
      <w:r w:rsidR="00FF158F" w:rsidRPr="0083145E">
        <w:t xml:space="preserve">with the rocky forest plot P117 </w:t>
      </w:r>
      <w:r w:rsidR="00DE1C9B" w:rsidRPr="0083145E">
        <w:t>(</w:t>
      </w:r>
      <w:r w:rsidR="00FF158F" w:rsidRPr="0083145E">
        <w:t>similarity &gt;</w:t>
      </w:r>
      <w:r w:rsidR="00B12D1A">
        <w:t xml:space="preserve"> </w:t>
      </w:r>
      <w:r w:rsidR="00FF158F" w:rsidRPr="0083145E">
        <w:t>0.7)</w:t>
      </w:r>
      <w:r w:rsidRPr="0083145E">
        <w:t>.</w:t>
      </w:r>
      <w:r w:rsidR="00DE1C9B" w:rsidRPr="0083145E">
        <w:t xml:space="preserve"> Thes</w:t>
      </w:r>
      <w:r w:rsidRPr="0083145E">
        <w:t>e</w:t>
      </w:r>
      <w:r w:rsidR="00DE1C9B" w:rsidRPr="0083145E">
        <w:t xml:space="preserve"> two groupings are quite dissimilar from each other, </w:t>
      </w:r>
      <w:r w:rsidRPr="0083145E">
        <w:t>however,</w:t>
      </w:r>
      <w:r w:rsidR="00FF158F" w:rsidRPr="0083145E">
        <w:t xml:space="preserve"> and the cluster </w:t>
      </w:r>
      <w:r w:rsidRPr="0083145E">
        <w:t xml:space="preserve">that </w:t>
      </w:r>
      <w:r w:rsidR="00FF158F" w:rsidRPr="0083145E">
        <w:t xml:space="preserve">contains </w:t>
      </w:r>
      <w:r w:rsidR="00DE1C9B" w:rsidRPr="0083145E">
        <w:t xml:space="preserve">them </w:t>
      </w:r>
      <w:r w:rsidRPr="0083145E">
        <w:t xml:space="preserve">both also contains </w:t>
      </w:r>
      <w:r w:rsidR="00FF158F" w:rsidRPr="0083145E">
        <w:t xml:space="preserve">seven non-open plots, </w:t>
      </w:r>
      <w:r w:rsidRPr="0083145E">
        <w:t xml:space="preserve">and excludes </w:t>
      </w:r>
      <w:r w:rsidR="00FF158F" w:rsidRPr="0083145E">
        <w:t>the final open plot (P142)</w:t>
      </w:r>
      <w:r w:rsidRPr="0083145E">
        <w:t>.</w:t>
      </w:r>
      <w:r w:rsidR="00FF158F" w:rsidRPr="0083145E">
        <w:t xml:space="preserve"> </w:t>
      </w:r>
    </w:p>
    <w:p w14:paraId="13623576" w14:textId="3EE956AA" w:rsidR="00FF158F" w:rsidRPr="0083145E" w:rsidRDefault="00E162E5" w:rsidP="004C4948">
      <w:pPr>
        <w:pStyle w:val="Mynormal"/>
      </w:pPr>
      <w:r w:rsidRPr="0083145E">
        <w:t>In the DCA of pollen spectra</w:t>
      </w:r>
      <w:r w:rsidR="00995468">
        <w:t xml:space="preserve"> (Figure 5d) </w:t>
      </w:r>
      <w:r w:rsidRPr="0083145E">
        <w:t>a</w:t>
      </w:r>
      <w:r w:rsidR="00FF158F" w:rsidRPr="0083145E">
        <w:t>xis 1 (eigenvalue 0.2454) ranges from -72 (</w:t>
      </w:r>
      <w:r w:rsidR="00FF158F" w:rsidRPr="0083145E">
        <w:rPr>
          <w:i/>
        </w:rPr>
        <w:t>Pteris</w:t>
      </w:r>
      <w:r w:rsidR="00FF158F" w:rsidRPr="0083145E">
        <w:t>) to 305 (</w:t>
      </w:r>
      <w:r w:rsidR="00FF158F" w:rsidRPr="0083145E">
        <w:rPr>
          <w:i/>
        </w:rPr>
        <w:t>Lamanonia</w:t>
      </w:r>
      <w:r w:rsidR="00FF158F" w:rsidRPr="0083145E">
        <w:t>), with 15 of the pl</w:t>
      </w:r>
      <w:r w:rsidR="00DE1C9B" w:rsidRPr="0083145E">
        <w:t>ots clustered between 0 and 119;</w:t>
      </w:r>
      <w:r w:rsidR="00FF158F" w:rsidRPr="0083145E">
        <w:t xml:space="preserve"> P151 </w:t>
      </w:r>
      <w:r w:rsidR="00DE1C9B" w:rsidRPr="0083145E">
        <w:t xml:space="preserve">is located </w:t>
      </w:r>
      <w:r w:rsidR="00FF158F" w:rsidRPr="0083145E">
        <w:t xml:space="preserve">at 184. The </w:t>
      </w:r>
      <w:r w:rsidRPr="0083145E">
        <w:t xml:space="preserve">forest </w:t>
      </w:r>
      <w:r w:rsidR="00FF158F" w:rsidRPr="0083145E">
        <w:t>plots are less well distinguished on axis 2 (eigenvalue 0.07194), sitting between values of 0 and 110 on an axis that ranges from -233 (Myrtaceae others total) and 426 (</w:t>
      </w:r>
      <w:r w:rsidR="00FF158F" w:rsidRPr="0083145E">
        <w:rPr>
          <w:i/>
        </w:rPr>
        <w:t>Clethra</w:t>
      </w:r>
      <w:r w:rsidR="00FF158F" w:rsidRPr="0083145E">
        <w:t xml:space="preserve"> total).</w:t>
      </w:r>
    </w:p>
    <w:p w14:paraId="678F2696" w14:textId="6553372D" w:rsidR="00854A8C" w:rsidRPr="0083145E" w:rsidRDefault="00E162E5" w:rsidP="004F4229">
      <w:pPr>
        <w:pStyle w:val="Heading2"/>
        <w:spacing w:line="480" w:lineRule="auto"/>
        <w:rPr>
          <w:lang w:eastAsia="en-GB"/>
        </w:rPr>
      </w:pPr>
      <w:r w:rsidRPr="0083145E">
        <w:rPr>
          <w:lang w:eastAsia="en-GB"/>
        </w:rPr>
        <w:t xml:space="preserve">3.4. </w:t>
      </w:r>
      <w:r w:rsidR="00D83A92" w:rsidRPr="0083145E">
        <w:rPr>
          <w:lang w:eastAsia="en-GB"/>
        </w:rPr>
        <w:t>V</w:t>
      </w:r>
      <w:r w:rsidRPr="0083145E">
        <w:rPr>
          <w:lang w:eastAsia="en-GB"/>
        </w:rPr>
        <w:t>egetation</w:t>
      </w:r>
      <w:r w:rsidR="00D83A92" w:rsidRPr="0083145E">
        <w:rPr>
          <w:lang w:eastAsia="en-GB"/>
        </w:rPr>
        <w:t xml:space="preserve">-pollen </w:t>
      </w:r>
      <w:r w:rsidRPr="0083145E">
        <w:rPr>
          <w:lang w:eastAsia="en-GB"/>
        </w:rPr>
        <w:t>relationships.</w:t>
      </w:r>
    </w:p>
    <w:p w14:paraId="52C5B770" w14:textId="15988AFE" w:rsidR="00E162E5" w:rsidRPr="0083145E" w:rsidRDefault="00A86576" w:rsidP="001C1F44">
      <w:pPr>
        <w:pStyle w:val="Mynormal"/>
      </w:pPr>
      <w:r>
        <w:t xml:space="preserve">We examined the vegetation-pollen relationships of </w:t>
      </w:r>
      <w:r w:rsidR="00D13356" w:rsidRPr="0083145E">
        <w:t>27 arboreal genera</w:t>
      </w:r>
      <w:r>
        <w:t>.</w:t>
      </w:r>
      <w:r w:rsidR="00D13356" w:rsidRPr="0083145E">
        <w:t xml:space="preserve"> </w:t>
      </w:r>
      <w:r>
        <w:t>F</w:t>
      </w:r>
      <w:r w:rsidR="00D13356" w:rsidRPr="0083145E">
        <w:t>our</w:t>
      </w:r>
      <w:r>
        <w:t xml:space="preserve"> of these</w:t>
      </w:r>
      <w:r w:rsidR="00D13356" w:rsidRPr="0083145E">
        <w:t xml:space="preserve"> </w:t>
      </w:r>
      <w:r w:rsidR="00D13356" w:rsidRPr="0083145E">
        <w:lastRenderedPageBreak/>
        <w:t>(</w:t>
      </w:r>
      <w:r w:rsidR="00D13356" w:rsidRPr="0083145E">
        <w:rPr>
          <w:i/>
        </w:rPr>
        <w:t>Myrceugenia, Nectandra, Ocotea</w:t>
      </w:r>
      <w:r w:rsidR="00D13356" w:rsidRPr="0083145E">
        <w:t xml:space="preserve"> and </w:t>
      </w:r>
      <w:r w:rsidR="00D13356" w:rsidRPr="0083145E">
        <w:rPr>
          <w:i/>
        </w:rPr>
        <w:t>Piptocarpha</w:t>
      </w:r>
      <w:r w:rsidR="00D13356" w:rsidRPr="0083145E">
        <w:t>) were present in the vegetation but with no identifiable pollen produced or preserved</w:t>
      </w:r>
      <w:r>
        <w:t xml:space="preserve"> (p/v =</w:t>
      </w:r>
      <w:r w:rsidR="002E38E2">
        <w:t xml:space="preserve"> </w:t>
      </w:r>
      <w:r>
        <w:t>0)</w:t>
      </w:r>
      <w:r w:rsidR="00D13356" w:rsidRPr="0083145E">
        <w:t>, and one (</w:t>
      </w:r>
      <w:r w:rsidR="00D13356" w:rsidRPr="0083145E">
        <w:rPr>
          <w:i/>
        </w:rPr>
        <w:t>Clethra</w:t>
      </w:r>
      <w:r w:rsidR="00D13356" w:rsidRPr="0083145E">
        <w:t>) was frequent in the pollen record without being recorded in the vegetation survey</w:t>
      </w:r>
      <w:r>
        <w:t xml:space="preserve"> (giving it a mathematically infinite p/v value)</w:t>
      </w:r>
      <w:r w:rsidR="00D13356" w:rsidRPr="0083145E">
        <w:t>. Four other genera had higher average abundances for pollen than vegetation (p/v &gt;</w:t>
      </w:r>
      <w:r w:rsidR="00B12D1A">
        <w:t xml:space="preserve"> </w:t>
      </w:r>
      <w:r w:rsidR="00D13356" w:rsidRPr="0083145E">
        <w:t>1), and 18 were more abundant in the vegetation than pollen (p/v &lt;</w:t>
      </w:r>
      <w:r w:rsidR="00B12D1A">
        <w:t xml:space="preserve"> </w:t>
      </w:r>
      <w:r w:rsidR="00D13356" w:rsidRPr="0083145E">
        <w:t>1)</w:t>
      </w:r>
      <w:r w:rsidR="002E38E2">
        <w:t xml:space="preserve"> – see </w:t>
      </w:r>
      <w:r w:rsidR="001C1F44">
        <w:t>Figure 6</w:t>
      </w:r>
      <w:r w:rsidR="00D13356" w:rsidRPr="0083145E">
        <w:t>.</w:t>
      </w:r>
    </w:p>
    <w:p w14:paraId="51088521" w14:textId="22D2CE9E" w:rsidR="00504E0B" w:rsidRPr="0083145E" w:rsidRDefault="00504E0B" w:rsidP="004F4229">
      <w:pPr>
        <w:pStyle w:val="Mynormal"/>
      </w:pPr>
      <w:r w:rsidRPr="0083145E">
        <w:t xml:space="preserve">Of the taxa found in both pollen and vegetation datasets, </w:t>
      </w:r>
      <w:r w:rsidR="002E38E2">
        <w:t>t</w:t>
      </w:r>
      <w:r w:rsidRPr="0083145E">
        <w:t xml:space="preserve">he most over-represented genus is </w:t>
      </w:r>
      <w:r w:rsidRPr="0083145E">
        <w:rPr>
          <w:i/>
        </w:rPr>
        <w:t>Lamanonia</w:t>
      </w:r>
      <w:r w:rsidRPr="0083145E">
        <w:t xml:space="preserve">, followed by </w:t>
      </w:r>
      <w:r w:rsidRPr="0083145E">
        <w:rPr>
          <w:i/>
        </w:rPr>
        <w:t>Podocarpus</w:t>
      </w:r>
      <w:r w:rsidRPr="0083145E">
        <w:t xml:space="preserve">, </w:t>
      </w:r>
      <w:r w:rsidRPr="0083145E">
        <w:rPr>
          <w:i/>
        </w:rPr>
        <w:t>Myrsine</w:t>
      </w:r>
      <w:r w:rsidRPr="0083145E">
        <w:t xml:space="preserve"> and </w:t>
      </w:r>
      <w:r w:rsidRPr="0083145E">
        <w:rPr>
          <w:i/>
        </w:rPr>
        <w:t>Araucaria</w:t>
      </w:r>
      <w:r w:rsidRPr="0083145E">
        <w:t xml:space="preserve">. </w:t>
      </w:r>
      <w:r w:rsidR="002E38E2">
        <w:t xml:space="preserve">In plot P151 </w:t>
      </w:r>
      <w:r w:rsidRPr="0083145E">
        <w:rPr>
          <w:i/>
        </w:rPr>
        <w:t>Lamanonia</w:t>
      </w:r>
      <w:r w:rsidRPr="0083145E">
        <w:t xml:space="preserve"> was not recorded in the vegetation but its pollen made up 20.3% of the total; with this data point excluded from the average calculations, </w:t>
      </w:r>
      <w:r w:rsidRPr="0083145E">
        <w:rPr>
          <w:i/>
        </w:rPr>
        <w:t>Lamanonia</w:t>
      </w:r>
      <w:r w:rsidRPr="0083145E">
        <w:t xml:space="preserve">’s p/v value is 1.25. The most under-represented genera </w:t>
      </w:r>
      <w:r w:rsidR="00F16A4D">
        <w:t>found in</w:t>
      </w:r>
      <w:r w:rsidRPr="0083145E">
        <w:t xml:space="preserve"> the pollen rain are </w:t>
      </w:r>
      <w:r w:rsidRPr="0083145E">
        <w:rPr>
          <w:i/>
        </w:rPr>
        <w:t>Cinnamodendron</w:t>
      </w:r>
      <w:r w:rsidRPr="0083145E">
        <w:t xml:space="preserve">, </w:t>
      </w:r>
      <w:r w:rsidRPr="0083145E">
        <w:rPr>
          <w:i/>
        </w:rPr>
        <w:t>Allophylus</w:t>
      </w:r>
      <w:r w:rsidRPr="0083145E">
        <w:t xml:space="preserve">, </w:t>
      </w:r>
      <w:r w:rsidRPr="0083145E">
        <w:rPr>
          <w:i/>
        </w:rPr>
        <w:t>Prunus</w:t>
      </w:r>
      <w:r w:rsidR="00B00AAF" w:rsidRPr="0083145E">
        <w:t xml:space="preserve">, </w:t>
      </w:r>
      <w:r w:rsidRPr="0083145E">
        <w:rPr>
          <w:i/>
        </w:rPr>
        <w:t>Styrax</w:t>
      </w:r>
      <w:r w:rsidR="00B00AAF" w:rsidRPr="0083145E">
        <w:t xml:space="preserve">, </w:t>
      </w:r>
      <w:r w:rsidRPr="0083145E">
        <w:rPr>
          <w:i/>
        </w:rPr>
        <w:t>Luehea</w:t>
      </w:r>
      <w:r w:rsidRPr="0083145E">
        <w:t xml:space="preserve"> and </w:t>
      </w:r>
      <w:r w:rsidRPr="0083145E">
        <w:rPr>
          <w:i/>
        </w:rPr>
        <w:t>Zanthoxylum</w:t>
      </w:r>
      <w:r w:rsidRPr="0083145E">
        <w:t xml:space="preserve"> (</w:t>
      </w:r>
      <w:r w:rsidR="00B00AAF" w:rsidRPr="0083145E">
        <w:t>p/v &lt;</w:t>
      </w:r>
      <w:r w:rsidR="00B12D1A">
        <w:t xml:space="preserve"> </w:t>
      </w:r>
      <w:r w:rsidR="00B00AAF" w:rsidRPr="0083145E">
        <w:t>0.05);</w:t>
      </w:r>
      <w:r w:rsidRPr="0083145E">
        <w:t xml:space="preserve"> </w:t>
      </w:r>
      <w:r w:rsidRPr="0083145E">
        <w:rPr>
          <w:i/>
        </w:rPr>
        <w:t>Casearia</w:t>
      </w:r>
      <w:r w:rsidR="00B00AAF" w:rsidRPr="0083145E">
        <w:t xml:space="preserve">, </w:t>
      </w:r>
      <w:r w:rsidRPr="0083145E">
        <w:rPr>
          <w:i/>
        </w:rPr>
        <w:t>Matayba</w:t>
      </w:r>
      <w:r w:rsidRPr="0083145E">
        <w:t xml:space="preserve">, </w:t>
      </w:r>
      <w:r w:rsidRPr="0083145E">
        <w:rPr>
          <w:i/>
        </w:rPr>
        <w:t>Pera</w:t>
      </w:r>
      <w:r w:rsidR="00B00AAF" w:rsidRPr="0083145E">
        <w:rPr>
          <w:i/>
        </w:rPr>
        <w:t xml:space="preserve"> </w:t>
      </w:r>
      <w:r w:rsidRPr="0083145E">
        <w:t xml:space="preserve">and </w:t>
      </w:r>
      <w:r w:rsidRPr="0083145E">
        <w:rPr>
          <w:i/>
        </w:rPr>
        <w:t>Lithraea</w:t>
      </w:r>
      <w:r w:rsidRPr="0083145E">
        <w:t xml:space="preserve"> </w:t>
      </w:r>
      <w:r w:rsidR="00B00AAF" w:rsidRPr="0083145E">
        <w:t>also have p/v scores &lt;</w:t>
      </w:r>
      <w:r w:rsidR="00B12D1A">
        <w:t xml:space="preserve"> </w:t>
      </w:r>
      <w:r w:rsidR="00B00AAF" w:rsidRPr="0083145E">
        <w:t xml:space="preserve">0.1. </w:t>
      </w:r>
      <w:r w:rsidRPr="0083145E">
        <w:rPr>
          <w:i/>
        </w:rPr>
        <w:t xml:space="preserve">Calyptranthes, Campomanesia, Eugenia, Sapium, Sebastiania </w:t>
      </w:r>
      <w:r w:rsidRPr="0083145E">
        <w:t>and</w:t>
      </w:r>
      <w:r w:rsidRPr="0083145E">
        <w:rPr>
          <w:i/>
        </w:rPr>
        <w:t xml:space="preserve"> Xylosma</w:t>
      </w:r>
      <w:r w:rsidRPr="0083145E">
        <w:t xml:space="preserve"> all have </w:t>
      </w:r>
      <w:r w:rsidR="00B00AAF" w:rsidRPr="0083145E">
        <w:t>p/v</w:t>
      </w:r>
      <w:r w:rsidRPr="0083145E">
        <w:t xml:space="preserve"> values between 0.1 and 0.5. The pollen type ‘</w:t>
      </w:r>
      <w:r w:rsidR="00B00AAF" w:rsidRPr="0083145E">
        <w:t>cf</w:t>
      </w:r>
      <w:r w:rsidR="00B00AAF" w:rsidRPr="0083145E">
        <w:rPr>
          <w:i/>
        </w:rPr>
        <w:t xml:space="preserve"> </w:t>
      </w:r>
      <w:r w:rsidRPr="0083145E">
        <w:rPr>
          <w:i/>
        </w:rPr>
        <w:t>Lithraea</w:t>
      </w:r>
      <w:r w:rsidRPr="0083145E">
        <w:t xml:space="preserve"> a (Anacardiaceae)’ was three times more common than pollen that could be confidently identified to the </w:t>
      </w:r>
      <w:r w:rsidRPr="0083145E">
        <w:rPr>
          <w:i/>
        </w:rPr>
        <w:t>Lithraea</w:t>
      </w:r>
      <w:r w:rsidR="00B00AAF" w:rsidRPr="0083145E">
        <w:t xml:space="preserve"> genus; assigning </w:t>
      </w:r>
      <w:r w:rsidRPr="0083145E">
        <w:t xml:space="preserve">these grains </w:t>
      </w:r>
      <w:r w:rsidR="00B00AAF" w:rsidRPr="0083145E">
        <w:t xml:space="preserve">to </w:t>
      </w:r>
      <w:r w:rsidRPr="0083145E">
        <w:rPr>
          <w:i/>
        </w:rPr>
        <w:t>Lithraea</w:t>
      </w:r>
      <w:r w:rsidRPr="0083145E">
        <w:t xml:space="preserve"> </w:t>
      </w:r>
      <w:r w:rsidR="00B00AAF" w:rsidRPr="0083145E">
        <w:t>changes the genus’s p/v score from 0.09 to 0.39</w:t>
      </w:r>
      <w:r w:rsidRPr="0083145E">
        <w:t xml:space="preserve">. </w:t>
      </w:r>
    </w:p>
    <w:p w14:paraId="51E0C94D" w14:textId="57B3A145" w:rsidR="0072730D" w:rsidRPr="0083145E" w:rsidRDefault="00107604" w:rsidP="001C1F44">
      <w:pPr>
        <w:pStyle w:val="Mynormal"/>
      </w:pPr>
      <w:r>
        <w:t xml:space="preserve">[Insert Figure </w:t>
      </w:r>
      <w:r w:rsidR="001C1F44">
        <w:t>6</w:t>
      </w:r>
      <w:r>
        <w:t xml:space="preserve"> here]</w:t>
      </w:r>
    </w:p>
    <w:p w14:paraId="37975EB2" w14:textId="529304BE" w:rsidR="0072730D" w:rsidRPr="0083145E" w:rsidRDefault="001C1F44" w:rsidP="001C1F44">
      <w:pPr>
        <w:pStyle w:val="Mynormal"/>
      </w:pPr>
      <w:bookmarkStart w:id="7" w:name="_Ref517807276"/>
      <w:bookmarkStart w:id="8" w:name="_Ref521586845"/>
      <w:bookmarkEnd w:id="7"/>
      <w:bookmarkEnd w:id="8"/>
      <w:r>
        <w:t>Figure 6:</w:t>
      </w:r>
      <w:r w:rsidR="0072730D" w:rsidRPr="0083145E">
        <w:t xml:space="preserve"> p/v values of key genera of </w:t>
      </w:r>
      <w:r w:rsidR="0072730D" w:rsidRPr="00301AE1">
        <w:rPr>
          <w:i/>
        </w:rPr>
        <w:t>Araucaria</w:t>
      </w:r>
      <w:r w:rsidR="0072730D" w:rsidRPr="0083145E">
        <w:t xml:space="preserve"> forest in this study. </w:t>
      </w:r>
      <w:r w:rsidR="00A86576" w:rsidRPr="00301AE1">
        <w:rPr>
          <w:i/>
        </w:rPr>
        <w:t xml:space="preserve">Clethra </w:t>
      </w:r>
      <w:r w:rsidR="00A86576">
        <w:t xml:space="preserve">has an infinitely high p/v value; faint sections in the bars of </w:t>
      </w:r>
      <w:r w:rsidR="00A86576" w:rsidRPr="00301AE1">
        <w:rPr>
          <w:i/>
        </w:rPr>
        <w:t xml:space="preserve">Lamanonia </w:t>
      </w:r>
      <w:r w:rsidR="00A86576">
        <w:t xml:space="preserve">and </w:t>
      </w:r>
      <w:r w:rsidR="00A86576" w:rsidRPr="00301AE1">
        <w:rPr>
          <w:i/>
        </w:rPr>
        <w:t>Lithraea</w:t>
      </w:r>
      <w:r w:rsidR="00A86576">
        <w:t xml:space="preserve"> reflect alternate calculations of their p/v values (see</w:t>
      </w:r>
      <w:r w:rsidR="00832027">
        <w:t xml:space="preserve"> </w:t>
      </w:r>
      <w:r w:rsidR="00832027" w:rsidRPr="001C1F44">
        <w:t>section 3.4</w:t>
      </w:r>
      <w:r w:rsidR="00A86576">
        <w:t>).</w:t>
      </w:r>
      <w:r w:rsidR="00A86576" w:rsidRPr="0083145E" w:rsidDel="00A86576">
        <w:t xml:space="preserve"> </w:t>
      </w:r>
    </w:p>
    <w:p w14:paraId="059C7C12" w14:textId="04978617" w:rsidR="00147816" w:rsidRPr="0083145E" w:rsidRDefault="00B701AF" w:rsidP="001C1F44">
      <w:pPr>
        <w:pStyle w:val="Mynormal"/>
      </w:pPr>
      <w:r w:rsidRPr="0083145E">
        <w:t xml:space="preserve">Between-plot variability in </w:t>
      </w:r>
      <w:r w:rsidR="009E0A6C">
        <w:t xml:space="preserve">vegetation-pollen relationships is not well demonstrated by </w:t>
      </w:r>
      <w:r w:rsidRPr="0083145E">
        <w:t>p/v values</w:t>
      </w:r>
      <w:r w:rsidR="009E0A6C">
        <w:t>, as their calculation requires a taxon to be present in both vegetation and pollen records for a plot.</w:t>
      </w:r>
      <w:r w:rsidRPr="0083145E">
        <w:t xml:space="preserve"> </w:t>
      </w:r>
      <w:r w:rsidR="009E0A6C">
        <w:t>The only taxon for which this occurs in all plots is</w:t>
      </w:r>
      <w:r w:rsidRPr="0083145E">
        <w:t xml:space="preserve"> </w:t>
      </w:r>
      <w:r w:rsidRPr="0083145E">
        <w:rPr>
          <w:i/>
        </w:rPr>
        <w:t>Eugenia</w:t>
      </w:r>
      <w:r w:rsidRPr="0083145E">
        <w:t xml:space="preserve">, </w:t>
      </w:r>
      <w:r w:rsidR="009E0A6C">
        <w:t>whose</w:t>
      </w:r>
      <w:r w:rsidRPr="0083145E">
        <w:t xml:space="preserve"> plot-specific p/v scores varied between 0.04 (P141) and 2.26 (P122), with 14 plots having p/v values &lt;</w:t>
      </w:r>
      <w:r w:rsidR="00B12D1A">
        <w:t xml:space="preserve"> </w:t>
      </w:r>
      <w:r w:rsidR="0020063B">
        <w:t>1. T</w:t>
      </w:r>
      <w:r w:rsidR="004E12FB" w:rsidRPr="0083145E">
        <w:t>h</w:t>
      </w:r>
      <w:r w:rsidR="0020063B">
        <w:t>is</w:t>
      </w:r>
      <w:r w:rsidR="004E12FB" w:rsidRPr="0083145E">
        <w:t xml:space="preserve"> variability is </w:t>
      </w:r>
      <w:r w:rsidR="009614EE" w:rsidRPr="0083145E">
        <w:t xml:space="preserve">more </w:t>
      </w:r>
      <w:r w:rsidR="009614EE" w:rsidRPr="0083145E">
        <w:lastRenderedPageBreak/>
        <w:t xml:space="preserve">evident with pollen-vegetation </w:t>
      </w:r>
      <w:r w:rsidR="004E12FB" w:rsidRPr="0083145E">
        <w:t>abundance differential</w:t>
      </w:r>
      <w:r w:rsidR="0020063B">
        <w:t>s</w:t>
      </w:r>
      <w:r w:rsidR="00147816" w:rsidRPr="0083145E">
        <w:t xml:space="preserve"> </w:t>
      </w:r>
      <w:r w:rsidR="009614EE" w:rsidRPr="0083145E">
        <w:t>(</w:t>
      </w:r>
      <w:r w:rsidR="00B36AB6">
        <w:t>Table 3</w:t>
      </w:r>
      <w:r w:rsidR="009614EE" w:rsidRPr="001C1F44">
        <w:fldChar w:fldCharType="begin"/>
      </w:r>
      <w:r w:rsidR="009614EE" w:rsidRPr="001C1F44">
        <w:instrText xml:space="preserve"> REF _Ref517862202 \h </w:instrText>
      </w:r>
      <w:r w:rsidR="004F4229" w:rsidRPr="001C1F44">
        <w:instrText xml:space="preserve"> \* MERGEFORMAT </w:instrText>
      </w:r>
      <w:r w:rsidR="00B36AB6">
        <w:instrText>Table</w:instrText>
      </w:r>
      <w:r w:rsidR="009614EE" w:rsidRPr="001C1F44">
        <w:fldChar w:fldCharType="end"/>
      </w:r>
      <w:r w:rsidR="00B36AB6">
        <w:t xml:space="preserve"> </w:t>
      </w:r>
      <w:r w:rsidR="00F006A3" w:rsidRPr="0083145E">
        <w:t>and</w:t>
      </w:r>
      <w:r w:rsidR="001C1F44">
        <w:t xml:space="preserve"> Figure 7</w:t>
      </w:r>
      <w:r w:rsidR="00F006A3" w:rsidRPr="0083145E">
        <w:t>)</w:t>
      </w:r>
      <w:r w:rsidR="009614EE" w:rsidRPr="0083145E">
        <w:t xml:space="preserve">. </w:t>
      </w:r>
      <w:r w:rsidR="00BA014C" w:rsidRPr="0083145E">
        <w:rPr>
          <w:i/>
        </w:rPr>
        <w:t xml:space="preserve">Myrsine, </w:t>
      </w:r>
      <w:r w:rsidR="00281AAD" w:rsidRPr="0083145E">
        <w:rPr>
          <w:i/>
        </w:rPr>
        <w:t>Araucaria</w:t>
      </w:r>
      <w:r w:rsidR="00281AAD" w:rsidRPr="0083145E">
        <w:t xml:space="preserve"> and</w:t>
      </w:r>
      <w:r w:rsidR="00281AAD" w:rsidRPr="0083145E">
        <w:rPr>
          <w:i/>
        </w:rPr>
        <w:t xml:space="preserve"> Podocarpus</w:t>
      </w:r>
      <w:r w:rsidR="00281AAD" w:rsidRPr="0083145E">
        <w:t xml:space="preserve"> had the most positive </w:t>
      </w:r>
      <w:r w:rsidR="005A3217" w:rsidRPr="0083145E">
        <w:t>mean values</w:t>
      </w:r>
      <w:r w:rsidR="00EA2AE6" w:rsidRPr="0083145E">
        <w:t xml:space="preserve"> (all above </w:t>
      </w:r>
      <w:r w:rsidR="00760562" w:rsidRPr="0083145E">
        <w:t>+5%)</w:t>
      </w:r>
      <w:r w:rsidR="00EC6B01" w:rsidRPr="0083145E">
        <w:t>;</w:t>
      </w:r>
      <w:r w:rsidR="004F671A" w:rsidRPr="0083145E">
        <w:t xml:space="preserve"> </w:t>
      </w:r>
      <w:r w:rsidR="00760562" w:rsidRPr="0083145E">
        <w:rPr>
          <w:i/>
        </w:rPr>
        <w:t>Nectandra</w:t>
      </w:r>
      <w:r w:rsidR="00EC6B01" w:rsidRPr="0083145E">
        <w:rPr>
          <w:i/>
        </w:rPr>
        <w:t xml:space="preserve">, </w:t>
      </w:r>
      <w:r w:rsidR="0015407B" w:rsidRPr="0083145E">
        <w:rPr>
          <w:i/>
        </w:rPr>
        <w:t>Eugenia, Lithraea, Cinnamodendron</w:t>
      </w:r>
      <w:r w:rsidR="00FF4E2A" w:rsidRPr="0083145E">
        <w:rPr>
          <w:i/>
        </w:rPr>
        <w:t>, Styrax</w:t>
      </w:r>
      <w:r w:rsidR="00DF6C0E" w:rsidRPr="0083145E">
        <w:t xml:space="preserve">, </w:t>
      </w:r>
      <w:r w:rsidR="00DF6C0E" w:rsidRPr="0083145E">
        <w:rPr>
          <w:i/>
        </w:rPr>
        <w:t xml:space="preserve">Ocotea, </w:t>
      </w:r>
      <w:r w:rsidR="00F666F5" w:rsidRPr="0083145E">
        <w:t xml:space="preserve">and </w:t>
      </w:r>
      <w:r w:rsidR="003F2648" w:rsidRPr="0083145E">
        <w:rPr>
          <w:i/>
        </w:rPr>
        <w:t>Matayba</w:t>
      </w:r>
      <w:r w:rsidR="00F666F5" w:rsidRPr="0083145E">
        <w:t xml:space="preserve"> had </w:t>
      </w:r>
      <w:r w:rsidR="00EA2AE6" w:rsidRPr="0083145E">
        <w:t xml:space="preserve">the most negative mean values (all below </w:t>
      </w:r>
      <w:r w:rsidR="00F666F5" w:rsidRPr="0083145E">
        <w:t>-5%)</w:t>
      </w:r>
      <w:r w:rsidR="00EA2AE6" w:rsidRPr="0083145E">
        <w:t>.</w:t>
      </w:r>
      <w:r w:rsidR="001649A3" w:rsidRPr="0083145E">
        <w:t xml:space="preserve"> </w:t>
      </w:r>
      <w:r w:rsidR="00345CED" w:rsidRPr="0083145E">
        <w:rPr>
          <w:i/>
        </w:rPr>
        <w:t>Lithraea</w:t>
      </w:r>
      <w:r w:rsidR="00345CED" w:rsidRPr="0083145E">
        <w:t>’s mean differential changes to -5.52%</w:t>
      </w:r>
      <w:r w:rsidR="00714C6C" w:rsidRPr="0083145E">
        <w:t xml:space="preserve"> if</w:t>
      </w:r>
      <w:r w:rsidR="009060F2" w:rsidRPr="0083145E">
        <w:t xml:space="preserve"> ‘cf </w:t>
      </w:r>
      <w:r w:rsidR="009060F2" w:rsidRPr="0083145E">
        <w:rPr>
          <w:i/>
        </w:rPr>
        <w:t>Lithraea</w:t>
      </w:r>
      <w:r w:rsidR="009060F2" w:rsidRPr="0083145E">
        <w:t xml:space="preserve"> (Anacardiaceae)’ pollen is </w:t>
      </w:r>
      <w:r w:rsidR="00714C6C" w:rsidRPr="0083145E">
        <w:t>included in the calculation.</w:t>
      </w:r>
    </w:p>
    <w:tbl>
      <w:tblPr>
        <w:tblStyle w:val="TableGrid"/>
        <w:tblW w:w="0" w:type="auto"/>
        <w:tblLook w:val="04A0" w:firstRow="1" w:lastRow="0" w:firstColumn="1" w:lastColumn="0" w:noHBand="0" w:noVBand="1"/>
      </w:tblPr>
      <w:tblGrid>
        <w:gridCol w:w="1894"/>
        <w:gridCol w:w="883"/>
        <w:gridCol w:w="837"/>
        <w:gridCol w:w="764"/>
        <w:gridCol w:w="1947"/>
      </w:tblGrid>
      <w:tr w:rsidR="001A1786" w:rsidRPr="0083145E" w14:paraId="5006E7A0" w14:textId="4F23DEF5" w:rsidTr="00107604">
        <w:trPr>
          <w:trHeight w:val="300"/>
        </w:trPr>
        <w:tc>
          <w:tcPr>
            <w:tcW w:w="0" w:type="auto"/>
            <w:noWrap/>
            <w:hideMark/>
          </w:tcPr>
          <w:p w14:paraId="58B02E5C" w14:textId="671ED827" w:rsidR="001A1786" w:rsidRPr="00107604" w:rsidRDefault="00CF502B" w:rsidP="00107604">
            <w:pPr>
              <w:pStyle w:val="Mynormal"/>
              <w:rPr>
                <w:b/>
              </w:rPr>
            </w:pPr>
            <w:r w:rsidRPr="00107604">
              <w:rPr>
                <w:b/>
              </w:rPr>
              <w:t>Genus</w:t>
            </w:r>
          </w:p>
        </w:tc>
        <w:tc>
          <w:tcPr>
            <w:tcW w:w="0" w:type="auto"/>
            <w:noWrap/>
            <w:hideMark/>
          </w:tcPr>
          <w:p w14:paraId="79EF615A" w14:textId="79B41FB0" w:rsidR="001A1786" w:rsidRPr="00107604" w:rsidRDefault="001A1786" w:rsidP="00107604">
            <w:pPr>
              <w:pStyle w:val="Mynormal"/>
              <w:rPr>
                <w:b/>
              </w:rPr>
            </w:pPr>
            <w:r w:rsidRPr="00107604">
              <w:rPr>
                <w:b/>
              </w:rPr>
              <w:t>Mean</w:t>
            </w:r>
          </w:p>
        </w:tc>
        <w:tc>
          <w:tcPr>
            <w:tcW w:w="0" w:type="auto"/>
            <w:noWrap/>
            <w:hideMark/>
          </w:tcPr>
          <w:p w14:paraId="6F76A30B" w14:textId="0DA77733" w:rsidR="001A1786" w:rsidRPr="00107604" w:rsidRDefault="001A1786" w:rsidP="00107604">
            <w:pPr>
              <w:pStyle w:val="Mynormal"/>
              <w:rPr>
                <w:b/>
              </w:rPr>
            </w:pPr>
            <w:r w:rsidRPr="00107604">
              <w:rPr>
                <w:b/>
              </w:rPr>
              <w:t>Min</w:t>
            </w:r>
          </w:p>
        </w:tc>
        <w:tc>
          <w:tcPr>
            <w:tcW w:w="0" w:type="auto"/>
            <w:noWrap/>
            <w:hideMark/>
          </w:tcPr>
          <w:p w14:paraId="3559C5D2" w14:textId="69A82CD1" w:rsidR="001A1786" w:rsidRPr="00107604" w:rsidRDefault="001A1786" w:rsidP="00107604">
            <w:pPr>
              <w:pStyle w:val="Mynormal"/>
              <w:rPr>
                <w:b/>
              </w:rPr>
            </w:pPr>
            <w:r w:rsidRPr="00107604">
              <w:rPr>
                <w:b/>
              </w:rPr>
              <w:t>Max</w:t>
            </w:r>
          </w:p>
        </w:tc>
        <w:tc>
          <w:tcPr>
            <w:tcW w:w="0" w:type="auto"/>
          </w:tcPr>
          <w:p w14:paraId="039F151D" w14:textId="69865474" w:rsidR="00AB407D" w:rsidRPr="00107604" w:rsidRDefault="008A5AAF" w:rsidP="00107604">
            <w:pPr>
              <w:pStyle w:val="Mynormal"/>
              <w:rPr>
                <w:b/>
              </w:rPr>
            </w:pPr>
            <w:r w:rsidRPr="00107604">
              <w:rPr>
                <w:b/>
              </w:rPr>
              <w:t>Range</w:t>
            </w:r>
            <w:r w:rsidR="004F4229" w:rsidRPr="00107604">
              <w:rPr>
                <w:b/>
              </w:rPr>
              <w:t xml:space="preserve"> </w:t>
            </w:r>
            <w:r w:rsidR="0020063B" w:rsidRPr="00107604">
              <w:rPr>
                <w:b/>
              </w:rPr>
              <w:t>(Max-Min)</w:t>
            </w:r>
          </w:p>
        </w:tc>
      </w:tr>
      <w:tr w:rsidR="001A1786" w:rsidRPr="0083145E" w14:paraId="3BEE24F1" w14:textId="4A58FCC5" w:rsidTr="00107604">
        <w:trPr>
          <w:trHeight w:val="300"/>
        </w:trPr>
        <w:tc>
          <w:tcPr>
            <w:tcW w:w="0" w:type="auto"/>
            <w:noWrap/>
            <w:hideMark/>
          </w:tcPr>
          <w:p w14:paraId="33F0B2E7" w14:textId="77777777" w:rsidR="001A1786" w:rsidRPr="0083145E" w:rsidRDefault="001A1786" w:rsidP="00107604">
            <w:pPr>
              <w:pStyle w:val="Mynormal"/>
              <w:rPr>
                <w:i/>
              </w:rPr>
            </w:pPr>
            <w:r w:rsidRPr="0083145E">
              <w:rPr>
                <w:i/>
              </w:rPr>
              <w:t>Allophylus</w:t>
            </w:r>
          </w:p>
        </w:tc>
        <w:tc>
          <w:tcPr>
            <w:tcW w:w="0" w:type="auto"/>
            <w:noWrap/>
            <w:hideMark/>
          </w:tcPr>
          <w:p w14:paraId="340C103A" w14:textId="77777777" w:rsidR="001A1786" w:rsidRPr="0083145E" w:rsidRDefault="001A1786" w:rsidP="00107604">
            <w:pPr>
              <w:pStyle w:val="Mynormal"/>
            </w:pPr>
            <w:r w:rsidRPr="0083145E">
              <w:t>-4.13</w:t>
            </w:r>
          </w:p>
        </w:tc>
        <w:tc>
          <w:tcPr>
            <w:tcW w:w="0" w:type="auto"/>
            <w:noWrap/>
            <w:hideMark/>
          </w:tcPr>
          <w:p w14:paraId="4DD73F69" w14:textId="77777777" w:rsidR="001A1786" w:rsidRPr="0083145E" w:rsidRDefault="001A1786" w:rsidP="00107604">
            <w:pPr>
              <w:pStyle w:val="Mynormal"/>
            </w:pPr>
            <w:r w:rsidRPr="0083145E">
              <w:t>-8.57</w:t>
            </w:r>
          </w:p>
        </w:tc>
        <w:tc>
          <w:tcPr>
            <w:tcW w:w="0" w:type="auto"/>
            <w:noWrap/>
            <w:hideMark/>
          </w:tcPr>
          <w:p w14:paraId="55A87DC7" w14:textId="77777777" w:rsidR="001A1786" w:rsidRPr="0083145E" w:rsidRDefault="001A1786" w:rsidP="00107604">
            <w:pPr>
              <w:pStyle w:val="Mynormal"/>
            </w:pPr>
            <w:r w:rsidRPr="0083145E">
              <w:t>0.20</w:t>
            </w:r>
          </w:p>
        </w:tc>
        <w:tc>
          <w:tcPr>
            <w:tcW w:w="0" w:type="auto"/>
          </w:tcPr>
          <w:p w14:paraId="10DBC825" w14:textId="39F6565F" w:rsidR="00AB407D" w:rsidRPr="0083145E" w:rsidRDefault="00AB407D" w:rsidP="00107604">
            <w:pPr>
              <w:pStyle w:val="Mynormal"/>
            </w:pPr>
            <w:r w:rsidRPr="0083145E">
              <w:t>8.77</w:t>
            </w:r>
          </w:p>
        </w:tc>
      </w:tr>
      <w:tr w:rsidR="001A1786" w:rsidRPr="0083145E" w14:paraId="5BB2829C" w14:textId="50973AA8" w:rsidTr="00107604">
        <w:trPr>
          <w:trHeight w:val="300"/>
        </w:trPr>
        <w:tc>
          <w:tcPr>
            <w:tcW w:w="0" w:type="auto"/>
            <w:noWrap/>
            <w:hideMark/>
          </w:tcPr>
          <w:p w14:paraId="3A0C0FBD" w14:textId="77777777" w:rsidR="001A1786" w:rsidRPr="0083145E" w:rsidRDefault="001A1786" w:rsidP="00107604">
            <w:pPr>
              <w:pStyle w:val="Mynormal"/>
              <w:rPr>
                <w:i/>
              </w:rPr>
            </w:pPr>
            <w:r w:rsidRPr="0083145E">
              <w:rPr>
                <w:i/>
              </w:rPr>
              <w:t>Araucaria</w:t>
            </w:r>
          </w:p>
        </w:tc>
        <w:tc>
          <w:tcPr>
            <w:tcW w:w="0" w:type="auto"/>
            <w:noWrap/>
            <w:hideMark/>
          </w:tcPr>
          <w:p w14:paraId="7BC4857F" w14:textId="2B2569E4" w:rsidR="001A1786" w:rsidRPr="0083145E" w:rsidRDefault="00FF4E2A" w:rsidP="00107604">
            <w:pPr>
              <w:pStyle w:val="Mynormal"/>
            </w:pPr>
            <w:r w:rsidRPr="0083145E">
              <w:t>+</w:t>
            </w:r>
            <w:r w:rsidR="001A1786" w:rsidRPr="0083145E">
              <w:t>9.36</w:t>
            </w:r>
          </w:p>
        </w:tc>
        <w:tc>
          <w:tcPr>
            <w:tcW w:w="0" w:type="auto"/>
            <w:noWrap/>
            <w:hideMark/>
          </w:tcPr>
          <w:p w14:paraId="3D42500C" w14:textId="77777777" w:rsidR="001A1786" w:rsidRPr="0083145E" w:rsidRDefault="001A1786" w:rsidP="00107604">
            <w:pPr>
              <w:pStyle w:val="Mynormal"/>
            </w:pPr>
            <w:r w:rsidRPr="0083145E">
              <w:t>-9.48</w:t>
            </w:r>
          </w:p>
        </w:tc>
        <w:tc>
          <w:tcPr>
            <w:tcW w:w="0" w:type="auto"/>
            <w:noWrap/>
            <w:hideMark/>
          </w:tcPr>
          <w:p w14:paraId="3405C064" w14:textId="77777777" w:rsidR="001A1786" w:rsidRPr="0083145E" w:rsidRDefault="001A1786" w:rsidP="00107604">
            <w:pPr>
              <w:pStyle w:val="Mynormal"/>
            </w:pPr>
            <w:r w:rsidRPr="0083145E">
              <w:t>20.63</w:t>
            </w:r>
          </w:p>
        </w:tc>
        <w:tc>
          <w:tcPr>
            <w:tcW w:w="0" w:type="auto"/>
          </w:tcPr>
          <w:p w14:paraId="6F068131" w14:textId="011D2964" w:rsidR="00AB407D" w:rsidRPr="0083145E" w:rsidRDefault="00AB407D" w:rsidP="00107604">
            <w:pPr>
              <w:pStyle w:val="Mynormal"/>
            </w:pPr>
            <w:r w:rsidRPr="0083145E">
              <w:t>30.11</w:t>
            </w:r>
          </w:p>
        </w:tc>
      </w:tr>
      <w:tr w:rsidR="001A1786" w:rsidRPr="0083145E" w14:paraId="13F0583C" w14:textId="44C4C1DB" w:rsidTr="00107604">
        <w:trPr>
          <w:trHeight w:val="300"/>
        </w:trPr>
        <w:tc>
          <w:tcPr>
            <w:tcW w:w="0" w:type="auto"/>
            <w:noWrap/>
            <w:hideMark/>
          </w:tcPr>
          <w:p w14:paraId="6A49830B" w14:textId="77777777" w:rsidR="001A1786" w:rsidRPr="0083145E" w:rsidRDefault="001A1786" w:rsidP="00107604">
            <w:pPr>
              <w:pStyle w:val="Mynormal"/>
              <w:rPr>
                <w:i/>
              </w:rPr>
            </w:pPr>
            <w:r w:rsidRPr="0083145E">
              <w:rPr>
                <w:i/>
              </w:rPr>
              <w:t>Calyptranthes</w:t>
            </w:r>
          </w:p>
        </w:tc>
        <w:tc>
          <w:tcPr>
            <w:tcW w:w="0" w:type="auto"/>
            <w:noWrap/>
            <w:hideMark/>
          </w:tcPr>
          <w:p w14:paraId="21353E2D" w14:textId="77777777" w:rsidR="001A1786" w:rsidRPr="0083145E" w:rsidRDefault="001A1786" w:rsidP="00107604">
            <w:pPr>
              <w:pStyle w:val="Mynormal"/>
            </w:pPr>
            <w:r w:rsidRPr="0083145E">
              <w:t>-3.44</w:t>
            </w:r>
          </w:p>
        </w:tc>
        <w:tc>
          <w:tcPr>
            <w:tcW w:w="0" w:type="auto"/>
            <w:noWrap/>
            <w:hideMark/>
          </w:tcPr>
          <w:p w14:paraId="129EFD85" w14:textId="77777777" w:rsidR="001A1786" w:rsidRPr="0083145E" w:rsidRDefault="001A1786" w:rsidP="00107604">
            <w:pPr>
              <w:pStyle w:val="Mynormal"/>
            </w:pPr>
            <w:r w:rsidRPr="0083145E">
              <w:t>-17.06</w:t>
            </w:r>
          </w:p>
        </w:tc>
        <w:tc>
          <w:tcPr>
            <w:tcW w:w="0" w:type="auto"/>
            <w:noWrap/>
            <w:hideMark/>
          </w:tcPr>
          <w:p w14:paraId="7870A17E" w14:textId="77777777" w:rsidR="001A1786" w:rsidRPr="0083145E" w:rsidRDefault="001A1786" w:rsidP="00107604">
            <w:pPr>
              <w:pStyle w:val="Mynormal"/>
            </w:pPr>
            <w:r w:rsidRPr="0083145E">
              <w:t>1.09</w:t>
            </w:r>
          </w:p>
        </w:tc>
        <w:tc>
          <w:tcPr>
            <w:tcW w:w="0" w:type="auto"/>
          </w:tcPr>
          <w:p w14:paraId="0EB10817" w14:textId="0EFF6D45" w:rsidR="00AB407D" w:rsidRPr="0083145E" w:rsidRDefault="00AB407D" w:rsidP="00107604">
            <w:pPr>
              <w:pStyle w:val="Mynormal"/>
            </w:pPr>
            <w:r w:rsidRPr="0083145E">
              <w:t>18.15</w:t>
            </w:r>
          </w:p>
        </w:tc>
      </w:tr>
      <w:tr w:rsidR="001A1786" w:rsidRPr="0083145E" w14:paraId="733FAC1B" w14:textId="339F90B6" w:rsidTr="00107604">
        <w:trPr>
          <w:trHeight w:val="300"/>
        </w:trPr>
        <w:tc>
          <w:tcPr>
            <w:tcW w:w="0" w:type="auto"/>
            <w:noWrap/>
            <w:hideMark/>
          </w:tcPr>
          <w:p w14:paraId="0675BA36" w14:textId="77777777" w:rsidR="001A1786" w:rsidRPr="0083145E" w:rsidRDefault="001A1786" w:rsidP="00107604">
            <w:pPr>
              <w:pStyle w:val="Mynormal"/>
              <w:rPr>
                <w:i/>
              </w:rPr>
            </w:pPr>
            <w:r w:rsidRPr="0083145E">
              <w:rPr>
                <w:i/>
              </w:rPr>
              <w:t>Campomanesia</w:t>
            </w:r>
          </w:p>
        </w:tc>
        <w:tc>
          <w:tcPr>
            <w:tcW w:w="0" w:type="auto"/>
            <w:noWrap/>
            <w:hideMark/>
          </w:tcPr>
          <w:p w14:paraId="6D7556DF" w14:textId="77777777" w:rsidR="001A1786" w:rsidRPr="0083145E" w:rsidRDefault="001A1786" w:rsidP="00107604">
            <w:pPr>
              <w:pStyle w:val="Mynormal"/>
            </w:pPr>
            <w:r w:rsidRPr="0083145E">
              <w:t>-2.08</w:t>
            </w:r>
          </w:p>
        </w:tc>
        <w:tc>
          <w:tcPr>
            <w:tcW w:w="0" w:type="auto"/>
            <w:noWrap/>
            <w:hideMark/>
          </w:tcPr>
          <w:p w14:paraId="49929E20" w14:textId="77777777" w:rsidR="001A1786" w:rsidRPr="0083145E" w:rsidRDefault="001A1786" w:rsidP="00107604">
            <w:pPr>
              <w:pStyle w:val="Mynormal"/>
            </w:pPr>
            <w:r w:rsidRPr="0083145E">
              <w:t>-5.71</w:t>
            </w:r>
          </w:p>
        </w:tc>
        <w:tc>
          <w:tcPr>
            <w:tcW w:w="0" w:type="auto"/>
            <w:noWrap/>
            <w:hideMark/>
          </w:tcPr>
          <w:p w14:paraId="18C907DF" w14:textId="77777777" w:rsidR="001A1786" w:rsidRPr="0083145E" w:rsidRDefault="001A1786" w:rsidP="00107604">
            <w:pPr>
              <w:pStyle w:val="Mynormal"/>
            </w:pPr>
            <w:r w:rsidRPr="0083145E">
              <w:t>0.81</w:t>
            </w:r>
          </w:p>
        </w:tc>
        <w:tc>
          <w:tcPr>
            <w:tcW w:w="0" w:type="auto"/>
          </w:tcPr>
          <w:p w14:paraId="1CD9A3F4" w14:textId="0C916B32" w:rsidR="00AB407D" w:rsidRPr="0083145E" w:rsidRDefault="00AB407D" w:rsidP="00107604">
            <w:pPr>
              <w:pStyle w:val="Mynormal"/>
            </w:pPr>
            <w:r w:rsidRPr="0083145E">
              <w:t>6.52</w:t>
            </w:r>
          </w:p>
        </w:tc>
      </w:tr>
      <w:tr w:rsidR="001A1786" w:rsidRPr="0083145E" w14:paraId="1747898D" w14:textId="1B3AA2F4" w:rsidTr="00107604">
        <w:trPr>
          <w:trHeight w:val="300"/>
        </w:trPr>
        <w:tc>
          <w:tcPr>
            <w:tcW w:w="0" w:type="auto"/>
            <w:noWrap/>
            <w:hideMark/>
          </w:tcPr>
          <w:p w14:paraId="6CBA8D8E" w14:textId="77777777" w:rsidR="001A1786" w:rsidRPr="0083145E" w:rsidRDefault="001A1786" w:rsidP="00107604">
            <w:pPr>
              <w:pStyle w:val="Mynormal"/>
              <w:rPr>
                <w:i/>
              </w:rPr>
            </w:pPr>
            <w:r w:rsidRPr="0083145E">
              <w:rPr>
                <w:i/>
              </w:rPr>
              <w:t>Casearia</w:t>
            </w:r>
          </w:p>
        </w:tc>
        <w:tc>
          <w:tcPr>
            <w:tcW w:w="0" w:type="auto"/>
            <w:noWrap/>
            <w:hideMark/>
          </w:tcPr>
          <w:p w14:paraId="4BD56344" w14:textId="77777777" w:rsidR="001A1786" w:rsidRPr="0083145E" w:rsidRDefault="001A1786" w:rsidP="00107604">
            <w:pPr>
              <w:pStyle w:val="Mynormal"/>
            </w:pPr>
            <w:r w:rsidRPr="0083145E">
              <w:t>-4.17</w:t>
            </w:r>
          </w:p>
        </w:tc>
        <w:tc>
          <w:tcPr>
            <w:tcW w:w="0" w:type="auto"/>
            <w:noWrap/>
            <w:hideMark/>
          </w:tcPr>
          <w:p w14:paraId="544E0A15" w14:textId="77777777" w:rsidR="001A1786" w:rsidRPr="0083145E" w:rsidRDefault="001A1786" w:rsidP="00107604">
            <w:pPr>
              <w:pStyle w:val="Mynormal"/>
            </w:pPr>
            <w:r w:rsidRPr="0083145E">
              <w:t>-13.84</w:t>
            </w:r>
          </w:p>
        </w:tc>
        <w:tc>
          <w:tcPr>
            <w:tcW w:w="0" w:type="auto"/>
            <w:noWrap/>
            <w:hideMark/>
          </w:tcPr>
          <w:p w14:paraId="50E5B46D" w14:textId="77777777" w:rsidR="001A1786" w:rsidRPr="0083145E" w:rsidRDefault="001A1786" w:rsidP="00107604">
            <w:pPr>
              <w:pStyle w:val="Mynormal"/>
            </w:pPr>
            <w:r w:rsidRPr="0083145E">
              <w:t>0.45</w:t>
            </w:r>
          </w:p>
        </w:tc>
        <w:tc>
          <w:tcPr>
            <w:tcW w:w="0" w:type="auto"/>
          </w:tcPr>
          <w:p w14:paraId="6D90EB7F" w14:textId="00437160" w:rsidR="00AB407D" w:rsidRPr="0083145E" w:rsidRDefault="00AB407D" w:rsidP="00107604">
            <w:pPr>
              <w:pStyle w:val="Mynormal"/>
            </w:pPr>
            <w:r w:rsidRPr="0083145E">
              <w:t>14.29</w:t>
            </w:r>
          </w:p>
        </w:tc>
      </w:tr>
      <w:tr w:rsidR="001A1786" w:rsidRPr="0083145E" w14:paraId="4C4B340B" w14:textId="76F9D53C" w:rsidTr="00107604">
        <w:trPr>
          <w:trHeight w:val="300"/>
        </w:trPr>
        <w:tc>
          <w:tcPr>
            <w:tcW w:w="0" w:type="auto"/>
            <w:noWrap/>
            <w:hideMark/>
          </w:tcPr>
          <w:p w14:paraId="2E74926F" w14:textId="77777777" w:rsidR="001A1786" w:rsidRPr="0083145E" w:rsidRDefault="001A1786" w:rsidP="00107604">
            <w:pPr>
              <w:pStyle w:val="Mynormal"/>
              <w:rPr>
                <w:i/>
              </w:rPr>
            </w:pPr>
            <w:r w:rsidRPr="0083145E">
              <w:rPr>
                <w:i/>
              </w:rPr>
              <w:t>Cinnamodendron</w:t>
            </w:r>
          </w:p>
        </w:tc>
        <w:tc>
          <w:tcPr>
            <w:tcW w:w="0" w:type="auto"/>
            <w:noWrap/>
            <w:hideMark/>
          </w:tcPr>
          <w:p w14:paraId="4922663E" w14:textId="77777777" w:rsidR="001A1786" w:rsidRPr="0083145E" w:rsidRDefault="001A1786" w:rsidP="00107604">
            <w:pPr>
              <w:pStyle w:val="Mynormal"/>
            </w:pPr>
            <w:r w:rsidRPr="0083145E">
              <w:t>-8.08</w:t>
            </w:r>
          </w:p>
        </w:tc>
        <w:tc>
          <w:tcPr>
            <w:tcW w:w="0" w:type="auto"/>
            <w:noWrap/>
            <w:hideMark/>
          </w:tcPr>
          <w:p w14:paraId="47B94206" w14:textId="77777777" w:rsidR="001A1786" w:rsidRPr="0083145E" w:rsidRDefault="001A1786" w:rsidP="00107604">
            <w:pPr>
              <w:pStyle w:val="Mynormal"/>
            </w:pPr>
            <w:r w:rsidRPr="0083145E">
              <w:t>-24.14</w:t>
            </w:r>
          </w:p>
        </w:tc>
        <w:tc>
          <w:tcPr>
            <w:tcW w:w="0" w:type="auto"/>
            <w:noWrap/>
            <w:hideMark/>
          </w:tcPr>
          <w:p w14:paraId="2926B06E" w14:textId="77777777" w:rsidR="001A1786" w:rsidRPr="0083145E" w:rsidRDefault="001A1786" w:rsidP="00107604">
            <w:pPr>
              <w:pStyle w:val="Mynormal"/>
            </w:pPr>
            <w:r w:rsidRPr="0083145E">
              <w:t>0.44</w:t>
            </w:r>
          </w:p>
        </w:tc>
        <w:tc>
          <w:tcPr>
            <w:tcW w:w="0" w:type="auto"/>
          </w:tcPr>
          <w:p w14:paraId="1CED1A96" w14:textId="463D14E3" w:rsidR="00AB407D" w:rsidRPr="0083145E" w:rsidRDefault="00AB407D" w:rsidP="00107604">
            <w:pPr>
              <w:pStyle w:val="Mynormal"/>
            </w:pPr>
            <w:r w:rsidRPr="0083145E">
              <w:t>24.57</w:t>
            </w:r>
          </w:p>
        </w:tc>
      </w:tr>
      <w:tr w:rsidR="001A1786" w:rsidRPr="0083145E" w14:paraId="3DF82EF7" w14:textId="0A08F03C" w:rsidTr="00107604">
        <w:trPr>
          <w:trHeight w:val="300"/>
        </w:trPr>
        <w:tc>
          <w:tcPr>
            <w:tcW w:w="0" w:type="auto"/>
            <w:noWrap/>
            <w:hideMark/>
          </w:tcPr>
          <w:p w14:paraId="7C1859CB" w14:textId="77777777" w:rsidR="001A1786" w:rsidRPr="0083145E" w:rsidRDefault="001A1786" w:rsidP="00107604">
            <w:pPr>
              <w:pStyle w:val="Mynormal"/>
              <w:rPr>
                <w:i/>
              </w:rPr>
            </w:pPr>
            <w:r w:rsidRPr="0083145E">
              <w:rPr>
                <w:i/>
              </w:rPr>
              <w:t>Clethra</w:t>
            </w:r>
          </w:p>
        </w:tc>
        <w:tc>
          <w:tcPr>
            <w:tcW w:w="0" w:type="auto"/>
            <w:noWrap/>
            <w:hideMark/>
          </w:tcPr>
          <w:p w14:paraId="4D39ABBE" w14:textId="796007D8" w:rsidR="001A1786" w:rsidRPr="0083145E" w:rsidRDefault="00FF4E2A" w:rsidP="00107604">
            <w:pPr>
              <w:pStyle w:val="Mynormal"/>
            </w:pPr>
            <w:r w:rsidRPr="0083145E">
              <w:t>+</w:t>
            </w:r>
            <w:r w:rsidR="001A1786" w:rsidRPr="0083145E">
              <w:t>1.76</w:t>
            </w:r>
          </w:p>
        </w:tc>
        <w:tc>
          <w:tcPr>
            <w:tcW w:w="0" w:type="auto"/>
            <w:noWrap/>
            <w:hideMark/>
          </w:tcPr>
          <w:p w14:paraId="387E808D" w14:textId="77777777" w:rsidR="001A1786" w:rsidRPr="0083145E" w:rsidRDefault="001A1786" w:rsidP="00107604">
            <w:pPr>
              <w:pStyle w:val="Mynormal"/>
            </w:pPr>
            <w:r w:rsidRPr="0083145E">
              <w:t>0.37</w:t>
            </w:r>
          </w:p>
        </w:tc>
        <w:tc>
          <w:tcPr>
            <w:tcW w:w="0" w:type="auto"/>
            <w:noWrap/>
            <w:hideMark/>
          </w:tcPr>
          <w:p w14:paraId="6816639B" w14:textId="77777777" w:rsidR="001A1786" w:rsidRPr="0083145E" w:rsidRDefault="001A1786" w:rsidP="00107604">
            <w:pPr>
              <w:pStyle w:val="Mynormal"/>
            </w:pPr>
            <w:r w:rsidRPr="0083145E">
              <w:t>6.68</w:t>
            </w:r>
          </w:p>
        </w:tc>
        <w:tc>
          <w:tcPr>
            <w:tcW w:w="0" w:type="auto"/>
          </w:tcPr>
          <w:p w14:paraId="155B819B" w14:textId="1B418B33" w:rsidR="00AB407D" w:rsidRPr="0083145E" w:rsidRDefault="00AB407D" w:rsidP="00107604">
            <w:pPr>
              <w:pStyle w:val="Mynormal"/>
            </w:pPr>
            <w:r w:rsidRPr="0083145E">
              <w:t>6.31</w:t>
            </w:r>
          </w:p>
        </w:tc>
      </w:tr>
      <w:tr w:rsidR="001A1786" w:rsidRPr="0083145E" w14:paraId="3B398681" w14:textId="3A78F4DD" w:rsidTr="00107604">
        <w:trPr>
          <w:trHeight w:val="300"/>
        </w:trPr>
        <w:tc>
          <w:tcPr>
            <w:tcW w:w="0" w:type="auto"/>
            <w:noWrap/>
            <w:hideMark/>
          </w:tcPr>
          <w:p w14:paraId="752E84A8" w14:textId="77777777" w:rsidR="001A1786" w:rsidRPr="0083145E" w:rsidRDefault="001A1786" w:rsidP="00107604">
            <w:pPr>
              <w:pStyle w:val="Mynormal"/>
              <w:rPr>
                <w:i/>
              </w:rPr>
            </w:pPr>
            <w:r w:rsidRPr="0083145E">
              <w:rPr>
                <w:i/>
              </w:rPr>
              <w:t>Eugenia</w:t>
            </w:r>
          </w:p>
        </w:tc>
        <w:tc>
          <w:tcPr>
            <w:tcW w:w="0" w:type="auto"/>
            <w:noWrap/>
            <w:hideMark/>
          </w:tcPr>
          <w:p w14:paraId="14A41373" w14:textId="77777777" w:rsidR="001A1786" w:rsidRPr="0083145E" w:rsidRDefault="001A1786" w:rsidP="00107604">
            <w:pPr>
              <w:pStyle w:val="Mynormal"/>
            </w:pPr>
            <w:r w:rsidRPr="0083145E">
              <w:t>-8.47</w:t>
            </w:r>
          </w:p>
        </w:tc>
        <w:tc>
          <w:tcPr>
            <w:tcW w:w="0" w:type="auto"/>
            <w:noWrap/>
            <w:hideMark/>
          </w:tcPr>
          <w:p w14:paraId="758AE456" w14:textId="77777777" w:rsidR="001A1786" w:rsidRPr="0083145E" w:rsidRDefault="001A1786" w:rsidP="00107604">
            <w:pPr>
              <w:pStyle w:val="Mynormal"/>
            </w:pPr>
            <w:r w:rsidRPr="0083145E">
              <w:t>-25.92</w:t>
            </w:r>
          </w:p>
        </w:tc>
        <w:tc>
          <w:tcPr>
            <w:tcW w:w="0" w:type="auto"/>
            <w:noWrap/>
            <w:hideMark/>
          </w:tcPr>
          <w:p w14:paraId="6C66B4F8" w14:textId="77777777" w:rsidR="001A1786" w:rsidRPr="0083145E" w:rsidRDefault="001A1786" w:rsidP="00107604">
            <w:pPr>
              <w:pStyle w:val="Mynormal"/>
            </w:pPr>
            <w:r w:rsidRPr="0083145E">
              <w:t>7.17</w:t>
            </w:r>
          </w:p>
        </w:tc>
        <w:tc>
          <w:tcPr>
            <w:tcW w:w="0" w:type="auto"/>
          </w:tcPr>
          <w:p w14:paraId="5F3F8C24" w14:textId="75B8917B" w:rsidR="00AB407D" w:rsidRPr="0083145E" w:rsidRDefault="00AB407D" w:rsidP="00107604">
            <w:pPr>
              <w:pStyle w:val="Mynormal"/>
            </w:pPr>
            <w:r w:rsidRPr="0083145E">
              <w:t>33.09</w:t>
            </w:r>
          </w:p>
        </w:tc>
      </w:tr>
      <w:tr w:rsidR="001A1786" w:rsidRPr="0083145E" w14:paraId="16E22A77" w14:textId="7FE9CDD8" w:rsidTr="00107604">
        <w:trPr>
          <w:trHeight w:val="300"/>
        </w:trPr>
        <w:tc>
          <w:tcPr>
            <w:tcW w:w="0" w:type="auto"/>
            <w:noWrap/>
            <w:hideMark/>
          </w:tcPr>
          <w:p w14:paraId="28E9D8CF" w14:textId="77777777" w:rsidR="001A1786" w:rsidRPr="0083145E" w:rsidRDefault="001A1786" w:rsidP="00107604">
            <w:pPr>
              <w:pStyle w:val="Mynormal"/>
              <w:rPr>
                <w:i/>
              </w:rPr>
            </w:pPr>
            <w:r w:rsidRPr="0083145E">
              <w:rPr>
                <w:i/>
              </w:rPr>
              <w:t>Ilex</w:t>
            </w:r>
          </w:p>
        </w:tc>
        <w:tc>
          <w:tcPr>
            <w:tcW w:w="0" w:type="auto"/>
            <w:noWrap/>
            <w:hideMark/>
          </w:tcPr>
          <w:p w14:paraId="2E2F3DCA" w14:textId="77777777" w:rsidR="001A1786" w:rsidRPr="0083145E" w:rsidRDefault="001A1786" w:rsidP="00107604">
            <w:pPr>
              <w:pStyle w:val="Mynormal"/>
            </w:pPr>
            <w:r w:rsidRPr="0083145E">
              <w:t>-1.07</w:t>
            </w:r>
          </w:p>
        </w:tc>
        <w:tc>
          <w:tcPr>
            <w:tcW w:w="0" w:type="auto"/>
            <w:noWrap/>
            <w:hideMark/>
          </w:tcPr>
          <w:p w14:paraId="656237E3" w14:textId="77777777" w:rsidR="001A1786" w:rsidRPr="0083145E" w:rsidRDefault="001A1786" w:rsidP="00107604">
            <w:pPr>
              <w:pStyle w:val="Mynormal"/>
            </w:pPr>
            <w:r w:rsidRPr="0083145E">
              <w:t>-8.73</w:t>
            </w:r>
          </w:p>
        </w:tc>
        <w:tc>
          <w:tcPr>
            <w:tcW w:w="0" w:type="auto"/>
            <w:noWrap/>
            <w:hideMark/>
          </w:tcPr>
          <w:p w14:paraId="0406E093" w14:textId="77777777" w:rsidR="001A1786" w:rsidRPr="0083145E" w:rsidRDefault="001A1786" w:rsidP="00107604">
            <w:pPr>
              <w:pStyle w:val="Mynormal"/>
            </w:pPr>
            <w:r w:rsidRPr="0083145E">
              <w:t>2.93</w:t>
            </w:r>
          </w:p>
        </w:tc>
        <w:tc>
          <w:tcPr>
            <w:tcW w:w="0" w:type="auto"/>
          </w:tcPr>
          <w:p w14:paraId="621D41F8" w14:textId="7E29F920" w:rsidR="00AB407D" w:rsidRPr="0083145E" w:rsidRDefault="00AB407D" w:rsidP="00107604">
            <w:pPr>
              <w:pStyle w:val="Mynormal"/>
            </w:pPr>
            <w:r w:rsidRPr="0083145E">
              <w:t>11.66</w:t>
            </w:r>
          </w:p>
        </w:tc>
      </w:tr>
      <w:tr w:rsidR="001A1786" w:rsidRPr="0083145E" w14:paraId="3FB6D9BC" w14:textId="30F982E3" w:rsidTr="00107604">
        <w:trPr>
          <w:trHeight w:val="300"/>
        </w:trPr>
        <w:tc>
          <w:tcPr>
            <w:tcW w:w="0" w:type="auto"/>
            <w:noWrap/>
            <w:hideMark/>
          </w:tcPr>
          <w:p w14:paraId="7D83E082" w14:textId="77777777" w:rsidR="001A1786" w:rsidRPr="0083145E" w:rsidRDefault="001A1786" w:rsidP="00107604">
            <w:pPr>
              <w:pStyle w:val="Mynormal"/>
              <w:rPr>
                <w:i/>
              </w:rPr>
            </w:pPr>
            <w:r w:rsidRPr="0083145E">
              <w:rPr>
                <w:i/>
              </w:rPr>
              <w:t>Lamanonia</w:t>
            </w:r>
          </w:p>
        </w:tc>
        <w:tc>
          <w:tcPr>
            <w:tcW w:w="0" w:type="auto"/>
            <w:noWrap/>
            <w:hideMark/>
          </w:tcPr>
          <w:p w14:paraId="4748CDCB" w14:textId="6540CB46" w:rsidR="001A1786" w:rsidRPr="0083145E" w:rsidRDefault="00FF4E2A" w:rsidP="00107604">
            <w:pPr>
              <w:pStyle w:val="Mynormal"/>
            </w:pPr>
            <w:r w:rsidRPr="0083145E">
              <w:t>+</w:t>
            </w:r>
            <w:r w:rsidR="001A1786" w:rsidRPr="0083145E">
              <w:t>2.69</w:t>
            </w:r>
          </w:p>
        </w:tc>
        <w:tc>
          <w:tcPr>
            <w:tcW w:w="0" w:type="auto"/>
            <w:noWrap/>
            <w:hideMark/>
          </w:tcPr>
          <w:p w14:paraId="4F0BB43F" w14:textId="77777777" w:rsidR="001A1786" w:rsidRPr="0083145E" w:rsidRDefault="001A1786" w:rsidP="00107604">
            <w:pPr>
              <w:pStyle w:val="Mynormal"/>
            </w:pPr>
            <w:r w:rsidRPr="0083145E">
              <w:t>-1.16</w:t>
            </w:r>
          </w:p>
        </w:tc>
        <w:tc>
          <w:tcPr>
            <w:tcW w:w="0" w:type="auto"/>
            <w:noWrap/>
            <w:hideMark/>
          </w:tcPr>
          <w:p w14:paraId="0F0EA404" w14:textId="77777777" w:rsidR="001A1786" w:rsidRPr="0083145E" w:rsidRDefault="001A1786" w:rsidP="00107604">
            <w:pPr>
              <w:pStyle w:val="Mynormal"/>
            </w:pPr>
            <w:r w:rsidRPr="0083145E">
              <w:t>20.32</w:t>
            </w:r>
          </w:p>
        </w:tc>
        <w:tc>
          <w:tcPr>
            <w:tcW w:w="0" w:type="auto"/>
          </w:tcPr>
          <w:p w14:paraId="4FB6A6DE" w14:textId="65E849B2" w:rsidR="00AB407D" w:rsidRPr="0083145E" w:rsidRDefault="00AB407D" w:rsidP="00107604">
            <w:pPr>
              <w:pStyle w:val="Mynormal"/>
            </w:pPr>
            <w:r w:rsidRPr="0083145E">
              <w:t>21.49</w:t>
            </w:r>
          </w:p>
        </w:tc>
      </w:tr>
      <w:tr w:rsidR="001A1786" w:rsidRPr="0083145E" w14:paraId="5043E252" w14:textId="245C80D9" w:rsidTr="00107604">
        <w:trPr>
          <w:trHeight w:val="300"/>
        </w:trPr>
        <w:tc>
          <w:tcPr>
            <w:tcW w:w="0" w:type="auto"/>
            <w:noWrap/>
            <w:hideMark/>
          </w:tcPr>
          <w:p w14:paraId="64CBE88C" w14:textId="77777777" w:rsidR="001A1786" w:rsidRPr="0083145E" w:rsidRDefault="001A1786" w:rsidP="00107604">
            <w:pPr>
              <w:pStyle w:val="Mynormal"/>
              <w:rPr>
                <w:i/>
              </w:rPr>
            </w:pPr>
            <w:r w:rsidRPr="0083145E">
              <w:rPr>
                <w:i/>
              </w:rPr>
              <w:t>Lithraea</w:t>
            </w:r>
          </w:p>
        </w:tc>
        <w:tc>
          <w:tcPr>
            <w:tcW w:w="0" w:type="auto"/>
            <w:noWrap/>
            <w:hideMark/>
          </w:tcPr>
          <w:p w14:paraId="7DA5283C" w14:textId="77777777" w:rsidR="001A1786" w:rsidRPr="0083145E" w:rsidRDefault="001A1786" w:rsidP="00107604">
            <w:pPr>
              <w:pStyle w:val="Mynormal"/>
            </w:pPr>
            <w:r w:rsidRPr="0083145E">
              <w:t>-8.25</w:t>
            </w:r>
          </w:p>
        </w:tc>
        <w:tc>
          <w:tcPr>
            <w:tcW w:w="0" w:type="auto"/>
            <w:noWrap/>
            <w:hideMark/>
          </w:tcPr>
          <w:p w14:paraId="44057CC8" w14:textId="77777777" w:rsidR="001A1786" w:rsidRPr="0083145E" w:rsidRDefault="001A1786" w:rsidP="00107604">
            <w:pPr>
              <w:pStyle w:val="Mynormal"/>
            </w:pPr>
            <w:r w:rsidRPr="0083145E">
              <w:t>-32.56</w:t>
            </w:r>
          </w:p>
        </w:tc>
        <w:tc>
          <w:tcPr>
            <w:tcW w:w="0" w:type="auto"/>
            <w:noWrap/>
            <w:hideMark/>
          </w:tcPr>
          <w:p w14:paraId="2190EF95" w14:textId="77777777" w:rsidR="001A1786" w:rsidRPr="0083145E" w:rsidRDefault="001A1786" w:rsidP="00107604">
            <w:pPr>
              <w:pStyle w:val="Mynormal"/>
            </w:pPr>
            <w:r w:rsidRPr="0083145E">
              <w:t>0.26</w:t>
            </w:r>
          </w:p>
        </w:tc>
        <w:tc>
          <w:tcPr>
            <w:tcW w:w="0" w:type="auto"/>
          </w:tcPr>
          <w:p w14:paraId="5B67C479" w14:textId="532111EF" w:rsidR="00AB407D" w:rsidRPr="0083145E" w:rsidRDefault="00AB407D" w:rsidP="00107604">
            <w:pPr>
              <w:pStyle w:val="Mynormal"/>
            </w:pPr>
            <w:r w:rsidRPr="0083145E">
              <w:t>32.82</w:t>
            </w:r>
          </w:p>
        </w:tc>
      </w:tr>
      <w:tr w:rsidR="001A1786" w:rsidRPr="0083145E" w14:paraId="1238F5BD" w14:textId="5592CE07" w:rsidTr="00107604">
        <w:trPr>
          <w:trHeight w:val="300"/>
        </w:trPr>
        <w:tc>
          <w:tcPr>
            <w:tcW w:w="0" w:type="auto"/>
            <w:noWrap/>
            <w:hideMark/>
          </w:tcPr>
          <w:p w14:paraId="574E50A9" w14:textId="77777777" w:rsidR="001A1786" w:rsidRPr="0083145E" w:rsidRDefault="001A1786" w:rsidP="00107604">
            <w:pPr>
              <w:pStyle w:val="Mynormal"/>
              <w:rPr>
                <w:i/>
              </w:rPr>
            </w:pPr>
            <w:r w:rsidRPr="0083145E">
              <w:rPr>
                <w:i/>
              </w:rPr>
              <w:t>Luehea</w:t>
            </w:r>
          </w:p>
        </w:tc>
        <w:tc>
          <w:tcPr>
            <w:tcW w:w="0" w:type="auto"/>
            <w:noWrap/>
            <w:hideMark/>
          </w:tcPr>
          <w:p w14:paraId="72793A4F" w14:textId="77777777" w:rsidR="001A1786" w:rsidRPr="0083145E" w:rsidRDefault="001A1786" w:rsidP="00107604">
            <w:pPr>
              <w:pStyle w:val="Mynormal"/>
            </w:pPr>
            <w:r w:rsidRPr="0083145E">
              <w:t>-4.89</w:t>
            </w:r>
          </w:p>
        </w:tc>
        <w:tc>
          <w:tcPr>
            <w:tcW w:w="0" w:type="auto"/>
            <w:noWrap/>
            <w:hideMark/>
          </w:tcPr>
          <w:p w14:paraId="2FBEDD84" w14:textId="77777777" w:rsidR="001A1786" w:rsidRPr="0083145E" w:rsidRDefault="001A1786" w:rsidP="00107604">
            <w:pPr>
              <w:pStyle w:val="Mynormal"/>
            </w:pPr>
            <w:r w:rsidRPr="0083145E">
              <w:t>-8.89</w:t>
            </w:r>
          </w:p>
        </w:tc>
        <w:tc>
          <w:tcPr>
            <w:tcW w:w="0" w:type="auto"/>
            <w:noWrap/>
            <w:hideMark/>
          </w:tcPr>
          <w:p w14:paraId="4844CB52" w14:textId="77777777" w:rsidR="001A1786" w:rsidRPr="0083145E" w:rsidRDefault="001A1786" w:rsidP="00107604">
            <w:pPr>
              <w:pStyle w:val="Mynormal"/>
            </w:pPr>
            <w:r w:rsidRPr="0083145E">
              <w:t>0.18</w:t>
            </w:r>
          </w:p>
        </w:tc>
        <w:tc>
          <w:tcPr>
            <w:tcW w:w="0" w:type="auto"/>
          </w:tcPr>
          <w:p w14:paraId="0C4BC1BE" w14:textId="134E3E07" w:rsidR="00AB407D" w:rsidRPr="0083145E" w:rsidRDefault="00AB407D" w:rsidP="00107604">
            <w:pPr>
              <w:pStyle w:val="Mynormal"/>
            </w:pPr>
            <w:r w:rsidRPr="0083145E">
              <w:t>9.07</w:t>
            </w:r>
          </w:p>
        </w:tc>
      </w:tr>
      <w:tr w:rsidR="001A1786" w:rsidRPr="0083145E" w14:paraId="0ABEA534" w14:textId="15509406" w:rsidTr="00107604">
        <w:trPr>
          <w:trHeight w:val="300"/>
        </w:trPr>
        <w:tc>
          <w:tcPr>
            <w:tcW w:w="0" w:type="auto"/>
            <w:noWrap/>
            <w:hideMark/>
          </w:tcPr>
          <w:p w14:paraId="2E380B2F" w14:textId="77777777" w:rsidR="001A1786" w:rsidRPr="0083145E" w:rsidRDefault="001A1786" w:rsidP="00107604">
            <w:pPr>
              <w:pStyle w:val="Mynormal"/>
              <w:rPr>
                <w:i/>
              </w:rPr>
            </w:pPr>
            <w:r w:rsidRPr="0083145E">
              <w:rPr>
                <w:i/>
              </w:rPr>
              <w:t>Matayba</w:t>
            </w:r>
          </w:p>
        </w:tc>
        <w:tc>
          <w:tcPr>
            <w:tcW w:w="0" w:type="auto"/>
            <w:noWrap/>
            <w:hideMark/>
          </w:tcPr>
          <w:p w14:paraId="3711D467" w14:textId="77777777" w:rsidR="001A1786" w:rsidRPr="0083145E" w:rsidRDefault="001A1786" w:rsidP="00107604">
            <w:pPr>
              <w:pStyle w:val="Mynormal"/>
            </w:pPr>
            <w:r w:rsidRPr="0083145E">
              <w:t>-6.29</w:t>
            </w:r>
          </w:p>
        </w:tc>
        <w:tc>
          <w:tcPr>
            <w:tcW w:w="0" w:type="auto"/>
            <w:noWrap/>
            <w:hideMark/>
          </w:tcPr>
          <w:p w14:paraId="420E5473" w14:textId="77777777" w:rsidR="001A1786" w:rsidRPr="0083145E" w:rsidRDefault="001A1786" w:rsidP="00107604">
            <w:pPr>
              <w:pStyle w:val="Mynormal"/>
            </w:pPr>
            <w:r w:rsidRPr="0083145E">
              <w:t>-34.14</w:t>
            </w:r>
          </w:p>
        </w:tc>
        <w:tc>
          <w:tcPr>
            <w:tcW w:w="0" w:type="auto"/>
            <w:noWrap/>
            <w:hideMark/>
          </w:tcPr>
          <w:p w14:paraId="3ACAA23C" w14:textId="77777777" w:rsidR="001A1786" w:rsidRPr="0083145E" w:rsidRDefault="001A1786" w:rsidP="00107604">
            <w:pPr>
              <w:pStyle w:val="Mynormal"/>
            </w:pPr>
            <w:r w:rsidRPr="0083145E">
              <w:t>0.36</w:t>
            </w:r>
          </w:p>
        </w:tc>
        <w:tc>
          <w:tcPr>
            <w:tcW w:w="0" w:type="auto"/>
          </w:tcPr>
          <w:p w14:paraId="2378C83A" w14:textId="27C99F1A" w:rsidR="00AB407D" w:rsidRPr="0083145E" w:rsidRDefault="00AB407D" w:rsidP="00107604">
            <w:pPr>
              <w:pStyle w:val="Mynormal"/>
            </w:pPr>
            <w:r w:rsidRPr="0083145E">
              <w:t>34.50</w:t>
            </w:r>
          </w:p>
        </w:tc>
      </w:tr>
      <w:tr w:rsidR="001A1786" w:rsidRPr="0083145E" w14:paraId="07D4BA84" w14:textId="51318F1B" w:rsidTr="00107604">
        <w:trPr>
          <w:trHeight w:val="300"/>
        </w:trPr>
        <w:tc>
          <w:tcPr>
            <w:tcW w:w="0" w:type="auto"/>
            <w:noWrap/>
            <w:hideMark/>
          </w:tcPr>
          <w:p w14:paraId="4ED4615B" w14:textId="77777777" w:rsidR="001A1786" w:rsidRPr="0083145E" w:rsidRDefault="001A1786" w:rsidP="00107604">
            <w:pPr>
              <w:pStyle w:val="Mynormal"/>
              <w:rPr>
                <w:i/>
              </w:rPr>
            </w:pPr>
            <w:r w:rsidRPr="0083145E">
              <w:rPr>
                <w:i/>
              </w:rPr>
              <w:t>Myrceugenia</w:t>
            </w:r>
          </w:p>
        </w:tc>
        <w:tc>
          <w:tcPr>
            <w:tcW w:w="0" w:type="auto"/>
            <w:noWrap/>
            <w:hideMark/>
          </w:tcPr>
          <w:p w14:paraId="44A7B301" w14:textId="77777777" w:rsidR="001A1786" w:rsidRPr="0083145E" w:rsidRDefault="001A1786" w:rsidP="00107604">
            <w:pPr>
              <w:pStyle w:val="Mynormal"/>
            </w:pPr>
            <w:r w:rsidRPr="0083145E">
              <w:t>-4.61</w:t>
            </w:r>
          </w:p>
        </w:tc>
        <w:tc>
          <w:tcPr>
            <w:tcW w:w="0" w:type="auto"/>
            <w:noWrap/>
            <w:hideMark/>
          </w:tcPr>
          <w:p w14:paraId="708B0A1F" w14:textId="77777777" w:rsidR="001A1786" w:rsidRPr="0083145E" w:rsidRDefault="001A1786" w:rsidP="00107604">
            <w:pPr>
              <w:pStyle w:val="Mynormal"/>
            </w:pPr>
            <w:r w:rsidRPr="0083145E">
              <w:t>-9.09</w:t>
            </w:r>
          </w:p>
        </w:tc>
        <w:tc>
          <w:tcPr>
            <w:tcW w:w="0" w:type="auto"/>
            <w:noWrap/>
            <w:hideMark/>
          </w:tcPr>
          <w:p w14:paraId="21104285" w14:textId="77777777" w:rsidR="001A1786" w:rsidRPr="0083145E" w:rsidRDefault="001A1786" w:rsidP="00107604">
            <w:pPr>
              <w:pStyle w:val="Mynormal"/>
            </w:pPr>
            <w:r w:rsidRPr="0083145E">
              <w:t>-1.75</w:t>
            </w:r>
          </w:p>
        </w:tc>
        <w:tc>
          <w:tcPr>
            <w:tcW w:w="0" w:type="auto"/>
          </w:tcPr>
          <w:p w14:paraId="5A0645DF" w14:textId="234C724F" w:rsidR="00AB407D" w:rsidRPr="0083145E" w:rsidRDefault="00AB407D" w:rsidP="00107604">
            <w:pPr>
              <w:pStyle w:val="Mynormal"/>
            </w:pPr>
            <w:r w:rsidRPr="0083145E">
              <w:t>7.34</w:t>
            </w:r>
          </w:p>
        </w:tc>
      </w:tr>
      <w:tr w:rsidR="001A1786" w:rsidRPr="0083145E" w14:paraId="225A6B95" w14:textId="0073BA6D" w:rsidTr="00107604">
        <w:trPr>
          <w:trHeight w:val="300"/>
        </w:trPr>
        <w:tc>
          <w:tcPr>
            <w:tcW w:w="0" w:type="auto"/>
            <w:noWrap/>
            <w:hideMark/>
          </w:tcPr>
          <w:p w14:paraId="07041766" w14:textId="77777777" w:rsidR="001A1786" w:rsidRPr="0083145E" w:rsidRDefault="001A1786" w:rsidP="00107604">
            <w:pPr>
              <w:pStyle w:val="Mynormal"/>
              <w:rPr>
                <w:i/>
              </w:rPr>
            </w:pPr>
            <w:r w:rsidRPr="0083145E">
              <w:rPr>
                <w:i/>
              </w:rPr>
              <w:lastRenderedPageBreak/>
              <w:t>Myrsine</w:t>
            </w:r>
          </w:p>
        </w:tc>
        <w:tc>
          <w:tcPr>
            <w:tcW w:w="0" w:type="auto"/>
            <w:noWrap/>
            <w:hideMark/>
          </w:tcPr>
          <w:p w14:paraId="4302556F" w14:textId="2027619A" w:rsidR="001A1786" w:rsidRPr="0083145E" w:rsidRDefault="00FF4E2A" w:rsidP="00107604">
            <w:pPr>
              <w:pStyle w:val="Mynormal"/>
            </w:pPr>
            <w:r w:rsidRPr="0083145E">
              <w:t>+</w:t>
            </w:r>
            <w:r w:rsidR="001A1786" w:rsidRPr="0083145E">
              <w:t>13.88</w:t>
            </w:r>
          </w:p>
        </w:tc>
        <w:tc>
          <w:tcPr>
            <w:tcW w:w="0" w:type="auto"/>
            <w:noWrap/>
            <w:hideMark/>
          </w:tcPr>
          <w:p w14:paraId="4B9451B3" w14:textId="77777777" w:rsidR="001A1786" w:rsidRPr="0083145E" w:rsidRDefault="001A1786" w:rsidP="00107604">
            <w:pPr>
              <w:pStyle w:val="Mynormal"/>
            </w:pPr>
            <w:r w:rsidRPr="0083145E">
              <w:t>-3.05</w:t>
            </w:r>
          </w:p>
        </w:tc>
        <w:tc>
          <w:tcPr>
            <w:tcW w:w="0" w:type="auto"/>
            <w:noWrap/>
            <w:hideMark/>
          </w:tcPr>
          <w:p w14:paraId="140F19B8" w14:textId="77777777" w:rsidR="001A1786" w:rsidRPr="0083145E" w:rsidRDefault="001A1786" w:rsidP="00107604">
            <w:pPr>
              <w:pStyle w:val="Mynormal"/>
            </w:pPr>
            <w:r w:rsidRPr="0083145E">
              <w:t>55.75</w:t>
            </w:r>
          </w:p>
        </w:tc>
        <w:tc>
          <w:tcPr>
            <w:tcW w:w="0" w:type="auto"/>
          </w:tcPr>
          <w:p w14:paraId="0474D619" w14:textId="4EBA1C39" w:rsidR="00AB407D" w:rsidRPr="0083145E" w:rsidRDefault="00AB407D" w:rsidP="00107604">
            <w:pPr>
              <w:pStyle w:val="Mynormal"/>
            </w:pPr>
            <w:r w:rsidRPr="0083145E">
              <w:t>58.80</w:t>
            </w:r>
          </w:p>
        </w:tc>
      </w:tr>
      <w:tr w:rsidR="001A1786" w:rsidRPr="0083145E" w14:paraId="4BEFE6EA" w14:textId="4BF022D0" w:rsidTr="00107604">
        <w:trPr>
          <w:trHeight w:val="300"/>
        </w:trPr>
        <w:tc>
          <w:tcPr>
            <w:tcW w:w="0" w:type="auto"/>
            <w:noWrap/>
            <w:hideMark/>
          </w:tcPr>
          <w:p w14:paraId="01DDEE67" w14:textId="77777777" w:rsidR="001A1786" w:rsidRPr="0083145E" w:rsidRDefault="001A1786" w:rsidP="00107604">
            <w:pPr>
              <w:pStyle w:val="Mynormal"/>
              <w:rPr>
                <w:i/>
              </w:rPr>
            </w:pPr>
            <w:r w:rsidRPr="0083145E">
              <w:rPr>
                <w:i/>
              </w:rPr>
              <w:t>Nectandra</w:t>
            </w:r>
          </w:p>
        </w:tc>
        <w:tc>
          <w:tcPr>
            <w:tcW w:w="0" w:type="auto"/>
            <w:noWrap/>
            <w:hideMark/>
          </w:tcPr>
          <w:p w14:paraId="3A0F8C88" w14:textId="77777777" w:rsidR="001A1786" w:rsidRPr="0083145E" w:rsidRDefault="001A1786" w:rsidP="00107604">
            <w:pPr>
              <w:pStyle w:val="Mynormal"/>
            </w:pPr>
            <w:r w:rsidRPr="0083145E">
              <w:t>-11.73</w:t>
            </w:r>
          </w:p>
        </w:tc>
        <w:tc>
          <w:tcPr>
            <w:tcW w:w="0" w:type="auto"/>
            <w:noWrap/>
            <w:hideMark/>
          </w:tcPr>
          <w:p w14:paraId="018F1035" w14:textId="77777777" w:rsidR="001A1786" w:rsidRPr="0083145E" w:rsidRDefault="001A1786" w:rsidP="00107604">
            <w:pPr>
              <w:pStyle w:val="Mynormal"/>
            </w:pPr>
            <w:r w:rsidRPr="0083145E">
              <w:t>-28.57</w:t>
            </w:r>
          </w:p>
        </w:tc>
        <w:tc>
          <w:tcPr>
            <w:tcW w:w="0" w:type="auto"/>
            <w:noWrap/>
            <w:hideMark/>
          </w:tcPr>
          <w:p w14:paraId="686D80B7" w14:textId="77777777" w:rsidR="001A1786" w:rsidRPr="0083145E" w:rsidRDefault="001A1786" w:rsidP="00107604">
            <w:pPr>
              <w:pStyle w:val="Mynormal"/>
            </w:pPr>
            <w:r w:rsidRPr="0083145E">
              <w:t>-2.17</w:t>
            </w:r>
          </w:p>
        </w:tc>
        <w:tc>
          <w:tcPr>
            <w:tcW w:w="0" w:type="auto"/>
          </w:tcPr>
          <w:p w14:paraId="24A27D11" w14:textId="3AD2CDCA" w:rsidR="00AB407D" w:rsidRPr="0083145E" w:rsidRDefault="00AB407D" w:rsidP="00107604">
            <w:pPr>
              <w:pStyle w:val="Mynormal"/>
            </w:pPr>
            <w:r w:rsidRPr="0083145E">
              <w:t>26.40</w:t>
            </w:r>
          </w:p>
        </w:tc>
      </w:tr>
      <w:tr w:rsidR="001A1786" w:rsidRPr="0083145E" w14:paraId="599B2EC0" w14:textId="3084AC3A" w:rsidTr="00107604">
        <w:trPr>
          <w:trHeight w:val="300"/>
        </w:trPr>
        <w:tc>
          <w:tcPr>
            <w:tcW w:w="0" w:type="auto"/>
            <w:noWrap/>
            <w:hideMark/>
          </w:tcPr>
          <w:p w14:paraId="4D7A7CAB" w14:textId="77777777" w:rsidR="001A1786" w:rsidRPr="0083145E" w:rsidRDefault="001A1786" w:rsidP="00107604">
            <w:pPr>
              <w:pStyle w:val="Mynormal"/>
              <w:rPr>
                <w:i/>
              </w:rPr>
            </w:pPr>
            <w:r w:rsidRPr="0083145E">
              <w:rPr>
                <w:i/>
              </w:rPr>
              <w:t>Ocotea</w:t>
            </w:r>
          </w:p>
        </w:tc>
        <w:tc>
          <w:tcPr>
            <w:tcW w:w="0" w:type="auto"/>
            <w:noWrap/>
            <w:hideMark/>
          </w:tcPr>
          <w:p w14:paraId="6F0D87E8" w14:textId="77777777" w:rsidR="001A1786" w:rsidRPr="0083145E" w:rsidRDefault="001A1786" w:rsidP="00107604">
            <w:pPr>
              <w:pStyle w:val="Mynormal"/>
            </w:pPr>
            <w:r w:rsidRPr="0083145E">
              <w:t>-7.25</w:t>
            </w:r>
          </w:p>
        </w:tc>
        <w:tc>
          <w:tcPr>
            <w:tcW w:w="0" w:type="auto"/>
            <w:noWrap/>
            <w:hideMark/>
          </w:tcPr>
          <w:p w14:paraId="7523BCAC" w14:textId="77777777" w:rsidR="001A1786" w:rsidRPr="0083145E" w:rsidRDefault="001A1786" w:rsidP="00107604">
            <w:pPr>
              <w:pStyle w:val="Mynormal"/>
            </w:pPr>
            <w:r w:rsidRPr="0083145E">
              <w:t>-16.36</w:t>
            </w:r>
          </w:p>
        </w:tc>
        <w:tc>
          <w:tcPr>
            <w:tcW w:w="0" w:type="auto"/>
            <w:noWrap/>
            <w:hideMark/>
          </w:tcPr>
          <w:p w14:paraId="770A1A2D" w14:textId="77777777" w:rsidR="001A1786" w:rsidRPr="0083145E" w:rsidRDefault="001A1786" w:rsidP="00107604">
            <w:pPr>
              <w:pStyle w:val="Mynormal"/>
            </w:pPr>
            <w:r w:rsidRPr="0083145E">
              <w:t>-1.75</w:t>
            </w:r>
          </w:p>
        </w:tc>
        <w:tc>
          <w:tcPr>
            <w:tcW w:w="0" w:type="auto"/>
          </w:tcPr>
          <w:p w14:paraId="25F5D815" w14:textId="22BA2574" w:rsidR="00AB407D" w:rsidRPr="0083145E" w:rsidRDefault="00AB407D" w:rsidP="00107604">
            <w:pPr>
              <w:pStyle w:val="Mynormal"/>
            </w:pPr>
            <w:r w:rsidRPr="0083145E">
              <w:t>14.61</w:t>
            </w:r>
          </w:p>
        </w:tc>
      </w:tr>
      <w:tr w:rsidR="001A1786" w:rsidRPr="0083145E" w14:paraId="53900527" w14:textId="480BC165" w:rsidTr="00107604">
        <w:trPr>
          <w:trHeight w:val="300"/>
        </w:trPr>
        <w:tc>
          <w:tcPr>
            <w:tcW w:w="0" w:type="auto"/>
            <w:noWrap/>
            <w:hideMark/>
          </w:tcPr>
          <w:p w14:paraId="315D6613" w14:textId="77777777" w:rsidR="001A1786" w:rsidRPr="0083145E" w:rsidRDefault="001A1786" w:rsidP="00107604">
            <w:pPr>
              <w:pStyle w:val="Mynormal"/>
              <w:rPr>
                <w:i/>
              </w:rPr>
            </w:pPr>
            <w:r w:rsidRPr="0083145E">
              <w:rPr>
                <w:i/>
              </w:rPr>
              <w:t>Pera</w:t>
            </w:r>
          </w:p>
        </w:tc>
        <w:tc>
          <w:tcPr>
            <w:tcW w:w="0" w:type="auto"/>
            <w:noWrap/>
            <w:hideMark/>
          </w:tcPr>
          <w:p w14:paraId="6721B713" w14:textId="77777777" w:rsidR="001A1786" w:rsidRPr="0083145E" w:rsidRDefault="001A1786" w:rsidP="00107604">
            <w:pPr>
              <w:pStyle w:val="Mynormal"/>
            </w:pPr>
            <w:r w:rsidRPr="0083145E">
              <w:t>-4.83</w:t>
            </w:r>
          </w:p>
        </w:tc>
        <w:tc>
          <w:tcPr>
            <w:tcW w:w="0" w:type="auto"/>
            <w:noWrap/>
            <w:hideMark/>
          </w:tcPr>
          <w:p w14:paraId="13793B62" w14:textId="77777777" w:rsidR="001A1786" w:rsidRPr="0083145E" w:rsidRDefault="001A1786" w:rsidP="00107604">
            <w:pPr>
              <w:pStyle w:val="Mynormal"/>
            </w:pPr>
            <w:r w:rsidRPr="0083145E">
              <w:t>-21.04</w:t>
            </w:r>
          </w:p>
        </w:tc>
        <w:tc>
          <w:tcPr>
            <w:tcW w:w="0" w:type="auto"/>
            <w:noWrap/>
            <w:hideMark/>
          </w:tcPr>
          <w:p w14:paraId="2CE7CC29" w14:textId="77777777" w:rsidR="001A1786" w:rsidRPr="0083145E" w:rsidRDefault="001A1786" w:rsidP="00107604">
            <w:pPr>
              <w:pStyle w:val="Mynormal"/>
            </w:pPr>
            <w:r w:rsidRPr="0083145E">
              <w:t>1.21</w:t>
            </w:r>
          </w:p>
        </w:tc>
        <w:tc>
          <w:tcPr>
            <w:tcW w:w="0" w:type="auto"/>
          </w:tcPr>
          <w:p w14:paraId="74EEC245" w14:textId="399F61F3" w:rsidR="00AB407D" w:rsidRPr="0083145E" w:rsidRDefault="00AB407D" w:rsidP="00107604">
            <w:pPr>
              <w:pStyle w:val="Mynormal"/>
            </w:pPr>
            <w:r w:rsidRPr="0083145E">
              <w:t>22.25</w:t>
            </w:r>
          </w:p>
        </w:tc>
      </w:tr>
      <w:tr w:rsidR="001A1786" w:rsidRPr="0083145E" w14:paraId="02238000" w14:textId="7CECE85F" w:rsidTr="00107604">
        <w:trPr>
          <w:trHeight w:val="300"/>
        </w:trPr>
        <w:tc>
          <w:tcPr>
            <w:tcW w:w="0" w:type="auto"/>
            <w:noWrap/>
            <w:hideMark/>
          </w:tcPr>
          <w:p w14:paraId="57229537" w14:textId="77777777" w:rsidR="001A1786" w:rsidRPr="0083145E" w:rsidRDefault="001A1786" w:rsidP="00107604">
            <w:pPr>
              <w:pStyle w:val="Mynormal"/>
              <w:rPr>
                <w:i/>
              </w:rPr>
            </w:pPr>
            <w:r w:rsidRPr="0083145E">
              <w:rPr>
                <w:i/>
              </w:rPr>
              <w:t>Piptocarpha</w:t>
            </w:r>
          </w:p>
        </w:tc>
        <w:tc>
          <w:tcPr>
            <w:tcW w:w="0" w:type="auto"/>
            <w:noWrap/>
            <w:hideMark/>
          </w:tcPr>
          <w:p w14:paraId="64C335F8" w14:textId="77777777" w:rsidR="001A1786" w:rsidRPr="0083145E" w:rsidRDefault="001A1786" w:rsidP="00107604">
            <w:pPr>
              <w:pStyle w:val="Mynormal"/>
            </w:pPr>
            <w:r w:rsidRPr="0083145E">
              <w:t>-3.02</w:t>
            </w:r>
          </w:p>
        </w:tc>
        <w:tc>
          <w:tcPr>
            <w:tcW w:w="0" w:type="auto"/>
            <w:noWrap/>
            <w:hideMark/>
          </w:tcPr>
          <w:p w14:paraId="2FFA66E0" w14:textId="77777777" w:rsidR="001A1786" w:rsidRPr="0083145E" w:rsidRDefault="001A1786" w:rsidP="00107604">
            <w:pPr>
              <w:pStyle w:val="Mynormal"/>
            </w:pPr>
            <w:r w:rsidRPr="0083145E">
              <w:t>-4.29</w:t>
            </w:r>
          </w:p>
        </w:tc>
        <w:tc>
          <w:tcPr>
            <w:tcW w:w="0" w:type="auto"/>
            <w:noWrap/>
            <w:hideMark/>
          </w:tcPr>
          <w:p w14:paraId="34497BEA" w14:textId="77777777" w:rsidR="001A1786" w:rsidRPr="0083145E" w:rsidRDefault="001A1786" w:rsidP="00107604">
            <w:pPr>
              <w:pStyle w:val="Mynormal"/>
            </w:pPr>
            <w:r w:rsidRPr="0083145E">
              <w:t>-1.75</w:t>
            </w:r>
          </w:p>
        </w:tc>
        <w:tc>
          <w:tcPr>
            <w:tcW w:w="0" w:type="auto"/>
          </w:tcPr>
          <w:p w14:paraId="067755FB" w14:textId="125F3E21" w:rsidR="00AB407D" w:rsidRPr="0083145E" w:rsidRDefault="00AB407D" w:rsidP="00107604">
            <w:pPr>
              <w:pStyle w:val="Mynormal"/>
            </w:pPr>
            <w:r w:rsidRPr="0083145E">
              <w:t>2.53</w:t>
            </w:r>
          </w:p>
        </w:tc>
      </w:tr>
      <w:tr w:rsidR="001A1786" w:rsidRPr="0083145E" w14:paraId="546B909C" w14:textId="038214B3" w:rsidTr="00107604">
        <w:trPr>
          <w:trHeight w:val="300"/>
        </w:trPr>
        <w:tc>
          <w:tcPr>
            <w:tcW w:w="0" w:type="auto"/>
            <w:noWrap/>
            <w:hideMark/>
          </w:tcPr>
          <w:p w14:paraId="26F23820" w14:textId="77777777" w:rsidR="001A1786" w:rsidRPr="0083145E" w:rsidRDefault="001A1786" w:rsidP="00107604">
            <w:pPr>
              <w:pStyle w:val="Mynormal"/>
              <w:rPr>
                <w:i/>
              </w:rPr>
            </w:pPr>
            <w:r w:rsidRPr="0083145E">
              <w:rPr>
                <w:i/>
              </w:rPr>
              <w:t>Podocarpus</w:t>
            </w:r>
          </w:p>
        </w:tc>
        <w:tc>
          <w:tcPr>
            <w:tcW w:w="0" w:type="auto"/>
            <w:noWrap/>
            <w:hideMark/>
          </w:tcPr>
          <w:p w14:paraId="355FD8FA" w14:textId="593AA6CC" w:rsidR="001A1786" w:rsidRPr="0083145E" w:rsidRDefault="00FF4E2A" w:rsidP="00107604">
            <w:pPr>
              <w:pStyle w:val="Mynormal"/>
            </w:pPr>
            <w:r w:rsidRPr="0083145E">
              <w:t>+</w:t>
            </w:r>
            <w:r w:rsidR="001A1786" w:rsidRPr="0083145E">
              <w:t>5.78</w:t>
            </w:r>
          </w:p>
        </w:tc>
        <w:tc>
          <w:tcPr>
            <w:tcW w:w="0" w:type="auto"/>
            <w:noWrap/>
            <w:hideMark/>
          </w:tcPr>
          <w:p w14:paraId="3913C5E3" w14:textId="77777777" w:rsidR="001A1786" w:rsidRPr="0083145E" w:rsidRDefault="001A1786" w:rsidP="00107604">
            <w:pPr>
              <w:pStyle w:val="Mynormal"/>
            </w:pPr>
            <w:r w:rsidRPr="0083145E">
              <w:t>-5.73</w:t>
            </w:r>
          </w:p>
        </w:tc>
        <w:tc>
          <w:tcPr>
            <w:tcW w:w="0" w:type="auto"/>
            <w:noWrap/>
            <w:hideMark/>
          </w:tcPr>
          <w:p w14:paraId="469B71DA" w14:textId="77777777" w:rsidR="001A1786" w:rsidRPr="0083145E" w:rsidRDefault="001A1786" w:rsidP="00107604">
            <w:pPr>
              <w:pStyle w:val="Mynormal"/>
            </w:pPr>
            <w:r w:rsidRPr="0083145E">
              <w:t>19.24</w:t>
            </w:r>
          </w:p>
        </w:tc>
        <w:tc>
          <w:tcPr>
            <w:tcW w:w="0" w:type="auto"/>
          </w:tcPr>
          <w:p w14:paraId="49B200C0" w14:textId="0D12173C" w:rsidR="00AB407D" w:rsidRPr="0083145E" w:rsidRDefault="00AB407D" w:rsidP="00107604">
            <w:pPr>
              <w:pStyle w:val="Mynormal"/>
            </w:pPr>
            <w:r w:rsidRPr="0083145E">
              <w:t>24.97</w:t>
            </w:r>
          </w:p>
        </w:tc>
      </w:tr>
      <w:tr w:rsidR="001A1786" w:rsidRPr="0083145E" w14:paraId="2FBAABFC" w14:textId="7AC8A993" w:rsidTr="00107604">
        <w:trPr>
          <w:trHeight w:val="300"/>
        </w:trPr>
        <w:tc>
          <w:tcPr>
            <w:tcW w:w="0" w:type="auto"/>
            <w:noWrap/>
            <w:hideMark/>
          </w:tcPr>
          <w:p w14:paraId="3D979766" w14:textId="77777777" w:rsidR="001A1786" w:rsidRPr="0083145E" w:rsidRDefault="001A1786" w:rsidP="00107604">
            <w:pPr>
              <w:pStyle w:val="Mynormal"/>
              <w:rPr>
                <w:i/>
              </w:rPr>
            </w:pPr>
            <w:r w:rsidRPr="0083145E">
              <w:rPr>
                <w:i/>
              </w:rPr>
              <w:t>Prunus</w:t>
            </w:r>
          </w:p>
        </w:tc>
        <w:tc>
          <w:tcPr>
            <w:tcW w:w="0" w:type="auto"/>
            <w:noWrap/>
            <w:hideMark/>
          </w:tcPr>
          <w:p w14:paraId="7B97FF04" w14:textId="77777777" w:rsidR="001A1786" w:rsidRPr="0083145E" w:rsidRDefault="001A1786" w:rsidP="00107604">
            <w:pPr>
              <w:pStyle w:val="Mynormal"/>
            </w:pPr>
            <w:r w:rsidRPr="0083145E">
              <w:t>-3.21</w:t>
            </w:r>
          </w:p>
        </w:tc>
        <w:tc>
          <w:tcPr>
            <w:tcW w:w="0" w:type="auto"/>
            <w:noWrap/>
            <w:hideMark/>
          </w:tcPr>
          <w:p w14:paraId="111F29ED" w14:textId="77777777" w:rsidR="001A1786" w:rsidRPr="0083145E" w:rsidRDefault="001A1786" w:rsidP="00107604">
            <w:pPr>
              <w:pStyle w:val="Mynormal"/>
            </w:pPr>
            <w:r w:rsidRPr="0083145E">
              <w:t>-6.82</w:t>
            </w:r>
          </w:p>
        </w:tc>
        <w:tc>
          <w:tcPr>
            <w:tcW w:w="0" w:type="auto"/>
            <w:noWrap/>
            <w:hideMark/>
          </w:tcPr>
          <w:p w14:paraId="73982B1B" w14:textId="77777777" w:rsidR="001A1786" w:rsidRPr="0083145E" w:rsidRDefault="001A1786" w:rsidP="00107604">
            <w:pPr>
              <w:pStyle w:val="Mynormal"/>
            </w:pPr>
            <w:r w:rsidRPr="0083145E">
              <w:t>0.23</w:t>
            </w:r>
          </w:p>
        </w:tc>
        <w:tc>
          <w:tcPr>
            <w:tcW w:w="0" w:type="auto"/>
          </w:tcPr>
          <w:p w14:paraId="2EDB40A6" w14:textId="73A111C0" w:rsidR="00AB407D" w:rsidRPr="0083145E" w:rsidRDefault="00AB407D" w:rsidP="00107604">
            <w:pPr>
              <w:pStyle w:val="Mynormal"/>
            </w:pPr>
            <w:r w:rsidRPr="0083145E">
              <w:t>7.04</w:t>
            </w:r>
          </w:p>
        </w:tc>
      </w:tr>
      <w:tr w:rsidR="001A1786" w:rsidRPr="0083145E" w14:paraId="4EFDE091" w14:textId="6C8EA743" w:rsidTr="00107604">
        <w:trPr>
          <w:trHeight w:val="300"/>
        </w:trPr>
        <w:tc>
          <w:tcPr>
            <w:tcW w:w="0" w:type="auto"/>
            <w:noWrap/>
            <w:hideMark/>
          </w:tcPr>
          <w:p w14:paraId="2764C215" w14:textId="77777777" w:rsidR="001A1786" w:rsidRPr="0083145E" w:rsidRDefault="001A1786" w:rsidP="00107604">
            <w:pPr>
              <w:pStyle w:val="Mynormal"/>
              <w:rPr>
                <w:i/>
              </w:rPr>
            </w:pPr>
            <w:r w:rsidRPr="0083145E">
              <w:rPr>
                <w:i/>
              </w:rPr>
              <w:t>Sapium</w:t>
            </w:r>
          </w:p>
        </w:tc>
        <w:tc>
          <w:tcPr>
            <w:tcW w:w="0" w:type="auto"/>
            <w:noWrap/>
            <w:hideMark/>
          </w:tcPr>
          <w:p w14:paraId="5F7669CE" w14:textId="77777777" w:rsidR="001A1786" w:rsidRPr="0083145E" w:rsidRDefault="001A1786" w:rsidP="00107604">
            <w:pPr>
              <w:pStyle w:val="Mynormal"/>
            </w:pPr>
            <w:r w:rsidRPr="0083145E">
              <w:t>-1.27</w:t>
            </w:r>
          </w:p>
        </w:tc>
        <w:tc>
          <w:tcPr>
            <w:tcW w:w="0" w:type="auto"/>
            <w:noWrap/>
            <w:hideMark/>
          </w:tcPr>
          <w:p w14:paraId="5CC5FD4B" w14:textId="77777777" w:rsidR="001A1786" w:rsidRPr="0083145E" w:rsidRDefault="001A1786" w:rsidP="00107604">
            <w:pPr>
              <w:pStyle w:val="Mynormal"/>
            </w:pPr>
            <w:r w:rsidRPr="0083145E">
              <w:t>-5.05</w:t>
            </w:r>
          </w:p>
        </w:tc>
        <w:tc>
          <w:tcPr>
            <w:tcW w:w="0" w:type="auto"/>
            <w:noWrap/>
            <w:hideMark/>
          </w:tcPr>
          <w:p w14:paraId="329310F2" w14:textId="77777777" w:rsidR="001A1786" w:rsidRPr="0083145E" w:rsidRDefault="001A1786" w:rsidP="00107604">
            <w:pPr>
              <w:pStyle w:val="Mynormal"/>
            </w:pPr>
            <w:r w:rsidRPr="0083145E">
              <w:t>0.44</w:t>
            </w:r>
          </w:p>
        </w:tc>
        <w:tc>
          <w:tcPr>
            <w:tcW w:w="0" w:type="auto"/>
          </w:tcPr>
          <w:p w14:paraId="32527211" w14:textId="0E3D90CA" w:rsidR="00AB407D" w:rsidRPr="0083145E" w:rsidRDefault="00AB407D" w:rsidP="00107604">
            <w:pPr>
              <w:pStyle w:val="Mynormal"/>
            </w:pPr>
            <w:r w:rsidRPr="0083145E">
              <w:t>5.49</w:t>
            </w:r>
          </w:p>
        </w:tc>
      </w:tr>
      <w:tr w:rsidR="001A1786" w:rsidRPr="0083145E" w14:paraId="3B31370A" w14:textId="2B295E39" w:rsidTr="00107604">
        <w:trPr>
          <w:trHeight w:val="300"/>
        </w:trPr>
        <w:tc>
          <w:tcPr>
            <w:tcW w:w="0" w:type="auto"/>
            <w:noWrap/>
            <w:hideMark/>
          </w:tcPr>
          <w:p w14:paraId="7C9CED8B" w14:textId="77777777" w:rsidR="001A1786" w:rsidRPr="0083145E" w:rsidRDefault="001A1786" w:rsidP="00107604">
            <w:pPr>
              <w:pStyle w:val="Mynormal"/>
              <w:rPr>
                <w:i/>
              </w:rPr>
            </w:pPr>
            <w:r w:rsidRPr="0083145E">
              <w:rPr>
                <w:i/>
              </w:rPr>
              <w:t>Sebastiania</w:t>
            </w:r>
          </w:p>
        </w:tc>
        <w:tc>
          <w:tcPr>
            <w:tcW w:w="0" w:type="auto"/>
            <w:noWrap/>
            <w:hideMark/>
          </w:tcPr>
          <w:p w14:paraId="2B51E9A7" w14:textId="77777777" w:rsidR="001A1786" w:rsidRPr="0083145E" w:rsidRDefault="001A1786" w:rsidP="00107604">
            <w:pPr>
              <w:pStyle w:val="Mynormal"/>
            </w:pPr>
            <w:r w:rsidRPr="0083145E">
              <w:t>-4.35</w:t>
            </w:r>
          </w:p>
        </w:tc>
        <w:tc>
          <w:tcPr>
            <w:tcW w:w="0" w:type="auto"/>
            <w:noWrap/>
            <w:hideMark/>
          </w:tcPr>
          <w:p w14:paraId="007D84C3" w14:textId="77777777" w:rsidR="001A1786" w:rsidRPr="0083145E" w:rsidRDefault="001A1786" w:rsidP="00107604">
            <w:pPr>
              <w:pStyle w:val="Mynormal"/>
            </w:pPr>
            <w:r w:rsidRPr="0083145E">
              <w:t>-25.85</w:t>
            </w:r>
          </w:p>
        </w:tc>
        <w:tc>
          <w:tcPr>
            <w:tcW w:w="0" w:type="auto"/>
            <w:noWrap/>
            <w:hideMark/>
          </w:tcPr>
          <w:p w14:paraId="6A5ADF30" w14:textId="77777777" w:rsidR="001A1786" w:rsidRPr="0083145E" w:rsidRDefault="001A1786" w:rsidP="00107604">
            <w:pPr>
              <w:pStyle w:val="Mynormal"/>
            </w:pPr>
            <w:r w:rsidRPr="0083145E">
              <w:t>0.55</w:t>
            </w:r>
          </w:p>
        </w:tc>
        <w:tc>
          <w:tcPr>
            <w:tcW w:w="0" w:type="auto"/>
          </w:tcPr>
          <w:p w14:paraId="4593EE0E" w14:textId="6B3A5D5C" w:rsidR="00AB407D" w:rsidRPr="0083145E" w:rsidRDefault="00AB407D" w:rsidP="00107604">
            <w:pPr>
              <w:pStyle w:val="Mynormal"/>
            </w:pPr>
            <w:r w:rsidRPr="0083145E">
              <w:t>26.40</w:t>
            </w:r>
          </w:p>
        </w:tc>
      </w:tr>
      <w:tr w:rsidR="001A1786" w:rsidRPr="0083145E" w14:paraId="3AF3354C" w14:textId="2FD77142" w:rsidTr="00107604">
        <w:trPr>
          <w:trHeight w:val="300"/>
        </w:trPr>
        <w:tc>
          <w:tcPr>
            <w:tcW w:w="0" w:type="auto"/>
            <w:noWrap/>
            <w:hideMark/>
          </w:tcPr>
          <w:p w14:paraId="6A195093" w14:textId="77777777" w:rsidR="001A1786" w:rsidRPr="0083145E" w:rsidRDefault="001A1786" w:rsidP="00107604">
            <w:pPr>
              <w:pStyle w:val="Mynormal"/>
              <w:rPr>
                <w:i/>
              </w:rPr>
            </w:pPr>
            <w:r w:rsidRPr="0083145E">
              <w:rPr>
                <w:i/>
              </w:rPr>
              <w:t>Styrax</w:t>
            </w:r>
          </w:p>
        </w:tc>
        <w:tc>
          <w:tcPr>
            <w:tcW w:w="0" w:type="auto"/>
            <w:noWrap/>
            <w:hideMark/>
          </w:tcPr>
          <w:p w14:paraId="6834FE5A" w14:textId="77777777" w:rsidR="001A1786" w:rsidRPr="0083145E" w:rsidRDefault="001A1786" w:rsidP="00107604">
            <w:pPr>
              <w:pStyle w:val="Mynormal"/>
            </w:pPr>
            <w:r w:rsidRPr="0083145E">
              <w:t>-7.52</w:t>
            </w:r>
          </w:p>
        </w:tc>
        <w:tc>
          <w:tcPr>
            <w:tcW w:w="0" w:type="auto"/>
            <w:noWrap/>
            <w:hideMark/>
          </w:tcPr>
          <w:p w14:paraId="540EB290" w14:textId="77777777" w:rsidR="001A1786" w:rsidRPr="0083145E" w:rsidRDefault="001A1786" w:rsidP="00107604">
            <w:pPr>
              <w:pStyle w:val="Mynormal"/>
            </w:pPr>
            <w:r w:rsidRPr="0083145E">
              <w:t>-22.86</w:t>
            </w:r>
          </w:p>
        </w:tc>
        <w:tc>
          <w:tcPr>
            <w:tcW w:w="0" w:type="auto"/>
            <w:noWrap/>
            <w:hideMark/>
          </w:tcPr>
          <w:p w14:paraId="52E51F6B" w14:textId="77777777" w:rsidR="001A1786" w:rsidRPr="0083145E" w:rsidRDefault="001A1786" w:rsidP="00107604">
            <w:pPr>
              <w:pStyle w:val="Mynormal"/>
            </w:pPr>
            <w:r w:rsidRPr="0083145E">
              <w:t>0.45</w:t>
            </w:r>
          </w:p>
        </w:tc>
        <w:tc>
          <w:tcPr>
            <w:tcW w:w="0" w:type="auto"/>
          </w:tcPr>
          <w:p w14:paraId="57F17E09" w14:textId="16D8E565" w:rsidR="00AB407D" w:rsidRPr="0083145E" w:rsidRDefault="00AB407D" w:rsidP="00107604">
            <w:pPr>
              <w:pStyle w:val="Mynormal"/>
            </w:pPr>
            <w:r w:rsidRPr="0083145E">
              <w:t>23.31</w:t>
            </w:r>
          </w:p>
        </w:tc>
      </w:tr>
      <w:tr w:rsidR="001A1786" w:rsidRPr="0083145E" w14:paraId="2AF1E30A" w14:textId="188A9865" w:rsidTr="00107604">
        <w:trPr>
          <w:trHeight w:val="300"/>
        </w:trPr>
        <w:tc>
          <w:tcPr>
            <w:tcW w:w="0" w:type="auto"/>
            <w:noWrap/>
            <w:hideMark/>
          </w:tcPr>
          <w:p w14:paraId="1F506DE4" w14:textId="77777777" w:rsidR="001A1786" w:rsidRPr="0083145E" w:rsidRDefault="001A1786" w:rsidP="00107604">
            <w:pPr>
              <w:pStyle w:val="Mynormal"/>
              <w:rPr>
                <w:i/>
              </w:rPr>
            </w:pPr>
            <w:r w:rsidRPr="0083145E">
              <w:rPr>
                <w:i/>
              </w:rPr>
              <w:t>Vernonanthura</w:t>
            </w:r>
          </w:p>
        </w:tc>
        <w:tc>
          <w:tcPr>
            <w:tcW w:w="0" w:type="auto"/>
            <w:noWrap/>
            <w:hideMark/>
          </w:tcPr>
          <w:p w14:paraId="6B949007" w14:textId="77777777" w:rsidR="001A1786" w:rsidRPr="0083145E" w:rsidRDefault="001A1786" w:rsidP="00107604">
            <w:pPr>
              <w:pStyle w:val="Mynormal"/>
            </w:pPr>
            <w:r w:rsidRPr="0083145E">
              <w:t>-0.38</w:t>
            </w:r>
          </w:p>
        </w:tc>
        <w:tc>
          <w:tcPr>
            <w:tcW w:w="0" w:type="auto"/>
            <w:noWrap/>
            <w:hideMark/>
          </w:tcPr>
          <w:p w14:paraId="3D665255" w14:textId="77777777" w:rsidR="001A1786" w:rsidRPr="0083145E" w:rsidRDefault="001A1786" w:rsidP="00107604">
            <w:pPr>
              <w:pStyle w:val="Mynormal"/>
            </w:pPr>
            <w:r w:rsidRPr="0083145E">
              <w:t>-4.89</w:t>
            </w:r>
          </w:p>
        </w:tc>
        <w:tc>
          <w:tcPr>
            <w:tcW w:w="0" w:type="auto"/>
            <w:noWrap/>
            <w:hideMark/>
          </w:tcPr>
          <w:p w14:paraId="19714F0A" w14:textId="77777777" w:rsidR="001A1786" w:rsidRPr="0083145E" w:rsidRDefault="001A1786" w:rsidP="00107604">
            <w:pPr>
              <w:pStyle w:val="Mynormal"/>
            </w:pPr>
            <w:r w:rsidRPr="0083145E">
              <w:t>1.83</w:t>
            </w:r>
          </w:p>
        </w:tc>
        <w:tc>
          <w:tcPr>
            <w:tcW w:w="0" w:type="auto"/>
          </w:tcPr>
          <w:p w14:paraId="057A378C" w14:textId="02A9EA4A" w:rsidR="00AB407D" w:rsidRPr="0083145E" w:rsidRDefault="00AB407D" w:rsidP="00107604">
            <w:pPr>
              <w:pStyle w:val="Mynormal"/>
            </w:pPr>
            <w:r w:rsidRPr="0083145E">
              <w:t>6.72</w:t>
            </w:r>
          </w:p>
        </w:tc>
      </w:tr>
      <w:tr w:rsidR="001A1786" w:rsidRPr="0083145E" w14:paraId="2EF1D5C4" w14:textId="35FFCE50" w:rsidTr="00107604">
        <w:trPr>
          <w:trHeight w:val="300"/>
        </w:trPr>
        <w:tc>
          <w:tcPr>
            <w:tcW w:w="0" w:type="auto"/>
            <w:noWrap/>
            <w:hideMark/>
          </w:tcPr>
          <w:p w14:paraId="1C9FB726" w14:textId="77777777" w:rsidR="001A1786" w:rsidRPr="0083145E" w:rsidRDefault="001A1786" w:rsidP="00107604">
            <w:pPr>
              <w:pStyle w:val="Mynormal"/>
              <w:rPr>
                <w:i/>
              </w:rPr>
            </w:pPr>
            <w:r w:rsidRPr="0083145E">
              <w:rPr>
                <w:i/>
              </w:rPr>
              <w:t>Xylosma</w:t>
            </w:r>
          </w:p>
        </w:tc>
        <w:tc>
          <w:tcPr>
            <w:tcW w:w="0" w:type="auto"/>
            <w:noWrap/>
            <w:hideMark/>
          </w:tcPr>
          <w:p w14:paraId="3641EF58" w14:textId="77777777" w:rsidR="001A1786" w:rsidRPr="0083145E" w:rsidRDefault="001A1786" w:rsidP="00107604">
            <w:pPr>
              <w:pStyle w:val="Mynormal"/>
            </w:pPr>
            <w:r w:rsidRPr="0083145E">
              <w:t>-2.16</w:t>
            </w:r>
          </w:p>
        </w:tc>
        <w:tc>
          <w:tcPr>
            <w:tcW w:w="0" w:type="auto"/>
            <w:noWrap/>
            <w:hideMark/>
          </w:tcPr>
          <w:p w14:paraId="1A87C1D6" w14:textId="77777777" w:rsidR="001A1786" w:rsidRPr="0083145E" w:rsidRDefault="001A1786" w:rsidP="00107604">
            <w:pPr>
              <w:pStyle w:val="Mynormal"/>
            </w:pPr>
            <w:r w:rsidRPr="0083145E">
              <w:t>-7.02</w:t>
            </w:r>
          </w:p>
        </w:tc>
        <w:tc>
          <w:tcPr>
            <w:tcW w:w="0" w:type="auto"/>
            <w:noWrap/>
            <w:hideMark/>
          </w:tcPr>
          <w:p w14:paraId="6523F16D" w14:textId="77777777" w:rsidR="001A1786" w:rsidRPr="0083145E" w:rsidRDefault="001A1786" w:rsidP="00107604">
            <w:pPr>
              <w:pStyle w:val="Mynormal"/>
            </w:pPr>
            <w:r w:rsidRPr="0083145E">
              <w:t>1.49</w:t>
            </w:r>
          </w:p>
        </w:tc>
        <w:tc>
          <w:tcPr>
            <w:tcW w:w="0" w:type="auto"/>
          </w:tcPr>
          <w:p w14:paraId="2E69363F" w14:textId="17EEADBB" w:rsidR="00AB407D" w:rsidRPr="0083145E" w:rsidRDefault="00AB407D" w:rsidP="00107604">
            <w:pPr>
              <w:pStyle w:val="Mynormal"/>
            </w:pPr>
            <w:r w:rsidRPr="0083145E">
              <w:t>8.51</w:t>
            </w:r>
          </w:p>
        </w:tc>
      </w:tr>
      <w:tr w:rsidR="001A1786" w:rsidRPr="0083145E" w14:paraId="74ADFF11" w14:textId="1639CE66" w:rsidTr="00107604">
        <w:trPr>
          <w:trHeight w:val="300"/>
        </w:trPr>
        <w:tc>
          <w:tcPr>
            <w:tcW w:w="0" w:type="auto"/>
            <w:noWrap/>
            <w:hideMark/>
          </w:tcPr>
          <w:p w14:paraId="0EA27AA7" w14:textId="77777777" w:rsidR="001A1786" w:rsidRPr="0083145E" w:rsidRDefault="001A1786" w:rsidP="00107604">
            <w:pPr>
              <w:pStyle w:val="Mynormal"/>
              <w:rPr>
                <w:i/>
              </w:rPr>
            </w:pPr>
            <w:r w:rsidRPr="0083145E">
              <w:rPr>
                <w:i/>
              </w:rPr>
              <w:t>Zanthoxylum</w:t>
            </w:r>
          </w:p>
        </w:tc>
        <w:tc>
          <w:tcPr>
            <w:tcW w:w="0" w:type="auto"/>
            <w:noWrap/>
            <w:hideMark/>
          </w:tcPr>
          <w:p w14:paraId="0A47FFDC" w14:textId="77777777" w:rsidR="001A1786" w:rsidRPr="0083145E" w:rsidRDefault="001A1786" w:rsidP="00107604">
            <w:pPr>
              <w:pStyle w:val="Mynormal"/>
            </w:pPr>
            <w:r w:rsidRPr="0083145E">
              <w:t>-4.76</w:t>
            </w:r>
          </w:p>
        </w:tc>
        <w:tc>
          <w:tcPr>
            <w:tcW w:w="0" w:type="auto"/>
            <w:noWrap/>
            <w:hideMark/>
          </w:tcPr>
          <w:p w14:paraId="072F4E54" w14:textId="77777777" w:rsidR="001A1786" w:rsidRPr="0083145E" w:rsidRDefault="001A1786" w:rsidP="00107604">
            <w:pPr>
              <w:pStyle w:val="Mynormal"/>
            </w:pPr>
            <w:r w:rsidRPr="0083145E">
              <w:t>-12.73</w:t>
            </w:r>
          </w:p>
        </w:tc>
        <w:tc>
          <w:tcPr>
            <w:tcW w:w="0" w:type="auto"/>
            <w:noWrap/>
            <w:hideMark/>
          </w:tcPr>
          <w:p w14:paraId="3CDC90DB" w14:textId="77777777" w:rsidR="001A1786" w:rsidRPr="0083145E" w:rsidRDefault="001A1786" w:rsidP="00107604">
            <w:pPr>
              <w:pStyle w:val="Mynormal"/>
            </w:pPr>
            <w:r w:rsidRPr="0083145E">
              <w:t>0.20</w:t>
            </w:r>
          </w:p>
        </w:tc>
        <w:tc>
          <w:tcPr>
            <w:tcW w:w="0" w:type="auto"/>
          </w:tcPr>
          <w:p w14:paraId="656175EC" w14:textId="19B5BE36" w:rsidR="00AB407D" w:rsidRPr="0083145E" w:rsidRDefault="00AB407D" w:rsidP="00107604">
            <w:pPr>
              <w:pStyle w:val="Mynormal"/>
            </w:pPr>
            <w:r w:rsidRPr="0083145E">
              <w:t>12.93</w:t>
            </w:r>
          </w:p>
        </w:tc>
      </w:tr>
    </w:tbl>
    <w:p w14:paraId="5F755FFA" w14:textId="320B6358" w:rsidR="00504E0B" w:rsidRPr="0083145E" w:rsidRDefault="001C1F44" w:rsidP="001C1F44">
      <w:pPr>
        <w:pStyle w:val="Mynormal"/>
      </w:pPr>
      <w:bookmarkStart w:id="9" w:name="_Ref517862202"/>
      <w:bookmarkEnd w:id="9"/>
      <w:r>
        <w:t>Table 3</w:t>
      </w:r>
      <w:r w:rsidR="00531E41" w:rsidRPr="0083145E">
        <w:t>:</w:t>
      </w:r>
      <w:r w:rsidR="005842EF" w:rsidRPr="0083145E">
        <w:t xml:space="preserve"> P</w:t>
      </w:r>
      <w:r w:rsidR="00531E41" w:rsidRPr="0083145E">
        <w:t>ollen-vegetation abundance differential values</w:t>
      </w:r>
      <w:r w:rsidR="002B5243" w:rsidRPr="0083145E">
        <w:t xml:space="preserve"> (%)</w:t>
      </w:r>
      <w:r w:rsidR="005842EF" w:rsidRPr="0083145E">
        <w:t xml:space="preserve"> for </w:t>
      </w:r>
      <w:r w:rsidR="0020063B">
        <w:t>key</w:t>
      </w:r>
      <w:r w:rsidR="0020063B" w:rsidRPr="0083145E">
        <w:t xml:space="preserve"> </w:t>
      </w:r>
      <w:r w:rsidR="005842EF" w:rsidRPr="0083145E">
        <w:t>genera</w:t>
      </w:r>
      <w:r w:rsidR="0020063B">
        <w:t xml:space="preserve"> of </w:t>
      </w:r>
      <w:r w:rsidR="0020063B" w:rsidRPr="004E1832">
        <w:rPr>
          <w:i/>
        </w:rPr>
        <w:t>Araucaria</w:t>
      </w:r>
      <w:r w:rsidR="0020063B">
        <w:t xml:space="preserve"> forest in this study.</w:t>
      </w:r>
    </w:p>
    <w:p w14:paraId="76F22E9F" w14:textId="007DCE39" w:rsidR="00372793" w:rsidRDefault="00AE4CF9" w:rsidP="00107604">
      <w:pPr>
        <w:pStyle w:val="Mynormal"/>
      </w:pPr>
      <w:r w:rsidRPr="0083145E">
        <w:rPr>
          <w:i/>
        </w:rPr>
        <w:t xml:space="preserve">Myrsine </w:t>
      </w:r>
      <w:r w:rsidRPr="0083145E">
        <w:t>had the most extreme positive values: +55.75% (P114, slope), +41.25% (P157, disturbed), +30.70% (P141, closed understorey), +26.38% (P142, open understorey) and +20.48% (P159, disturbed). Values above +20%</w:t>
      </w:r>
      <w:r w:rsidR="00672EAC">
        <w:t xml:space="preserve"> also</w:t>
      </w:r>
      <w:r w:rsidRPr="0083145E">
        <w:t xml:space="preserve"> occurred twice for </w:t>
      </w:r>
      <w:r w:rsidRPr="0083145E">
        <w:rPr>
          <w:i/>
        </w:rPr>
        <w:t xml:space="preserve">Araucaria </w:t>
      </w:r>
      <w:r w:rsidRPr="0083145E">
        <w:t xml:space="preserve">(+20.63% in P151, riverine, and +20.30% in P159, disturbed) and once for </w:t>
      </w:r>
      <w:r w:rsidRPr="0083145E">
        <w:rPr>
          <w:i/>
        </w:rPr>
        <w:t>Lamanonia</w:t>
      </w:r>
      <w:r w:rsidRPr="0083145E">
        <w:t xml:space="preserve"> (+20.32% in P151, riverine). Similarly negative values (below -20%) were more evenly spread among taxa, with two cases in </w:t>
      </w:r>
      <w:r w:rsidRPr="0083145E">
        <w:rPr>
          <w:i/>
        </w:rPr>
        <w:t>Styrax</w:t>
      </w:r>
      <w:r w:rsidRPr="0083145E">
        <w:t xml:space="preserve"> (-22.86% in P122, open understorey, and -20.00% in P141, closed understorey) and one each in </w:t>
      </w:r>
      <w:r w:rsidRPr="0083145E">
        <w:rPr>
          <w:i/>
        </w:rPr>
        <w:t xml:space="preserve">Matayba </w:t>
      </w:r>
      <w:r w:rsidRPr="0083145E">
        <w:t>(-</w:t>
      </w:r>
      <w:r w:rsidRPr="0083145E">
        <w:lastRenderedPageBreak/>
        <w:t xml:space="preserve">34.14% in P136, riverine), </w:t>
      </w:r>
      <w:r w:rsidRPr="0083145E">
        <w:rPr>
          <w:i/>
        </w:rPr>
        <w:t>Lithraea</w:t>
      </w:r>
      <w:r w:rsidRPr="0083145E">
        <w:t xml:space="preserve"> (-32.56% in P114, slope), </w:t>
      </w:r>
      <w:r w:rsidRPr="0083145E">
        <w:rPr>
          <w:i/>
        </w:rPr>
        <w:t>Nectandra</w:t>
      </w:r>
      <w:r w:rsidRPr="0083145E">
        <w:t xml:space="preserve"> (-28.57% in P110, riverine), </w:t>
      </w:r>
      <w:r w:rsidRPr="0083145E">
        <w:rPr>
          <w:i/>
        </w:rPr>
        <w:t>Eugenia</w:t>
      </w:r>
      <w:r w:rsidRPr="0083145E">
        <w:t xml:space="preserve"> (-25.92% in P156, disturbed), </w:t>
      </w:r>
      <w:r w:rsidRPr="0083145E">
        <w:rPr>
          <w:i/>
        </w:rPr>
        <w:t xml:space="preserve">Sebastiania </w:t>
      </w:r>
      <w:r w:rsidRPr="0083145E">
        <w:t xml:space="preserve">(-25.85% in P151, riverine), </w:t>
      </w:r>
      <w:r w:rsidRPr="0083145E">
        <w:rPr>
          <w:i/>
        </w:rPr>
        <w:t xml:space="preserve">Cinnamodendron </w:t>
      </w:r>
      <w:r w:rsidRPr="0083145E">
        <w:t xml:space="preserve">(-24.14% in P159, disturbed), and </w:t>
      </w:r>
      <w:r w:rsidRPr="0083145E">
        <w:rPr>
          <w:i/>
        </w:rPr>
        <w:t xml:space="preserve">Pera </w:t>
      </w:r>
      <w:r w:rsidRPr="0083145E">
        <w:t>(-21.04% in P119, open understorey)</w:t>
      </w:r>
      <w:r w:rsidR="00372793">
        <w:t>.</w:t>
      </w:r>
    </w:p>
    <w:p w14:paraId="6D579D8F" w14:textId="04DCCD35" w:rsidR="009614EE" w:rsidRPr="001C1F44" w:rsidRDefault="00107604" w:rsidP="001C1F44">
      <w:pPr>
        <w:keepNext/>
        <w:spacing w:line="480" w:lineRule="auto"/>
        <w:rPr>
          <w:sz w:val="24"/>
          <w:szCs w:val="24"/>
        </w:rPr>
      </w:pPr>
      <w:r w:rsidRPr="001C1F44">
        <w:rPr>
          <w:sz w:val="24"/>
          <w:szCs w:val="24"/>
        </w:rPr>
        <w:t xml:space="preserve">[Insert Figure </w:t>
      </w:r>
      <w:r w:rsidR="001C1F44">
        <w:rPr>
          <w:sz w:val="24"/>
          <w:szCs w:val="24"/>
        </w:rPr>
        <w:t>7</w:t>
      </w:r>
      <w:r w:rsidRPr="001C1F44">
        <w:rPr>
          <w:sz w:val="24"/>
          <w:szCs w:val="24"/>
        </w:rPr>
        <w:t xml:space="preserve"> here]</w:t>
      </w:r>
    </w:p>
    <w:p w14:paraId="25D981AB" w14:textId="6E8CE423" w:rsidR="009614EE" w:rsidRPr="0083145E" w:rsidRDefault="001C1F44" w:rsidP="001C1F44">
      <w:pPr>
        <w:pStyle w:val="Mynormal"/>
      </w:pPr>
      <w:bookmarkStart w:id="10" w:name="_Ref517862475"/>
      <w:bookmarkEnd w:id="10"/>
      <w:r>
        <w:t>Figure 7</w:t>
      </w:r>
      <w:r w:rsidR="009614EE" w:rsidRPr="0083145E">
        <w:t xml:space="preserve">: </w:t>
      </w:r>
      <w:r w:rsidR="001A4F93" w:rsidRPr="0083145E">
        <w:t>P</w:t>
      </w:r>
      <w:r w:rsidR="009614EE" w:rsidRPr="0083145E">
        <w:t>ollen-vegetation abundance differential</w:t>
      </w:r>
      <w:r w:rsidR="00761436" w:rsidRPr="0083145E">
        <w:t>s</w:t>
      </w:r>
      <w:r w:rsidR="009614EE" w:rsidRPr="0083145E">
        <w:t xml:space="preserve"> </w:t>
      </w:r>
      <w:r w:rsidR="001A4F93" w:rsidRPr="0083145E">
        <w:t xml:space="preserve">(square-root transformed) </w:t>
      </w:r>
      <w:r w:rsidR="009614EE" w:rsidRPr="0083145E">
        <w:t>for selected genera.</w:t>
      </w:r>
      <w:r w:rsidR="00225F5A" w:rsidRPr="0083145E">
        <w:t xml:space="preserve"> </w:t>
      </w:r>
      <w:r w:rsidR="00282470">
        <w:t xml:space="preserve">Positive values denote plots where a taxon’s pollen was more abundant than its vegetation; negative values reflect vegetation being more abundant than pollen. </w:t>
      </w:r>
      <w:r w:rsidR="00225F5A" w:rsidRPr="0083145E">
        <w:t>Blank cells denote plots where a taxon was absent from both pollen and vegetation data</w:t>
      </w:r>
      <w:r w:rsidR="009614EE" w:rsidRPr="0083145E">
        <w:t>.</w:t>
      </w:r>
    </w:p>
    <w:p w14:paraId="47E23F40" w14:textId="003B54DE" w:rsidR="00AE4CF9" w:rsidRPr="0083145E" w:rsidRDefault="00AE4CF9" w:rsidP="004F4229">
      <w:pPr>
        <w:pStyle w:val="Mynormal"/>
      </w:pPr>
      <w:r w:rsidRPr="0083145E">
        <w:t xml:space="preserve">The genus with the greatest difference between maximum and minimum abundance differentials is </w:t>
      </w:r>
      <w:r w:rsidRPr="0083145E">
        <w:rPr>
          <w:i/>
        </w:rPr>
        <w:t>Myrsine</w:t>
      </w:r>
      <w:r w:rsidR="00AB407D" w:rsidRPr="0083145E">
        <w:t xml:space="preserve">, </w:t>
      </w:r>
      <w:r w:rsidRPr="0083145E">
        <w:t xml:space="preserve">with wide variation </w:t>
      </w:r>
      <w:r w:rsidR="00AB407D" w:rsidRPr="0083145E">
        <w:t>(&gt;</w:t>
      </w:r>
      <w:r w:rsidR="00B12D1A">
        <w:t xml:space="preserve"> </w:t>
      </w:r>
      <w:r w:rsidR="00AB407D" w:rsidRPr="0083145E">
        <w:t xml:space="preserve">30%) </w:t>
      </w:r>
      <w:r w:rsidRPr="0083145E">
        <w:t xml:space="preserve">also found in </w:t>
      </w:r>
      <w:r w:rsidRPr="0083145E">
        <w:rPr>
          <w:i/>
        </w:rPr>
        <w:t>Matayba</w:t>
      </w:r>
      <w:r w:rsidR="00AB407D" w:rsidRPr="0083145E">
        <w:rPr>
          <w:i/>
        </w:rPr>
        <w:t xml:space="preserve">, </w:t>
      </w:r>
      <w:r w:rsidRPr="0083145E">
        <w:rPr>
          <w:i/>
        </w:rPr>
        <w:t>Eugenia</w:t>
      </w:r>
      <w:r w:rsidRPr="0083145E">
        <w:t xml:space="preserve">, </w:t>
      </w:r>
      <w:r w:rsidRPr="0083145E">
        <w:rPr>
          <w:i/>
        </w:rPr>
        <w:t>Lithraea</w:t>
      </w:r>
      <w:r w:rsidRPr="0083145E">
        <w:t xml:space="preserve"> and </w:t>
      </w:r>
      <w:r w:rsidRPr="0083145E">
        <w:rPr>
          <w:i/>
        </w:rPr>
        <w:t>Araucaria</w:t>
      </w:r>
      <w:r w:rsidRPr="0083145E">
        <w:t xml:space="preserve">; </w:t>
      </w:r>
      <w:r w:rsidRPr="0083145E">
        <w:rPr>
          <w:i/>
        </w:rPr>
        <w:t>Nectandra</w:t>
      </w:r>
      <w:r w:rsidRPr="0083145E">
        <w:t xml:space="preserve">, </w:t>
      </w:r>
      <w:r w:rsidRPr="0083145E">
        <w:rPr>
          <w:i/>
        </w:rPr>
        <w:t>Sebastiania</w:t>
      </w:r>
      <w:r w:rsidRPr="0083145E">
        <w:t xml:space="preserve">, </w:t>
      </w:r>
      <w:r w:rsidRPr="0083145E">
        <w:rPr>
          <w:i/>
        </w:rPr>
        <w:t>Podocarpus</w:t>
      </w:r>
      <w:r w:rsidRPr="0083145E">
        <w:t xml:space="preserve">, </w:t>
      </w:r>
      <w:r w:rsidRPr="0083145E">
        <w:rPr>
          <w:i/>
        </w:rPr>
        <w:t>Cinnamodendron</w:t>
      </w:r>
      <w:r w:rsidRPr="0083145E">
        <w:t xml:space="preserve">, </w:t>
      </w:r>
      <w:r w:rsidRPr="0083145E">
        <w:rPr>
          <w:i/>
        </w:rPr>
        <w:t>Styrax</w:t>
      </w:r>
      <w:r w:rsidRPr="0083145E">
        <w:t xml:space="preserve"> and </w:t>
      </w:r>
      <w:r w:rsidRPr="0083145E">
        <w:rPr>
          <w:i/>
        </w:rPr>
        <w:t xml:space="preserve">Lamanonia </w:t>
      </w:r>
      <w:r w:rsidRPr="0083145E">
        <w:t xml:space="preserve">had differences between 20 and 30%. Most genera had both positive and negative abundance differentials, with the exceptions being </w:t>
      </w:r>
      <w:r w:rsidRPr="0083145E">
        <w:rPr>
          <w:i/>
        </w:rPr>
        <w:t xml:space="preserve">Clethra </w:t>
      </w:r>
      <w:r w:rsidRPr="0083145E">
        <w:t>(all positive) and</w:t>
      </w:r>
      <w:r w:rsidRPr="0083145E">
        <w:rPr>
          <w:i/>
        </w:rPr>
        <w:t xml:space="preserve"> Myrceugenia, Nectandra, Ocotea and Piptocarpha</w:t>
      </w:r>
      <w:r w:rsidR="004715E6" w:rsidRPr="0083145E">
        <w:rPr>
          <w:i/>
        </w:rPr>
        <w:t xml:space="preserve"> </w:t>
      </w:r>
      <w:r w:rsidR="004715E6" w:rsidRPr="0083145E">
        <w:t>(all negative</w:t>
      </w:r>
      <w:r w:rsidRPr="0083145E">
        <w:t>). However, few taxa (</w:t>
      </w:r>
      <w:r w:rsidRPr="0083145E">
        <w:rPr>
          <w:i/>
        </w:rPr>
        <w:t>Araucaria, Eugenia, Ilex, Myrsine, Podocarpus</w:t>
      </w:r>
      <w:r w:rsidRPr="0083145E">
        <w:t xml:space="preserve">) had differentials </w:t>
      </w:r>
      <w:r w:rsidR="004715E6" w:rsidRPr="0083145E">
        <w:t>&gt;</w:t>
      </w:r>
      <w:r w:rsidR="00B12D1A">
        <w:t xml:space="preserve"> </w:t>
      </w:r>
      <w:r w:rsidR="004715E6" w:rsidRPr="0083145E">
        <w:t>2% in both positive and negative directions.</w:t>
      </w:r>
    </w:p>
    <w:p w14:paraId="50CC333F" w14:textId="77777777" w:rsidR="00EB35A6" w:rsidRPr="0083145E" w:rsidRDefault="00EB35A6" w:rsidP="004F4229">
      <w:pPr>
        <w:pStyle w:val="Heading1"/>
        <w:spacing w:line="480" w:lineRule="auto"/>
      </w:pPr>
      <w:r w:rsidRPr="0083145E">
        <w:t>4. Discussion</w:t>
      </w:r>
    </w:p>
    <w:p w14:paraId="1A3D82F5" w14:textId="18AE823D" w:rsidR="00E95544" w:rsidRPr="0006304A" w:rsidRDefault="00EB35A6" w:rsidP="004F4229">
      <w:pPr>
        <w:pStyle w:val="Heading2"/>
        <w:spacing w:line="480" w:lineRule="auto"/>
      </w:pPr>
      <w:r w:rsidRPr="0083145E">
        <w:t xml:space="preserve">4.1. </w:t>
      </w:r>
      <w:r w:rsidR="00366F72">
        <w:t>Detecting structural differences</w:t>
      </w:r>
      <w:r w:rsidR="0020063B">
        <w:t xml:space="preserve"> in </w:t>
      </w:r>
      <w:r w:rsidR="006C6A19">
        <w:rPr>
          <w:i/>
        </w:rPr>
        <w:t>Araucaria</w:t>
      </w:r>
      <w:r w:rsidR="006C6A19">
        <w:t xml:space="preserve"> forest</w:t>
      </w:r>
    </w:p>
    <w:p w14:paraId="53050AC6" w14:textId="7122DCB8" w:rsidR="009614EE" w:rsidRPr="0083145E" w:rsidRDefault="00EB35A6" w:rsidP="001C1F44">
      <w:pPr>
        <w:pStyle w:val="Mynormal"/>
      </w:pPr>
      <w:r w:rsidRPr="0083145E">
        <w:t xml:space="preserve">The vegetation of the studied forest area is characteristic of </w:t>
      </w:r>
      <w:r w:rsidR="002674C3">
        <w:rPr>
          <w:i/>
        </w:rPr>
        <w:t>Araucaria</w:t>
      </w:r>
      <w:r w:rsidRPr="0083145E">
        <w:t xml:space="preserve"> </w:t>
      </w:r>
      <w:r w:rsidR="002674C3">
        <w:t>f</w:t>
      </w:r>
      <w:r w:rsidRPr="0083145E">
        <w:t xml:space="preserve">orest, containing 19 of its 30 most important tree species </w:t>
      </w:r>
      <w:r w:rsidRPr="0083145E">
        <w:fldChar w:fldCharType="begin" w:fldLock="1"/>
      </w:r>
      <w:r w:rsidR="005A4773">
        <w:instrText>ADDIN CSL_CITATION {"citationItems":[{"id":"ITEM-1","itemData":{"author":[{"dropping-particle":"","family":"Schorn","given":"Lauri Amândio","non-dropping-particle":"","parse-names":false,"suffix":""},{"dropping-particle":"","family":"Gasper","given":"André Luís","non-dropping-particle":"de","parse-names":false,"suffix":""},{"dropping-particle":"","family":"Meyer","given":"Leila","non-dropping-particle":"","parse-names":false,"suffix":""},{"dropping-particle":"","family":"Vibrans","given":"Alexander Christian","non-dropping-particle":"","parse-names":false,"suffix":""}],"chapter-number":"7","container-title":"Inventário Florístico Florestal de Santa Catarina Volume I - Diversidade e Conservação dos Remanescentes Florestais","editor":[{"dropping-particle":"","family":"Vibrans","given":"Alexander Christian","non-dropping-particle":"","parse-names":false,"suffix":""},{"dropping-particle":"","family":"Sevegnani","given":"Lúcia","non-dropping-particle":"","parse-names":false,"suffix":""},{"dropping-particle":"","family":"Gasper","given":"André Luís","non-dropping-particle":"de","parse-names":false,"suffix":""},{"dropping-particle":"","family":"Lingner","given":"Débora Vanessa","non-dropping-particle":"","parse-names":false,"suffix":""}],"id":"ITEM-1","issued":{"date-parts":[["2012"]]},"page":"125-140","publisher":"Edifurb","publisher-place":"Blumenau","title":"Síntese da estrutura dos remanescentes florestais em Santa Catarina","type":"chapter"},"uris":["http://www.mendeley.com/documents/?uuid=9dd2b59f-7691-435e-b7b3-637c7c010f53"]}],"mendeley":{"formattedCitation":"(Schorn et al., 2012)","plainTextFormattedCitation":"(Schorn et al., 2012)","previouslyFormattedCitation":"(Schorn et al., 2012)"},"properties":{"noteIndex":0},"schema":"https://github.com/citation-style-language/schema/raw/master/csl-citation.json"}</w:instrText>
      </w:r>
      <w:r w:rsidRPr="0083145E">
        <w:fldChar w:fldCharType="separate"/>
      </w:r>
      <w:r w:rsidR="00F92ACE" w:rsidRPr="0083145E">
        <w:rPr>
          <w:noProof/>
        </w:rPr>
        <w:t>(Schorn et al., 2012)</w:t>
      </w:r>
      <w:r w:rsidRPr="0083145E">
        <w:fldChar w:fldCharType="end"/>
      </w:r>
      <w:r w:rsidRPr="0083145E">
        <w:t>. Three of the predominant species in this study (</w:t>
      </w:r>
      <w:r w:rsidRPr="0083145E">
        <w:rPr>
          <w:i/>
        </w:rPr>
        <w:t>A. angustifolia, O. pulchella</w:t>
      </w:r>
      <w:r w:rsidRPr="0083145E">
        <w:t xml:space="preserve">, </w:t>
      </w:r>
      <w:r w:rsidRPr="0083145E">
        <w:rPr>
          <w:i/>
        </w:rPr>
        <w:t>P. lambertii</w:t>
      </w:r>
      <w:r w:rsidRPr="0083145E">
        <w:t>), as well as others found at lower levels (</w:t>
      </w:r>
      <w:r w:rsidRPr="0083145E">
        <w:rPr>
          <w:i/>
        </w:rPr>
        <w:t>Matayba elaeagnoides, Lamanonia ternata</w:t>
      </w:r>
      <w:r w:rsidRPr="0083145E">
        <w:t>), are key indicator</w:t>
      </w:r>
      <w:r w:rsidR="002674C3">
        <w:t xml:space="preserve"> specie</w:t>
      </w:r>
      <w:r w:rsidRPr="0083145E">
        <w:t xml:space="preserve">s </w:t>
      </w:r>
      <w:r w:rsidRPr="0083145E">
        <w:fldChar w:fldCharType="begin" w:fldLock="1"/>
      </w:r>
      <w:r w:rsidR="005A4773">
        <w:instrText>ADDIN CSL_CITATION {"citationItems":[{"id":"ITEM-1","itemData":{"DOI":"10.1111/aec.12051","ISBN":"2593","ISSN":"14429985","abstract":"We present the first quantification of forest community composition and its relationship with environ- mental factors in South American subtropical Atlantic Forests. In this region, rain, seasonally dry and mixed forests form an ecotonal zone near the parallel of latitude 30°S.To investigate how well current knowledge on climatic effects and biogeographic distribution apply to subtropical ecotones, we tested the following expectations: (i) there is a floristic longitudinal gradient correlated to altitudinal and climatic gradients; (ii) climatic variables are more important than soil factors in shaping floristic composition; and (iii) there are three floristic regions in the southernmost limit of the Atlantic Forest biome that are expected to be distinct in composition, structure and biogeographical origin.We examined floristic composition and its relationship with environmental factors across 52 1-ha permanent study areas in subtropical Brazil, containing in total 269 tree species ? 9.5 dbh (diameter at breast height). Climatic data, related to rainfall seasonality and temperature, as well as soil properties,were compiled from published sources or global data banks. Expectations one and two were confirmed, but expectation three was only partially met. Hierarchical cluster analysis divided the southernmost Atlantic Forests into four major groups (Rain, Seasonally Dry,Western Mixed and Eastern Mixed Forests). Overall, the tested environmental variables differed significantly among the four regions. Using indicator species analysis, we distinguished 46 indicator species, which had significant environmental preferences for one floristic region. These species can be used as indicators of environmental conditions or to determine to which floristic region a certain forest belongs. Biogeographic distri- butions differed between floristic groups, supporting the interpretation that Eastern Mixed Forests are relict forests of a temperate forest of Andean origin that occurred during colder palaeoclimates.Western Mixed Forests represent the main floristic ecotone between Seasonally dry and Eastern Mixed Forests.","author":[{"dropping-particle":"","family":"Gonçalves","given":"Erivelton Tomazzoni","non-dropping-particle":"","parse-names":false,"suffix":""},{"dropping-particle":"","family":"Souza","given":"Alexandre F.","non-dropping-particle":"","parse-names":false,"suffix":""}],"container-title":"Austral Ecology","id":"ITEM-1","issue":"1","issued":{"date-parts":[["2014","2"]]},"note":"Looks at forestry plots in RS to examine the floristics of the state's forests, especially at ecotones. Finds that they generally vary E-W, related to altitude (and climate), that soil's not massively important, and that MOF can be separated between east and west. \nAlso has indicator spp for each forest type, and says useful things about the origins of MOF/relict status (though it's not simply that) etc","page":"122-134","title":"Floristic variation in ecotonal areas: Patterns, determinants and biogeographic origins of subtropical forests in South America","type":"article-journal","volume":"39"},"uris":["http://www.mendeley.com/documents/?uuid=bcaa7de8-2350-4044-902a-888cefc4a0e5"]}],"mendeley":{"formattedCitation":"(Gonçalves and Souza, 2014)","plainTextFormattedCitation":"(Gonçalves and Souza, 2014)","previouslyFormattedCitation":"(Gonçalves and Souza, 2014)"},"properties":{"noteIndex":0},"schema":"https://github.com/citation-style-language/schema/raw/master/csl-citation.json"}</w:instrText>
      </w:r>
      <w:r w:rsidRPr="0083145E">
        <w:fldChar w:fldCharType="separate"/>
      </w:r>
      <w:r w:rsidRPr="0083145E">
        <w:rPr>
          <w:noProof/>
        </w:rPr>
        <w:t>(Gonçalves and Souza, 2014)</w:t>
      </w:r>
      <w:r w:rsidRPr="0083145E">
        <w:fldChar w:fldCharType="end"/>
      </w:r>
      <w:r w:rsidRPr="0083145E">
        <w:t xml:space="preserve">. </w:t>
      </w:r>
      <w:r w:rsidRPr="0083145E">
        <w:rPr>
          <w:i/>
        </w:rPr>
        <w:t>Lithraea brasiliensis</w:t>
      </w:r>
      <w:r w:rsidRPr="0083145E">
        <w:t xml:space="preserve">, the most common, abundant and dominant species in our sample plots, is the fifth </w:t>
      </w:r>
      <w:r w:rsidRPr="0083145E">
        <w:lastRenderedPageBreak/>
        <w:t xml:space="preserve">most important tree across Santa Catarina’s </w:t>
      </w:r>
      <w:r w:rsidRPr="004F4229">
        <w:rPr>
          <w:i/>
        </w:rPr>
        <w:t>Araucaria</w:t>
      </w:r>
      <w:r w:rsidRPr="0083145E">
        <w:t xml:space="preserve"> forest, especially significant below 1200</w:t>
      </w:r>
      <w:r w:rsidR="00B12D1A">
        <w:t xml:space="preserve"> </w:t>
      </w:r>
      <w:r w:rsidRPr="0083145E">
        <w:t xml:space="preserve">m a.s.l </w:t>
      </w:r>
      <w:r w:rsidRPr="0083145E">
        <w:fldChar w:fldCharType="begin" w:fldLock="1"/>
      </w:r>
      <w:r w:rsidR="0006304A">
        <w:instrText>ADDIN CSL_CITATION {"citationItems":[{"id":"ITEM-1","itemData":{"author":[{"dropping-particle":"","family":"Schorn","given":"Lauri Amândio","non-dropping-particle":"","parse-names":false,"suffix":""},{"dropping-particle":"","family":"Gasper","given":"André Luís","non-dropping-particle":"de","parse-names":false,"suffix":""},{"dropping-particle":"","family":"Meyer","given":"Leila","non-dropping-particle":"","parse-names":false,"suffix":""},{"dropping-particle":"","family":"Vibrans","given":"Alexander Christian","non-dropping-particle":"","parse-names":false,"suffix":""}],"chapter-number":"7","container-title":"Inventário Florístico Florestal de Santa Catarina Volume I - Diversidade e Conservação dos Remanescentes Florestais","editor":[{"dropping-particle":"","family":"Vibrans","given":"Alexander Christian","non-dropping-particle":"","parse-names":false,"suffix":""},{"dropping-particle":"","family":"Sevegnani","given":"Lúcia","non-dropping-particle":"","parse-names":false,"suffix":""},{"dropping-particle":"","family":"Gasper","given":"André Luís","non-dropping-particle":"de","parse-names":false,"suffix":""},{"dropping-particle":"","family":"Lingner","given":"Débora Vanessa","non-dropping-particle":"","parse-names":false,"suffix":""}],"id":"ITEM-1","issued":{"date-parts":[["2012"]]},"page":"125-140","publisher":"Edifurb","publisher-place":"Blumenau","title":"Síntese da estrutura dos remanescentes florestais em Santa Catarina","type":"chapter"},"uris":["http://www.mendeley.com/documents/?uuid=9dd2b59f-7691-435e-b7b3-637c7c010f53"]},{"id":"ITEM-2","itemData":{"ISBN":"9788571143326","author":[{"dropping-particle":"","family":"Meyer","given":"Leila","non-dropping-particle":"","parse-names":false,"suffix":""},{"dropping-particle":"","family":"Sevegnani","given":"Lúcia","non-dropping-particle":"","parse-names":false,"suffix":""},{"dropping-particle":"","family":"Gasper","given":"André Luís","non-dropping-particle":"de","parse-names":false,"suffix":""},{"dropping-particle":"","family":"Schorn","given":"Lauri A","non-dropping-particle":"","parse-names":false,"suffix":""},{"dropping-particle":"","family":"Vibrans","given":"Alexander Christian","non-dropping-particle":"","parse-names":false,"suffix":""},{"dropping-particle":"","family":"Lingner","given":"Débora Vanessa","non-dropping-particle":"","parse-names":false,"suffix":""},{"dropping-particle":"","family":"Sobral","given":"Marcos Guerra","non-dropping-particle":"","parse-names":false,"suffix":""},{"dropping-particle":"","family":"Klemz","given":"Guilherme","non-dropping-particle":"","parse-names":false,"suffix":""},{"dropping-particle":"","family":"Schmitt","given":"R","non-dropping-particle":"","parse-names":false,"suffix":""},{"dropping-particle":"","family":"Anastacio Jr.","given":"C","non-dropping-particle":"","parse-names":false,"suffix":""},{"dropping-particle":"","family":"Brogni","given":"Eduardo","non-dropping-particle":"","parse-names":false,"suffix":""}],"chapter-number":"6","container-title":"Inventário Florístico Florestal de Santa Catarina Volume III - Floresta Ombrófila Mista","editor":[{"dropping-particle":"","family":"Vibrans","given":"Alexander Christian","non-dropping-particle":"","parse-names":false,"suffix":""},{"dropping-particle":"","family":"Sevegnani","given":"Lucia","non-dropping-particle":"","parse-names":false,"suffix":""},{"dropping-particle":"De","family":"Gasper","given":"André Luis","non-dropping-particle":"","parse-names":false,"suffix":""},{"dropping-particle":"","family":"Lingner","given":"Débora Vanessa","non-dropping-particle":"","parse-names":false,"suffix":""}],"id":"ITEM-2","issued":{"date-parts":[["2013"]]},"page":"157-189","publisher":"Edifurb","publisher-place":"Blumenau","title":"Fitossociologia do componente arbóreo/arbustivo da Floresta Ombrófila Mista no Estado de Santa Catarina","type":"chapter"},"uris":["http://www.mendeley.com/documents/?uuid=9bfebecb-9c29-4838-bceb-445ccb124e25"]}],"mendeley":{"formattedCitation":"(Meyer et al., 2013; Schorn et al., 2012)","plainTextFormattedCitation":"(Meyer et al., 2013; Schorn et al., 2012)","previouslyFormattedCitation":"(Meyer et al., 2013; Schorn et al., 2012)"},"properties":{"noteIndex":0},"schema":"https://github.com/citation-style-language/schema/raw/master/csl-citation.json"}</w:instrText>
      </w:r>
      <w:r w:rsidRPr="0083145E">
        <w:fldChar w:fldCharType="separate"/>
      </w:r>
      <w:r w:rsidR="00F92ACE" w:rsidRPr="0083145E">
        <w:rPr>
          <w:noProof/>
        </w:rPr>
        <w:t>(Meyer et al., 2013; Schorn et al., 2012)</w:t>
      </w:r>
      <w:r w:rsidRPr="0083145E">
        <w:fldChar w:fldCharType="end"/>
      </w:r>
      <w:r w:rsidRPr="0083145E">
        <w:t xml:space="preserve">. </w:t>
      </w:r>
    </w:p>
    <w:p w14:paraId="19DBB3A7" w14:textId="54ED0A18" w:rsidR="004D2E19" w:rsidRPr="0083145E" w:rsidRDefault="002C7877" w:rsidP="001C1F44">
      <w:pPr>
        <w:pStyle w:val="Mynormal"/>
      </w:pPr>
      <w:r w:rsidRPr="0083145E">
        <w:t xml:space="preserve">The floristic composition of the plots is somewhat variable, with no </w:t>
      </w:r>
      <w:r w:rsidR="00D17A9E" w:rsidRPr="0083145E">
        <w:t>pair of plots having a similarity score above 0.8 (</w:t>
      </w:r>
      <w:r w:rsidR="001C1F44">
        <w:t>Figure 5a</w:t>
      </w:r>
      <w:r w:rsidR="00D17A9E" w:rsidRPr="0083145E">
        <w:t>)</w:t>
      </w:r>
      <w:r w:rsidR="00234213" w:rsidRPr="0083145E">
        <w:t>, but this variability</w:t>
      </w:r>
      <w:r w:rsidR="004D7041">
        <w:t xml:space="preserve"> in composition</w:t>
      </w:r>
      <w:r w:rsidR="00234213" w:rsidRPr="0083145E">
        <w:t xml:space="preserve"> </w:t>
      </w:r>
      <w:r w:rsidR="004D7041">
        <w:t>does</w:t>
      </w:r>
      <w:r w:rsidR="00234213" w:rsidRPr="0083145E">
        <w:t xml:space="preserve"> not </w:t>
      </w:r>
      <w:r w:rsidR="004D7041">
        <w:t xml:space="preserve">generally </w:t>
      </w:r>
      <w:r w:rsidR="00234213" w:rsidRPr="0083145E">
        <w:t xml:space="preserve">reflect the structural differences between the plots. This can be seen in </w:t>
      </w:r>
      <w:r w:rsidR="008A1ACB" w:rsidRPr="0083145E">
        <w:t>the cluster analysis (</w:t>
      </w:r>
      <w:r w:rsidR="001C1F44">
        <w:t>Figure 5a</w:t>
      </w:r>
      <w:r w:rsidR="008A1ACB" w:rsidRPr="0083145E">
        <w:t>)</w:t>
      </w:r>
      <w:r w:rsidR="0029235D" w:rsidRPr="0083145E">
        <w:t xml:space="preserve">: three of the </w:t>
      </w:r>
      <w:r w:rsidR="001770D6" w:rsidRPr="0083145E">
        <w:t>open understorey plots (P</w:t>
      </w:r>
      <w:r w:rsidR="00433F64" w:rsidRPr="0083145E">
        <w:t xml:space="preserve">119, </w:t>
      </w:r>
      <w:r w:rsidR="005D2BE6" w:rsidRPr="0083145E">
        <w:t>P</w:t>
      </w:r>
      <w:r w:rsidR="00433F64" w:rsidRPr="0083145E">
        <w:t xml:space="preserve">122, </w:t>
      </w:r>
      <w:r w:rsidR="005D2BE6" w:rsidRPr="0083145E">
        <w:t>P</w:t>
      </w:r>
      <w:r w:rsidR="00433F64" w:rsidRPr="0083145E">
        <w:t>123</w:t>
      </w:r>
      <w:r w:rsidR="005D2BE6" w:rsidRPr="0083145E">
        <w:t>) are clustered together along with the slope plot P118</w:t>
      </w:r>
      <w:r w:rsidR="00C04C87" w:rsidRPr="0083145E">
        <w:t xml:space="preserve">, but </w:t>
      </w:r>
      <w:r w:rsidR="00D56A99" w:rsidRPr="0083145E">
        <w:t xml:space="preserve">the </w:t>
      </w:r>
      <w:r w:rsidR="000A1308" w:rsidRPr="0083145E">
        <w:t>remaining two open plots (P</w:t>
      </w:r>
      <w:r w:rsidR="007A23D3" w:rsidRPr="0083145E">
        <w:t>142 and P144) are far removed</w:t>
      </w:r>
      <w:r w:rsidR="007B38FE" w:rsidRPr="0083145E">
        <w:t>; the cluster that would include all five open plots would have 14 members</w:t>
      </w:r>
      <w:r w:rsidR="00AB1ABC" w:rsidRPr="0083145E">
        <w:t xml:space="preserve">. </w:t>
      </w:r>
      <w:r w:rsidR="00A1394F" w:rsidRPr="0083145E">
        <w:t>Similarly, the disturbed plots P</w:t>
      </w:r>
      <w:r w:rsidR="002361A1" w:rsidRPr="0083145E">
        <w:t xml:space="preserve">157 and P159 are </w:t>
      </w:r>
      <w:r w:rsidR="00A2648B">
        <w:t xml:space="preserve">closely </w:t>
      </w:r>
      <w:r w:rsidR="002361A1" w:rsidRPr="0083145E">
        <w:t xml:space="preserve">paired, but </w:t>
      </w:r>
      <w:r w:rsidR="00B27CD8" w:rsidRPr="0083145E">
        <w:t>the cluster that would also include the third disturbed plot (</w:t>
      </w:r>
      <w:r w:rsidR="00681C1B" w:rsidRPr="0083145E">
        <w:t xml:space="preserve">P156) would encompass </w:t>
      </w:r>
      <w:r w:rsidR="005C2792" w:rsidRPr="0083145E">
        <w:t>nine plots</w:t>
      </w:r>
      <w:r w:rsidR="0082270F">
        <w:t xml:space="preserve"> in total</w:t>
      </w:r>
      <w:r w:rsidR="005C2792" w:rsidRPr="0083145E">
        <w:t xml:space="preserve">. The </w:t>
      </w:r>
      <w:r w:rsidR="00AB1F85" w:rsidRPr="0083145E">
        <w:t>riverine plots P</w:t>
      </w:r>
      <w:r w:rsidR="007A102A" w:rsidRPr="0083145E">
        <w:t xml:space="preserve">110 and P136 are distinct from the rest of the plots but </w:t>
      </w:r>
      <w:r w:rsidR="00B027DB" w:rsidRPr="0083145E">
        <w:t>cannot be grouped with the third member of the riverine group (</w:t>
      </w:r>
      <w:r w:rsidR="008A1ACB" w:rsidRPr="0083145E">
        <w:t>P151) without including all sampled plots in the cluster.</w:t>
      </w:r>
      <w:r w:rsidR="00CF7D80">
        <w:t xml:space="preserve"> </w:t>
      </w:r>
    </w:p>
    <w:p w14:paraId="0364F3C5" w14:textId="302166DF" w:rsidR="008A1ACB" w:rsidRPr="0083145E" w:rsidRDefault="008A1ACB" w:rsidP="001C1F44">
      <w:pPr>
        <w:pStyle w:val="Mynormal"/>
      </w:pPr>
      <w:r w:rsidRPr="0083145E">
        <w:t xml:space="preserve">This </w:t>
      </w:r>
      <w:r w:rsidR="0082270F">
        <w:t>pattern</w:t>
      </w:r>
      <w:r w:rsidRPr="0083145E">
        <w:t xml:space="preserve"> is further shown in the DCA (</w:t>
      </w:r>
      <w:r w:rsidR="001C1F44">
        <w:t>Figure 5b</w:t>
      </w:r>
      <w:r w:rsidRPr="0083145E">
        <w:t>)</w:t>
      </w:r>
      <w:r w:rsidR="0082270F">
        <w:t>, of which</w:t>
      </w:r>
      <w:r w:rsidR="0043393E" w:rsidRPr="0083145E">
        <w:t xml:space="preserve"> </w:t>
      </w:r>
      <w:r w:rsidR="0082270F">
        <w:t>o</w:t>
      </w:r>
      <w:r w:rsidR="0043393E" w:rsidRPr="0083145E">
        <w:t xml:space="preserve">nly axis 1 has an eigenvalue </w:t>
      </w:r>
      <w:r w:rsidR="007E0E00" w:rsidRPr="0083145E">
        <w:t>&gt;</w:t>
      </w:r>
      <w:r w:rsidR="00B12D1A">
        <w:t xml:space="preserve"> </w:t>
      </w:r>
      <w:r w:rsidR="007E0E00" w:rsidRPr="0083145E">
        <w:t xml:space="preserve">0.3 </w:t>
      </w:r>
      <w:r w:rsidR="004613E1" w:rsidRPr="0083145E">
        <w:t>(</w:t>
      </w:r>
      <w:r w:rsidR="005066C5" w:rsidRPr="0083145E">
        <w:t>0.3781</w:t>
      </w:r>
      <w:r w:rsidR="007D44A2" w:rsidRPr="0083145E">
        <w:t>)</w:t>
      </w:r>
      <w:r w:rsidR="00CF7D80">
        <w:t xml:space="preserve">, </w:t>
      </w:r>
      <w:r w:rsidR="00235AD6">
        <w:t>which</w:t>
      </w:r>
      <w:r w:rsidR="00CF7D80">
        <w:t xml:space="preserve"> would be </w:t>
      </w:r>
      <w:r w:rsidR="007E0E00" w:rsidRPr="0083145E">
        <w:t>suggestive of ecological relevance</w:t>
      </w:r>
      <w:r w:rsidR="0043393E" w:rsidRPr="0083145E">
        <w:t xml:space="preserve"> </w:t>
      </w:r>
      <w:r w:rsidR="00F92ACE" w:rsidRPr="0083145E">
        <w:fldChar w:fldCharType="begin" w:fldLock="1"/>
      </w:r>
      <w:r w:rsidR="00016402">
        <w:instrText>ADDIN CSL_CITATION {"citationItems":[{"id":"ITEM-1","itemData":{"DOI":"10.1007/s11258-015-0465-9","ISSN":"1385-0237","abstract":"The use of well-sampled regions and insightful environmental gradients can provide important theoretical knowledge for understanding the drivers of tropical forest patterns and processes, which are necessary for biological conservation. We investigated the variation in tree species composition across a vegetation gradient in the Subtropical Atlantic Forest, as well as various predictors that could impact such patterns. The exploratory and confirmatory analyses included 178 sampling units distributed among 13 different forest types containing binary occurrence records for 935 species from 25,546 trees. Confirmatory analyses were conducted considering spatial autocorrelation, a well-known factor responsible for type I error inflations. The floristic heterogeneity of the study area was revealed by clear patterns of floristic differentiation between vegetation types, as well as by the significant improvements in local models (GWR-geographically weighted regressions) over global models (OLS-ordinary least squares). We found that the observed floristic variation has most likely been driven by humidity from the Atlantic Ocean, low temperature extremes and geographic distance. The latter was revealed by the high contribution of spatial components to the partial models. These results from a shrinking biological hotspot, particularly those concerning the importance of temperature extremes, represent crucial data for identifying conservation priorities, especially considering the seriousness of the temperature shifts predicted by global climate change scenarios.","author":[{"dropping-particle":"","family":"Rezende","given":"Vanessa Leite","non-dropping-particle":"","parse-names":false,"suffix":""},{"dropping-particle":"V.","family":"Eisenlohr","given":"Pedro","non-dropping-particle":"","parse-names":false,"suffix":""},{"dropping-particle":"","family":"Vibrans","given":"Alexander Christian","non-dropping-particle":"","parse-names":false,"suffix":""},{"dropping-particle":"","family":"Oliveira-Filho","given":"Ary Teixeira","non-dropping-particle":"de","parse-names":false,"suffix":""}],"container-title":"Plant Ecology","id":"ITEM-1","issue":"6","issued":{"date-parts":[["2015","6","25"]]},"note":"From Duplicate 2 (Humidity, low temperature extremes, and space influence floristic variation across an insightful gradient in the Subtropical Atlantic Forest - Rezende, Vanessa Leite; Eisenlohr, Pedro V.; Vibrans, Alexander Christian; de Oliveira-Filho, Ary Teixeira)\n\nEigenvalue &amp;gt;0.3","page":"759-774","publisher":"Springer Netherlands","title":"Humidity, low temperature extremes, and space influence floristic variation across an insightful gradient in the Subtropical Atlantic Forest","type":"article-journal","volume":"216"},"uris":["http://www.mendeley.com/documents/?uuid=3325599c-362d-4a6f-85b7-0c8048581736"]},{"id":"ITEM-2","itemData":{"DOI":"10.1111/j.1095-8649.1991.tb03626.x","ISSN":"0022-1112","author":[{"dropping-particle":"","family":"Peterson","given":"R. H.","non-dropping-particle":"","parse-names":false,"suffix":""},{"dropping-particle":"","family":"Gale","given":"D.","non-dropping-particle":"","parse-names":false,"suffix":""}],"container-title":"Journal of Fish Biology","id":"ITEM-2","issue":"6","issued":{"date-parts":[["1991","6"]]},"note":"Eigenvalue &amp;gt;0.3","page":"859-871","publisher":"Wiley/Blackwell (10.1111)","title":"Fish species associations in riffle habitat of streams of varying size and acidity in New Brunswick and Nova Scotia","type":"article-journal","volume":"38"},"uris":["http://www.mendeley.com/documents/?uuid=0d7255cb-3879-3bca-b6cf-cc1c8f0cbdb2"]}],"mendeley":{"formattedCitation":"(Peterson and Gale, 1991; Rezende et al., 2015)","plainTextFormattedCitation":"(Peterson and Gale, 1991; Rezende et al., 2015)","previouslyFormattedCitation":"(Peterson and Gale, 1991; Rezende et al., 2015)"},"properties":{"noteIndex":0},"schema":"https://github.com/citation-style-language/schema/raw/master/csl-citation.json"}</w:instrText>
      </w:r>
      <w:r w:rsidR="00F92ACE" w:rsidRPr="0083145E">
        <w:fldChar w:fldCharType="separate"/>
      </w:r>
      <w:r w:rsidR="005A4773" w:rsidRPr="005A4773">
        <w:rPr>
          <w:noProof/>
        </w:rPr>
        <w:t>(Peterson and Gale, 1991; Rezende et al., 2015)</w:t>
      </w:r>
      <w:r w:rsidR="00F92ACE" w:rsidRPr="0083145E">
        <w:fldChar w:fldCharType="end"/>
      </w:r>
      <w:r w:rsidR="00CF7D80">
        <w:t>. H</w:t>
      </w:r>
      <w:r w:rsidR="006E610F" w:rsidRPr="0083145E">
        <w:t xml:space="preserve">ere </w:t>
      </w:r>
      <w:r w:rsidR="004613E1" w:rsidRPr="0083145E">
        <w:t xml:space="preserve">again </w:t>
      </w:r>
      <w:r w:rsidR="00512BE2" w:rsidRPr="0083145E">
        <w:t>P110 and P136 are the only plots that are clearly distinguished</w:t>
      </w:r>
      <w:r w:rsidR="0037580D" w:rsidRPr="0083145E">
        <w:t xml:space="preserve"> by their vegetation</w:t>
      </w:r>
      <w:r w:rsidR="00512BE2" w:rsidRPr="0083145E">
        <w:t>.</w:t>
      </w:r>
      <w:r w:rsidR="0037580D" w:rsidRPr="0083145E">
        <w:t xml:space="preserve"> </w:t>
      </w:r>
      <w:r w:rsidR="00A277AA" w:rsidRPr="0083145E">
        <w:t>T</w:t>
      </w:r>
      <w:r w:rsidR="00242DF5" w:rsidRPr="0083145E">
        <w:t xml:space="preserve">heir </w:t>
      </w:r>
      <w:r w:rsidR="00A277AA" w:rsidRPr="0083145E">
        <w:t xml:space="preserve">floristic difference to the other studied plots may </w:t>
      </w:r>
      <w:r w:rsidR="000919D1" w:rsidRPr="0083145E">
        <w:t>partly</w:t>
      </w:r>
      <w:r w:rsidR="00A277AA" w:rsidRPr="0083145E">
        <w:t xml:space="preserve"> result f</w:t>
      </w:r>
      <w:r w:rsidR="000919D1" w:rsidRPr="0083145E">
        <w:t>rom</w:t>
      </w:r>
      <w:r w:rsidR="00A277AA" w:rsidRPr="0083145E">
        <w:t xml:space="preserve"> their </w:t>
      </w:r>
      <w:r w:rsidR="00EA4F08" w:rsidRPr="0083145E">
        <w:t xml:space="preserve">location </w:t>
      </w:r>
      <w:r w:rsidR="00176627" w:rsidRPr="0083145E">
        <w:t xml:space="preserve">at the northern </w:t>
      </w:r>
      <w:r w:rsidR="00FA2618" w:rsidRPr="0083145E">
        <w:t xml:space="preserve">end </w:t>
      </w:r>
      <w:r w:rsidR="00176627" w:rsidRPr="0083145E">
        <w:t xml:space="preserve">of the studied area, </w:t>
      </w:r>
      <w:r w:rsidR="00B14406" w:rsidRPr="0083145E">
        <w:t>&gt;</w:t>
      </w:r>
      <w:r w:rsidR="00B12D1A">
        <w:t xml:space="preserve"> </w:t>
      </w:r>
      <w:r w:rsidR="00B14406" w:rsidRPr="0083145E">
        <w:t>1.5</w:t>
      </w:r>
      <w:r w:rsidR="00B12D1A">
        <w:t xml:space="preserve"> </w:t>
      </w:r>
      <w:r w:rsidR="00B14406" w:rsidRPr="0083145E">
        <w:t xml:space="preserve">km </w:t>
      </w:r>
      <w:r w:rsidR="001D035E" w:rsidRPr="0083145E">
        <w:t>from the other plots</w:t>
      </w:r>
      <w:r w:rsidR="000D3D87">
        <w:t>.</w:t>
      </w:r>
      <w:r w:rsidR="005E7F56" w:rsidRPr="0083145E">
        <w:t xml:space="preserve"> </w:t>
      </w:r>
      <w:r w:rsidR="000D3D87">
        <w:t>T</w:t>
      </w:r>
      <w:r w:rsidR="004D2DB9" w:rsidRPr="0083145E">
        <w:t>heir regeneration stage could also be an explanatory factor</w:t>
      </w:r>
      <w:r w:rsidR="000D3D87">
        <w:t>: t</w:t>
      </w:r>
      <w:r w:rsidR="00D774AE" w:rsidRPr="0083145E">
        <w:t xml:space="preserve">hese plots have the highest RCVs for </w:t>
      </w:r>
      <w:r w:rsidR="00D774AE" w:rsidRPr="0083145E">
        <w:rPr>
          <w:i/>
        </w:rPr>
        <w:t>Matayba</w:t>
      </w:r>
      <w:r w:rsidR="00D774AE" w:rsidRPr="0083145E">
        <w:t xml:space="preserve"> </w:t>
      </w:r>
      <w:r w:rsidR="00D774AE" w:rsidRPr="0083145E">
        <w:rPr>
          <w:i/>
        </w:rPr>
        <w:t>elaeagnoides</w:t>
      </w:r>
      <w:r w:rsidR="00D774AE" w:rsidRPr="0083145E">
        <w:t xml:space="preserve">, as well as the highest recorded abundances of the pioneer </w:t>
      </w:r>
      <w:r w:rsidR="00D774AE" w:rsidRPr="0083145E">
        <w:rPr>
          <w:i/>
        </w:rPr>
        <w:t>Nectandra</w:t>
      </w:r>
      <w:r w:rsidR="00D774AE" w:rsidRPr="0083145E">
        <w:t xml:space="preserve"> </w:t>
      </w:r>
      <w:r w:rsidR="00D774AE" w:rsidRPr="0083145E">
        <w:rPr>
          <w:i/>
        </w:rPr>
        <w:t>megapotamica</w:t>
      </w:r>
      <w:r w:rsidR="00D774AE" w:rsidRPr="0083145E">
        <w:t xml:space="preserve">, two of the three highest abundances of </w:t>
      </w:r>
      <w:r w:rsidR="00D774AE" w:rsidRPr="0083145E">
        <w:rPr>
          <w:i/>
        </w:rPr>
        <w:t>Allophylus</w:t>
      </w:r>
      <w:r w:rsidR="00D774AE" w:rsidRPr="0083145E">
        <w:t xml:space="preserve"> </w:t>
      </w:r>
      <w:r w:rsidR="00D774AE" w:rsidRPr="0083145E">
        <w:rPr>
          <w:i/>
        </w:rPr>
        <w:t>edulis</w:t>
      </w:r>
      <w:r w:rsidR="00D774AE" w:rsidRPr="0083145E">
        <w:t xml:space="preserve">, and the presence of </w:t>
      </w:r>
      <w:r w:rsidR="00D774AE" w:rsidRPr="0083145E">
        <w:rPr>
          <w:i/>
        </w:rPr>
        <w:t>Sebastiania</w:t>
      </w:r>
      <w:r w:rsidR="00D774AE" w:rsidRPr="0083145E">
        <w:t xml:space="preserve"> </w:t>
      </w:r>
      <w:r w:rsidR="00D774AE" w:rsidRPr="0083145E">
        <w:rPr>
          <w:i/>
        </w:rPr>
        <w:t>commersoniana</w:t>
      </w:r>
      <w:r w:rsidR="00D774AE" w:rsidRPr="0083145E">
        <w:t xml:space="preserve">, all of which are important taxa in regenerating </w:t>
      </w:r>
      <w:r w:rsidR="00D72065">
        <w:rPr>
          <w:i/>
        </w:rPr>
        <w:t>Araucaria</w:t>
      </w:r>
      <w:r w:rsidR="00D72065">
        <w:t xml:space="preserve"> forest</w:t>
      </w:r>
      <w:r w:rsidR="00D72065" w:rsidRPr="0083145E">
        <w:t xml:space="preserve"> </w:t>
      </w:r>
      <w:r w:rsidR="00D774AE" w:rsidRPr="0083145E">
        <w:t xml:space="preserve">patches </w:t>
      </w:r>
      <w:r w:rsidR="00D774AE" w:rsidRPr="0083145E">
        <w:fldChar w:fldCharType="begin" w:fldLock="1"/>
      </w:r>
      <w:r w:rsidR="0006304A">
        <w:instrText>ADDIN CSL_CITATION {"citationItems":[{"id":"ITEM-1","itemData":{"author":[{"dropping-particle":"","family":"Schorn","given":"Lauri Amândio","non-dropping-particle":"","parse-names":false,"suffix":""},{"dropping-particle":"","family":"Gasper","given":"André Luís","non-dropping-particle":"de","parse-names":false,"suffix":""},{"dropping-particle":"","family":"Meyer","given":"Leila","non-dropping-particle":"","parse-names":false,"suffix":""},{"dropping-particle":"","family":"Vibrans","given":"Alexander Christian","non-dropping-particle":"","parse-names":false,"suffix":""}],"chapter-number":"7","container-title":"Inventário Florístico Florestal de Santa Catarina Volume I - Diversidade e Conservação dos Remanescentes Florestais","editor":[{"dropping-particle":"","family":"Vibrans","given":"Alexander Christian","non-dropping-particle":"","parse-names":false,"suffix":""},{"dropping-particle":"","family":"Sevegnani","given":"Lúcia","non-dropping-particle":"","parse-names":false,"suffix":""},{"dropping-particle":"","family":"Gasper","given":"André Luís","non-dropping-particle":"de","parse-names":false,"suffix":""},{"dropping-particle":"","family":"Lingner","given":"Débora Vanessa","non-dropping-particle":"","parse-names":false,"suffix":""}],"id":"ITEM-1","issued":{"date-parts":[["2012"]]},"page":"125-140","publisher":"Edifurb","publisher-place":"Blumenau","title":"Síntese da estrutura dos remanescentes florestais em Santa Catarina","type":"chapter"},"uris":["http://www.mendeley.com/documents/?uuid=9dd2b59f-7691-435e-b7b3-637c7c010f53"]},{"id":"ITEM-2","itemData":{"ISBN":"9788571143326","author":[{"dropping-particle":"","family":"Meyer","given":"Leila","non-dropping-particle":"","parse-names":false,"suffix":""},{"dropping-particle":"","family":"Sevegnani","given":"Lúcia","non-dropping-particle":"","parse-names":false,"suffix":""},{"dropping-particle":"","family":"Gasper","given":"André Luís","non-dropping-particle":"de","parse-names":false,"suffix":""},{"dropping-particle":"","family":"Schorn","given":"Lauri A","non-dropping-particle":"","parse-names":false,"suffix":""},{"dropping-particle":"","family":"Vibrans","given":"Alexander Christian","non-dropping-particle":"","parse-names":false,"suffix":""},{"dropping-particle":"","family":"Lingner","given":"Débora Vanessa","non-dropping-particle":"","parse-names":false,"suffix":""},{"dropping-particle":"","family":"Sobral","given":"Marcos Guerra","non-dropping-particle":"","parse-names":false,"suffix":""},{"dropping-particle":"","family":"Klemz","given":"Guilherme","non-dropping-particle":"","parse-names":false,"suffix":""},{"dropping-particle":"","family":"Schmitt","given":"R","non-dropping-particle":"","parse-names":false,"suffix":""},{"dropping-particle":"","family":"Anastacio Jr.","given":"C","non-dropping-particle":"","parse-names":false,"suffix":""},{"dropping-particle":"","family":"Brogni","given":"Eduardo","non-dropping-particle":"","parse-names":false,"suffix":""}],"chapter-number":"6","container-title":"Inventário Florístico Florestal de Santa Catarina Volume III - Floresta Ombrófila Mista","editor":[{"dropping-particle":"","family":"Vibrans","given":"Alexander Christian","non-dropping-particle":"","parse-names":false,"suffix":""},{"dropping-particle":"","family":"Sevegnani","given":"Lucia","non-dropping-particle":"","parse-names":false,"suffix":""},{"dropping-particle":"De","family":"Gasper","given":"André Luis","non-dropping-particle":"","parse-names":false,"suffix":""},{"dropping-particle":"","family":"Lingner","given":"Débora Vanessa","non-dropping-particle":"","parse-names":false,"suffix":""}],"id":"ITEM-2","issued":{"date-parts":[["2013"]]},"page":"157-189","publisher":"Edifurb","publisher-place":"Blumenau","title":"Fitossociologia do componente arbóreo/arbustivo da Floresta Ombrófila Mista no Estado de Santa Catarina","type":"chapter"},"uris":["http://www.mendeley.com/documents/?uuid=9bfebecb-9c29-4838-bceb-445ccb124e25"]}],"mendeley":{"formattedCitation":"(Meyer et al., 2013; Schorn et al., 2012)","plainTextFormattedCitation":"(Meyer et al., 2013; Schorn et al., 2012)","previouslyFormattedCitation":"(Meyer et al., 2013; Schorn et al., 2012)"},"properties":{"noteIndex":0},"schema":"https://github.com/citation-style-language/schema/raw/master/csl-citation.json"}</w:instrText>
      </w:r>
      <w:r w:rsidR="00D774AE" w:rsidRPr="0083145E">
        <w:fldChar w:fldCharType="separate"/>
      </w:r>
      <w:r w:rsidR="00DA0329" w:rsidRPr="0083145E">
        <w:rPr>
          <w:noProof/>
        </w:rPr>
        <w:t>(Meyer et al., 2013; Schorn et al., 2012)</w:t>
      </w:r>
      <w:r w:rsidR="00D774AE" w:rsidRPr="0083145E">
        <w:fldChar w:fldCharType="end"/>
      </w:r>
      <w:r w:rsidR="00D774AE" w:rsidRPr="0083145E">
        <w:t>.</w:t>
      </w:r>
    </w:p>
    <w:p w14:paraId="62829F79" w14:textId="79CA83F3" w:rsidR="00240FBB" w:rsidRPr="0083145E" w:rsidRDefault="00927D1A" w:rsidP="001C1F44">
      <w:pPr>
        <w:pStyle w:val="Mynormal"/>
      </w:pPr>
      <w:r w:rsidRPr="0083145E">
        <w:t xml:space="preserve">The most common and abundant tree pollen in our study sites came from </w:t>
      </w:r>
      <w:r w:rsidRPr="0083145E">
        <w:rPr>
          <w:i/>
        </w:rPr>
        <w:t>Araucaria angustifolia</w:t>
      </w:r>
      <w:r w:rsidRPr="0083145E">
        <w:t xml:space="preserve">, </w:t>
      </w:r>
      <w:r w:rsidRPr="0083145E">
        <w:lastRenderedPageBreak/>
        <w:t xml:space="preserve">Myrtaceae (mainly </w:t>
      </w:r>
      <w:r w:rsidRPr="0083145E">
        <w:rPr>
          <w:i/>
        </w:rPr>
        <w:t>Eugenia</w:t>
      </w:r>
      <w:r w:rsidRPr="0083145E">
        <w:t xml:space="preserve">), Anacardiaceae cf </w:t>
      </w:r>
      <w:r w:rsidRPr="0083145E">
        <w:rPr>
          <w:i/>
        </w:rPr>
        <w:t>Lithraea</w:t>
      </w:r>
      <w:r w:rsidRPr="0083145E">
        <w:t xml:space="preserve">, </w:t>
      </w:r>
      <w:r w:rsidRPr="0083145E">
        <w:rPr>
          <w:i/>
        </w:rPr>
        <w:t>Myrsine</w:t>
      </w:r>
      <w:r w:rsidRPr="0083145E">
        <w:t xml:space="preserve"> and </w:t>
      </w:r>
      <w:r w:rsidRPr="0083145E">
        <w:rPr>
          <w:i/>
        </w:rPr>
        <w:t>Podocarpus</w:t>
      </w:r>
      <w:r w:rsidRPr="0083145E">
        <w:t xml:space="preserve">, with </w:t>
      </w:r>
      <w:r w:rsidRPr="0083145E">
        <w:rPr>
          <w:i/>
        </w:rPr>
        <w:t>Lithraea</w:t>
      </w:r>
      <w:r w:rsidRPr="0083145E">
        <w:t xml:space="preserve">, </w:t>
      </w:r>
      <w:r w:rsidRPr="0083145E">
        <w:rPr>
          <w:i/>
        </w:rPr>
        <w:t>Vernonanthura</w:t>
      </w:r>
      <w:r w:rsidRPr="0083145E">
        <w:t xml:space="preserve">-type, </w:t>
      </w:r>
      <w:r w:rsidRPr="0083145E">
        <w:rPr>
          <w:i/>
        </w:rPr>
        <w:t>Sebastiania</w:t>
      </w:r>
      <w:r w:rsidRPr="0083145E">
        <w:t xml:space="preserve">, </w:t>
      </w:r>
      <w:r w:rsidRPr="0083145E">
        <w:rPr>
          <w:i/>
        </w:rPr>
        <w:t>Ilex</w:t>
      </w:r>
      <w:r w:rsidRPr="0083145E">
        <w:t xml:space="preserve"> and </w:t>
      </w:r>
      <w:r w:rsidRPr="0083145E">
        <w:rPr>
          <w:i/>
        </w:rPr>
        <w:t>Clethra</w:t>
      </w:r>
      <w:r w:rsidRPr="0083145E">
        <w:t xml:space="preserve"> </w:t>
      </w:r>
      <w:r w:rsidR="00282A0B" w:rsidRPr="0083145E">
        <w:t xml:space="preserve">found in the majority of plots at </w:t>
      </w:r>
      <w:r w:rsidR="00AC3F41" w:rsidRPr="0083145E">
        <w:t xml:space="preserve">generally </w:t>
      </w:r>
      <w:r w:rsidR="00282A0B" w:rsidRPr="0083145E">
        <w:t xml:space="preserve">low </w:t>
      </w:r>
      <w:r w:rsidRPr="0083145E">
        <w:t>abundan</w:t>
      </w:r>
      <w:r w:rsidR="00282A0B" w:rsidRPr="0083145E">
        <w:t>ces</w:t>
      </w:r>
      <w:r w:rsidRPr="0083145E">
        <w:t xml:space="preserve"> (</w:t>
      </w:r>
      <w:r w:rsidR="001C1F44">
        <w:t>Figure 4</w:t>
      </w:r>
      <w:r w:rsidRPr="0083145E">
        <w:t>).</w:t>
      </w:r>
      <w:r w:rsidR="006D4F1E" w:rsidRPr="0083145E">
        <w:t xml:space="preserve"> Pteridophyte spores were both common and abundant, </w:t>
      </w:r>
      <w:r w:rsidR="0022780D" w:rsidRPr="0083145E">
        <w:t xml:space="preserve">and </w:t>
      </w:r>
      <w:r w:rsidR="00396055" w:rsidRPr="0083145E">
        <w:t>Poaceae was the most prevalent</w:t>
      </w:r>
      <w:r w:rsidR="00155786" w:rsidRPr="0083145E">
        <w:t xml:space="preserve"> herbaceous pollen</w:t>
      </w:r>
      <w:r w:rsidR="00396055" w:rsidRPr="0083145E">
        <w:t xml:space="preserve"> taxon</w:t>
      </w:r>
      <w:r w:rsidR="00155786" w:rsidRPr="0083145E">
        <w:t xml:space="preserve">, </w:t>
      </w:r>
      <w:r w:rsidR="00F178D6" w:rsidRPr="0083145E">
        <w:t>with Asteraceae and Araceae pollen also common</w:t>
      </w:r>
      <w:r w:rsidR="0025139D" w:rsidRPr="0083145E">
        <w:t xml:space="preserve"> but less abundant</w:t>
      </w:r>
      <w:r w:rsidR="004D4F7C" w:rsidRPr="0083145E">
        <w:t xml:space="preserve">. </w:t>
      </w:r>
      <w:r w:rsidR="00D658DD">
        <w:t xml:space="preserve">The </w:t>
      </w:r>
      <w:r w:rsidR="000E259B">
        <w:t xml:space="preserve">sum of </w:t>
      </w:r>
      <w:r w:rsidR="00D0099C">
        <w:t xml:space="preserve">all herbaceous </w:t>
      </w:r>
      <w:r w:rsidR="000E259B">
        <w:t xml:space="preserve">pollen </w:t>
      </w:r>
      <w:r w:rsidR="00D0099C">
        <w:t>varies from 5-20%</w:t>
      </w:r>
      <w:r w:rsidR="00E8684B">
        <w:t>, averaging 10%</w:t>
      </w:r>
      <w:r w:rsidR="000634F3">
        <w:t xml:space="preserve"> </w:t>
      </w:r>
      <w:r w:rsidR="007E2E35">
        <w:t>–</w:t>
      </w:r>
      <w:r w:rsidR="000634F3">
        <w:t xml:space="preserve"> </w:t>
      </w:r>
      <w:r w:rsidR="000E259B">
        <w:t xml:space="preserve">similar to the </w:t>
      </w:r>
      <w:r w:rsidR="00C91C1F">
        <w:t>5</w:t>
      </w:r>
      <w:r w:rsidR="00A61FAE">
        <w:t>-1</w:t>
      </w:r>
      <w:r w:rsidR="00C91C1F">
        <w:t>5</w:t>
      </w:r>
      <w:r w:rsidR="00A61FAE">
        <w:t xml:space="preserve">% found by Garcia et al. </w:t>
      </w:r>
      <w:r w:rsidR="00A61FAE">
        <w:fldChar w:fldCharType="begin" w:fldLock="1"/>
      </w:r>
      <w:r w:rsidR="005A4773">
        <w:instrText>ADDIN CSL_CITATION {"citationItems":[{"id":"ITEM-1","itemData":{"DOI":"10.1016/j.revpalbo.2004.03.007","ISBN":"0034-6667","ISSN":"00346667","abstract":"Holocene vegetation and climate have been reconstructed by means of pollen analysis in a 643-cm-long core from the Jacare?? peat deposits (23??17???S, 45??58???W, 550 m a.s.l.) within the Atlantic tropical rainforest belt in the State of S??o Paulo, SE Brazil. Three conventional 14C dates indicate that the onset of peat formation started at 9720 years BP. Due to sampling restrictions, the record encompasses the period between 9720 and ca. 1950 years BP. The palynological content of the samples permitted the recognition of five distinct climatic periods between 9700 and ca. 1950 years BP: humid and cool climate from 9720 to ca. 8240 years BP, humid and warm from ca. 8240 to ca. 3500 years BP, cooler and moister than today from 3500 to 1950 years BP. The return of a cool climate at the late Holocene is suggested by the reappearance of montane and humid forest taxa such as Araucaria, Drimys, Daphnopsis, Ericaceae, Podocarpus and Myrsine in the upper sections of the pollen diagram. Throughout its formation, the Jacarei peatbog has had a very different botanical composition. Gleichenia was the most important taxon in the peat bog from 9720 to 8240 years BP, followed by Selaginella, Polypodium and Asplenium until 5400 years BP. A Sphagnum/Lycopodium dominated peat was established from 5400 to 3500 years BP, followed by Gleichenia/Sphagnum from 3500 to ca. 1950 years BP. The interpretation of the pollen and spore diagrams permitted a correlation between the vegetational and climatic signal contained in the Jacare?? peatbog with other locations in southeastern and southern Brazil. ?? 2004 Elsevier B.V. All rights reserved.","author":[{"dropping-particle":"","family":"Garcia","given":"Maria Judite","non-dropping-particle":"","parse-names":false,"suffix":""},{"dropping-particle":"","family":"Oliveira","given":"Paulo Eduardo","non-dropping-particle":"De","parse-names":false,"suffix":""},{"dropping-particle":"","family":"Siqueira","given":"Eliane","non-dropping-particle":"de","parse-names":false,"suffix":""},{"dropping-particle":"","family":"Fernandes","given":"Rosana Saraiva","non-dropping-particle":"","parse-names":false,"suffix":""}],"container-title":"Review of Palaeobotany and Palynology","id":"ITEM-1","issue":"3-4","issued":{"date-parts":[["2004","9"]]},"note":"Surface pollen in table 2 (only 3 taxa)","page":"181-199","title":"A Holocene vegetational and climatic record from the Atlantic rainforest belt of coastal State of São Paulo, SE Brazil","type":"article-journal","volume":"131"},"suppress-author":1,"uris":["http://www.mendeley.com/documents/?uuid=cbdc0f9e-2e30-45bf-8265-27eff913326c"]}],"mendeley":{"formattedCitation":"(2004)","plainTextFormattedCitation":"(2004)","previouslyFormattedCitation":"(2004)"},"properties":{"noteIndex":0},"schema":"https://github.com/citation-style-language/schema/raw/master/csl-citation.json"}</w:instrText>
      </w:r>
      <w:r w:rsidR="00A61FAE">
        <w:fldChar w:fldCharType="separate"/>
      </w:r>
      <w:r w:rsidR="00A61FAE" w:rsidRPr="0019038B">
        <w:rPr>
          <w:noProof/>
        </w:rPr>
        <w:t>(2004)</w:t>
      </w:r>
      <w:r w:rsidR="00A61FAE">
        <w:fldChar w:fldCharType="end"/>
      </w:r>
      <w:r w:rsidR="00A61FAE">
        <w:t xml:space="preserve"> in a study of </w:t>
      </w:r>
      <w:r w:rsidR="006C4935" w:rsidRPr="004F4229">
        <w:rPr>
          <w:i/>
        </w:rPr>
        <w:t>Araucaria</w:t>
      </w:r>
      <w:r w:rsidR="006C4935" w:rsidRPr="00B4238E">
        <w:t xml:space="preserve"> </w:t>
      </w:r>
      <w:r w:rsidR="006C4935">
        <w:t xml:space="preserve">forest </w:t>
      </w:r>
      <w:r w:rsidR="00A61FAE">
        <w:t xml:space="preserve">peat </w:t>
      </w:r>
      <w:r w:rsidR="006C4935">
        <w:t xml:space="preserve">deposits in Sao Paulo state, but lower than </w:t>
      </w:r>
      <w:r w:rsidR="00F5556B">
        <w:t>the 24-60% found by</w:t>
      </w:r>
      <w:r w:rsidR="00A61FAE">
        <w:t xml:space="preserve"> Jeske-Pieruschka et al. </w:t>
      </w:r>
      <w:r w:rsidR="00A61FAE">
        <w:fldChar w:fldCharType="begin" w:fldLock="1"/>
      </w:r>
      <w:r w:rsidR="005A4773">
        <w:instrText>ADDIN CSL_CITATION {"citationItems":[{"id":"ITEM-1","itemData":{"DOI":"10.1016/j.revpalbo.2010.01.005","ISBN":"0034-6667","ISSN":"00346667","abstract":"To elucidate the relationship between forest dynamics and fire frequency pollen percentages and charcoal amounts from a 120 cm long peat core and from samples of modern pollen rain were collected along a transect. The study site in southern Brazil is characterized by a species-rich mosaic of grassland-Araucaria forest. It is of crucial importance for management strategies for conservation to understand the development and maintenance of these vegetation mosaics including their sharp forest-grassland boundaries. During the late Holocene, considerable changes occurred in the area. From Anno Domini (AD) 1360 to 1410, the area was dominated by Campos (grassland) vegetation and fire was very common. From AD 1410 to 1500, Araucaria forest expanded and fire was less frequent. From AD 1500 to 1580, Campos grassland spread and the Araucaria forest ceased its development, apparently due to the increase of fire. From AD 1580 to 1935, after a decrease in fire frequency, Araucaria forest expanded again. From AD 1935 to the present, the Araucaria forest expanded while the Campos area decreased. Fire was very rare in this period. The results indicate a strong interaction of forest expansion, forming a mosaic of Campos and Araucaria forest, and the frequency of fire during the past 600 years. A possible collapse of the indigenous population following the post-Colombian colonization in southern Brazil after about AD 1550 may have caused a great reduction of fire frequency. The introduction of cattle (probably after AD 1780) and the resulting decrease of fire frequency might be the reason for forest expansion. Fire is probably the most important factor controlling the dynamics of the forest-grassland mosaics and the formation of sharp borders between these two vegetation types. ?? 2010 Elsevier B.V. All rights reserved.","author":[{"dropping-particle":"","family":"Jeske-Pieruschka","given":"Vivian","non-dropping-particle":"","parse-names":false,"suffix":""},{"dropping-particle":"","family":"Fidelis","given":"Alessandra","non-dropping-particle":"","parse-names":false,"suffix":""},{"dropping-particle":"","family":"Bergamin","given":"Rodrigo S.","non-dropping-particle":"","parse-names":false,"suffix":""},{"dropping-particle":"","family":"Vélez","given":"Eduardo","non-dropping-particle":"","parse-names":false,"suffix":""},{"dropping-particle":"","family":"Behling","given":"Hermann","non-dropping-particle":"","parse-names":false,"suffix":""}],"container-title":"Review of Palaeobotany and Palynology","id":"ITEM-1","issue":"1-2","issued":{"date-parts":[["2010"]]},"note":"Paper looking at how an Araucaria forest island varies with fire intensity (doesn't like it), and also takes pollen signatures from current landscape. Not a lot of Araucaria angustifolia pollen around though - see below. When interpreting this paper, try and use it as showing what happens to the forest plant community with fire, rather than how Aa as a species responds.\n\nGood info on species in pollen record/floristic inventory\n\n'Araucaria forest' seems to be dominated by Myrsine pollen, with very little pollen from Araucaria angustifolia at any point. Is it really fair to say that it represents Araucaria forest? (Albeit islands of the forest.) Since Myrsine is a pioneer, maybe this island never made it to mature Araucaria forest? Or for the duration of the pollen record it's been ?degraded secondary forest.\n\nMaybe this part of the landscape was managed for a use other than pinhao\n\nAlso, worth remembering that this paper starts about 600 cal yr BP\n\n590-540 cal yr BP campos dominated (rich but especially Poaceae) and has been present since then. Araucaria forest island small or absent. Fire very common (potentially stopping forest expansion). Potentially anthropogenic fire stopping forest growth. Impact of fire on Aa is less clear though, as there's so little pollen there. Could be burning to control/remove understorey for all we can tell.\n\n540-490 cal yr BP Araucaria forest island grows, as does Atlantic forest on more distant slopes (both: lots of pioneer Myrsine). Peat bog grows. Less fire (hence Araucaria island growing).\n\n450-370 cal yr BP reverse: campos up, Araucaria island down, fire increased (hence changes)\n\n370-15 cal yr BP Araucaria island expands (Melastomataceae then Myrsine pioneers) and campos is reduced from this point. Less fire (so Araucaria forest expansion)\n\n15 cal yr BP - present campos decreased a lot and Araucaria island grew (low fire again), though it also got a bit trashed (logging and cattle).","page":"53-65","title":"Araucaria forest dynamics in relation to fire frequency in southern Brazil based on fossil and modern pollen data","type":"article-journal","volume":"160"},"suppress-author":1,"uris":["http://www.mendeley.com/documents/?uuid=cf667d5b-830b-3f76-a2ab-41b8c67d7999"]}],"mendeley":{"formattedCitation":"(2010)","plainTextFormattedCitation":"(2010)","previouslyFormattedCitation":"(2010)"},"properties":{"noteIndex":0},"schema":"https://github.com/citation-style-language/schema/raw/master/csl-citation.json"}</w:instrText>
      </w:r>
      <w:r w:rsidR="00A61FAE">
        <w:fldChar w:fldCharType="separate"/>
      </w:r>
      <w:r w:rsidR="00A61FAE" w:rsidRPr="00C47948">
        <w:rPr>
          <w:noProof/>
        </w:rPr>
        <w:t>(2010)</w:t>
      </w:r>
      <w:r w:rsidR="00A61FAE">
        <w:fldChar w:fldCharType="end"/>
      </w:r>
      <w:r w:rsidR="00C76F5C">
        <w:t xml:space="preserve"> </w:t>
      </w:r>
      <w:r w:rsidR="00C905BB">
        <w:t xml:space="preserve">in a </w:t>
      </w:r>
      <w:r w:rsidR="00EA02A2">
        <w:t xml:space="preserve">forest </w:t>
      </w:r>
      <w:r w:rsidR="00A61FAE">
        <w:t>patch surround</w:t>
      </w:r>
      <w:r w:rsidR="00C905BB">
        <w:t>ed by</w:t>
      </w:r>
      <w:r w:rsidR="00A61FAE">
        <w:t xml:space="preserve"> campos</w:t>
      </w:r>
      <w:r w:rsidR="009F5F68">
        <w:t xml:space="preserve"> grassland</w:t>
      </w:r>
      <w:r w:rsidR="00DE0C4D">
        <w:t xml:space="preserve">. </w:t>
      </w:r>
      <w:r w:rsidR="00FB08A3">
        <w:t>T</w:t>
      </w:r>
      <w:r w:rsidR="00C76F5C">
        <w:t xml:space="preserve">he </w:t>
      </w:r>
      <w:r w:rsidR="005B5123">
        <w:t xml:space="preserve">herbaceous pollen counts </w:t>
      </w:r>
      <w:r w:rsidR="00FB08A3">
        <w:t xml:space="preserve">in the latter </w:t>
      </w:r>
      <w:r w:rsidR="005B5123">
        <w:t>were likely increased by influx from the grasslands surrounding the forest</w:t>
      </w:r>
      <w:r w:rsidR="00FB08A3">
        <w:t>, and as a result of</w:t>
      </w:r>
      <w:r w:rsidR="006214C8">
        <w:t xml:space="preserve"> disturbance from</w:t>
      </w:r>
      <w:r w:rsidR="00FB08A3">
        <w:t xml:space="preserve"> </w:t>
      </w:r>
      <w:r w:rsidR="006214C8">
        <w:t xml:space="preserve">grazing in the studied forest patch </w:t>
      </w:r>
      <w:r w:rsidR="006214C8">
        <w:fldChar w:fldCharType="begin" w:fldLock="1"/>
      </w:r>
      <w:r w:rsidR="003424DD">
        <w:instrText>ADDIN CSL_CITATION {"citationItems":[{"id":"ITEM-1","itemData":{"DOI":"10.1016/j.revpalbo.2010.01.005","ISBN":"0034-6667","ISSN":"00346667","abstract":"To elucidate the relationship between forest dynamics and fire frequency pollen percentages and charcoal amounts from a 120 cm long peat core and from samples of modern pollen rain were collected along a transect. The study site in southern Brazil is characterized by a species-rich mosaic of grassland-Araucaria forest. It is of crucial importance for management strategies for conservation to understand the development and maintenance of these vegetation mosaics including their sharp forest-grassland boundaries. During the late Holocene, considerable changes occurred in the area. From Anno Domini (AD) 1360 to 1410, the area was dominated by Campos (grassland) vegetation and fire was very common. From AD 1410 to 1500, Araucaria forest expanded and fire was less frequent. From AD 1500 to 1580, Campos grassland spread and the Araucaria forest ceased its development, apparently due to the increase of fire. From AD 1580 to 1935, after a decrease in fire frequency, Araucaria forest expanded again. From AD 1935 to the present, the Araucaria forest expanded while the Campos area decreased. Fire was very rare in this period. The results indicate a strong interaction of forest expansion, forming a mosaic of Campos and Araucaria forest, and the frequency of fire during the past 600 years. A possible collapse of the indigenous population following the post-Colombian colonization in southern Brazil after about AD 1550 may have caused a great reduction of fire frequency. The introduction of cattle (probably after AD 1780) and the resulting decrease of fire frequency might be the reason for forest expansion. Fire is probably the most important factor controlling the dynamics of the forest-grassland mosaics and the formation of sharp borders between these two vegetation types. ?? 2010 Elsevier B.V. All rights reserved.","author":[{"dropping-particle":"","family":"Jeske-Pieruschka","given":"Vivian","non-dropping-particle":"","parse-names":false,"suffix":""},{"dropping-particle":"","family":"Fidelis","given":"Alessandra","non-dropping-particle":"","parse-names":false,"suffix":""},{"dropping-particle":"","family":"Bergamin","given":"Rodrigo S.","non-dropping-particle":"","parse-names":false,"suffix":""},{"dropping-particle":"","family":"Vélez","given":"Eduardo","non-dropping-particle":"","parse-names":false,"suffix":""},{"dropping-particle":"","family":"Behling","given":"Hermann","non-dropping-particle":"","parse-names":false,"suffix":""}],"container-title":"Review of Palaeobotany and Palynology","id":"ITEM-1","issue":"1-2","issued":{"date-parts":[["2010"]]},"note":"Paper looking at how an Araucaria forest island varies with fire intensity (doesn't like it), and also takes pollen signatures from current landscape. Not a lot of Araucaria angustifolia pollen around though - see below. When interpreting this paper, try and use it as showing what happens to the forest plant community with fire, rather than how Aa as a species responds.\n\nGood info on species in pollen record/floristic inventory\n\n'Araucaria forest' seems to be dominated by Myrsine pollen, with very little pollen from Araucaria angustifolia at any point. Is it really fair to say that it represents Araucaria forest? (Albeit islands of the forest.) Since Myrsine is a pioneer, maybe this island never made it to mature Araucaria forest? Or for the duration of the pollen record it's been ?degraded secondary forest.\n\nMaybe this part of the landscape was managed for a use other than pinhao\n\nAlso, worth remembering that this paper starts about 600 cal yr BP\n\n590-540 cal yr BP campos dominated (rich but especially Poaceae) and has been present since then. Araucaria forest island small or absent. Fire very common (potentially stopping forest expansion). Potentially anthropogenic fire stopping forest growth. Impact of fire on Aa is less clear though, as there's so little pollen there. Could be burning to control/remove understorey for all we can tell.\n\n540-490 cal yr BP Araucaria forest island grows, as does Atlantic forest on more distant slopes (both: lots of pioneer Myrsine). Peat bog grows. Less fire (hence Araucaria island growing).\n\n450-370 cal yr BP reverse: campos up, Araucaria island down, fire increased (hence changes)\n\n370-15 cal yr BP Araucaria island expands (Melastomataceae then Myrsine pioneers) and campos is reduced from this point. Less fire (so Araucaria forest expansion)\n\n15 cal yr BP - present campos decreased a lot and Araucaria island grew (low fire again), though it also got a bit trashed (logging and cattle).","page":"53-65","title":"Araucaria forest dynamics in relation to fire frequency in southern Brazil based on fossil and modern pollen data","type":"article-journal","volume":"160"},"uris":["http://www.mendeley.com/documents/?uuid=cf667d5b-830b-3f76-a2ab-41b8c67d7999"]}],"mendeley":{"formattedCitation":"(Jeske-Pieruschka et al., 2010)","plainTextFormattedCitation":"(Jeske-Pieruschka et al., 2010)","previouslyFormattedCitation":"(Jeske-Pieruschka et al., 2010)"},"properties":{"noteIndex":0},"schema":"https://github.com/citation-style-language/schema/raw/master/csl-citation.json"}</w:instrText>
      </w:r>
      <w:r w:rsidR="006214C8">
        <w:fldChar w:fldCharType="separate"/>
      </w:r>
      <w:r w:rsidR="006214C8" w:rsidRPr="006214C8">
        <w:rPr>
          <w:noProof/>
        </w:rPr>
        <w:t>(Jeske-Pieruschka et al., 2010)</w:t>
      </w:r>
      <w:r w:rsidR="006214C8">
        <w:fldChar w:fldCharType="end"/>
      </w:r>
      <w:r w:rsidR="00C905BB">
        <w:t>.</w:t>
      </w:r>
      <w:r w:rsidR="007E2E35">
        <w:t xml:space="preserve"> </w:t>
      </w:r>
    </w:p>
    <w:p w14:paraId="5D7C57E0" w14:textId="0C33474E" w:rsidR="008F69C7" w:rsidRPr="00EA201E" w:rsidRDefault="001F07F1" w:rsidP="00E221DD">
      <w:pPr>
        <w:pStyle w:val="Mynormal"/>
      </w:pPr>
      <w:r w:rsidRPr="0083145E">
        <w:t xml:space="preserve">The plots are less well differentiated by pollen than by their vegetation, </w:t>
      </w:r>
      <w:r w:rsidR="001605E9" w:rsidRPr="0083145E">
        <w:t xml:space="preserve">as shown by their generally higher cluster </w:t>
      </w:r>
      <w:r w:rsidRPr="0083145E">
        <w:t xml:space="preserve">similarity scores </w:t>
      </w:r>
      <w:r w:rsidR="00CC6EF6" w:rsidRPr="0083145E">
        <w:t>(</w:t>
      </w:r>
      <w:r w:rsidR="001C1F44">
        <w:t>Figure 5c</w:t>
      </w:r>
      <w:r w:rsidR="00CC6EF6" w:rsidRPr="0083145E">
        <w:t xml:space="preserve">). As with </w:t>
      </w:r>
      <w:r w:rsidR="00BA3A38" w:rsidRPr="0083145E">
        <w:t>the vegetation there are some potential pairings of open understorey plots (P122 and P123</w:t>
      </w:r>
      <w:r w:rsidR="00954ECA" w:rsidRPr="0083145E">
        <w:t>;</w:t>
      </w:r>
      <w:r w:rsidR="00BA3A38" w:rsidRPr="0083145E">
        <w:t xml:space="preserve"> P119 and P144 with the rocky plot P117), but </w:t>
      </w:r>
      <w:r w:rsidR="00AA41BF" w:rsidRPr="0083145E">
        <w:t>these are quite distinct from each other – the cluster that would encompass all five open plots would only exclude the riverine plot P151.</w:t>
      </w:r>
      <w:r w:rsidR="009F147C" w:rsidRPr="0083145E">
        <w:t xml:space="preserve"> No </w:t>
      </w:r>
      <w:r w:rsidR="00EB69D3" w:rsidRPr="0083145E">
        <w:t xml:space="preserve">potential groupings </w:t>
      </w:r>
      <w:r w:rsidR="0031504D" w:rsidRPr="0083145E">
        <w:t xml:space="preserve">in the pollen cluster analysis </w:t>
      </w:r>
      <w:r w:rsidR="005F2661" w:rsidRPr="0083145E">
        <w:t xml:space="preserve">mirror </w:t>
      </w:r>
      <w:r w:rsidR="00164707" w:rsidRPr="0083145E">
        <w:t xml:space="preserve">clusters </w:t>
      </w:r>
      <w:r w:rsidR="005F2661" w:rsidRPr="0083145E">
        <w:t>of the plots’ vegetation (</w:t>
      </w:r>
      <w:r w:rsidR="001C1F44">
        <w:t>Figure 5a,c</w:t>
      </w:r>
      <w:r w:rsidR="005F2661" w:rsidRPr="0083145E">
        <w:t xml:space="preserve">), and </w:t>
      </w:r>
      <w:r w:rsidR="00164707" w:rsidRPr="0083145E">
        <w:t xml:space="preserve">there are no consistent </w:t>
      </w:r>
      <w:r w:rsidR="009F147C" w:rsidRPr="0083145E">
        <w:t xml:space="preserve">groupings </w:t>
      </w:r>
      <w:r w:rsidR="00164707" w:rsidRPr="0083145E">
        <w:t xml:space="preserve">of </w:t>
      </w:r>
      <w:r w:rsidR="009F147C" w:rsidRPr="0083145E">
        <w:t>structural</w:t>
      </w:r>
      <w:r w:rsidR="00164707" w:rsidRPr="0083145E">
        <w:t>ly similar plots</w:t>
      </w:r>
      <w:r w:rsidR="009F147C" w:rsidRPr="0083145E">
        <w:t xml:space="preserve">. </w:t>
      </w:r>
      <w:r w:rsidR="008F6DBF" w:rsidRPr="0083145E">
        <w:t xml:space="preserve">This is </w:t>
      </w:r>
      <w:r w:rsidR="005F2661" w:rsidRPr="0083145E">
        <w:t>also seen</w:t>
      </w:r>
      <w:r w:rsidR="008F6DBF" w:rsidRPr="0083145E">
        <w:t xml:space="preserve"> in the DCA (</w:t>
      </w:r>
      <w:r w:rsidR="001C1F44">
        <w:t>Figure 5d</w:t>
      </w:r>
      <w:r w:rsidR="008F6DBF" w:rsidRPr="0083145E">
        <w:t xml:space="preserve">), where the eigenvalue for axis 1 </w:t>
      </w:r>
      <w:r w:rsidR="001545D2" w:rsidRPr="0083145E">
        <w:t>(</w:t>
      </w:r>
      <w:r w:rsidR="002514A3" w:rsidRPr="0083145E">
        <w:t>0.2454</w:t>
      </w:r>
      <w:r w:rsidR="001545D2" w:rsidRPr="0083145E">
        <w:t>) may indicate the separation is not ecologically relevant</w:t>
      </w:r>
      <w:r w:rsidR="00384C5D" w:rsidRPr="0083145E">
        <w:t xml:space="preserve"> </w:t>
      </w:r>
      <w:r w:rsidR="00164707" w:rsidRPr="0083145E">
        <w:fldChar w:fldCharType="begin" w:fldLock="1"/>
      </w:r>
      <w:r w:rsidR="005A4773">
        <w:instrText>ADDIN CSL_CITATION {"citationItems":[{"id":"ITEM-1","itemData":{"DOI":"10.1007/s11258-015-0465-9","ISSN":"1385-0237","abstract":"The use of well-sampled regions and insightful environmental gradients can provide important theoretical knowledge for understanding the drivers of tropical forest patterns and processes, which are necessary for biological conservation. We investigated the variation in tree species composition across a vegetation gradient in the Subtropical Atlantic Forest, as well as various predictors that could impact such patterns. The exploratory and confirmatory analyses included 178 sampling units distributed among 13 different forest types containing binary occurrence records for 935 species from 25,546 trees. Confirmatory analyses were conducted considering spatial autocorrelation, a well-known factor responsible for type I error inflations. The floristic heterogeneity of the study area was revealed by clear patterns of floristic differentiation between vegetation types, as well as by the significant improvements in local models (GWR-geographically weighted regressions) over global models (OLS-ordinary least squares). We found that the observed floristic variation has most likely been driven by humidity from the Atlantic Ocean, low temperature extremes and geographic distance. The latter was revealed by the high contribution of spatial components to the partial models. These results from a shrinking biological hotspot, particularly those concerning the importance of temperature extremes, represent crucial data for identifying conservation priorities, especially considering the seriousness of the temperature shifts predicted by global climate change scenarios.","author":[{"dropping-particle":"","family":"Rezende","given":"Vanessa Leite","non-dropping-particle":"","parse-names":false,"suffix":""},{"dropping-particle":"V.","family":"Eisenlohr","given":"Pedro","non-dropping-particle":"","parse-names":false,"suffix":""},{"dropping-particle":"","family":"Vibrans","given":"Alexander Christian","non-dropping-particle":"","parse-names":false,"suffix":""},{"dropping-particle":"","family":"Oliveira-Filho","given":"Ary Teixeira","non-dropping-particle":"de","parse-names":false,"suffix":""}],"container-title":"Plant Ecology","id":"ITEM-1","issue":"6","issued":{"date-parts":[["2015","6","25"]]},"note":"From Duplicate 2 (Humidity, low temperature extremes, and space influence floristic variation across an insightful gradient in the Subtropical Atlantic Forest - Rezende, Vanessa Leite; Eisenlohr, Pedro V.; Vibrans, Alexander Christian; de Oliveira-Filho, Ary Teixeira)\n\nEigenvalue &amp;gt;0.3","page":"759-774","publisher":"Springer Netherlands","title":"Humidity, low temperature extremes, and space influence floristic variation across an insightful gradient in the Subtropical Atlantic Forest","type":"article-journal","volume":"216"},"uris":["http://www.mendeley.com/documents/?uuid=3325599c-362d-4a6f-85b7-0c8048581736"]},{"id":"ITEM-2","itemData":{"DOI":"10.1111/j.1095-8649.1991.tb03626.x","ISSN":"0022-1112","author":[{"dropping-particle":"","family":"Peterson","given":"R. H.","non-dropping-particle":"","parse-names":false,"suffix":""},{"dropping-particle":"","family":"Gale","given":"D.","non-dropping-particle":"","parse-names":false,"suffix":""}],"container-title":"Journal of Fish Biology","id":"ITEM-2","issue":"6","issued":{"date-parts":[["1991","6"]]},"note":"Eigenvalue &amp;gt;0.3","page":"859-871","publisher":"Wiley/Blackwell (10.1111)","title":"Fish species associations in riffle habitat of streams of varying size and acidity in New Brunswick and Nova Scotia","type":"article-journal","volume":"38"},"uris":["http://www.mendeley.com/documents/?uuid=0d7255cb-3879-3bca-b6cf-cc1c8f0cbdb2"]}],"mendeley":{"formattedCitation":"(Peterson and Gale, 1991; Rezende et al., 2015)","plainTextFormattedCitation":"(Peterson and Gale, 1991; Rezende et al., 2015)","previouslyFormattedCitation":"(Peterson and Gale, 1991; Rezende et al., 2015)"},"properties":{"noteIndex":0},"schema":"https://github.com/citation-style-language/schema/raw/master/csl-citation.json"}</w:instrText>
      </w:r>
      <w:r w:rsidR="00164707" w:rsidRPr="0083145E">
        <w:fldChar w:fldCharType="separate"/>
      </w:r>
      <w:r w:rsidR="00164707" w:rsidRPr="0083145E">
        <w:rPr>
          <w:noProof/>
        </w:rPr>
        <w:t>(Peterson and Gale, 1991; Rezende et al., 2015)</w:t>
      </w:r>
      <w:r w:rsidR="00164707" w:rsidRPr="0083145E">
        <w:fldChar w:fldCharType="end"/>
      </w:r>
      <w:r w:rsidR="001545D2" w:rsidRPr="0083145E">
        <w:t xml:space="preserve">. </w:t>
      </w:r>
      <w:r w:rsidR="003371DB" w:rsidRPr="0083145E">
        <w:t>Here, as in the cluster analysis, the only plot that is clearly distinguished i</w:t>
      </w:r>
      <w:r w:rsidR="00B9734C">
        <w:t>s</w:t>
      </w:r>
      <w:r w:rsidR="003371DB" w:rsidRPr="0083145E">
        <w:t xml:space="preserve"> P151, due </w:t>
      </w:r>
      <w:r w:rsidR="004D4153" w:rsidRPr="0083145E">
        <w:t xml:space="preserve">in large part to its exceptionally high abundance of </w:t>
      </w:r>
      <w:r w:rsidR="004D4153" w:rsidRPr="0083145E">
        <w:rPr>
          <w:i/>
        </w:rPr>
        <w:t xml:space="preserve">Lamanonia </w:t>
      </w:r>
      <w:r w:rsidR="004D4153" w:rsidRPr="0083145E">
        <w:t>pollen.</w:t>
      </w:r>
    </w:p>
    <w:p w14:paraId="0CF45E51" w14:textId="071C3FD0" w:rsidR="00F613E8" w:rsidRPr="0083145E" w:rsidRDefault="00F613E8" w:rsidP="001C1F44">
      <w:pPr>
        <w:pStyle w:val="Mynormal"/>
      </w:pPr>
      <w:r w:rsidRPr="0083145E">
        <w:t xml:space="preserve">These results show that the notable structural differences between the different </w:t>
      </w:r>
      <w:r w:rsidR="00817876" w:rsidRPr="0083145E">
        <w:t xml:space="preserve">forest </w:t>
      </w:r>
      <w:r w:rsidRPr="0083145E">
        <w:t xml:space="preserve">plot categories are not </w:t>
      </w:r>
      <w:r w:rsidR="00817876" w:rsidRPr="0083145E">
        <w:t>echoed in the composition of their woody taxa</w:t>
      </w:r>
      <w:r w:rsidR="003A0CD8" w:rsidRPr="0083145E">
        <w:t>.</w:t>
      </w:r>
      <w:r w:rsidR="000F5D94" w:rsidRPr="0083145E">
        <w:t xml:space="preserve"> </w:t>
      </w:r>
      <w:r w:rsidR="00A36323" w:rsidRPr="0083145E">
        <w:t>Since there are no consistent floristic differences between plot types, i</w:t>
      </w:r>
      <w:r w:rsidR="00E8219D" w:rsidRPr="0083145E">
        <w:t>t is</w:t>
      </w:r>
      <w:r w:rsidR="008E0A26" w:rsidRPr="0083145E">
        <w:t xml:space="preserve"> </w:t>
      </w:r>
      <w:r w:rsidR="00E8219D" w:rsidRPr="0083145E">
        <w:t xml:space="preserve">unsurprising that </w:t>
      </w:r>
      <w:r w:rsidR="000F5D94" w:rsidRPr="0083145E">
        <w:t>the</w:t>
      </w:r>
      <w:r w:rsidR="00E84E16" w:rsidRPr="0083145E">
        <w:t>se</w:t>
      </w:r>
      <w:r w:rsidR="00540BDB" w:rsidRPr="0083145E">
        <w:t xml:space="preserve"> </w:t>
      </w:r>
      <w:r w:rsidR="004E7BE3" w:rsidRPr="0083145E">
        <w:t xml:space="preserve">structural differences </w:t>
      </w:r>
      <w:r w:rsidR="008D76E2" w:rsidRPr="0083145E">
        <w:t xml:space="preserve">cannot be </w:t>
      </w:r>
      <w:r w:rsidR="004E7BE3" w:rsidRPr="0083145E">
        <w:lastRenderedPageBreak/>
        <w:t xml:space="preserve">detected </w:t>
      </w:r>
      <w:r w:rsidR="008D76E2" w:rsidRPr="0083145E">
        <w:t xml:space="preserve">by their </w:t>
      </w:r>
      <w:r w:rsidR="00540BDB" w:rsidRPr="0083145E">
        <w:t xml:space="preserve">pollen </w:t>
      </w:r>
      <w:r w:rsidR="008D76E2" w:rsidRPr="0083145E">
        <w:t>signals</w:t>
      </w:r>
      <w:r w:rsidR="004E7BE3" w:rsidRPr="0083145E">
        <w:t xml:space="preserve"> – especially </w:t>
      </w:r>
      <w:r w:rsidR="00E84E16" w:rsidRPr="0083145E">
        <w:t>as</w:t>
      </w:r>
      <w:r w:rsidR="004E7BE3" w:rsidRPr="0083145E">
        <w:t xml:space="preserve"> </w:t>
      </w:r>
      <w:r w:rsidR="00F523BF" w:rsidRPr="0083145E">
        <w:t>pollen’s sensitivity is affected by</w:t>
      </w:r>
      <w:r w:rsidR="00CB179E" w:rsidRPr="0083145E">
        <w:t xml:space="preserve"> relatively coarse taxonomic resolution and </w:t>
      </w:r>
      <w:r w:rsidR="00262A96" w:rsidRPr="0083145E">
        <w:t>differential</w:t>
      </w:r>
      <w:r w:rsidR="001C1F44">
        <w:t xml:space="preserve"> </w:t>
      </w:r>
      <w:r w:rsidR="00262A96" w:rsidRPr="0083145E">
        <w:t>pollen production and preservation between taxa.</w:t>
      </w:r>
    </w:p>
    <w:p w14:paraId="529B73D3" w14:textId="61A7BF1D" w:rsidR="00E84E16" w:rsidRPr="0083145E" w:rsidRDefault="003F1EDE" w:rsidP="004F4229">
      <w:pPr>
        <w:pStyle w:val="Heading2"/>
        <w:spacing w:line="480" w:lineRule="auto"/>
      </w:pPr>
      <w:r w:rsidRPr="0083145E">
        <w:t>4.2. Vegetation-pollen relationship</w:t>
      </w:r>
      <w:r w:rsidR="00D83A92" w:rsidRPr="0083145E">
        <w:t>s</w:t>
      </w:r>
    </w:p>
    <w:p w14:paraId="19DE190C" w14:textId="67AD3A4E" w:rsidR="008F69C7" w:rsidRPr="00EA201E" w:rsidRDefault="003A2592" w:rsidP="00E221DD">
      <w:pPr>
        <w:pStyle w:val="Mynormal"/>
      </w:pPr>
      <w:r w:rsidRPr="0083145E">
        <w:t xml:space="preserve">The </w:t>
      </w:r>
      <w:r w:rsidR="00FB68CE" w:rsidRPr="0083145E">
        <w:t>pollen record</w:t>
      </w:r>
      <w:r w:rsidR="00E731C9" w:rsidRPr="0083145E">
        <w:t>s</w:t>
      </w:r>
      <w:r w:rsidR="003833AD">
        <w:t xml:space="preserve"> of the studied forest plots did not </w:t>
      </w:r>
      <w:r w:rsidR="00793463">
        <w:t>consistently</w:t>
      </w:r>
      <w:r w:rsidR="00F25582">
        <w:t xml:space="preserve"> </w:t>
      </w:r>
      <w:r w:rsidR="00B01FC8">
        <w:t>reflect</w:t>
      </w:r>
      <w:r w:rsidR="003833AD">
        <w:t xml:space="preserve"> </w:t>
      </w:r>
      <w:r w:rsidR="00FB68CE" w:rsidRPr="0083145E">
        <w:t>large variations in a taxon’s abundance in the vegetation</w:t>
      </w:r>
      <w:r w:rsidR="00B43108" w:rsidRPr="0083145E">
        <w:t xml:space="preserve"> </w:t>
      </w:r>
      <w:r w:rsidR="00793463">
        <w:t>(</w:t>
      </w:r>
      <w:r w:rsidR="001C1F44">
        <w:t>Figure 6 &amp; 7</w:t>
      </w:r>
      <w:r w:rsidR="00793463">
        <w:t>)</w:t>
      </w:r>
      <w:r w:rsidR="00EB4322" w:rsidRPr="0083145E">
        <w:t xml:space="preserve">. </w:t>
      </w:r>
      <w:r w:rsidR="009E0D49" w:rsidRPr="0083145E">
        <w:rPr>
          <w:i/>
        </w:rPr>
        <w:t>L. brasiliensis</w:t>
      </w:r>
      <w:r w:rsidR="003E0CA9" w:rsidRPr="0083145E">
        <w:t>, for example,</w:t>
      </w:r>
      <w:r w:rsidR="009E0D49" w:rsidRPr="0083145E">
        <w:t xml:space="preserve"> </w:t>
      </w:r>
      <w:r w:rsidR="00FF6297" w:rsidRPr="0083145E">
        <w:t>makes up 2.9% of the vegetation in P110 and 34.1% in P114</w:t>
      </w:r>
      <w:r w:rsidR="006B235D">
        <w:t xml:space="preserve"> </w:t>
      </w:r>
      <w:r w:rsidR="001C1F44">
        <w:t>(Figure 2)</w:t>
      </w:r>
      <w:r w:rsidR="00F25B71" w:rsidRPr="0083145E">
        <w:t xml:space="preserve">, but </w:t>
      </w:r>
      <w:r w:rsidR="00F25B71" w:rsidRPr="0083145E">
        <w:rPr>
          <w:i/>
        </w:rPr>
        <w:t xml:space="preserve">Lithraea </w:t>
      </w:r>
      <w:r w:rsidR="00F25B71" w:rsidRPr="0083145E">
        <w:t>pollen is equally abundant in each</w:t>
      </w:r>
      <w:r w:rsidR="00CC1939" w:rsidRPr="0083145E">
        <w:t xml:space="preserve"> plot</w:t>
      </w:r>
      <w:r w:rsidR="00F25B71" w:rsidRPr="0083145E">
        <w:t xml:space="preserve"> (1.6%)</w:t>
      </w:r>
      <w:r w:rsidR="001C1F44">
        <w:t xml:space="preserve"> (Figure 4)</w:t>
      </w:r>
      <w:r w:rsidR="00C9043C" w:rsidRPr="0083145E">
        <w:t>; its abundance in the vegetation is intermediate in P117 (10.9%) and P118</w:t>
      </w:r>
      <w:r w:rsidR="001B582E" w:rsidRPr="0083145E">
        <w:t xml:space="preserve"> (12.3%) but its pollen makes up just 0.9% and 1.0% of th</w:t>
      </w:r>
      <w:r w:rsidR="00BD58F6" w:rsidRPr="0083145E">
        <w:t>os</w:t>
      </w:r>
      <w:r w:rsidR="001B582E" w:rsidRPr="0083145E">
        <w:t xml:space="preserve">e </w:t>
      </w:r>
      <w:r w:rsidR="00BD58F6" w:rsidRPr="0083145E">
        <w:t>plot totals, respectively.</w:t>
      </w:r>
      <w:r w:rsidR="00E15B3E" w:rsidRPr="0083145E">
        <w:t xml:space="preserve"> </w:t>
      </w:r>
      <w:r w:rsidR="00DE3DC1" w:rsidRPr="0083145E">
        <w:t xml:space="preserve">This variability in vegetation-pollen relationships </w:t>
      </w:r>
      <w:r w:rsidR="00923355" w:rsidRPr="0083145E">
        <w:t xml:space="preserve">can </w:t>
      </w:r>
      <w:r w:rsidR="00975BB8" w:rsidRPr="0083145E">
        <w:t xml:space="preserve">also </w:t>
      </w:r>
      <w:r w:rsidR="00923355" w:rsidRPr="0083145E">
        <w:t xml:space="preserve">be illustrated with </w:t>
      </w:r>
      <w:r w:rsidR="00E15B3E" w:rsidRPr="0083145E">
        <w:rPr>
          <w:i/>
        </w:rPr>
        <w:t>Myrsine</w:t>
      </w:r>
      <w:r w:rsidR="004669D0" w:rsidRPr="0083145E">
        <w:t>:</w:t>
      </w:r>
      <w:r w:rsidR="00E15B3E" w:rsidRPr="0083145E">
        <w:rPr>
          <w:i/>
        </w:rPr>
        <w:t xml:space="preserve"> </w:t>
      </w:r>
      <w:r w:rsidR="004669D0" w:rsidRPr="0083145E">
        <w:t xml:space="preserve">its </w:t>
      </w:r>
      <w:r w:rsidR="00E15B3E" w:rsidRPr="0083145E">
        <w:t xml:space="preserve">pollen made up more than half of all counted grains (55.8%) in </w:t>
      </w:r>
      <w:r w:rsidR="00660EAC" w:rsidRPr="0083145E">
        <w:t>P114, despite no individuals from the genus being recorded in the vegetation survey</w:t>
      </w:r>
      <w:r w:rsidR="001709D0" w:rsidRPr="0083145E">
        <w:t xml:space="preserve">; it </w:t>
      </w:r>
      <w:r w:rsidR="005C1C3C" w:rsidRPr="0083145E">
        <w:t xml:space="preserve">was also significantly over-represented in P157 (pollen abundance </w:t>
      </w:r>
      <w:r w:rsidR="006169F9" w:rsidRPr="0083145E">
        <w:t>43.4%</w:t>
      </w:r>
      <w:r w:rsidR="00975BB8" w:rsidRPr="0083145E">
        <w:t xml:space="preserve">, vegetation abundance </w:t>
      </w:r>
      <w:r w:rsidR="006169F9" w:rsidRPr="0083145E">
        <w:t>2.</w:t>
      </w:r>
      <w:r w:rsidR="002C0D2B" w:rsidRPr="0083145E">
        <w:t>2%</w:t>
      </w:r>
      <w:r w:rsidR="00D76E21" w:rsidRPr="0083145E">
        <w:t xml:space="preserve">), </w:t>
      </w:r>
      <w:r w:rsidR="0051428E">
        <w:t xml:space="preserve">but </w:t>
      </w:r>
      <w:r w:rsidR="00185F78" w:rsidRPr="0083145E">
        <w:t>proportionate</w:t>
      </w:r>
      <w:r w:rsidR="00715EE4">
        <w:t>ly represented</w:t>
      </w:r>
      <w:r w:rsidR="00185F78" w:rsidRPr="0083145E">
        <w:t xml:space="preserve"> in P119 (</w:t>
      </w:r>
      <w:r w:rsidR="00C605F3" w:rsidRPr="0083145E">
        <w:t>17.3% of the pollen</w:t>
      </w:r>
      <w:r w:rsidR="00BF29D8" w:rsidRPr="0083145E">
        <w:t>;</w:t>
      </w:r>
      <w:r w:rsidR="00FB476B" w:rsidRPr="0083145E">
        <w:t xml:space="preserve"> 17</w:t>
      </w:r>
      <w:r w:rsidR="00BF29D8" w:rsidRPr="0083145E">
        <w:t>.0</w:t>
      </w:r>
      <w:r w:rsidR="00FB476B" w:rsidRPr="0083145E">
        <w:t>% of the vegetation)</w:t>
      </w:r>
      <w:r w:rsidR="00C605F3" w:rsidRPr="0083145E">
        <w:t xml:space="preserve"> and under-represented in </w:t>
      </w:r>
      <w:r w:rsidR="00BF29D8" w:rsidRPr="0083145E">
        <w:t>P118 (</w:t>
      </w:r>
      <w:r w:rsidR="00F518F5" w:rsidRPr="0083145E">
        <w:t>5.7% of the pollen, 8.8% of the vegetation)</w:t>
      </w:r>
      <w:r w:rsidR="00975BB8" w:rsidRPr="0083145E">
        <w:t>.</w:t>
      </w:r>
    </w:p>
    <w:p w14:paraId="4EFFD9A7" w14:textId="035C22BA" w:rsidR="008F69C7" w:rsidRPr="00EA201E" w:rsidRDefault="006D1657" w:rsidP="00E221DD">
      <w:pPr>
        <w:pStyle w:val="Mynormal"/>
      </w:pPr>
      <w:r w:rsidRPr="0083145E">
        <w:t>However, general patterns of over- or under-representation</w:t>
      </w:r>
      <w:r w:rsidR="006B235D">
        <w:t xml:space="preserve"> of each tax</w:t>
      </w:r>
      <w:r w:rsidR="003233BC">
        <w:t>on</w:t>
      </w:r>
      <w:r w:rsidR="006B235D">
        <w:t xml:space="preserve"> in the pollen record</w:t>
      </w:r>
      <w:r w:rsidRPr="0083145E">
        <w:t xml:space="preserve"> </w:t>
      </w:r>
      <w:r w:rsidR="00C1330A" w:rsidRPr="0083145E">
        <w:t xml:space="preserve">could </w:t>
      </w:r>
      <w:r w:rsidR="00CC2712" w:rsidRPr="0083145E">
        <w:t>be determined</w:t>
      </w:r>
      <w:r w:rsidR="00EE011A" w:rsidRPr="0083145E">
        <w:t xml:space="preserve"> – only </w:t>
      </w:r>
      <w:r w:rsidR="00EE011A" w:rsidRPr="0083145E">
        <w:rPr>
          <w:i/>
        </w:rPr>
        <w:t xml:space="preserve">Araucaria, Eugenia, Ilex, Myrsine </w:t>
      </w:r>
      <w:r w:rsidR="00EE011A" w:rsidRPr="0083145E">
        <w:t>and</w:t>
      </w:r>
      <w:r w:rsidR="00EE011A" w:rsidRPr="0083145E">
        <w:rPr>
          <w:i/>
        </w:rPr>
        <w:t xml:space="preserve"> Podocarpus</w:t>
      </w:r>
      <w:r w:rsidR="00EE011A" w:rsidRPr="0083145E">
        <w:t xml:space="preserve"> had</w:t>
      </w:r>
      <w:r w:rsidR="00D7318A" w:rsidRPr="0083145E">
        <w:t xml:space="preserve"> </w:t>
      </w:r>
      <w:r w:rsidR="009A54CD">
        <w:t xml:space="preserve">both </w:t>
      </w:r>
      <w:r w:rsidR="00D7318A" w:rsidRPr="0083145E">
        <w:t>positive and negative abundance differentials above 2%</w:t>
      </w:r>
      <w:r w:rsidR="006B235D">
        <w:t xml:space="preserve"> (</w:t>
      </w:r>
      <w:r w:rsidR="001C1F44">
        <w:t>Table 3</w:t>
      </w:r>
      <w:r w:rsidR="006B235D">
        <w:t>)</w:t>
      </w:r>
      <w:r w:rsidR="00D7318A" w:rsidRPr="0083145E">
        <w:t>.</w:t>
      </w:r>
      <w:r w:rsidR="00EE011A" w:rsidRPr="0083145E">
        <w:t xml:space="preserve"> </w:t>
      </w:r>
      <w:r w:rsidR="009B3397" w:rsidRPr="0083145E">
        <w:t>The majority (22 of 27) of the arboreal genera examined were under-represented in the pollen record (p/v values &lt;1</w:t>
      </w:r>
      <w:r w:rsidR="001C1F44">
        <w:t>; Figure 6</w:t>
      </w:r>
      <w:r w:rsidR="009B3397" w:rsidRPr="0083145E">
        <w:t>), with four (</w:t>
      </w:r>
      <w:r w:rsidR="009B3397" w:rsidRPr="0083145E">
        <w:rPr>
          <w:i/>
        </w:rPr>
        <w:t>Myrceugenia, Nectandra, Ocotea</w:t>
      </w:r>
      <w:r w:rsidR="009B3397" w:rsidRPr="0083145E">
        <w:t xml:space="preserve"> and </w:t>
      </w:r>
      <w:r w:rsidR="009B3397" w:rsidRPr="0083145E">
        <w:rPr>
          <w:i/>
        </w:rPr>
        <w:t>Piptocarpha</w:t>
      </w:r>
      <w:r w:rsidR="009B3397" w:rsidRPr="0083145E">
        <w:t xml:space="preserve">) being palynologically silent. These under-represented taxa include many of the most abundant </w:t>
      </w:r>
      <w:r w:rsidR="00AF0872">
        <w:t xml:space="preserve">tree </w:t>
      </w:r>
      <w:r w:rsidR="009B3397" w:rsidRPr="0083145E">
        <w:t>species in the plots</w:t>
      </w:r>
      <w:r w:rsidR="0077126C" w:rsidRPr="0083145E">
        <w:t>,</w:t>
      </w:r>
      <w:r w:rsidR="009A06CE" w:rsidRPr="0083145E">
        <w:t xml:space="preserve"> as well as </w:t>
      </w:r>
      <w:r w:rsidR="00AF4EAD" w:rsidRPr="0083145E">
        <w:t xml:space="preserve">some of the most ecologically important </w:t>
      </w:r>
      <w:r w:rsidR="003E0A46" w:rsidRPr="0083145E">
        <w:t xml:space="preserve">taxa in </w:t>
      </w:r>
      <w:r w:rsidR="003E0A46" w:rsidRPr="004F4229">
        <w:rPr>
          <w:i/>
        </w:rPr>
        <w:t>Araucaria</w:t>
      </w:r>
      <w:r w:rsidR="003E0A46" w:rsidRPr="0083145E">
        <w:t xml:space="preserve"> forest (</w:t>
      </w:r>
      <w:r w:rsidR="009A06CE" w:rsidRPr="0083145E">
        <w:rPr>
          <w:i/>
        </w:rPr>
        <w:t>Lithraea, Matayba, Cinnamodendron, Ocotea, Prunus</w:t>
      </w:r>
      <w:r w:rsidR="009A06CE" w:rsidRPr="0083145E">
        <w:t xml:space="preserve"> and </w:t>
      </w:r>
      <w:r w:rsidR="009A06CE" w:rsidRPr="0083145E">
        <w:rPr>
          <w:i/>
        </w:rPr>
        <w:t>Nectandra</w:t>
      </w:r>
      <w:r w:rsidR="00E23CE8" w:rsidRPr="0083145E">
        <w:t>)</w:t>
      </w:r>
      <w:r w:rsidR="00E56ED4" w:rsidRPr="0083145E">
        <w:t xml:space="preserve"> </w:t>
      </w:r>
      <w:r w:rsidR="00E56ED4" w:rsidRPr="0083145E">
        <w:fldChar w:fldCharType="begin" w:fldLock="1"/>
      </w:r>
      <w:r w:rsidR="005A4773">
        <w:instrText>ADDIN CSL_CITATION {"citationItems":[{"id":"ITEM-1","itemData":{"author":[{"dropping-particle":"","family":"Sevegnani","given":"Lucia","non-dropping-particle":"","parse-names":false,"suffix":""},{"dropping-particle":"","family":"Uhlmann","given":"Alexandre","non-dropping-particle":"","parse-names":false,"suffix":""},{"dropping-particle":"","family":"Gasper","given":"André Luís","non-dropping-particle":"de","parse-names":false,"suffix":""},{"dropping-particle":"","family":"Vibrans","given":"Alexander Christian","non-dropping-particle":"","parse-names":false,"suffix":""},{"dropping-particle":"","family":"Santos","given":"Anita Stival","non-dropping-particle":"dos","parse-names":false,"suffix":""},{"dropping-particle":"","family":"Verdi","given":"Marcio","non-dropping-particle":"","parse-names":false,"suffix":""},{"dropping-particle":"","family":"drev","given":"","non-dropping-particle":"","parse-names":false,"suffix":""}],"chapter-number":"9","container-title":"Inventário Florístico Florestal de Santa Catarina Volume III - Floresta Ombrófila Mista","editor":[{"dropping-particle":"","family":"Vibrans","given":"Alexander Christian","non-dropping-particle":"","parse-names":false,"suffix":""},{"dropping-particle":"","family":"Sevegnani","given":"Lucia","non-dropping-particle":"","parse-names":false,"suffix":""},{"dropping-particle":"","family":"Gaspar","given":"André Luis","non-dropping-particle":"de","parse-names":false,"suffix":""},{"dropping-particle":"","family":"Lingner","given":"Débora Vanessa","non-dropping-particle":"","parse-names":false,"suffix":""}],"id":"ITEM-1","issue":"January","issued":{"date-parts":[["2013"]]},"page":"440","publisher":"Edifurb","publisher-place":"Blumenau","title":"Estádios sucessionais da Floresta Ombrófila Mista em Santa Catarina","type":"chapter"},"uris":["http://www.mendeley.com/documents/?uuid=99c84bf0-55db-44f6-b273-a9f42e6c65fb"]}],"mendeley":{"formattedCitation":"(Sevegnani et al., 2013)","plainTextFormattedCitation":"(Sevegnani et al., 2013)","previouslyFormattedCitation":"(Sevegnani et al., 2013)"},"properties":{"noteIndex":0},"schema":"https://github.com/citation-style-language/schema/raw/master/csl-citation.json"}</w:instrText>
      </w:r>
      <w:r w:rsidR="00E56ED4" w:rsidRPr="0083145E">
        <w:fldChar w:fldCharType="separate"/>
      </w:r>
      <w:r w:rsidR="00E56ED4" w:rsidRPr="0083145E">
        <w:rPr>
          <w:noProof/>
        </w:rPr>
        <w:t>(Sevegnani et al., 2013)</w:t>
      </w:r>
      <w:r w:rsidR="00E56ED4" w:rsidRPr="0083145E">
        <w:fldChar w:fldCharType="end"/>
      </w:r>
      <w:r w:rsidR="00AA6BD9" w:rsidRPr="0083145E">
        <w:t xml:space="preserve">. </w:t>
      </w:r>
      <w:r w:rsidR="002B3E49" w:rsidRPr="0083145E">
        <w:t xml:space="preserve">The highest p/v value among these </w:t>
      </w:r>
      <w:r w:rsidR="00D0181D">
        <w:t xml:space="preserve">key </w:t>
      </w:r>
      <w:r w:rsidR="002B3E49" w:rsidRPr="0083145E">
        <w:t xml:space="preserve">genera </w:t>
      </w:r>
      <w:r w:rsidR="00392335" w:rsidRPr="0083145E">
        <w:t>is</w:t>
      </w:r>
      <w:r w:rsidR="002B3E49" w:rsidRPr="0083145E">
        <w:t xml:space="preserve"> </w:t>
      </w:r>
      <w:r w:rsidR="002B3E49" w:rsidRPr="0083145E">
        <w:rPr>
          <w:i/>
        </w:rPr>
        <w:t>Lithraea</w:t>
      </w:r>
      <w:r w:rsidR="00392335" w:rsidRPr="0083145E">
        <w:t>’s 0.09</w:t>
      </w:r>
      <w:r w:rsidR="00E82B9E" w:rsidRPr="0083145E">
        <w:t xml:space="preserve"> (</w:t>
      </w:r>
      <w:r w:rsidR="003D52C1" w:rsidRPr="0083145E">
        <w:t xml:space="preserve">i.e. less than one tenth as abundant in the pollen record as in the </w:t>
      </w:r>
      <w:r w:rsidR="003D52C1" w:rsidRPr="0083145E">
        <w:lastRenderedPageBreak/>
        <w:t>vegetation)</w:t>
      </w:r>
      <w:r w:rsidR="00E82B9E" w:rsidRPr="0083145E">
        <w:t xml:space="preserve">, and no pollen which could be reliably identified as </w:t>
      </w:r>
      <w:r w:rsidR="00E82B9E" w:rsidRPr="0083145E">
        <w:rPr>
          <w:i/>
        </w:rPr>
        <w:t>Ocotea</w:t>
      </w:r>
      <w:r w:rsidR="00E82B9E" w:rsidRPr="0083145E">
        <w:t xml:space="preserve"> or </w:t>
      </w:r>
      <w:r w:rsidR="00E82B9E" w:rsidRPr="0083145E">
        <w:rPr>
          <w:i/>
        </w:rPr>
        <w:t>Nectandra</w:t>
      </w:r>
      <w:r w:rsidR="00E82B9E" w:rsidRPr="0083145E">
        <w:t xml:space="preserve"> was counted at all</w:t>
      </w:r>
      <w:r w:rsidR="009F07B0" w:rsidRPr="0083145E">
        <w:t xml:space="preserve">. </w:t>
      </w:r>
    </w:p>
    <w:p w14:paraId="782B379B" w14:textId="796856F4" w:rsidR="008F69C7" w:rsidRPr="00EA201E" w:rsidRDefault="00910F68" w:rsidP="00E221DD">
      <w:pPr>
        <w:pStyle w:val="Mynormal"/>
      </w:pPr>
      <w:r w:rsidRPr="0083145E">
        <w:t>Under-representation in the pollen record is</w:t>
      </w:r>
      <w:r w:rsidR="004C73D3" w:rsidRPr="0083145E">
        <w:t xml:space="preserve"> common in the Neotropics </w:t>
      </w:r>
      <w:r w:rsidR="00F21912" w:rsidRPr="0083145E">
        <w:fldChar w:fldCharType="begin" w:fldLock="1"/>
      </w:r>
      <w:r w:rsidR="00F410BC">
        <w:instrText>ADDIN CSL_CITATION {"citationItems":[{"id":"ITEM-1","itemData":{"DOI":"10.1016/j.revpalbo.2008.06.007","ISBN":"0034-6667","ISSN":"00346667","abstract":"Accurate differentiation between tropical forest and savannah ecosystems in the fossil pollen record is hampered by the combination of: i) poor taxonomic resolution in pollen identification, and ii) the high species diversity of many lowland tropical families, i.e. with many different growth forms living in numerous environmental settings. These barriers to interpreting the fossil record hinder our understanding of the past distributions of different Neotropical ecosystems and consequently cloud our knowledge of past climatic, biodiversity and carbon storage patterns. Modern pollen studies facilitate an improved understanding of how ecosystems are represented by the pollen their plants produce and therefore aid interpretation of fossil pollen records. To understand how to differentiate ecosystems palynologically, it is essential that a consistent sampling method is used across ecosystems. However, to date, modern pollen studies from tropical South America have employed a variety of methodologies (e.g. pollen traps, moss polsters, soil samples). In this paper, we present the first modern pollen study from the Neotropics to examine the modern pollen rain from moist evergreen tropical forest (METF), semi-deciduous dry tropical forest (SDTF) and wooded savannah (cerradão) using a consistent sampling methodology (pollen traps). Pollen rain was sampled annually in September for the years 1999-2001 from within permanent vegetation study plots in, or near, the Noel Kempff Mercado National Park (NKMNP), Bolivia. Comparison of the modern pollen rain within these plots with detailed floristic inventories allowed estimates of the relative pollen productivity and dispersal for individual taxa to be made (% pollen/% vegetation or 'p/v'). The applicability of these data to interpreting fossil records from lake sediments was then explored by comparison with pollen assemblages obtained from five lake surface samples. Pollen productivity is demonstrated to vary inter-annually and conforms to a consistent hierarchy for any given year: METF &gt; SDTF &gt; cerradão. This suggests an association between pollen productivity and basic structural characteristics of the ecosystem, i.e. closed canopy vs. open canopy vs. savannah. Comparison of modern pollen and vegetation revealed that some important floristic elements were completely absent from the pollen: Qualea and Erisma (METF), Bauhinia, Simira and Guazuma (SDTF), and Pouteria and Caryocar (cerradão). Anadenanthera was found to b…","author":[{"dropping-particle":"","family":"Gosling","given":"William D.","non-dropping-particle":"","parse-names":false,"suffix":""},{"dropping-particle":"","family":"Mayle","given":"Francis E.","non-dropping-particle":"","parse-names":false,"suffix":""},{"dropping-particle":"","family":"Tate","given":"Nicholas J.","non-dropping-particle":"","parse-names":false,"suffix":""},{"dropping-particle":"","family":"Killeen","given":"Timothy J.","non-dropping-particle":"","parse-names":false,"suffix":""}],"container-title":"Review of Palaeobotany and Palynology","id":"ITEM-1","issue":"1-2","issued":{"date-parts":[["2009"]]},"note":"Reading for style and structure","page":"70-85","publisher":"Elsevier B.V.","title":"Differentiation between Neotropical rainforest, dry forest, and savannah ecosystems by their modern pollen spectra and implications for the fossil pollen record","type":"article-journal","volume":"153"},"uris":["http://www.mendeley.com/documents/?uuid=08d7ea17-d5d2-4d1a-b3bf-d1145c7b320d"]},{"id":"ITEM-2","itemData":{"DOI":"10.1371/journal.pone.0053485","ISBN":"1932-6203 (Electronic)\r1932-6203 (Linking)","ISSN":"19326203","PMID":"23320089","abstract":"Tropical paleoecologists use a combination of mud-water interface and modern pollen rain samples (local samples of airborne pollen) to interpret compositional changes within fossil pollen records. Taxonomic similarities between the composition of modern assemblages and fossil samples are the basis of reconstructing paleoclimates and paleoenvironments. Surface sediment samples reflect a time-averaged accumulation of pollen spanning several years or more. Due to experimental constraints, modern pollen rain samples are generally collected over shorter timeframes (1-3 years) and are therefore less likely to capture the full range of natural variability in pollen rain composition and abundance. This potentially biases paleoenvironmental interpretations based on modern pollen rain transfer functions. To determine the degree to which short-term environmental change affects the composition of the aerial pollen flux of Neotropical forests, we sampled ten years of the seasonal pollen rain from Barro Colorado Island, Panama and compared it to climatic and environmental data over the same ten-year span. We establish that the pollen rain effectively captured the strong seasonality and stratification of pollen flow within the forest canopy and that individual taxa had variable sensitivity to seasonal and annual changes in environmental conditions, manifested as changes in pollen productivity. We conclude that modern pollen rain samples capture the reproductive response of moist tropical plants to short-term environmental change, but that consequently, pollen rain-based calibrations need to include longer sampling periods (≥7 years) to reflect the full range of natural variability in the pollen output of a forest and simulate the time-averaging present in sediment samples. Our results also demonstrate that over the long-term, pollen traps placed in the forest understory are representative samples of the pollen output of both canopy and understory vegetation. Aerial pollen traps, therefore, also represent an underutilized means of monitoring the pollen productivity and reproductive behavior of moist tropical forests.","author":[{"dropping-particle":"","family":"Haselhorst","given":"Derek S.","non-dropping-particle":"","parse-names":false,"suffix":""},{"dropping-particle":"","family":"Moreno","given":"J. Enrique","non-dropping-particle":"","parse-names":false,"suffix":""},{"dropping-particle":"","family":"Punyasena","given":"Surangi W.","non-dropping-particle":"","parse-names":false,"suffix":""}],"container-title":"PLoS ONE","id":"ITEM-2","issue":"1","issued":{"date-parts":[["2013"]]},"title":"Variability within the 10-Year Pollen Rain of a Seasonal Neotropical Forest and Its Implications for Paleoenvironmental and Phenological Research","type":"article-journal","volume":"8"},"uris":["http://www.mendeley.com/documents/?uuid=5ec08a27-d073-4625-9df9-73b794243034"]},{"id":"ITEM-3","itemData":{"DOI":"10.1086/285757","ISSN":"0003-0147","abstract":"A high potential for outcrossing is suggested to be the key reproductive character that determines representation of taxa in palynological records. In the tropics, where anemophily is a rare condition (ca. 2.5% of all trees), a disproportionate number of the most common pollen types found in sediment are anemophilous (ca. 27%). However, entomophilous species are not all underrepresented, as monoecious and dioecious species pollinated by small insects were also abundant in pollen records (73% of taxa in the most abundant pollen classes). A ranking of reproductive characters leading to outcrossing is suggested to predict the representation of pollen taxa within a pollen spectrum.","author":[{"dropping-particle":"","family":"Bush","given":"Mark B","non-dropping-particle":"","parse-names":false,"suffix":""}],"container-title":"The American Naturalist","id":"ITEM-3","issue":"4","issued":{"date-parts":[["1995","4"]]},"note":"Anemophily still results in overrepresentation in tropical plants, but so does small-insect pollination of monoecious or dioecious tropical plants (because insects are always available to help with outcrossing) - something that's not true in temperate regions. Plants with moth, bird or bat pollinators are very underrepresented.","page":"594-609","title":"Neotropical Plant Reproductive Strategies and Fossil Pollen Representation","type":"article-journal","volume":"145"},"uris":["http://www.mendeley.com/documents/?uuid=facfd124-41cc-31e3-8eb5-0254d94eb512"]},{"id":"ITEM-4","itemData":{"DOI":"10.2307/2997685","ISSN":"09607447","author":[{"dropping-particle":"","family":"Bush","given":"Mark B","non-dropping-particle":"","parse-names":false,"suffix":""},{"dropping-particle":"","family":"Rivera","given":"Robert","non-dropping-particle":"","parse-names":false,"suffix":""}],"container-title":"Global Ecology and Biogeography Letters","id":"ITEM-4","issue":"5","issued":{"date-parts":[["1998","9"]]},"note":"Notes on how far and wide pollen comes from","page":"379-392","title":"Pollen Dispersal and Representation in a Neotropical Rain Forest","type":"article-journal","volume":"7"},"uris":["http://www.mendeley.com/documents/?uuid=74e8aaf8-372f-30c3-b901-40c8a32692ca"]}],"mendeley":{"formattedCitation":"(Bush, 1995; Bush and Rivera, 1998; Gosling et al., 2009; Haselhorst et al., 2013)","plainTextFormattedCitation":"(Bush, 1995; Bush and Rivera, 1998; Gosling et al., 2009; Haselhorst et al., 2013)","previouslyFormattedCitation":"(Bush, 1995; Bush and Rivera, 1998; Gosling et al., 2009; Haselhorst et al., 2013)"},"properties":{"noteIndex":0},"schema":"https://github.com/citation-style-language/schema/raw/master/csl-citation.json"}</w:instrText>
      </w:r>
      <w:r w:rsidR="00F21912" w:rsidRPr="0083145E">
        <w:fldChar w:fldCharType="separate"/>
      </w:r>
      <w:r w:rsidR="00914BAC" w:rsidRPr="00914BAC">
        <w:rPr>
          <w:noProof/>
        </w:rPr>
        <w:t>(Bush, 1995; Bush and Rivera, 1998; Gosling et al., 2009; Haselhorst et al., 2013)</w:t>
      </w:r>
      <w:r w:rsidR="00F21912" w:rsidRPr="0083145E">
        <w:fldChar w:fldCharType="end"/>
      </w:r>
      <w:r w:rsidR="00DA4DB9">
        <w:t xml:space="preserve">. </w:t>
      </w:r>
      <w:r w:rsidR="008962E7">
        <w:t xml:space="preserve">This is partly due to the relative rarity of </w:t>
      </w:r>
      <w:r w:rsidR="000C142D">
        <w:t>anemophilous plants – g</w:t>
      </w:r>
      <w:r w:rsidR="00A04D34">
        <w:t>enerally t</w:t>
      </w:r>
      <w:r w:rsidR="006A63D8">
        <w:t xml:space="preserve">he most over-represented </w:t>
      </w:r>
      <w:r w:rsidR="00077E94">
        <w:t>taxa</w:t>
      </w:r>
      <w:r w:rsidR="006A63D8">
        <w:t xml:space="preserve"> </w:t>
      </w:r>
      <w:r w:rsidR="00942E35">
        <w:t xml:space="preserve">– in tropical forests, </w:t>
      </w:r>
      <w:r w:rsidR="006A4334">
        <w:t>although</w:t>
      </w:r>
      <w:r w:rsidR="00DA4DB9">
        <w:t xml:space="preserve"> </w:t>
      </w:r>
      <w:r w:rsidR="003F3B08">
        <w:t xml:space="preserve">entomophilous </w:t>
      </w:r>
      <w:r w:rsidR="006A63D8">
        <w:t xml:space="preserve">plants are less </w:t>
      </w:r>
      <w:r w:rsidR="003A2EEB">
        <w:t xml:space="preserve">under-represented in </w:t>
      </w:r>
      <w:r w:rsidR="00A04D34">
        <w:t xml:space="preserve">tropical </w:t>
      </w:r>
      <w:r w:rsidR="003A2EEB">
        <w:t xml:space="preserve">pollen spectra than in </w:t>
      </w:r>
      <w:r w:rsidR="00A04D34">
        <w:t>temperate regions</w:t>
      </w:r>
      <w:r w:rsidR="00F410BC">
        <w:t xml:space="preserve"> </w:t>
      </w:r>
      <w:r w:rsidR="00596AB4" w:rsidRPr="0083145E">
        <w:fldChar w:fldCharType="begin" w:fldLock="1"/>
      </w:r>
      <w:r w:rsidR="000B1753">
        <w:instrText>ADDIN CSL_CITATION {"citationItems":[{"id":"ITEM-1","itemData":{"author":[{"dropping-particle":"","family":"Whitehead","given":"D.R.","non-dropping-particle":"","parse-names":false,"suffix":""}],"chapter-number":"5","container-title":"Pollination Biology","editor":[{"dropping-particle":"","family":"Real","given":"L.","non-dropping-particle":"","parse-names":false,"suffix":""}],"id":"ITEM-1","issued":{"date-parts":[["1983"]]},"page":"97-108","publisher":"Academic Press, Inc.","publisher-place":"Orlando","title":"Wind pollination: some ecological and evolutionary perspectives","type":"chapter"},"uris":["http://www.mendeley.com/documents/?uuid=f0beae09-de0c-430e-a220-f1974fe747ae"]},{"id":"ITEM-2","itemData":{"author":[{"dropping-particle":"V.","family":"Viera","given":"F.","non-dropping-particle":"","parse-names":false,"suffix":""},{"dropping-particle":"","family":"Fonseca","given":"R.S.","non-dropping-particle":"","parse-names":false,"suffix":""},{"dropping-particle":"de","family":"Araújo","given":"L.M.","non-dropping-particle":"","parse-names":false,"suffix":""}],"container-title":"Ecologia de Florestas Tropicais Do Brasil","editor":[{"dropping-particle":"","family":"Martins","given":"S.V.","non-dropping-particle":"","parse-names":false,"suffix":""}],"id":"ITEM-2","issued":{"date-parts":[["2012"]]},"page":"53-84","publisher":"Universidade Federal de Viçosa","publisher-place":"Viçosa","title":"Floração, Polinização e Sistemas Reprodutivos em Florestas Tropicais","type":"chapter"},"uris":["http://www.mendeley.com/documents/?uuid=6989e2a1-eeae-4588-a689-e47ea9880aca"]},{"id":"ITEM-3","itemData":{"DOI":"10.1086/285757","ISSN":"0003-0147","abstract":"A high potential for outcrossing is suggested to be the key reproductive character that determines representation of taxa in palynological records. In the tropics, where anemophily is a rare condition (ca. 2.5% of all trees), a disproportionate number of the most common pollen types found in sediment are anemophilous (ca. 27%). However, entomophilous species are not all underrepresented, as monoecious and dioecious species pollinated by small insects were also abundant in pollen records (73% of taxa in the most abundant pollen classes). A ranking of reproductive characters leading to outcrossing is suggested to predict the representation of pollen taxa within a pollen spectrum.","author":[{"dropping-particle":"","family":"Bush","given":"Mark B","non-dropping-particle":"","parse-names":false,"suffix":""}],"container-title":"The American Naturalist","id":"ITEM-3","issue":"4","issued":{"date-parts":[["1995","4"]]},"note":"Anemophily still results in overrepresentation in tropical plants, but so does small-insect pollination of monoecious or dioecious tropical plants (because insects are always available to help with outcrossing) - something that's not true in temperate regions. Plants with moth, bird or bat pollinators are very underrepresented.","page":"594-609","title":"Neotropical Plant Reproductive Strategies and Fossil Pollen Representation","type":"article-journal","volume":"145"},"uris":["http://www.mendeley.com/documents/?uuid=facfd124-41cc-31e3-8eb5-0254d94eb512"]}],"mendeley":{"formattedCitation":"(Bush, 1995; Viera et al., 2012; Whitehead, 1983)","plainTextFormattedCitation":"(Bush, 1995; Viera et al., 2012; Whitehead, 1983)","previouslyFormattedCitation":"(Bush, 1995; Viera et al., 2012; Whitehead, 1983)"},"properties":{"noteIndex":0},"schema":"https://github.com/citation-style-language/schema/raw/master/csl-citation.json"}</w:instrText>
      </w:r>
      <w:r w:rsidR="00596AB4" w:rsidRPr="0083145E">
        <w:fldChar w:fldCharType="separate"/>
      </w:r>
      <w:r w:rsidR="00F410BC" w:rsidRPr="00F410BC">
        <w:rPr>
          <w:noProof/>
        </w:rPr>
        <w:t>(Bush, 1995; Viera et al., 2012; Whitehead, 1983)</w:t>
      </w:r>
      <w:r w:rsidR="00596AB4" w:rsidRPr="0083145E">
        <w:fldChar w:fldCharType="end"/>
      </w:r>
      <w:r w:rsidR="009D4E9B" w:rsidRPr="0083145E">
        <w:t>.</w:t>
      </w:r>
      <w:r w:rsidR="002145E6" w:rsidRPr="0083145E">
        <w:t xml:space="preserve"> </w:t>
      </w:r>
      <w:r w:rsidR="00363EC7">
        <w:t>Our results fit this general pattern:</w:t>
      </w:r>
      <w:r w:rsidR="00C941A7">
        <w:t xml:space="preserve"> o</w:t>
      </w:r>
      <w:r w:rsidR="002145E6" w:rsidRPr="0083145E">
        <w:t xml:space="preserve">f the under-represented taxa in our study, </w:t>
      </w:r>
      <w:r w:rsidR="002145E6" w:rsidRPr="0083145E">
        <w:rPr>
          <w:i/>
        </w:rPr>
        <w:t>Nectandra</w:t>
      </w:r>
      <w:r w:rsidR="002145E6" w:rsidRPr="0083145E">
        <w:t xml:space="preserve"> and </w:t>
      </w:r>
      <w:r w:rsidR="002145E6" w:rsidRPr="0083145E">
        <w:rPr>
          <w:i/>
        </w:rPr>
        <w:t>Ocotea</w:t>
      </w:r>
      <w:r w:rsidR="002145E6" w:rsidRPr="0083145E">
        <w:t xml:space="preserve"> are pollinated by thrips (Thysanoptera) </w:t>
      </w:r>
      <w:r w:rsidR="002145E6" w:rsidRPr="0083145E">
        <w:fldChar w:fldCharType="begin" w:fldLock="1"/>
      </w:r>
      <w:r w:rsidR="005A4773">
        <w:instrText>ADDIN CSL_CITATION {"citationItems":[{"id":"ITEM-1","itemData":{"DOI":"10.1111/j.1442-1984.2011.00354.x","ISBN":"1442-1984","ISSN":"0913557X","abstract":"Ocotea porosa has been extensively exploited over the past few decades because of the quality of its wood. Today, populations are reduced and the species is now included in the Red List of threatened species by the International Union for Nature Conservation. For conservation and management purposes, it is extremely important that we understand its reproductive ecology. Floral morphology was described based on field and scanning electron microscopic examination. The reproductive system was determined through experimentally controlled pollination along with observations of pollen tube growth. Pollinators were identified through field observations. Flowers of O. porosa are small, shallow, inconspicuous, asynchronous and grouped in inflorescences. This species presented self-compatibility, but did not reproduce through apomixy and spontaneous self-pollination was very rare (5%). Despite being monoclinal, flowers were protogynic, and the gynoecium was receptive after the first day of anthesis when the anthers were closed. Spontaneous self-pollination was avoided by the extrorse position of the anthers of the internal stamens. Frankliniella gardeniae (Thysanoptera) was the only pollinating species observed and, after visiting several asynchronous flowers in the same inflorescence, favors geitonogamy. Together the small distance supposedly achieved by thrips in flight and the small population density of O. porosa can reduce the chances of cross-pollination in this species. If so, conservation measures must include preservation of the current population and possibly planting to increase population density. This would reduce the distance between individuals and increase genetic variability. Thrips as pollinators must be included in conservation planning for O. porosa.","author":[{"dropping-particle":"","family":"Danieli-Silva","given":"Aline","non-dropping-particle":"","parse-names":false,"suffix":""},{"dropping-particle":"","family":"Varassin","given":"Isabela G.","non-dropping-particle":"","parse-names":false,"suffix":""}],"container-title":"Plant Species Biology","id":"ITEM-1","issue":"1","issued":{"date-parts":[["2013","1","1"]]},"page":"31-40","publisher":"Wiley/Blackwell (10.1111)","title":"Breeding system and thrips (Thysanoptera) pollination in the endangered tree Ocotea porosa (Lauraceae): Implications for conservation","type":"article-journal","volume":"28"},"uris":["http://www.mendeley.com/documents/?uuid=c23ede1b-d05c-3eca-a330-9b079498b803"]},{"id":"ITEM-2","itemData":{"DOI":"10.1590/S0102-33062000000100003","ISSN":"0102-3306","abstract":"&lt;p&gt;Nectandra megapotamica (Spreng.) Mez é espécie freqüente nas matas secundárias da região de Maringá, Estado do Paraná, Brasil. A morfologia e estrutura de suas flores, bem como observações da antese, deiscência das anteras, receptividade do estigma e do registro de insetos visitantes são objetos do trabalho. A antese é diurna e as anteras só se abrem no segundo dia, quando o estigma não é mais receptivo. O comportamento da flor caracteriza a ocorrência de dicogamia. O inseto visitante mais freqüente pertence à Thysanoptera. As tépalas têm epiderme simples, com pêlos tectores e glandulares e complexos estomáticos paracíticos, e mesofilo parenquimático homogêneo. Os nectarios têm parênquima secretor com tecido vascular apresentando predominância de floema. As anteras possuem epiderme unisseriada pilosa, endotécio, duas ou três camadas médias e tapete com células binucleadas. O estigma apresenta pêlos multicelulares unisseriados. O ovário possui epiderme glabra, parênquima com atividade meristemática subepidérmica e fenda como região sutural vestigial. O único óvulo é pêndulo, anátropo e bitegumentado.&lt;/p&gt;","author":[{"dropping-particle":"de","family":"Souza","given":"Luiz Antonio","non-dropping-particle":"","parse-names":false,"suffix":""},{"dropping-particle":"","family":"Moscheta","given":"Ismar Sebastião","non-dropping-particle":"","parse-names":false,"suffix":""}],"container-title":"Acta Botanica Brasilica","id":"ITEM-2","issue":"1","issued":{"date-parts":[["2000","4"]]},"page":"15-25","publisher":"Sociedade Botânica do Brasil","title":"Morfo-anatomia e aspectos da biologia floral de Nectandra megapotamica (Spreng.) Mez (Lauraceae)","type":"article-journal","volume":"14"},"uris":["http://www.mendeley.com/documents/?uuid=5552bfce-c6e1-3073-a66c-14aa407bdf5a"]}],"mendeley":{"formattedCitation":"(Danieli-Silva and Varassin, 2013; Souza and Moscheta, 2000)","plainTextFormattedCitation":"(Danieli-Silva and Varassin, 2013; Souza and Moscheta, 2000)","previouslyFormattedCitation":"(Danieli-Silva and Varassin, 2013; Souza and Moscheta, 2000)"},"properties":{"noteIndex":0},"schema":"https://github.com/citation-style-language/schema/raw/master/csl-citation.json"}</w:instrText>
      </w:r>
      <w:r w:rsidR="002145E6" w:rsidRPr="0083145E">
        <w:fldChar w:fldCharType="separate"/>
      </w:r>
      <w:r w:rsidR="002145E6" w:rsidRPr="0083145E">
        <w:rPr>
          <w:noProof/>
        </w:rPr>
        <w:t>(Danieli-Silva and Varassin, 2013; Souza and Moscheta, 2000)</w:t>
      </w:r>
      <w:r w:rsidR="002145E6" w:rsidRPr="0083145E">
        <w:fldChar w:fldCharType="end"/>
      </w:r>
      <w:r w:rsidR="002145E6" w:rsidRPr="0083145E">
        <w:t xml:space="preserve">, and </w:t>
      </w:r>
      <w:r w:rsidR="002145E6" w:rsidRPr="0083145E">
        <w:rPr>
          <w:i/>
        </w:rPr>
        <w:t>Lithraea, Ilex, Matayba, Prunus, Eugenia</w:t>
      </w:r>
      <w:r w:rsidR="002145E6" w:rsidRPr="0083145E">
        <w:t xml:space="preserve"> and </w:t>
      </w:r>
      <w:r w:rsidR="002145E6" w:rsidRPr="0083145E">
        <w:rPr>
          <w:i/>
        </w:rPr>
        <w:t>Cinnamodendron</w:t>
      </w:r>
      <w:r w:rsidR="002145E6" w:rsidRPr="0083145E">
        <w:t xml:space="preserve"> depend on bees and other small insects </w:t>
      </w:r>
      <w:r w:rsidR="002145E6" w:rsidRPr="0083145E">
        <w:fldChar w:fldCharType="begin" w:fldLock="1"/>
      </w:r>
      <w:r w:rsidR="005A4773">
        <w:instrText>ADDIN CSL_CITATION {"citationItems":[{"id":"ITEM-1","itemData":{"author":[{"dropping-particle":"","family":"Montalva","given":"J.","non-dropping-particle":"","parse-names":false,"suffix":""},{"dropping-particle":"","family":"Dudley","given":"L.","non-dropping-particle":"","parse-names":false,"suffix":""},{"dropping-particle":"","family":"Arroyo","given":"M.K.","non-dropping-particle":"","parse-names":false,"suffix":""},{"dropping-particle":"","family":"Retamales","given":"H.","non-dropping-particle":"","parse-names":false,"suffix":""},{"dropping-particle":"","family":"Abrahamovich","given":"A.H.","non-dropping-particle":"","parse-names":false,"suffix":""}],"container-title":"Journal of Apicultural Research","id":"ITEM-1","issue":"1","issued":{"date-parts":[["2011"]]},"page":"11-21","title":"Geographic distribution and associated flora of native and introduced bumble bees (Bombus spp.) in Chile","type":"article-journal","volume":"50"},"uris":["http://www.mendeley.com/documents/?uuid=22283674-c3b1-3242-a338-cec2f8636990"]},{"id":"ITEM-2","itemData":{"author":[{"dropping-particle":"","family":"Deus","given":"Filipe Ferreira","non-dropping-particle":"de","parse-names":false,"suffix":""},{"dropping-particle":"","family":"Vale","given":"Vagner Santiago","non-dropping-particle":"do","parse-names":false,"suffix":""},{"dropping-particle":"","family":"Schiavini","given":"Ivan","non-dropping-particle":"","parse-names":false,"suffix":""},{"dropping-particle":"","family":"Oliveira","given":"Paulo Eugênio","non-dropping-particle":"","parse-names":false,"suffix":""}],"container-title":"Bioscience Journal","id":"ITEM-2","issue":"6","issued":{"date-parts":[["2014"]]},"page":"1885-1902","title":"Diversity of reproductive ecological groups in semideciduous seasonal forests","type":"article-journal","volume":"30"},"uris":["http://www.mendeley.com/documents/?uuid=ee976702-2e44-4654-bf3c-6564402a5712"]},{"id":"ITEM-3","itemData":{"DOI":"10.1590/S0085-56262006000200008","ISSN":"1806-9665","author":[{"dropping-particle":"","family":"Hermes","given":"Marcel G.","non-dropping-particle":"","parse-names":false,"suffix":""},{"dropping-particle":"","family":"Köhler","given":"Andreas","non-dropping-particle":"","parse-names":false,"suffix":""}],"container-title":"Revista Brasileira de Entomologia","id":"ITEM-3","issue":"2","issued":{"date-parts":[["2006","6"]]},"page":"268-274","publisher":"Sociedade Brasileira De Entomologia","title":"The flower-visiting social wasps (Hymenoptera, Vespidae, Polistinae) in two areas of Rio Grande do Sul State, southern Brazil","type":"article-journal","volume":"50"},"uris":["http://www.mendeley.com/documents/?uuid=6c09154c-3e9b-302a-b823-cbfd55733c73"]},{"id":"ITEM-4","itemData":{"DOI":"10.1080/01650521.1997.11432425doi.org/10.1080/01650521.1997.11432425","abstract":"ABSTRACT Flower visiting insects were monitored on angiosperm trees in an Araucariaforest in Rio Grande do Sui, Brazil. The most abundant flower visitors were workers of the introduced honey bee, A pis mellifera,followed by stingless bees which were represented by 8 species. Together with other bees, they provide the main guild of foragers on flowering tree.~. The stingless bee fauna of the study area is similar to that of other regions of the Mat a Atlfintica, especially of former Araucariaforests, but also of montane coastal rain forests.","author":[{"dropping-particle":"","family":"Wilms","given":"Wolfgang","non-dropping-particle":"","parse-names":false,"suffix":""},{"dropping-particle":"","family":"Wendel","given":"Lutz","non-dropping-particle":"","parse-names":false,"suffix":""},{"dropping-particle":"","family":"Zillikens","given":"Anne","non-dropping-particle":"","parse-names":false,"suffix":""},{"dropping-particle":"","family":"Blochtein","given":"Betina","non-dropping-particle":"","parse-names":false,"suffix":""},{"dropping-particle":"","family":"Engels","given":"Wolf","non-dropping-particle":"","parse-names":false,"suffix":""}],"container-title":"Studies on Neotropical Fauna and Environment","id":"ITEM-4","issue":"4","issued":{"date-parts":[["1997"]]},"page":"220-226","title":"Bees and Other Insects Recorded on Flowering Trees in a Subtropical Araucaria Forest in Southern Brazil","type":"article-journal","volume":"32"},"uris":["http://www.mendeley.com/documents/?uuid=67a46cae-c99b-3b8c-86dd-15dbc8161ce6"]},{"id":"ITEM-5","itemData":{"DOI":"10.2307/43781937","author":[{"dropping-particle":"","family":"Tomlinson","given":"P. B.","non-dropping-particle":"","parse-names":false,"suffix":""}],"container-title":"Journal of the Arnold Arboretum","id":"ITEM-5","issued":{"date-parts":[["1974"]]},"page":"269-290","publisher":"Arnold Arboretum of Harvard University","title":"Breeding Mechanisms in Trees Native to Tropical Florida - a Morphological Assessment","type":"article-journal","volume":"55"},"uris":["http://www.mendeley.com/documents/?uuid=f4179901-777c-3242-b38d-be4dd1a1beb5"]},{"id":"ITEM-6","itemData":{"abstract":"Accessed: 24-03-2018 02:04 UTC JSTOR is a not-for-profit service that helps scholars, researchers, and students discover, use, and build upon a wide range of content in a trusted digital archive. We use information technology and tools to increase productivity and facilitate</w:instrText>
      </w:r>
      <w:r w:rsidR="005A4773" w:rsidRPr="004C4948">
        <w:rPr>
          <w:lang w:val="da-DK"/>
        </w:rPr>
        <w:instrText xml:space="preserve"> new forms of scholarship. For more information about JSTOR, please contact support@jstor.org.","author":[{"dropping-particle":"","family":"Imperatriz-Fonseca","given":"V L","non-dropping-particle":"","parse-names":false,"suffix":""},{"dropping-particle":"","family":"Kleinert-Giovannini","given":"A","non-dropping-particle":"","parse-names":false,"suffix":""},{"dropping-particle":"","family":"Ramalho","given":"M","non-dropping-particle":"","parse-names":false,"suffix":""}],"container-title":"Source Journal of Tropical Ecology","id":"ITEM-6","issue":"2","issued":{"date-parts":[["1989"]]},"page":"239-242","publisher":"Cambridge University Press","title":"Pollen Harvest by Eusocial Bees in a Non-Natural Community in Brazil","type":"article-journal","volume":"5"},"uris":["http://www.mendeley.com/documents/?uuid=07d5de6d-b566-3a59-99dc-9aa487e46edf"]}],"mendeley":{"formattedCitation":"(de Deus et al., 2014; Hermes and Köhler, 2006; Imperatriz-Fonseca et al., 1989; Montalva et al., 2011; Tomlinson, 1974; Wilms et al., 1997)","plainTextFormattedCitation":"(de Deus et al., 2014; Hermes and Köhler, 2006; Imperatriz-Fonseca et al., 1989; Montalva et al., 2011; Tomlinson, 1974; Wilms et al., 1997)","previouslyFormattedCitation":"(de Deus et al., 2014; Hermes and Köhler, 2006; Imperatriz-Fonseca et al., 1989; Montalva et al., 2011; Tomlinson, 1974; Wilms et al., 1997)"},"properties":{"noteIndex":0},"schema":"https://github.com/citation-style-language/schema/raw/master/csl-citation.json"}</w:instrText>
      </w:r>
      <w:r w:rsidR="002145E6" w:rsidRPr="0083145E">
        <w:fldChar w:fldCharType="separate"/>
      </w:r>
      <w:r w:rsidR="002145E6" w:rsidRPr="004C4948">
        <w:rPr>
          <w:noProof/>
          <w:lang w:val="da-DK"/>
        </w:rPr>
        <w:t>(de Deus et al., 2014; Hermes and Köhler, 2006; Imperatriz-Fonseca et al., 1989; Montalva et al., 2011; Tomlinson, 1974; Wilms et al., 1997)</w:t>
      </w:r>
      <w:r w:rsidR="002145E6" w:rsidRPr="0083145E">
        <w:fldChar w:fldCharType="end"/>
      </w:r>
      <w:r w:rsidR="008C6B24" w:rsidRPr="004C4948">
        <w:rPr>
          <w:lang w:val="da-DK"/>
        </w:rPr>
        <w:t xml:space="preserve">. </w:t>
      </w:r>
      <w:r w:rsidR="00510309">
        <w:rPr>
          <w:lang w:val="da-DK"/>
        </w:rPr>
        <w:t xml:space="preserve">Additionally, </w:t>
      </w:r>
      <w:r w:rsidR="00510309" w:rsidRPr="00301AE1">
        <w:rPr>
          <w:i/>
          <w:lang w:val="da-DK"/>
        </w:rPr>
        <w:t>Ocotea</w:t>
      </w:r>
      <w:r w:rsidR="00510309">
        <w:rPr>
          <w:lang w:val="da-DK"/>
        </w:rPr>
        <w:t xml:space="preserve"> pollen is </w:t>
      </w:r>
      <w:r w:rsidR="003F6671">
        <w:rPr>
          <w:lang w:val="da-DK"/>
        </w:rPr>
        <w:t xml:space="preserve">fragile, with a thin exine that </w:t>
      </w:r>
      <w:r w:rsidR="000B1753">
        <w:rPr>
          <w:lang w:val="da-DK"/>
        </w:rPr>
        <w:t xml:space="preserve">means it preserves poorly </w:t>
      </w:r>
      <w:r w:rsidR="000B1753">
        <w:rPr>
          <w:lang w:val="da-DK"/>
        </w:rPr>
        <w:fldChar w:fldCharType="begin" w:fldLock="1"/>
      </w:r>
      <w:r w:rsidR="00C8063D">
        <w:rPr>
          <w:lang w:val="da-DK"/>
        </w:rPr>
        <w:instrText>ADDIN CSL_CITATION {"citationItems":[{"id":"ITEM-1","itemData":{"ISBN":"9783443641184","abstract":"One folded map inserted in back pocket.","author":[{"dropping-particle":"","family":"Behling","given":"Hermann","non-dropping-particle":"","parse-names":false,"suffix":""}],"container-title":"Dissertationes Botanicae","id":"ITEM-1","issued":{"date-parts":[["1993"]]},"number-of-pages":"149","publisher":"J. Cramer","publisher-place":"Stuttgart, Germany","title":"Untersuchungen zur Spatpleistozänen und Holozänen Vegetations- und Klimageschichte der Tropischen Kustenwalder und der Araukarienwälder in Santa Catarina (Sudbrasilien)","type":"thesis","volume":"206"},"uris":["http://www.mendeley.com/documents/?uuid=b531aefe-2848-35b3-986a-629578f80cca"]}],"mendeley":{"formattedCitation":"(Behling, 1993)","plainTextFormattedCitation":"(Behling, 1993)","previouslyFormattedCitation":"(Behling, 1993)"},"properties":{"noteIndex":0},"schema":"https://github.com/citation-style-language/schema/raw/master/csl-citation.json"}</w:instrText>
      </w:r>
      <w:r w:rsidR="000B1753">
        <w:rPr>
          <w:lang w:val="da-DK"/>
        </w:rPr>
        <w:fldChar w:fldCharType="separate"/>
      </w:r>
      <w:r w:rsidR="000B1753" w:rsidRPr="000B1753">
        <w:rPr>
          <w:noProof/>
          <w:lang w:val="da-DK"/>
        </w:rPr>
        <w:t>(Behling, 1993)</w:t>
      </w:r>
      <w:r w:rsidR="000B1753">
        <w:rPr>
          <w:lang w:val="da-DK"/>
        </w:rPr>
        <w:fldChar w:fldCharType="end"/>
      </w:r>
      <w:r w:rsidR="00E532B3">
        <w:rPr>
          <w:lang w:val="da-DK"/>
        </w:rPr>
        <w:t xml:space="preserve">. </w:t>
      </w:r>
      <w:r w:rsidR="008C6B24" w:rsidRPr="004C4948">
        <w:rPr>
          <w:lang w:val="da-DK"/>
        </w:rPr>
        <w:t>By contrast,</w:t>
      </w:r>
      <w:r w:rsidR="002145E6" w:rsidRPr="004C4948">
        <w:rPr>
          <w:lang w:val="da-DK"/>
        </w:rPr>
        <w:t xml:space="preserve"> </w:t>
      </w:r>
      <w:r w:rsidR="001D64AF" w:rsidRPr="004C4948">
        <w:rPr>
          <w:lang w:val="da-DK"/>
        </w:rPr>
        <w:t xml:space="preserve">the over-represented taxa </w:t>
      </w:r>
      <w:r w:rsidR="002145E6" w:rsidRPr="004C4948">
        <w:rPr>
          <w:i/>
          <w:lang w:val="da-DK"/>
        </w:rPr>
        <w:t>Araucaria</w:t>
      </w:r>
      <w:r w:rsidR="002145E6" w:rsidRPr="004C4948">
        <w:rPr>
          <w:lang w:val="da-DK"/>
        </w:rPr>
        <w:t xml:space="preserve"> </w:t>
      </w:r>
      <w:r w:rsidR="002145E6" w:rsidRPr="0083145E">
        <w:fldChar w:fldCharType="begin" w:fldLock="1"/>
      </w:r>
      <w:r w:rsidR="005A4773" w:rsidRPr="004C4948">
        <w:rPr>
          <w:lang w:val="da-DK"/>
        </w:rPr>
        <w:instrText>ADDIN CSL_CITATION {"citationItems":[{"id":"ITEM-1","itemData":{"DOI":"10.1007/s10592-007-9411-2","ISBN":"1566-0621","ISSN":"15660621","abstract":"As a matter of fact, Araucaria angustifolia populations occur predominately in small and isolated stands; only a minor number of continuous natural forests of this dioecious wind-pollinated coniferous tree species remain. To implement reasonable conservation, breeding and restorations program it is necessary to have the knowledge of pollen dispersal distance and fine-scale genetic structure. In this paper, levels and dispersion distance of pollen and spatial genetic structure of A.¬†angustifolia were investigated in a 14¬†ha transect in a continuous forest in Paran√° State, Brazil. Analyses have been performed by the use of eight microsatellite loci, paternity and TwoGener approaches, and spatial autocorrelation analysis. In transect, 52 male and 56 female adult trees were mapped and genotyped, together with 190 seeds. In the present transect, A.¬†angustifolia show spatial genetic structure at distances up to 75¬†m. Paternity analysis indicated that 54% of seeds were fertilized by pollen from trees outside the transect. The calculated average pollination distance within transect was 102 and 98¬†m based on the paternity analysis and TwoGener analysis, respectively. We found a significant pollen gene pool structure across seed-trees ( Formula Not Shown , P¬†&lt;¬†0.01) that corresponds t</w:instrText>
      </w:r>
      <w:r w:rsidR="005A4773">
        <w:instrText>o an effective number of pollen donors of 6.4 male trees or an effective pollination neighbourhood area (A ep ) of 2.1¬†ha. The findings suggest long-distance pollen dispersion (&gt;100¬†m) inside the continuous forest. However, the high proportion occurs in short-distance producing biparental and correlated mating as well as reducing the variance effective size.","author":[{"dropping-particle":"","family":"Bittencourt","given":"Juliana Vitória Messias","non-dropping-particle":"","parse-names":false,"suffix":""},{"dropping-particle":"","family":"Sebbenn","given":"Alexandre Magno","non-dropping-particle":"","parse-names":false,"suffix":""}],"container-title":"Conservation Genetics","id":"ITEM-1","issue":"4","issued":{"date-parts":[["2008","8","12"]]},"note":"Read this mainly for the pollen dynamics of Aa, and also for an overview of its genetics across its range (if possible)","page":"855-868","publisher":"Springer Netherlands","title":"Pollen movement within a continuous forest of wind-pollinated Araucaria angustifolia, inferred from paternity and TwoGener analysis","type":"article-journal","volume":"9"},"uris":["http://www.mendeley.com/documents/?uuid=9328272d-b3be-3930-a838-2a0b93834f60"]},{"id":"ITEM-2","itemData":{"DOI":"10.1038/sj.hdy.6801019","ISBN":"0018-067X","ISSN":"0018-067X","PMID":"17928810","abstract":"Paternity analysis based on eight microsatellite loci was used to investigate pollen and seed dispersal patterns of the dioecious wind-pollinated tree, Araucaria angustifolia. The study sites were a 5.4 ha isolated forest fragment and a small tree group situated 1.7 km away, located in Paranalpha State, Brazil. In the forest fragment, 121 males, 99 females, 66 seedlings and 92 juveniles were mapped and genotyped, together with 210 seeds. In the tree group, nine male and two female adults were mapped and genotyped, together with 20 seeds. Paternity analysis within the forest fragment indicated that at least 4% of the seeds, 3% of the seedlings and 7% of the juveniles were fertilized by pollen from trees in the adjacent group, and 6% of the seeds were fertilized by pollen from trees outside these stands. The average pollination distance within the forest fragment was 83 m; when the tree group was included the pollination distance was 2006 m. The average number of effective pollen donors was estimated as 12.6. Mother-trees within the fragment could be assigned to all seedlings and juveniles, suggesting an absence of seed immigration. The distance of seedlings and juveniles from their assigned mother-trees ranged from 0.35 to 291 m (with an average of 83 m). Significant spatial genetic structure among adult trees, seedlings, and juveniles was detected up to 50 m, indicating seed dispersal over a short distance. The effective pollination neighborhood ranged from 0.4 to 3.3 ha. The results suggest that seed dispersal is restricted but that there is long-distance pollen dispersal between the forest fragment and the tree group; thus, the two stands of trees are not isolated.","author":[{"dropping-particle":"","family":"Bittencourt","given":"Juliana Vitória Messias","non-dropping-particle":"","parse-names":false,"suffix":""},{"dropping-particle":"","family":"Sebbenn","given":"Alexandre Magno","non-dropping-particle":"","parse-names":false,"suffix":""}],"container-title":"Heredity","id":"ITEM-2","issue":"6","issued":{"date-parts":[["2007"]]},"note":"Pollen within a largish fragment was mainly dispersed less than 100-150m (probably because of the trees' density), but it could travel much further (1.7km I think) between fragments when the matrix was open and windy. 60% of seedlings and 67% of juveniles were within a 100m radius of mother trees becasue of limited long distance seed dispersal.","page":"580-591","title":"Patterns of pollen and seed dispersal in a small, fragmented population of the wind-pollinated tree Araucaria angustifolia in southern Brazil.","type":"article-journal","volume":"99"},"uris":["http://www.mendeley.com/documents/?uuid=ba333d21-8b69-3b21-a55f-96f7cf4a45f4"]}],"mendeley":{"formattedCitation":"(Bittencourt and Sebbenn, 2008, 2007)","plainTextFormattedCitation":"(Bittencourt and Sebbenn, 2008, 2007)","previouslyFormattedCitation":"(Bittencourt and Sebbenn, 2008, 2007)"},"properties":{"noteIndex":0},"schema":"https://github.com/citation-style-language/schema/raw/master/csl-citation.json"}</w:instrText>
      </w:r>
      <w:r w:rsidR="002145E6" w:rsidRPr="0083145E">
        <w:fldChar w:fldCharType="separate"/>
      </w:r>
      <w:r w:rsidR="002145E6" w:rsidRPr="0083145E">
        <w:rPr>
          <w:noProof/>
        </w:rPr>
        <w:t>(Bittencourt and Sebbenn, 2008, 2007)</w:t>
      </w:r>
      <w:r w:rsidR="002145E6" w:rsidRPr="0083145E">
        <w:fldChar w:fldCharType="end"/>
      </w:r>
      <w:r w:rsidR="002145E6" w:rsidRPr="0083145E">
        <w:t xml:space="preserve"> and </w:t>
      </w:r>
      <w:r w:rsidR="002145E6" w:rsidRPr="0083145E">
        <w:rPr>
          <w:i/>
        </w:rPr>
        <w:t>Podocarpus</w:t>
      </w:r>
      <w:r w:rsidR="002145E6" w:rsidRPr="0083145E">
        <w:t xml:space="preserve"> </w:t>
      </w:r>
      <w:r w:rsidR="002145E6" w:rsidRPr="0083145E">
        <w:fldChar w:fldCharType="begin" w:fldLock="1"/>
      </w:r>
      <w:r w:rsidR="005A4773">
        <w:instrText>ADDIN CSL_CITATION {"citationItems":[{"id":"ITEM-1","itemData":{"author":[{"dropping-particle":"","family":"Wilson","given":"V.R.","non-dropping-particle":"","parse-names":false,"suffix":""},{"dropping-particle":"","family":"Owens","given":"J.N.","non-dropping-particle":"","parse-names":false,"suffix":""}],"container-title":"Annals of Botany","id":"ITEM-1","issued":{"date-parts":[["1999"]]},"page":"401-411","title":"The Reproductive Biology of Totara (Podocarpus totara) (Podocarpaceae)","type":"article-journal","volume":"83"},"uris":["http://www.mendeley.com/documents/?uuid=df177599-cd5d-31eb-abc7-5e80dc3ed5ea"]},{"id":"ITEM-2","itemData":{"DOI":"10.1016/S0378-1127(02)00034-8","ISSN":"0378-1127","abstract":"Studies on changes in in situ fertility status, provenance differences, impact of storage time, as well as effects of biological, chemical and physical factors on propagule viability were conducted on Podocarpus falcatus (Thunb.) Mirb. (synonym P. gracilior Pilg.) through in vitro seed germination. Percentage germination was best at 25°C and was significantly different (P&lt;0.001) from those at 20, 30 and 35°C. Treating seeds with GA3 or GA4/7 (both at 10−4M) failed to significantly improve germination. Germination declined with storage time; and percentage germination of seeds stored at 1°C for 24 months was as good as those stored at room temperature for 6 months. Percentage germination of seeds harvested in 1990 (maximum of 98%) was significantly different (P&lt;0.001) from those harvested in 1995 (maximum of 75%), 1998 (maximum of 60%) and 2000 (maximum of 61%). Also, seeds harvested in 1990 germinated more vigorously and uniformly than those harvested in the years 1995, 1998, and 2000. Percentage germination of three seed categories harvested from the same individual tree at three consecutive seasons was significantly different (P&lt;0.001). Seed provenances from central, south-eastern, southern and western Ethiopia showed significant differences in germination (P&lt;0.001) between each other. From these investigations, it is concluded that reproductive capacity of the species is rapidly declining, fertility of the tree varies from region to region, successful fruiting in the female tree is greatly influenced by such factors as climatic conditions and sexual dimorphism, and that sclerotesta dormancy is a serious limitation to the propagation of the species.","author":[{"dropping-particle":"","family":"Negash","given":"Legesse","non-dropping-particle":"","parse-names":false,"suffix":""}],"container-title":"Forest Ecology and Management","id":"ITEM-2","issue":"1-3","issued":{"date-parts":[["2003","2","17"]]},"page":"127-138","publisher":"Elsevier","title":"In situ fertility decline and provenance differences in the East African Yellow Wood (Podocarpus falcatus) measured through in vitro seed germination","type":"article-journal","volume":"174"},"uris":["http://www.mendeley.com/documents/?uuid=00eb9a96-b0f0-3bf5-a110-0430d38060dd"]},{"id":"ITEM-3","itemData":{"author":[{"dropping-particle":"","family":"Midgley","given":"J.","non-dropping-particle":"","parse-names":false,"suffix":""}],"container-title":"South African Journal of Botany","id":"ITEM-3","issue":"6","issued":{"date-parts":[["1989"]]},"page":"662-663","title":"Pollen dispersal distances for a conifer canopy species in the Knysna Forest","type":"article-journal","volume":"55"},"uris":["http://www.mendeley.com/documents/?uuid=77603c83-bcc3-3bfd-9fb2-6f71e20f6943"]}],"mendeley":{"formattedCitation":"(Midgley, 1989; Negash, 2003; Wilson and Owens, 1999)","plainTextFormattedCitation":"(Midgley, 1989; Negash, 2003; Wilson and Owens, 1999)","previouslyFormattedCitation":"(Midgley, 1989; Negash, 2003; Wilson and Owens, 1999)"},"properties":{"noteIndex":0},"schema":"https://github.com/citation-style-language/schema/raw/master/csl-citation.json"}</w:instrText>
      </w:r>
      <w:r w:rsidR="002145E6" w:rsidRPr="0083145E">
        <w:fldChar w:fldCharType="separate"/>
      </w:r>
      <w:r w:rsidR="002145E6" w:rsidRPr="0083145E">
        <w:rPr>
          <w:noProof/>
        </w:rPr>
        <w:t>(Midgley, 1989; Negash, 2003; Wilson and Owens, 1999)</w:t>
      </w:r>
      <w:r w:rsidR="002145E6" w:rsidRPr="0083145E">
        <w:fldChar w:fldCharType="end"/>
      </w:r>
      <w:r w:rsidR="002145E6" w:rsidRPr="0083145E">
        <w:t xml:space="preserve"> </w:t>
      </w:r>
      <w:r w:rsidR="00503A00">
        <w:t>are anemophilous</w:t>
      </w:r>
      <w:r w:rsidR="002145E6" w:rsidRPr="0083145E">
        <w:t xml:space="preserve">, as </w:t>
      </w:r>
      <w:r w:rsidR="00503A00">
        <w:t>are</w:t>
      </w:r>
      <w:r w:rsidR="002145E6" w:rsidRPr="0083145E">
        <w:t xml:space="preserve"> South American members of </w:t>
      </w:r>
      <w:r w:rsidR="002145E6" w:rsidRPr="0083145E">
        <w:rPr>
          <w:i/>
        </w:rPr>
        <w:t>Myrsine</w:t>
      </w:r>
      <w:r w:rsidR="002145E6" w:rsidRPr="0083145E">
        <w:t xml:space="preserve"> </w:t>
      </w:r>
      <w:r w:rsidR="002145E6" w:rsidRPr="0083145E">
        <w:fldChar w:fldCharType="begin" w:fldLock="1"/>
      </w:r>
      <w:r w:rsidR="005A4773">
        <w:instrText>ADDIN CSL_CITATION {"citationItems":[{"id":"ITEM-1","itemData":{"DOI":"10.1007/s40415-013-0007-4","ISSN":"0100-8404","author":[{"dropping-particle":"","family":"Albuquerque","given":"Angela Arruda E.","non-dropping-particle":"","parse-names":false,"suffix":""},{"dropping-particle":"","family":"Lima","given":"Heloisa Alves","non-dropping-particle":"de","parse-names":false,"suffix":""},{"dropping-particle":"","family":"Gonçalves-Esteves","given":"Vania","non-dropping-particle":"","parse-names":false,"suffix":""},{"dropping-particle":"","family":"Benevides","given":"Cristine Rodrigues","non-dropping-particle":"","parse-names":false,"suffix":""},{"dropping-particle":"","family":"Rodarte","given":"Ana Tereza Araújo","non-dropping-particle":"","parse-names":false,"suffix":""}],"container-title":"Brazilian Journal of Botany","id":"ITEM-1","issue":"1","issued":{"date-parts":[["2013","3","16"]]},"page":"65-73","publisher":"Springer International Publishing AG","title":"Myrsine parvifolia (Primulaceae) in sandy coastal plains marginal to Atlantic rainforest: a case of pollination by wind or by both wind and insects?","type":"article-journal","volume":"36"},"uris":["http://www.mendeley.com/documents/?uuid=b331d38c-7ce5-3c96-8eae-5c6462a095ca"]},{"id":"ITEM-2","itemData":{"DOI":"10.1111/j.1756-1051.1999.tb01904.x","ISSN":"0107-055X","author":[{"dropping-particle":"","family":"Otegui","given":"Marisa","non-dropping-particle":"","parse-names":false,"suffix":""},{"dropping-particle":"","family":"Cocucci","given":"Andrea","non-dropping-particle":"","parse-names":false,"suffix":""}],"container-title":"Nordic Journal of Botany","id":"ITEM-2","issue":"1","issued":{"date-parts":[["1999","3","1"]]},"page":"71-85","publisher":"Wiley/Blackwell (10.1111)","title":"Flower morphology and biology of Myrsine laetevirens, structural and evolutionary implications of anemophily in Myrsinaceae","type":"article-journal","volume":"19"},"uris":["http://www.mendeley.com/documents/?uuid=8308b9ff-4e9b-3e7e-96d7-435ffb54c2a6"]}],"mendeley":{"formattedCitation":"(Albuquerque et al., 2013; Otegui and Cocucci, 1999)","plainTextFormattedCitation":"(Albuquerque et al., 2013; Otegui and Cocucci, 1999)","previouslyFormattedCitation":"(Albuquerque et al., 2013; Otegui and Cocucci, 1999)"},"properties":{"noteIndex":0},"schema":"https://github.com/citation-style-language/schema/raw/master/csl-citation.json"}</w:instrText>
      </w:r>
      <w:r w:rsidR="002145E6" w:rsidRPr="0083145E">
        <w:fldChar w:fldCharType="separate"/>
      </w:r>
      <w:r w:rsidR="002145E6" w:rsidRPr="0083145E">
        <w:rPr>
          <w:noProof/>
        </w:rPr>
        <w:t>(Albuquerque et al., 2013; Otegui and Cocucci, 1999)</w:t>
      </w:r>
      <w:r w:rsidR="002145E6" w:rsidRPr="0083145E">
        <w:fldChar w:fldCharType="end"/>
      </w:r>
      <w:r w:rsidR="00844A3C">
        <w:t>, and therefore produce abundant pollen.</w:t>
      </w:r>
      <w:r w:rsidR="0044602A">
        <w:t xml:space="preserve"> </w:t>
      </w:r>
    </w:p>
    <w:p w14:paraId="54BA9AD6" w14:textId="5D5F55F9" w:rsidR="002D7016" w:rsidRPr="001C0142" w:rsidRDefault="0044602A" w:rsidP="001C1F44">
      <w:pPr>
        <w:pStyle w:val="Mynormal"/>
      </w:pPr>
      <w:r>
        <w:rPr>
          <w:i/>
        </w:rPr>
        <w:t>Lamanonia</w:t>
      </w:r>
      <w:r w:rsidR="00B9592E">
        <w:rPr>
          <w:i/>
        </w:rPr>
        <w:t xml:space="preserve"> </w:t>
      </w:r>
      <w:r w:rsidR="008C671C">
        <w:t>was over-represented in the pollen record (</w:t>
      </w:r>
      <w:r w:rsidR="00E9601C">
        <w:t>p/</w:t>
      </w:r>
      <w:r w:rsidR="008C671C">
        <w:t>v</w:t>
      </w:r>
      <w:r w:rsidR="00E6777A">
        <w:t xml:space="preserve"> </w:t>
      </w:r>
      <w:r w:rsidR="00FA0011">
        <w:t>5.44</w:t>
      </w:r>
      <w:r w:rsidR="008C671C">
        <w:t xml:space="preserve">; </w:t>
      </w:r>
      <w:r w:rsidR="00E6777A">
        <w:t>1</w:t>
      </w:r>
      <w:r w:rsidR="00FA0011">
        <w:t xml:space="preserve">.25 </w:t>
      </w:r>
      <w:r w:rsidR="00E6777A">
        <w:t>when</w:t>
      </w:r>
      <w:r w:rsidR="00FA0011">
        <w:t xml:space="preserve"> </w:t>
      </w:r>
      <w:r w:rsidR="008C671C">
        <w:t xml:space="preserve">excluding </w:t>
      </w:r>
      <w:r w:rsidR="00FA0011">
        <w:t>P151)</w:t>
      </w:r>
      <w:r w:rsidR="003C1A9D">
        <w:t xml:space="preserve"> </w:t>
      </w:r>
      <w:r w:rsidR="00F00C99">
        <w:t>despite being</w:t>
      </w:r>
      <w:r w:rsidR="008E1E62">
        <w:t xml:space="preserve"> insect-pollinated </w:t>
      </w:r>
      <w:r w:rsidR="0078083D">
        <w:fldChar w:fldCharType="begin" w:fldLock="1"/>
      </w:r>
      <w:r w:rsidR="005A4773">
        <w:instrText>ADDIN CSL_CITATION {"citationItems":[{"id":"ITEM-1","itemData":{"DOI":"10.1080/01650521.1997.11432425doi.org/10.1080/01650521.1997.11432425","abstract":"ABSTRACT Flower visiting insects were monitored on angiosperm trees in an Araucariaforest in Rio Grande do Sui, Brazil. The most abundant flower visitors were workers of the introduced honey bee, A pis mellifera,followed by stingless bees which were represented by 8 species. Together with other bees, they provide the main guild of foragers on flowering tree.~. The stingless bee fauna of the study area is similar to that of other regions of the Mat a Atlfintica, especially of former Araucariaforests, but also of montane coastal rain forests.","author":[{"dropping-particle":"","family":"Wilms","given":"Wolfgang","non-dropping-particle":"","parse-names":false,"suffix":""},{"dropping-particle":"","family":"Wendel","given":"Lutz","non-dropping-particle":"","parse-names":false,"suffix":""},{"dropping-particle":"","family":"Zillikens","given":"Anne","non-dropping-particle":"","parse-names":false,"suffix":""},{"dropping-particle":"","family":"Blochtein","given":"Betina","non-dropping-particle":"","parse-names":false,"suffix":""},{"dropping-particle":"","family":"Engels","given":"Wolf","non-dropping-particle":"","parse-names":false,"suffix":""}],"container-title":"Studies on Neotropical Fauna and Environment","id":"ITEM-1","issue":"4","issued":{"date-parts":[["1997"]]},"page":"220-226","title":"Bees and Other Insects Recorded on Flowering Trees in a Subtropical Araucaria Forest in Southern Brazil","type":"article-journal","volume":"32"},"uris":["http://www.mendeley.com/documents/?uuid=67a46cae-c99b-3b8c-86dd-15dbc8161ce6"]},{"id":"ITEM-2","itemData":{"author":[{"dropping-particle":"","family":"Deus","given":"Filipe Ferreira","non-dropping-particle":"de","parse-names":false,"suffix":""},{"dropping-particle":"","family":"Vale","given":"Vagner Santiago","non-dropping-particle":"do","parse-names":false,"suffix":""},{"dropping-particle":"","family":"Schiavini","given":"Ivan","non-dropping-particle":"","parse-names":false,"suffix":""},{"dropping-particle":"","family":"Oliveira","given":"Paulo Eugênio","non-dropping-particle":"","parse-names":false,"suffix":""}],"container-title":"Bioscience Journal","id":"ITEM-2","issue":"6","issued":{"date-parts":[["2014"]]},"page":"1885-1902","title":"Diversity of reproductive ecological groups in semideciduous seasonal forests","type":"article-journal","volume":"30"},"uris":["http://www.mendeley.com/documents/?uuid=ee976702-2e44-4654-bf3c-6564402a5712"]},{"id":"ITEM-3","itemData":{"DOI":"10.1590/S0085-56262006000200008","ISSN":"1806-9665","author":[{"dropping-particle":"","family":"Hermes","given":"Marcel G.","non-dropping-particle":"","parse-names":false,"suffix":""},{"dropping-particle":"","family":"Köhler","given":"Andreas","non-dropping-particle":"","parse-names":false,"suffix":""}],"container-title":"Revista Brasileira de Entomologia","id":"ITEM-3","issue":"2","issued":{"date-parts":[["2006","6"]]},"page":"268-274","publisher":"Sociedade Brasileira De Entomologia","title":"The flower-visiting social wasps (Hymenoptera, Vespidae, Polistinae) in two areas of Rio Grande do Sul State, southern Brazil","type":"article-journal","volume":"50"},"uris":["http://www.mendeley.com/documents/?uuid=6c09154c-3e9b-302a-b823-cbfd55733c73"]}],"mendeley":{"formattedCitation":"(de Deus et al., 2014; Hermes and Köhler, 2006; Wilms et al., 1997)","plainTextFormattedCitation":"(de Deus et al., 2014; Hermes and Köhler, 2006; Wilms et al., 1997)","previouslyFormattedCitation":"(de Deus et al., 2014; Hermes and Köhler, 2006; Wilms et al., 1997)"},"properties":{"noteIndex":0},"schema":"https://github.com/citation-style-language/schema/raw/master/csl-citation.json"}</w:instrText>
      </w:r>
      <w:r w:rsidR="0078083D">
        <w:fldChar w:fldCharType="separate"/>
      </w:r>
      <w:r w:rsidR="0078083D" w:rsidRPr="002D2F04">
        <w:rPr>
          <w:noProof/>
        </w:rPr>
        <w:t>(de Deus et al., 2014; Hermes and Köhler, 2006; Wilms et al., 1997)</w:t>
      </w:r>
      <w:r w:rsidR="0078083D">
        <w:fldChar w:fldCharType="end"/>
      </w:r>
      <w:r w:rsidR="003906DC">
        <w:t xml:space="preserve">. Its relative abundance of pollen </w:t>
      </w:r>
      <w:r w:rsidR="001C0142">
        <w:t xml:space="preserve">in this study </w:t>
      </w:r>
      <w:r w:rsidR="003906DC">
        <w:t xml:space="preserve">may be explained by </w:t>
      </w:r>
      <w:r w:rsidR="001C0142">
        <w:t xml:space="preserve">its </w:t>
      </w:r>
      <w:r w:rsidR="00A66CDA">
        <w:t xml:space="preserve">mass-flowering </w:t>
      </w:r>
      <w:r w:rsidR="001C0142">
        <w:t xml:space="preserve">habit </w:t>
      </w:r>
      <w:r w:rsidR="00A66CDA">
        <w:fldChar w:fldCharType="begin" w:fldLock="1"/>
      </w:r>
      <w:r w:rsidR="005A4773">
        <w:instrText>ADDIN CSL_CITATION {"citationItems":[{"id":"ITEM-1","itemData":{"DOI":"10.1590/S0085-56262006000200008","ISSN":"1806-9665","author":[{"dropping-particle":"","family":"Hermes","given":"Marcel G.","non-dropping-particle":"","parse-names":false,"suffix":""},{"dropping-particle":"","family":"Köhler","given":"Andreas","non-dropping-particle":"","parse-names":false,"suffix":""}],"container-title":"Revista Brasileira de Entomologia","id":"ITEM-1","issue":"2","issued":{"date-parts":[["2006","6"]]},"page":"268-274","publisher":"Sociedade Brasileira De Entomologia","title":"The flower-visiting social wasps (Hymenoptera, Vespidae, Polistinae) in two areas of Rio Grande do Sul State, southern Brazil","type":"article-journal","volume":"50"},"uris":["http://www.mendeley.com/documents/?uuid=6c09154c-3e9b-302a-b823-cbfd55733c73"]}],"mendeley":{"formattedCitation":"(Hermes and Köhler, 2006)","plainTextFormattedCitation":"(Hermes and Köhler, 2006)","previouslyFormattedCitation":"(Hermes and Köhler, 2006)"},"properties":{"noteIndex":0},"schema":"https://github.com/citation-style-language/schema/raw/master/csl-citation.json"}</w:instrText>
      </w:r>
      <w:r w:rsidR="00A66CDA">
        <w:fldChar w:fldCharType="separate"/>
      </w:r>
      <w:r w:rsidR="00A66CDA" w:rsidRPr="00827C6A">
        <w:rPr>
          <w:noProof/>
        </w:rPr>
        <w:t>(Hermes and Köhler, 2006)</w:t>
      </w:r>
      <w:r w:rsidR="00A66CDA">
        <w:fldChar w:fldCharType="end"/>
      </w:r>
      <w:r w:rsidR="00D823EB">
        <w:t>,</w:t>
      </w:r>
      <w:r w:rsidR="00FB3CEA">
        <w:t xml:space="preserve"> </w:t>
      </w:r>
      <w:r w:rsidR="00D823EB">
        <w:t xml:space="preserve">so it </w:t>
      </w:r>
      <w:r w:rsidR="00C52622">
        <w:t xml:space="preserve">is possible that </w:t>
      </w:r>
      <w:r w:rsidR="00C52622">
        <w:rPr>
          <w:i/>
        </w:rPr>
        <w:t>Lamanonia</w:t>
      </w:r>
      <w:r w:rsidR="00C52622">
        <w:t>’s pollen-vegetation relationship varies significantly year-on-year</w:t>
      </w:r>
      <w:r w:rsidR="001C0142">
        <w:t xml:space="preserve">. </w:t>
      </w:r>
      <w:r w:rsidR="001C0142">
        <w:rPr>
          <w:i/>
        </w:rPr>
        <w:t xml:space="preserve">Clethra </w:t>
      </w:r>
      <w:r w:rsidR="00275581">
        <w:t xml:space="preserve">is another entomophilous taxon </w:t>
      </w:r>
      <w:r w:rsidR="0074186F">
        <w:fldChar w:fldCharType="begin" w:fldLock="1"/>
      </w:r>
      <w:r w:rsidR="005A4773">
        <w:instrText>ADDIN CSL_CITATION {"citationItems":[{"id":"ITEM-1","itemData":{"author":[{"dropping-particle":"","family":"Freitas","given":"Leandro","non-dropping-particle":"","parse-names":false,"suffix":""},{"dropping-particle":"","family":"Sazima","given":"Marlies","non-dropping-particle":"","parse-names":false,"suffix":""}],"container-title":"Annals of the Missouri Botanical Garden2","id":"ITEM-1","issue":"3","issued":{"date-parts":[["2006"]]},"page":"465-516","title":"Pollination Biology in a Tropical High-Altitude Grassland in Brazil: Interactions at the Community Level","type":"article-journal","volume":"93"},"uris":["http://www.mendeley.com/documents/?uuid=c942114a-2b6c-4c57-83d3-1a0f31d302c3"]}],"mendeley":{"formattedCitation":"(Freitas and Sazima, 2006)","plainTextFormattedCitation":"(Freitas and Sazima, 2006)","previouslyFormattedCitation":"(Freitas and Sazima, 2006)"},"properties":{"noteIndex":0},"schema":"https://github.com/citation-style-language/schema/raw/master/csl-citation.json"}</w:instrText>
      </w:r>
      <w:r w:rsidR="0074186F">
        <w:fldChar w:fldCharType="separate"/>
      </w:r>
      <w:r w:rsidR="0074186F" w:rsidRPr="00181598">
        <w:rPr>
          <w:noProof/>
        </w:rPr>
        <w:t>(Freitas and Sazima, 2006)</w:t>
      </w:r>
      <w:r w:rsidR="0074186F">
        <w:fldChar w:fldCharType="end"/>
      </w:r>
      <w:r w:rsidR="000337A9">
        <w:t xml:space="preserve"> </w:t>
      </w:r>
      <w:r w:rsidR="0074186F">
        <w:t xml:space="preserve">with </w:t>
      </w:r>
      <w:r w:rsidR="00BD68E1">
        <w:t xml:space="preserve">over-represented </w:t>
      </w:r>
      <w:r w:rsidR="0074186F">
        <w:t xml:space="preserve">pollen </w:t>
      </w:r>
      <w:r w:rsidR="00BD68E1">
        <w:t xml:space="preserve">in </w:t>
      </w:r>
      <w:r w:rsidR="0074186F">
        <w:t>this study</w:t>
      </w:r>
      <w:r w:rsidR="00E3182F">
        <w:t>:</w:t>
      </w:r>
      <w:r w:rsidR="0074186F">
        <w:t xml:space="preserve"> </w:t>
      </w:r>
      <w:r w:rsidR="00275581">
        <w:t xml:space="preserve">its pollen </w:t>
      </w:r>
      <w:r w:rsidR="000337A9">
        <w:t>was</w:t>
      </w:r>
      <w:r w:rsidR="00275581">
        <w:t xml:space="preserve"> found in 10 of the 16 plots at an average abundance of 1.10% (0.37-4.58%)</w:t>
      </w:r>
      <w:r w:rsidR="00E3182F">
        <w:t>,</w:t>
      </w:r>
      <w:r w:rsidR="000337A9">
        <w:t xml:space="preserve"> but</w:t>
      </w:r>
      <w:r w:rsidR="00275581">
        <w:t xml:space="preserve"> no individuals were recorded in the vegetation</w:t>
      </w:r>
      <w:r w:rsidR="00E64209">
        <w:t xml:space="preserve"> (</w:t>
      </w:r>
      <w:r w:rsidR="001C1F44">
        <w:t>Figure 2</w:t>
      </w:r>
      <w:r w:rsidR="00E64209">
        <w:t>)</w:t>
      </w:r>
      <w:r w:rsidR="00E3182F">
        <w:t xml:space="preserve"> </w:t>
      </w:r>
      <w:r w:rsidR="00E3182F">
        <w:lastRenderedPageBreak/>
        <w:t xml:space="preserve">despite </w:t>
      </w:r>
      <w:r w:rsidR="00E3182F" w:rsidRPr="00DA6AD4">
        <w:rPr>
          <w:i/>
        </w:rPr>
        <w:t>C.</w:t>
      </w:r>
      <w:r w:rsidR="00E3182F">
        <w:t xml:space="preserve"> </w:t>
      </w:r>
      <w:r w:rsidR="00E3182F" w:rsidRPr="005E6D6F">
        <w:rPr>
          <w:i/>
        </w:rPr>
        <w:t>scabra</w:t>
      </w:r>
      <w:r w:rsidR="00E3182F">
        <w:t xml:space="preserve"> being the third most important tree species in </w:t>
      </w:r>
      <w:r w:rsidR="00547B38">
        <w:rPr>
          <w:i/>
        </w:rPr>
        <w:t>Araucaria</w:t>
      </w:r>
      <w:r w:rsidR="00547B38">
        <w:t xml:space="preserve"> forest </w:t>
      </w:r>
      <w:r w:rsidR="00E3182F">
        <w:fldChar w:fldCharType="begin" w:fldLock="1"/>
      </w:r>
      <w:r w:rsidR="005A4773">
        <w:instrText>ADDIN CSL_CITATION {"citationItems":[{"id":"ITEM-1","itemData":{"author":[{"dropping-particle":"","family":"Schorn","given":"Lauri Amândio","non-dropping-particle":"","parse-names":false,"suffix":""},{"dropping-particle":"","family":"Gasper","given":"André Luís","non-dropping-particle":"de","parse-names":false,"suffix":""},{"dropping-particle":"","family":"Meyer","given":"Leila","non-dropping-particle":"","parse-names":false,"suffix":""},{"dropping-particle":"","family":"Vibrans","given":"Alexander Christian","non-dropping-particle":"","parse-names":false,"suffix":""}],"chapter-number":"7","container-title":"Inventário Florístico Florestal de Santa Catarina Volume I - Diversidade e Conservação dos Remanescentes Florestais","editor":[{"dropping-particle":"","family":"Vibrans","given":"Alexander Christian","non-dropping-particle":"","parse-names":false,"suffix":""},{"dropping-particle":"","family":"Sevegnani","given":"Lúcia","non-dropping-particle":"","parse-names":false,"suffix":""},{"dropping-particle":"","family":"Gasper","given":"André Luís","non-dropping-particle":"de","parse-names":false,"suffix":""},{"dropping-particle":"","family":"Lingner","given":"Débora Vanessa","non-dropping-particle":"","parse-names":false,"suffix":""}],"id":"ITEM-1","issued":{"date-parts":[["2012"]]},"page":"125-140","publisher":"Edifurb","publisher-place":"Blumenau","title":"Síntese da estrutura dos remanescentes florestais em Santa Catarina","type":"chapter"},"uris":["http://www.mendeley.com/documents/?uuid=9dd2b59f-7691-435e-b7b3-637c7c010f53"]}],"mendeley":{"formattedCitation":"(Schorn et al., 2012)","plainTextFormattedCitation":"(Schorn et al., 2012)","previouslyFormattedCitation":"(Schorn et al., 2012)"},"properties":{"noteIndex":0},"schema":"https://github.com/citation-style-language/schema/raw/master/csl-citation.json"}</w:instrText>
      </w:r>
      <w:r w:rsidR="00E3182F">
        <w:fldChar w:fldCharType="separate"/>
      </w:r>
      <w:r w:rsidR="00F224C2" w:rsidRPr="00F224C2">
        <w:rPr>
          <w:noProof/>
        </w:rPr>
        <w:t>(Schorn et al., 2012)</w:t>
      </w:r>
      <w:r w:rsidR="00E3182F">
        <w:fldChar w:fldCharType="end"/>
      </w:r>
      <w:r w:rsidR="00275581">
        <w:t xml:space="preserve">. </w:t>
      </w:r>
      <w:r w:rsidR="000337A9">
        <w:t xml:space="preserve">Given </w:t>
      </w:r>
      <w:r w:rsidR="00F645CE">
        <w:rPr>
          <w:i/>
        </w:rPr>
        <w:t>Clethra</w:t>
      </w:r>
      <w:r w:rsidR="000337A9">
        <w:t xml:space="preserve"> pollen is not adapted for long-distance travel</w:t>
      </w:r>
      <w:r w:rsidR="00F645CE">
        <w:t>,</w:t>
      </w:r>
      <w:r w:rsidR="006341CE">
        <w:t xml:space="preserve"> it</w:t>
      </w:r>
      <w:r w:rsidR="00E7484F">
        <w:t xml:space="preserve"> is unlikely to have</w:t>
      </w:r>
      <w:r w:rsidR="00E60E82">
        <w:t xml:space="preserve"> originated</w:t>
      </w:r>
      <w:r w:rsidR="00E7484F">
        <w:t xml:space="preserve"> </w:t>
      </w:r>
      <w:r w:rsidR="00275581">
        <w:t>outside the plots</w:t>
      </w:r>
      <w:r w:rsidR="00F645CE">
        <w:t>; potentially</w:t>
      </w:r>
      <w:r w:rsidR="00E7484F">
        <w:t>,</w:t>
      </w:r>
      <w:r w:rsidR="00275581">
        <w:t xml:space="preserve"> individuals </w:t>
      </w:r>
      <w:r w:rsidR="00F645CE">
        <w:t xml:space="preserve">from this genus were present but </w:t>
      </w:r>
      <w:r w:rsidR="00275581">
        <w:t>too small to be included in the survey (i.e. d</w:t>
      </w:r>
      <w:r w:rsidR="009F5F68">
        <w:t>.</w:t>
      </w:r>
      <w:r w:rsidR="00275581">
        <w:t>b</w:t>
      </w:r>
      <w:r w:rsidR="009F5F68">
        <w:t>.</w:t>
      </w:r>
      <w:r w:rsidR="00275581">
        <w:t>h</w:t>
      </w:r>
      <w:r w:rsidR="009F5F68">
        <w:t>.</w:t>
      </w:r>
      <w:r w:rsidR="00275581">
        <w:t xml:space="preserve"> &lt;</w:t>
      </w:r>
      <w:r w:rsidR="009F5F68">
        <w:t xml:space="preserve"> </w:t>
      </w:r>
      <w:r w:rsidR="00275581">
        <w:t>10</w:t>
      </w:r>
      <w:r w:rsidR="009F5F68">
        <w:t xml:space="preserve"> </w:t>
      </w:r>
      <w:r w:rsidR="00275581">
        <w:t>cm)</w:t>
      </w:r>
      <w:r w:rsidR="003E2828">
        <w:t xml:space="preserve">, making it difficult to make a true assessment of the taxon’s </w:t>
      </w:r>
      <w:r w:rsidR="00DF2C17">
        <w:t>pollen-vegetation relationship</w:t>
      </w:r>
      <w:r w:rsidR="00275581">
        <w:t>.</w:t>
      </w:r>
    </w:p>
    <w:p w14:paraId="4F3D0481" w14:textId="157D0C88" w:rsidR="00E12353" w:rsidRDefault="00E12353" w:rsidP="004F4229">
      <w:pPr>
        <w:pStyle w:val="Heading2"/>
        <w:spacing w:line="480" w:lineRule="auto"/>
      </w:pPr>
      <w:r>
        <w:t>4.3. Implications for palaeoecology</w:t>
      </w:r>
    </w:p>
    <w:p w14:paraId="09A6F833" w14:textId="0E612F2B" w:rsidR="002B6A60" w:rsidRPr="004C4948" w:rsidRDefault="0017760F" w:rsidP="001C1F44">
      <w:pPr>
        <w:pStyle w:val="Mynormal"/>
        <w:rPr>
          <w:lang w:val="da-DK"/>
        </w:rPr>
      </w:pPr>
      <w:r>
        <w:t xml:space="preserve">Our findings have important implications for the interpretation of fossil pollen records. </w:t>
      </w:r>
      <w:r w:rsidR="000D29AB">
        <w:t xml:space="preserve">Many of the key taxa used </w:t>
      </w:r>
      <w:r w:rsidR="00C21518">
        <w:t xml:space="preserve">to reconstruct past </w:t>
      </w:r>
      <w:r w:rsidR="00C21518" w:rsidRPr="004F4229">
        <w:rPr>
          <w:i/>
        </w:rPr>
        <w:t>Araucaria</w:t>
      </w:r>
      <w:r w:rsidR="00C21518">
        <w:t xml:space="preserve"> forest dynamics were identified</w:t>
      </w:r>
      <w:r w:rsidR="001233A0">
        <w:t xml:space="preserve"> palynologically</w:t>
      </w:r>
      <w:r w:rsidR="00C21518">
        <w:t xml:space="preserve"> in this study, </w:t>
      </w:r>
      <w:r w:rsidR="002B6A60">
        <w:t xml:space="preserve">but </w:t>
      </w:r>
      <w:r w:rsidR="00152B1E">
        <w:t xml:space="preserve">two were </w:t>
      </w:r>
      <w:r w:rsidR="00F723C2">
        <w:t xml:space="preserve">largely </w:t>
      </w:r>
      <w:r w:rsidR="00811DFE">
        <w:t>missing</w:t>
      </w:r>
      <w:r w:rsidR="00152B1E">
        <w:t xml:space="preserve">. </w:t>
      </w:r>
      <w:r w:rsidR="00FB22CA">
        <w:t xml:space="preserve">Pollen from </w:t>
      </w:r>
      <w:r w:rsidR="00152B1E" w:rsidRPr="00785C9A">
        <w:rPr>
          <w:i/>
        </w:rPr>
        <w:t>Mimosa scabrella</w:t>
      </w:r>
      <w:r w:rsidR="00152B1E">
        <w:t xml:space="preserve"> </w:t>
      </w:r>
      <w:r w:rsidR="00C15FD9">
        <w:t xml:space="preserve">and </w:t>
      </w:r>
      <w:r w:rsidR="00C15FD9">
        <w:rPr>
          <w:i/>
        </w:rPr>
        <w:t xml:space="preserve">Weinmannia </w:t>
      </w:r>
      <w:r w:rsidR="00A9757C">
        <w:t>is</w:t>
      </w:r>
      <w:r w:rsidR="00152B1E">
        <w:t xml:space="preserve"> commonly cited as evidence of </w:t>
      </w:r>
      <w:r w:rsidR="00547B38">
        <w:rPr>
          <w:i/>
        </w:rPr>
        <w:t>Araucaria</w:t>
      </w:r>
      <w:r w:rsidR="00547B38">
        <w:t xml:space="preserve"> forest </w:t>
      </w:r>
      <w:r w:rsidR="008E225A">
        <w:fldChar w:fldCharType="begin" w:fldLock="1"/>
      </w:r>
      <w:r w:rsidR="0006304A">
        <w:instrText>ADDIN CSL_CITATION {"citationItems":[{"id":"ITEM-1","itemData":{"DOI":"10.1007/BF00203932","ISBN":"0939-6314","ISSN":"09396314","abstract":"Palynological studies have been carried out on three highland peat bogs, and one situated on the Atlan- tic coastal plain. In the highlands, the late Pleistocene (14,000 - 10,000 uncal B.P.) vegetation was dominated by campos (grassland). Scattered stands of Araucaria forests were preserved in deep valleys. In the region of the sites at Morro da Igreja and Serra do Rio Rastro, the dominance of campos vegetation continued until about 1000 B.P. while at the Serra da Boa Vista site there was an expansion of Atlantic pluvial forest elements fol- lowed by Araucaria forests at the beginning of the Holocene. A general expansion of A. anguslifolia, clear- ly related to a change towards an increasingly moist cli- mate, can be dated to the present millenium. On the coastal plains, the late Pleistocene vegetation was domi- nated by Myrtaceae which were replaced by tropical taxa in the Holocene. The lowland profile (Pogo Grande) also covers part of the upper Holocene, where the rich flora of the Atlantic pluvial forests can be characterized by taxa including Alchornea, Urticales and Rapanea. Close to the coring site, there was a repeated alternation be- tween two different dune communities (4840 - 4590 B.P.), followed by a lake stage with aquatic plant succes- sion (4590 - 4265 B.P.), plant communities dominated by Rapanea (4265 - 4230 B.P.) and the spread of Alchornea (4230 - 3525 B.P.). Late Pleistocene climate conditions (14,000 - 10,000 B.P.) can be described as cold and relatively dry, possibly including an equivalent of the Younger Dryas period. In the Holocene, there were changes from a warm and drier climate (10,000 - ~3000 B.P.) to a cool and more moist regime (ca. 3000 - ca. 1000 B.P.) and finally to a cool and very moist period (from around 1000 B.P.).","author":[{"dropping-particle":"","family":"Behling","given":"Hermann","non-dropping-particle":"","parse-names":false,"suffix":""}],"container-title":"Vegetation History and Archaeobotany","id":"ITEM-1","issue":"3","issued":{"date-parts":[["1995","9"]]},"page":"127-152","publisher":"Springer-Verlag","title":"Investigations into the late Pleistocene and Holocene history of vegetation and climate in Santa Catarina (S Brazil)","type":"article-journal","volume":"4"},"uris":["http://www.mendeley.com/documents/?uuid=fcea03a7-e07e-3d31-94a9-b68f1fec0a97"]},{"id":"ITEM-2","itemData":{"DOI":"10.1016/S0034-6667(96)00065-6","ISSN":"00346667","abstract":"New palynological and charcoal data from a bog (24°40′S, 50°13′W, 1200 m asl) of Serra Campos Gerais, northeastern ParanáState, allow a complete and detailed reconstruction of the late Quaternary vegetation and climate history of the South Brazilian highlands. The late-glacial period, which starts at 12,50014C yr BP, indicates the predominance of a diverse grassland vegetation (campos) with scattered stands of Araucaria forest and Atlantic rain forest, probably growing in valley bottoms. This suggests 3 to 5°C colder and drier climates than at present. Judging from the absence of charcoal, fires must here been rare during late-glacial times. The early and mid-Holocene (until 285014C yr BP) is marked by a predominance of campos vegetation on the highlands and expansion of tropical rain forest trees in the valleys, indicating warm climates and perhaps an increase in annual precipitation compared to the late-glacial. A migration of Araucaria forest from the valleys onto the highlands did probably not occur. Seasonal drought is probably the major factor explaining the absence of an expansion of Araucaria forests on the southern Brazilian highlands in the early and mid-Holocene. Palaeofires were more frequent at the beginning of the Holocene, probably ignited by Amerindians at that time. First expansion in the valleys or an initial migration of Araucaria angustifolia from valleys into the Serra Campos Gerais highland occurred during the late Holocene (2850-153014C yr BP), indicating a wetter climate with a shorter dry season. Fires during this period had the highest frequency and may have influenced the migration of Araucaria into the campos areas. A marked expansion of Araucaria forest, forming a mosaic of grassland and Araucaria forest patches on the highlands, took place only in the last 1500 years. This suggests onset of a high precipitation climate without a strong annual dry season. Fires were also less frequent. Logging of Araucaria forests occurred during the last centuries.","author":[{"dropping-particle":"","family":"Behling","given":"Hermann","non-dropping-particle":"","parse-names":false,"suffix":""}],"container-title":"Review of Palaeobotany and Palynology","id":"ITEM-2","issue":"1","issued":{"date-parts":[["1997"]]},"note":"Analysis of a highland core (about 185cm, from 12,300 C14 yr BP) in Serra Campos Gerais, Parana. Campos in late glacial, slow expansion of Araucaria forest from about 2850 C14 Bp, more significant from 1530 C14 BP with an increase of fires/charcoal. A fair number of climatic conclusions are made, which should be checked cf the Botuvera speleothem","page":"109-121","title":"Late Quaternary vegetation, climate and fire history of the Araucaria forest and campos region from Serra Campos Gerais, Paraná State (South Brazil)","type":"article-journal","volume":"97"},"uris":["http://www.mendeley.com/documents/?uuid=a345d1da-e951-387a-ba95-0c87b285d4af"]},{"id":"ITEM-3","itemData":{"DOI":"10.1016/S0031-0182(03)00687-4","ISBN":"0031-0182","ISSN":"00310182","abstract":"Late Quaternary vegetation, fire and climate dynamics have been studied based on high-resolution dated pollen and charcoal samples and multivariate data analysis. The samples were taken from a 212-cm-long sediment core of a bog in the Cambará do Sul region on the highlands of northeastern Rio Grande do Sul State, Brazil. The records, including seven AMS radiocarbon dates, span 42 840 14C years, for the first time extending the reconstruction of past environmental changes on the southern Brazilian highlands back to the Last Glacial Maximum (LGM) and pre-LGM times. The last 1100 years provide a decadal resolution. Initially the site was a permanent shallow lake which became seasonally dry after 26 900 14C yr BP. Seasonal climate with a long annual dry period prevailed until the late Holocene. The climate was somewhat wetter from 42 840 to 41 470 14C yr BP and from 41 470 to 26 900 14C yr BP than during the LGM and the late-Glacial period. Natural fires were rare, but became very frequent after 7400 cal BP, suggesting human occupation of the southernmost Brazilian highlands since that time. The records suggest that a species-rich Campos (grassland) vegetation existed in the area under a relatively dry and cold climate during glacial times under possibly as low as -10°C. The record also suggests that small populations of Araucaria were probably only present in refugia of deep and protected valleys and/or on wetter coastal slopes. Campos vegetation existed through the early and mid-Holocene until 4320 cal yr BP, after which Araucaria forest expanded into the network of gallery forests along the streams. By 1100 cal yr BP the Araucaria forest replaced the Campos vegetation reflecting the onset of the wettest period with no marked annual dry season. The marked expansion of the Araucaria forest coincided with the reduction in fire. Between AD 1520 and 1770 Weinmannia became a common taxa in the Araucaria forest, suggesting a shift to warmer climatic conditions on the highlands. This interval was synchronous with a cool phase within the Little Ice Age known from North Atlantic land records. After about AD 1780 human activities changed the original forest composition, first by introducing cattle into the forest and than by selective logging of Araucaria trees. Multivariate analysis of the pollen data shows compositional changes that follow a trajectory alternating undirectional, random phases and phases with directional, sometimes fast transitions. The results al…","author":[{"dropping-particle":"","family":"Behling","given":"Hermann","non-dropping-particle":"","parse-names":false,"suffix":""},{"dropping-particle":"","family":"Pillar","given":"Valerio DePatta","non-dropping-particle":"","parse-names":false,"suffix":""},{"dropping-particle":"","family":"Orlóci","given":"László","non-dropping-particle":"","parse-names":false,"suffix":""},{"dropping-particle":"","family":"Bauermann","given":"Soraia Girardi","non-dropping-particle":"","parse-names":false,"suffix":""}],"container-title":"Palaeogeography, Palaeoclimatology, Palaeoecology","id":"ITEM-3","issue":"3-4","issued":{"date-parts":[["2004"]]},"note":"Detailed examination of Cambara do Sul core in NE Rio Grande do Sul, 42,658 C14 yr BP to present. Shows 100 year Campos-Araucaria switch in about 1100 cal yr BP.\n\nNEEDS SOME REINTERPRETING WITH LEONHARDT &amp;amp; LORSCHEITTER 2010. SEE NOTE\n\n(All dates C14 yr BP)\n\n42,840 - 41,470\n83-88% campos pollen, 8-14% Araucaria forest pollen (only 2 grains of A. angustifolia), only one pollen grain from Atlantic forest taxa, aquatics 6-16%, ferns 3-6%. Low conc and accumulation of carbonised particles.\n\n41,4701 - 26,900\n87-94% campos pollen, 3-9% Araucaria forest (less pollen from Myrtaceae), a few single grains of Atlantic forest pollen, less aquatic pollen (3-7%), fewer fern spores (0-3%). Carbonised particles still rare.\n\n26,900 - 10,120\n87-97% campos pollen (though changing composition - Poaceae down, Eryngium up; less Apiaceae), 1-5% Araucaria forest, 0-0.3% Atlantic forest (lowest for both), 1-3% aquatic, lowest time for ferns (but big increase at end of zone). Carbonised particles rare.\n\n10,120 - 3,950 (11,540 - 4,320 cal yr BP)\n74-88% campos but lower near end (Poaceae up from last time; Eryngium get more common; other compositional changes), 3-13% Araucaria forest (up slightly thanks to A. angustifolia and Myrsine), 0-4% Atlantic (up slightly), trace aquatics, big increase of ferns (up to 46%) then decrease by end (to 9%), increase in Dicksonia (0-14%). Lots of carbonised particles higher up in this section.\n\n3950 - 1140 (4320 - 1100 cal yr BP)\n65-84% campos (down a bit but still high; Cyperaceae up, Poaceae and Eryngium down), 13-27% Araucaria forest (mainly A. angustifolia 4-7%, Myrsine and Weinmannia), 2-5% Atlantic forest, fern spores up again (9-40%), Dicksonia common (9-16%). Lots and lots of carbonised particles.\n\n1140 - 410 (1100 - 430 cal yr BP)\nCampos way down and keeps going (55-24%), continuous increase of Araucaria forest pollen (39-80%) with A. angustifolia going up 14-42% and big increase in Mimosa scabrella, no change in Atlantic (2-6%), fewer fern spores (5-19%), highest Dicksonia spore level (9-26%), high point for mosses but decrease later. Low concentration of carbonised particles but higher accumulation than at beginning of core.\n\n410 - -50 (430 - -50 cal yr BP)\nCampos start way down (to 11%) but increase (to 38%, through Cyperaceae then Poaceae) then go down right at the end, Araucaria forest highest early on (87%) but decreases at the end (65%) as A. angustifolia drops off right at the end (41-2%; Mimosa scabrella jumps correspondingly; other changes), nothing much happens with Atlantic forest (2-7%), fern spores go down (21-2%) and Dicksonia crashes by end (19-0.3%). Similar carbonised particles to before.","page":"277-297","title":"Late Quaternary Araucaria forest, grassland (Campos), fire and climate dynamics, studied by high-resolution pollen, charcoal and multivariate analysis of the Cambará do Sul core in southern Brazil","type":"article-journal","volume":"203"},"uris":["http://www.mendeley.com/documents/?uuid=46579170-55fd-37c2-8f78-517419a62e98"]},{"id":"ITEM-4","itemData":{"DOI":"10.1016/j.jsames.2009.09.003","ISBN":"0895-9811","ISSN":"08959811","abstract":"The palaeoenvironmental history has been studied based on palynology of a sedimentary profile from the Alpes de S??o Francisco bog (29??29???35??????S, 50??37???18??????W), S??o Francisco de Paula municipality, Rio Grande do Sul eastern Plateau, extreme Southern Brazil. The results indicate a regional cold and dry climate between 25,000 and 12,500 yr BP, interpreted from the grassland vegetation, forest taxa were present in refuges and the shallow local lake began to fill in. Climatic conditions became more aride after 16,000 yr BP, when grassland became rare. From 12,500 yr BP onwards, the climate began to change and at 11,000-9700 yr BP a warm and moist climate permitted the slight migration of pioneer arboreal taxa from refuges and locally a marsh formation. Between 9700 and 6500 yr BP a warm and dry climate resulted in reduction of grassland, confined the forest in refuges, dried out the marsh. The gradual increase of humidity between 6500 and 4000 yr BP allowed migration of forests from refuges and a bog developed. Between 4000 and 2000 yr BP Araucaria forest spread, indicating moister climate. The local bog expanded. From 2000 yr BP onwards, humid but warmer climate seems to result in a lower reproductive capacity of Araucaria forest taxa limiting its expansion. The bog reached the present-day in a decline condition. The results are compared to previous records from Southern Brazil highlands and some places from Argentina in order to better elucidate the climatic and vegetational history of these important South America areas during the late Quaternary. ?? 2009 Elsevier Ltd. All rights reserved.","author":[{"dropping-particle":"","family":"Leonhardt","given":"Adriana","non-dropping-particle":"","parse-names":false,"suffix":""},{"dropping-particle":"","family":"Lorscheitter","given":"Maria Luisa","non-dropping-particle":"","parse-names":false,"suffix":""}],"container-title":"Journal of South American Earth Sciences","id":"ITEM-4","issue":"2","issued":{"date-parts":[["2010"]]},"note":"Analysis of 286cm bog core from Alpes de Sao Francisco, Rio Grande do Sul. Starts 25,000 C14 yr BP. Cold and dry until 12,500 BP, grassland and almost no trees; 11,000-9,700 was warm and humid, some trees wandered around; drier then to 6,500 BP so grassland retreated and forest stayed in refuges; humidity increased again 6500-4000, so forests escaped their refuges; 4000-2000 Araucaria forest spread (so moister still); warmer from then to the present so less expansion of Araucaria.\n\nIMPORTANT WHEN REINTERPRETING BEHLING ET AL 2004\n\nSeems a bit poorly resolved across the Holocene, but makes an important point about pollen concentration/percentage diagrams and what they show (especially with Araucaria forest expansion)","page":"454-463","title":"The last 25,000 years in the Eastern Plateau of Southern Brazil according to Alpes de Sao Francisco record","type":"article-journal","volume":"29"},"uris":["http://www.mendeley.com/documents/?uuid=90690911-40f6-3530-aa45-c7420e186d20"]}],"mendeley":{"formattedCitation":"(Behling, 1997a, 1995; Behling et al., 2004; Leonhardt and Lorscheitter, 2010)","plainTextFormattedCitation":"(Behling, 1997a, 1995; Behling et al., 2004; Leonhardt and Lorscheitter, 2010)","previouslyFormattedCitation":"(Behling, 1997a, 1995; Behling et al., 2004; Leonhardt and Lorscheitter, 2010)"},"properties":{"noteIndex":0},"schema":"https://github.com/citation-style-language/schema/raw/master/csl-citation.json"}</w:instrText>
      </w:r>
      <w:r w:rsidR="008E225A">
        <w:fldChar w:fldCharType="separate"/>
      </w:r>
      <w:r w:rsidR="005A4773" w:rsidRPr="005A4773">
        <w:rPr>
          <w:noProof/>
        </w:rPr>
        <w:t>(Behling, 1997a, 1995; Behling et al., 2004; Leonhardt and Lorscheitter, 2010)</w:t>
      </w:r>
      <w:r w:rsidR="008E225A">
        <w:fldChar w:fldCharType="end"/>
      </w:r>
      <w:r w:rsidR="00603DF0">
        <w:t xml:space="preserve"> </w:t>
      </w:r>
      <w:r w:rsidR="00152B1E">
        <w:t>but</w:t>
      </w:r>
      <w:r w:rsidR="00C15FD9">
        <w:t xml:space="preserve"> </w:t>
      </w:r>
      <w:r w:rsidR="00B22286">
        <w:rPr>
          <w:i/>
        </w:rPr>
        <w:t xml:space="preserve">M. scabrella </w:t>
      </w:r>
      <w:r w:rsidR="006064AB" w:rsidRPr="00301AE1">
        <w:t>pollen</w:t>
      </w:r>
      <w:r w:rsidR="006064AB">
        <w:t xml:space="preserve"> </w:t>
      </w:r>
      <w:r w:rsidR="00B22286">
        <w:t>wa</w:t>
      </w:r>
      <w:r w:rsidR="00152B1E">
        <w:t>s not abundant (</w:t>
      </w:r>
      <w:r w:rsidR="00A7235E">
        <w:t>present</w:t>
      </w:r>
      <w:r w:rsidR="00152B1E">
        <w:t xml:space="preserve"> in 10 of the 16 plots, maximum abundance 0.89%)</w:t>
      </w:r>
      <w:r w:rsidR="00B22286">
        <w:t xml:space="preserve"> and</w:t>
      </w:r>
      <w:r w:rsidR="00B0282D">
        <w:t xml:space="preserve"> </w:t>
      </w:r>
      <w:r w:rsidR="00B0282D">
        <w:rPr>
          <w:i/>
        </w:rPr>
        <w:t xml:space="preserve">Weinmannia </w:t>
      </w:r>
      <w:r w:rsidR="001304C7">
        <w:t xml:space="preserve">pollen </w:t>
      </w:r>
      <w:r w:rsidR="00B22286">
        <w:t>was absent</w:t>
      </w:r>
      <w:r w:rsidR="001304C7">
        <w:t>; neither species was recorded in the vegetation survey</w:t>
      </w:r>
      <w:r w:rsidR="00AE7447">
        <w:t xml:space="preserve">. </w:t>
      </w:r>
      <w:r w:rsidR="00984DD9">
        <w:rPr>
          <w:i/>
        </w:rPr>
        <w:t xml:space="preserve">M. scabrella </w:t>
      </w:r>
      <w:r w:rsidR="00984DD9">
        <w:t xml:space="preserve">is a </w:t>
      </w:r>
      <w:r w:rsidR="00FB71D5">
        <w:t xml:space="preserve">species </w:t>
      </w:r>
      <w:r w:rsidR="00984DD9">
        <w:t xml:space="preserve">which is </w:t>
      </w:r>
      <w:r w:rsidR="00FB71D5">
        <w:t xml:space="preserve">especially </w:t>
      </w:r>
      <w:r w:rsidR="00984DD9">
        <w:t xml:space="preserve">encouraged by </w:t>
      </w:r>
      <w:r w:rsidR="00FB71D5">
        <w:t xml:space="preserve">anthropogenic forest </w:t>
      </w:r>
      <w:r w:rsidR="00984DD9">
        <w:t>disturbance</w:t>
      </w:r>
      <w:r w:rsidR="00FB71D5">
        <w:t xml:space="preserve">, so its absence here may be connected to the </w:t>
      </w:r>
      <w:r w:rsidR="00DC7D67">
        <w:t xml:space="preserve">relatively long time since the last </w:t>
      </w:r>
      <w:r w:rsidR="00E60E82">
        <w:t xml:space="preserve">anthropogenic </w:t>
      </w:r>
      <w:r w:rsidR="00DC7D67">
        <w:t>disturbance of our studied plots.</w:t>
      </w:r>
      <w:r w:rsidR="00F723C2">
        <w:t xml:space="preserve"> Moreover</w:t>
      </w:r>
      <w:r w:rsidR="00235E4B">
        <w:t xml:space="preserve">, </w:t>
      </w:r>
      <w:r w:rsidR="00DC7D67">
        <w:t>b</w:t>
      </w:r>
      <w:r w:rsidR="006201A5">
        <w:t xml:space="preserve">oth taxa (especially </w:t>
      </w:r>
      <w:r w:rsidR="006201A5">
        <w:rPr>
          <w:i/>
        </w:rPr>
        <w:t>Weinmannia</w:t>
      </w:r>
      <w:r w:rsidR="006201A5">
        <w:t xml:space="preserve">) are much more </w:t>
      </w:r>
      <w:r w:rsidR="005E0579">
        <w:t xml:space="preserve">floristically </w:t>
      </w:r>
      <w:r w:rsidR="006201A5">
        <w:t xml:space="preserve">important </w:t>
      </w:r>
      <w:r w:rsidR="00245FC9">
        <w:t xml:space="preserve">at </w:t>
      </w:r>
      <w:r w:rsidR="00273C7D">
        <w:t>elevations above 1,200</w:t>
      </w:r>
      <w:r w:rsidR="001233A0">
        <w:t xml:space="preserve"> </w:t>
      </w:r>
      <w:r w:rsidR="00273C7D">
        <w:t xml:space="preserve">m a.s.l. </w:t>
      </w:r>
      <w:r w:rsidR="00273C7D">
        <w:fldChar w:fldCharType="begin" w:fldLock="1"/>
      </w:r>
      <w:r w:rsidR="005A4773">
        <w:instrText>ADDIN CSL_CITATION {"citationItems":[{"id":"ITEM-1","itemData":{"author":[{"dropping-particle":"","family":"Sevegnani","given":"Lucia","non-dropping-particle":"","parse-names":false,"suffix":""},{"dropping-particle":"","family":"Uhlmann","given":"Alexandre","non-dropping-particle":"","parse-names":false,"suffix":""},{"dropping-particle":"","family":"Gasper","given":"André Luís","non-dropping-particle":"de","parse-names":false,"suffix":""},{"dropping-particle":"","family":"Vibrans","given":"Alexander Christian","non-dropping-particle":"","parse-names":false,"suffix":""},{"dropping-particle":"","family":"Santos","given":"Anita Stival","non-dropping-particle":"dos","parse-names":false,"suffix":""},{"dropping-particle":"","family":"Verdi","given":"Marcio","non-dropping-particle":"","parse-names":false,"suffix":""},{"dropping-particle":"","family":"drev","given":"","non-dropping-particle":"","parse-names":false,"suffix":""}],"chapter-number":"9","container-title":"Inventário Florístico Florestal de Santa Catarina Volume III - Floresta Ombrófila Mista","editor":[{"dropping-particle":"","family":"Vibrans","given":"Alexander Christian","non-dropping-particle":"","parse-names":false,"suffix":""},{"dropping-particle":"","family":"Sevegnani","given":"Lucia","non-dropping-particle":"","parse-names":false,"suffix":""},{"dropping-particle":"","family":"Gaspar","given":"André Luis","non-dropping-particle":"de","parse-names":false,"suffix":""},{"dropping-particle":"","family":"Lingner","given":"Débora Vanessa","non-dropping-particle":"","parse-names":false,"suffix":""}],"id":"ITEM-1","issue":"January","issued":{"date-parts":[["2013"]]},"page":"440","publisher":"Edifurb","publisher-place":"Blumenau","title":"Estádios sucessionais da Floresta Ombrófila Mista em Santa Catarina","type":"chapter"},"uris":["http://www.mendeley.com/documents/?uuid=99c84bf0-55db-44f6-b273-a9f42e6c65fb"]}],"mendeley":{"formattedCitation":"(Sevegnani et al., 2013)","plainTextFormattedCitation":"(Sevegnani et al., 2013)","previouslyFormattedCitation":"(Sevegnani et al., 2013)"},"properties":{"noteIndex":0},"schema":"https://github.com/citation-style-language/schema/raw/master/csl-citation.json"}</w:instrText>
      </w:r>
      <w:r w:rsidR="00273C7D">
        <w:fldChar w:fldCharType="separate"/>
      </w:r>
      <w:r w:rsidR="00273C7D" w:rsidRPr="00273C7D">
        <w:rPr>
          <w:noProof/>
        </w:rPr>
        <w:t>(Sevegnani et al., 2013)</w:t>
      </w:r>
      <w:r w:rsidR="00273C7D">
        <w:fldChar w:fldCharType="end"/>
      </w:r>
      <w:r w:rsidR="005E0579">
        <w:t xml:space="preserve"> so their absence here is unsurprising, and highlights </w:t>
      </w:r>
      <w:r w:rsidR="000B372E">
        <w:t xml:space="preserve">the biases of existing palaeoecological studies </w:t>
      </w:r>
      <w:r w:rsidR="00AF0872">
        <w:t xml:space="preserve">towards high-altitude regions along the eastern edge of the highland plateau </w:t>
      </w:r>
      <w:r w:rsidR="000B372E">
        <w:fldChar w:fldCharType="begin" w:fldLock="1"/>
      </w:r>
      <w:r w:rsidR="0006304A">
        <w:instrText>ADDIN CSL_CITATION {"citationItems":[{"id":"ITEM-1","itemData":{"DOI":"10.1007/BF00203932","ISBN":"0939-6314","ISSN":"09396314","abstract":"Palynological studies have been carried out on three highland peat bogs, and one situated on the Atlan- tic coastal plain. In the highlands, the late Pleistocene (14,000 - 10,000 uncal B.P.) vegetation was dominated by campos (grassland). Scattered stands of Araucaria forests were preserved in deep valleys. In the region of the sites at Morro da Igreja and Serra do Rio Rastro, the dominance of campos vegetation continued until about 1000 B.P. while at the Serra da Boa Vista site there was an expansion of Atlantic pluvial forest elements fol- lowed by Araucaria forests at the beginning of the Holocene. A general expansion of A. anguslifolia, clear- ly related to a change towards an increasingly moist cli- mate, can be dated to the present millenium. On the coastal plains, the late Pleistocene vegetation was domi- nated by Myrtaceae which were replaced by tropical taxa in the Holocene. The lowland profile (Pogo Grande) also covers part of the upper Holocene, where the rich flora of the Atlantic pluvial forests can be characterized by taxa including Alchornea, Urticales and Rapanea. Close to the coring site, there was a repeated alternation be- tween two different dune communities (4840 - 4590 B.P.), followed by a lake stage with aquatic plant succes- sion (4590 - 4265 B.P.), plant communities dominated by Rapanea (4265 - 4230 B.P.) and the spread of Alchornea (4230 - 3525 B.P.). Late Pleistocene climate conditions (14,000 - 10,000 B.P.) can be described as cold and relatively dry, possibly including an equivalent of the Younger Dryas period. In the Holocene, there were changes from a warm and drier climate (10,000 - ~3000 B.P.) to a cool and more moist regime (ca. 3000 - ca. 1000 B.P.) and finally to a cool and very moist period (from around 1000 B.P.).","author":[{"dropping-particle":"","family":"Behling","given":"Hermann","non-dropping-particle":"","parse-names":false,"suffix":""}],"container-title":"Vegetation History and Archaeobotany","id":"ITEM-1","issue":"3","issued":{"date-parts":[["1995","9"]]},"page":"127-152","publisher":"Springer-Verlag","title":"Investigations into the late Pleistocene and Holocene history of vegetation and climate in Santa Catarina (S Brazil)","type":"article-journal","volume":"4"},"uris":["http://www.mendeley.com/documents/?uuid=fcea03a7-e07e-3d31-94a9-b68f1fec0a97"]},{"id":"ITEM-2","itemData":{"DOI":"10.1007/s00334-006-0078-2","ISBN":"0939-6314\\r1617-6278","ISSN":"09396314","abstract":"Late Quaternary vegetation, fire and climate dy- namics were studied by pollen and charcoal analysis on a sediment core from near the summit of the Serra do Arac ¸atuba at 1500 m elevation, part of the Serra do Mar coastal mountains of Paran´ a State, southern Brazil. Three radiocarbon dates indicate that clay and peat were deposited in a shallow basin during the last 14,880 b.p. Accumula- tion was probably continuous, but sedimentary gaps dur- ing the dry mid Holocene cannot be excluded. During late- glacial times the upper coastal mountain were covered with grassland, reflecting relatively dry and cold climatic con- ditions. Large areas of natural grasslands remained in the upper mountain region during the Holocene. Only after 2000 b.p. did Araucaria forest trees, specially Ilex, some Atlantic forest trees as well as the pioneer Myrsine move to higher elevations, reflecting markedly wetter climatic con- ditions. This expansion stopped and the forest areas were reduced significantly by human activities during about the last 200–300 years. The modern grassland vegetation of the uppermost mountains may reflect the natural setting, but may also partly result from post-Columbian human activ- ities. Fires were rare during the late Pleistocene and even less frequent during the early and mid Holocene. During the wettest recorded period of the late Holocene fires increased markedly and are therefore most probably of anthropogenic origin.","author":[{"dropping-particle":"","family":"Behling","given":"Hermann","non-dropping-particle":"","parse-names":false,"suffix":""}],"container-title":"Vegetation History and Archaeobotany","id":"ITEM-2","issue":"2-3","issued":{"date-parts":[["2007","12","19"]]},"note":"Analysis of the 121cm core from Serra do Aracatuba over the last 14,880 cal yr BP. Results are broadly similar to other records, but with different timing (altitude?). No massive Aa expansion but expansion of Araucaria forest (a bit distant from the bog) was mainly due to Ilex expansion. \n\nInteresting reclassification of Myrsine as 'other' - bear in mind for other reinterpretations.\n\nReally interesting comment on p83 on the difference between climate inferred from pollen records and that from speleothems. Worth exploring.","page":"77-85","publisher":"Springer-Verlag","title":"Late Quaternary vegetation, fire and climate dynamics of Serra do Aracatuba in the Atlantic coastal mountains of Parana State, southern Brazil","type":"article-journal","volume":"16"},"uris":["http://www.mendeley.com/documents/?uuid=e0e2dc1c-e00c-3bb1-b5f2-761f12b3cc39"]},{"id":"ITEM-3","itemData":{"DOI":"10.1016/S0034-6667(96)00065-6","ISSN":"00346667","abstract":"New palynological and charcoal data from a bog (24°40′S, 50°13′W, 1200 m asl) of Serra Campos Gerais, northeastern ParanáState, allow a complete and detailed reconstruction of the late Quaternary vegetation and climate history of the South Brazilian highlands. The late-glacial period, which starts at 12,50014C yr BP, indicates the predominance of a diverse grassland vegetation (campos) with scattered stands of Araucaria forest and Atlantic rain forest, probably growing in valley bottoms. This suggests 3 to 5°C colder and drier climates than at present. Judging from the absence of charcoal, fires must here been rare during late-glacial times. The early and mid-Holocene (until 285014C yr BP) is marked by a predominance of campos vegetation on the highlands and expansion of tropical rain forest trees in the valleys, indicating warm climates and perhaps an increase in annual precipitation compared to the late-glacial. A migration of Araucaria forest from the valleys onto the highlands did probably not occur. Seasonal drought is probably the major factor explaining the absence of an expansion of Araucaria forests on the southern Brazilian highlands in the early and mid-Holocene. Palaeofires were more frequent at the beginning of the Holocene, probably ignited by Amerindians at that time. First expansion in the valleys or an initial migration of Araucaria angustifolia from valleys into the Serra Campos Gerais highland occurred during the late Holocene (2850-153014C yr BP), indicating a wetter climate with a shorter dry season. Fires during this period had the highest frequency and may have influenced the migration of Araucaria into the campos areas. A marked expansion of Araucaria forest, forming a mosaic of grassland and Araucaria forest patches on the highlands, took place only in the last 1500 years. This suggests onset of a high precipitation climate without a strong annual dry season. Fires were also less frequent. Logging of Araucaria forests occurred during the last centuries.","author":[{"dropping-particle":"","family":"Behling","given":"Hermann","non-dropping-particle":"","parse-names":false,"suffix":""}],"container-title":"Review of Palaeobotany and Palynology","id":"ITEM-3","issue":"1","issued":{"date-parts":[["1997"]]},"note":"Analysis of a highland core (about 185cm, from 12,300 C14 yr BP) in Serra Campos Gerais, Parana. Campos in late glacial, slow expansion of Araucaria forest from about 2850 C14 Bp, more significant from 1530 C14 BP with an increase of fires/charcoal. A fair number of climatic conclusions are made, which should be checked cf the Botuvera speleothem","page":"109-121","title":"Late Quaternary vegetation, climate and fire history of the Araucaria forest and campos region from Serra Campos Gerais, Paraná State (South Brazil)","type":"article-journal","volume":"97"},"uris":["http://www.mendeley.com/documents/?uuid=a345d1da-e951-387a-ba95-0c87b285d4af"]},{"id":"ITEM-4","itemData":{"DOI":"10.1016/S0031-0182(03)00687-4","ISBN":"0031-0182","ISSN":"00310182","abstract":"Late Quaternary vegetation, fire and climate dynamics have been studied based on high-resolution dated pollen and charcoal samples and multivariate data analysis. The samples were taken from a 212-cm-long sediment core of a bog in the Cambará do Sul region on the highlands of northeastern Rio Grande do Sul State, Brazil. The records, including seven AMS radiocarbon dates, span 42 840 14C years, for the first time extending the reconstruction of past environmental changes on the southern Brazilian highlands back to the Last Glacial Maximum (LGM) and pre-LGM times. The last 1100 years provide a decadal resolution. Initially the site was a permanent shallow lake which became seasonally dry after 26 900 14C yr BP. Seasonal climate with a long annual dry period prevailed until the late Holocene. The climate was somewhat wetter from 42 840 to 41 470 14C yr BP and from 41 470 to 26 900 14C yr BP than during the LGM and the late-Glacial period. Natural fires were rare, but became very frequent after 7400 cal BP, suggesting human occupation of the southernmost Brazilian highlands since that time. The records suggest that a species-rich Campos (grassland) vegetation existed in the area under a relatively dry and cold climate during glacial times under possibly as low as -10°C. The record also suggests that small populations of Araucaria were probably only present in refugia of deep and protected valleys and/or on wetter coastal slopes. Campos vegetation existed through the early and mid-Holocene until 4320 cal yr BP, after which Araucaria forest expanded into the network of gallery forests along the streams. By 1100 cal yr BP the Araucaria forest replaced the Campos vegetation reflecting the onset of the wettest period with no marked annual dry season. The marked expansion of the Araucaria forest coincided with the reduction in fire. Between AD 1520 and 1770 Weinmannia became a common taxa in the Araucaria forest, suggesting a shift to warmer climatic conditions on the highlands. This interval was synchronous with a cool phase within the Little Ice Age known from North Atlantic land records. After about AD 1780 human activities changed the original forest composition, first by introducing cattle into the forest and than by selective logging of Araucaria trees. Multivariate analysis of the pollen data shows compositional changes that follow a trajectory alternating undirectional, random phases and phases with directional, sometimes fast transitions. The results al…","author":[{"dropping-particle":"","family":"Behling","given":"Hermann","non-dropping-particle":"","parse-names":false,"suffix":""},{"dropping-particle":"","family":"Pillar","given":"Valerio DePatta","non-dropping-particle":"","parse-names":false,"suffix":""},{"dropping-particle":"","family":"Orlóci","given":"László","non-dropping-particle":"","parse-names":false,"suffix":""},{"dropping-particle":"","family":"Bauermann","given":"Soraia Girardi","non-dropping-particle":"","parse-names":false,"suffix":""}],"container-title":"Palaeogeography, Palaeoclimatology, Palaeoecology","id":"ITEM-4","issue":"3-4","issued":{"date-parts":[["2004"]]},"note":"Detailed examination of Cambara do Sul core in NE Rio Grande do Sul, 42,658 C14 yr BP to present. Shows 100 year Campos-Araucaria switch in about 1100 cal yr BP.\n\nNEEDS SOME REINTERPRETING WITH LEONHARDT &amp;amp; LORSCHEITTER 2010. SEE NOTE\n\n(All dates C14 yr BP)\n\n42,840 - 41,470\n83-88% campos pollen, 8-14% Araucaria forest pollen (only 2 grains of A. angustifolia), only one pollen grain from Atlantic forest taxa, aquatics 6-16%, ferns 3-6%. Low conc and accumulation of carbonised particles.\n\n41,4701 - 26,900\n87-94% campos pollen, 3-9% Araucaria forest (less pollen from Myrtaceae), a few single grains of Atlantic forest pollen, less aquatic pollen (3-7%), fewer fern spores (0-3%). Carbonised particles still rare.\n\n26,900 - 10,120\n87-97% campos pollen (though changing composition - Poaceae down, Eryngium up; less Apiaceae), 1-5% Araucaria forest, 0-0.3% Atlantic forest (lowest for both), 1-3% aquatic, lowest time for ferns (but big increase at end of zone). Carbonised particles rare.\n\n10,120 - 3,950 (11,540 - 4,320 cal yr BP)\n74-88% campos but lower near end (Poaceae up from last time; Eryngium get more common; other compositional changes), 3-13% Araucaria forest (up slightly thanks to A. angustifolia and Myrsine), 0-4% Atlantic (up slightly), trace aquatics, big increase of ferns (up to 46%) then decrease by end (to 9%), increase in Dicksonia (0-14%). Lots of carbonised particles higher up in this section.\n\n3950 - 1140 (4320 - 1100 cal yr BP)\n65-84% campos (down a bit but still high; Cyperaceae up, Poaceae and Eryngium down), 13-27% Araucaria forest (mainly A. angustifolia 4-7%, Myrsine and Weinmannia), 2-5% Atlantic forest, fern spores up again (9-40%), Dicksonia common (9-16%). Lots and lots of carbonised particles.\n\n1140 - 410 (1100 - 430 cal yr BP)\nCampos way down and keeps going (55-24%), continuous increase of Araucaria forest pollen (39-80%) with A. angustifolia going up 14-42% and big increase in Mimosa scabrella, no change in Atlantic (2-6%), fewer fern spores (5-19%), highest Dicksonia spore level (9-26%), high point for mosses but decrease later. Low concentration of carbonised particles but higher accumulation than at beginning of core.\n\n410 - -50 (430 - -50 cal yr BP)\nCampos start way down (to 11%) but increase (to 38%, through Cyperaceae then Poaceae) then go down right at the end, Araucaria forest highest early on (87%) but decreases at the end (65%) as A. angustifolia drops off right at the end (41-2%; Mimosa scabrella jumps correspondingly; other changes), nothing much happens with Atlantic forest (2-7%), fern spores go down (21-2%) and Dicksonia crashes by end (19-0.3%). Similar carbonised particles to before.","page":"277-297","title":"Late Quaternary Araucaria forest, grassland (Campos), fire and climate dynamics, studied by high-resolution pollen, charcoal and multivariate analysis of the Cambará do Sul core in southern Brazil","type":"article-journal","volume":"203"},"uris":["http://www.mendeley.com/documents/?uuid=46579170-55fd-37c2-8f78-517419a62e98"]},{"id":"ITEM-5","itemData":{"DOI":"10.1007/s00334-012-0382-y","ISBN":"0939-6314","ISSN":"09396314","abstract":"The present study reveals palaeoenvironmental changes in the coastal southern Brazilian highlands during the last 39720 b.p., by the means of pollen, charcoal and multivariate data analyses. The isolated mountain range of Serra do Tabuleiro corresponds to the southern distribution limit of many tropical plant species and is therefore sensitive to climate change. Palaeoenvironmental reconstructions from the Ciama 2 core at 860 m a.s.l. indicate that Campos (subtropical grassland) covered extensive areas on the highlands throughout the recorded glacial period, thus suggesting cold and dry climatic conditions. The initial development of the Atlantic rainforest occurred after the glacial period, whereas plant diversity began to increase at the beginning of the Holocene due to climate change towards warmer and wetter conditions. At about 10400 cal. b.p., the Atlantic rainforest started to move over the slopes and Campos retracted. Multivariate data analysis showed a change of vegetation dynamics after 11200 cal. b.p. with the initial development of the Atlantic rainforest continuing until the mid-Holocene. Major vegetation changes, including the further expansion of the Atlantic rainforest and the initial development of the Araucaria forest in the higher regions of the Serra do Tabuleiro, occurred during the late Holocene after about 3600 cal. b.p. These changes reflect higher precipitation levels without an annual dry season. Multivariate data analysis reveals a clearly directional change of vegetation dynamics corresponding to the progressive expansion of the Atlantic rainforest from 3850 to 1600 cal. b.p. A second directional change of vegetation dynamics occurred from 320 to 160 cal. b.p. (a.d. 1630 to 1790) with a further development of the Atlantic rainforest and the partial replacement of Campos by Araucaria forest and Atlantic rainforest. Thereafter, an ecosystem disturbance, which resulted in forest opening, took place. Palaeofires probably did not occur during glacial times, whereas fire events, which were probably caused by Amerindians, were common in the Serra do Tabuleiro region from ca. 10400 until 3600 cal. b.p.","author":[{"dropping-particle":"","family":"Jeske-Pieruschka","given":"Vivian","non-dropping-particle":"","parse-names":false,"suffix":""},{"dropping-particle":"","family":"Pillar","given":"Valerio D.","non-dropping-particle":"","parse-names":false,"suffix":""},{"dropping-particle":"","family":"Oliveira","given":"Marcelo A T","non-dropping-particle":"de","parse-names":false,"suffix":""},{"dropping-particle":"","family":"Behling","given":"Hermann","non-dropping-particle":"","parse-names":false,"suffix":""}],"container-title":"Vegetation History and Archaeobotany","id":"ITEM-5","issue":"4","issued":{"date-parts":[["2013","7","20"]]},"note":"169cm core covering nearly 40.000 years analysed. Finds mostly campos (with some Myrtaceae, though they could be campos spp) from 40,000 - early Holocene, with rise in Atlantic forest from lower levels from about 10,000 BP to 3,300 BP. There's a bit of Araucaria forest 40,000 - 18,000 BP, but it disappears until about 10,000 BP, when it's still fairly rare. There's a big increase of Atlantic forest pollen between 3300 BP and present, and a decent increase of Araucaria forest too (though Aa is only up to 4% max).\n\nThere's a much later Araucaria forest expansion than in other cores. Maybe due to location, maybe because this area wasn't a glacial refugium, but maybe also because of people..?\n\nThe core is chiefly used to interpret climate as it's the only long-term core around other than Cambara do Sul. Also worth bearing in mind that this is quite a lot closer to the coast than most of the other studies I've looked at.","page":"299-314","publisher":"Springer-Verlag","title":"New insights into vegetation, climate and fire history of southern Brazil revealed by a 40,000 year environmental record from the State Park Serra do Tabuleiro","type":"article-journal","volume":"22"},"uris":["http://www.mendeley.com/documents/?uuid=d9a9619d-5dd8-33cc-ba51-570cce662b1d"]},{"id":"ITEM-6","itemData":{"DOI":"10.1016/j.jsames.2009.09.003","ISBN":"0895-9811","ISSN":"08959811","abstract":"The palaeoenvironmental history has been studied based on palynology of a sedimentary profile from the Alpes de S??o Francisco bog (29??29???35??????S, 50??37???18??????W), S??o Francisco de Paula municipality, Rio Grande do Sul eastern Plateau, extreme Southern Brazil. The results indicate a regional cold and dry climate between 25,000 and 12,500 yr BP, interpreted from the grassland vegetation, forest taxa were present in refuges and the shallow local lake began to fill in. Climatic conditions became more aride after 16,000 yr BP, when grassland became rare. From 12,500 yr BP onwards, the climate began to change and at 11,000-9700 yr BP a warm and moist climate permitted the slight migration of pioneer arboreal taxa from refuges and locally a marsh formation. Between 9700 and 6500 yr BP a warm and dry climate resulted in reduction of grassland, confined the forest in refuges, dried out the marsh. The gradual increase of humidity between 6500 and 4000 yr BP allowed migration of forests from refuges and a bog developed. Between 4000 and 2000 yr BP Araucaria forest spread, indicating moister climate. The local bog expanded. From 2000 yr BP onwards, humid but warmer climate seems to result in a lower reproductive capacity of Araucaria forest taxa limiting its expansion. The bog reached the present-day in a decline condition. The results are compared to previous records from Southern Brazil highlands and some places from Argentina in order to better elucidate the climatic and vegetational history of these important South America areas during the late Quaternary. ?? 2009 Elsevier Ltd. All rights reserved.","author":[{"dropping-particle":"","family":"Leonhardt","given":"Adriana","non-dropping-particle":"","parse-names":false,"suffix":""},{"dropping-particle":"","family":"Lorscheitter","given":"Maria Luisa","non-dropping-particle":"","parse-names":false,"suffix":""}],"container-title":"Journal of South American Earth Sciences","id":"ITEM-6","issue":"2","issued":{"date-parts":[["2010"]]},"note":"Analysis of 286cm bog core from Alpes de Sao Francisco, Rio Grande do Sul. Starts 25,000 C14 yr BP. Cold and dry until 12,500 BP, grassland and almost no trees; 11,000-9,700 was warm and humid, some trees wandered around; drier then to 6,500 BP so grassland retreated and forest stayed in refuges; humidity increased again 6500-4000, so forests escaped their refuges; 4000-2000 Araucaria forest spread (so moister still); warmer from then to the present so less expansion of Araucaria.\n\nIMPORTANT WHEN REINTERPRETING BEHLING ET AL 2004\n\nSeems a bit poorly resolved across the Holocene, but makes an important point about pollen concentration/percentage diagrams and what they show (especially with Araucaria forest expansion)","page":"454-463","title":"The last 25,000 years in the Eastern Plateau of Southern Brazil according to Alpes de Sao Francisco record","type":"article-journal","volume":"29"},"uris":["http://www.mendeley.com/documents/?uuid=90690911-40f6-3530-aa45-c7420e186d20"]},{"id":"ITEM-7","itemData":{"DOI":"10.1016/j.quaint.2014.01.010","ISBN":"1040-6182","ISSN":"10406182","abstract":"For the first time in the highlands of southern Brazil, a palynological study was performed on sedimentary records from two Araucaria forests. Radiocarbon dates were used. The sites were Alpes de S??o Francisco (29??27'26???S, 50??36'57???W) and Banhado Amarelo (29??18'48???S, 50??08'13???W), located in the Eastern Plateau region of Rio Grande do Sul in S??o Francisco de Paula municipality. Between 13,000 and 10,800BP, Alpes de S??o Francisco was cold and dry, and contained a shallow water reservoir surround by marsh, near sparse grassland, with forests probably in refuges. Between 10,800 and 9400BP, the climate was warmer and the moisture increased. The reservoir began to be filled with herbaceous plants, regional grassland developed, and forests probably began to expand from the refuges. Between 9400 and 5600BP, the climate was dry, grasslands decreased in size and forests became more isolated and were probably located in refuges. From 5600BP onward the moisture increased, forming a local bog at 5000BP. The bog was colonized by pioneer arboreal taxa and Araucaria forest that expanded until ca. 3300BP. Between 4300 and 3300BP, Banhado Amarelo consisted of an incipient herbaceous marsh with adjacent sparse grassland. A delay in the arrival of moisture at the site was probably due to geographic conditions. Between 3300 and 1600BP, the humidity increased in Banhado Amarelo, forming a bog with forest cover. After 3300BP in Alpes de S??o Francisco and after 1600BP in Banhado Amarelo, the data suggest a reduction in the reproductive capacity of the forest taxa, probably due to temperature elevation. Therefore, these forests need urgent environmental conservation programs and the present-day bogs are very important as possible generators of Araucaria forest patches in Eastern Plateau depressions. ?? 2014 Elsevier Ltd and INQUA.","author":[{"dropping-particle":"","family":"Scherer","given":"Caroline","non-dropping-particle":"","parse-names":false,"suffix":""},{"dropping-particle":"","family":"Lorscheitter","given":"Maria Luisa","non-dropping-particle":"","parse-names":false,"suffix":""}],"container-title":"Quaternary International","id":"ITEM-7","issued":{"date-parts":[["2014"]]},"note":"Study based on bog cores from within Araucaria forest in RGS Eastern Plateau. It might be the first time someone did cores from the forest rather than campos? No humans around. Conclusions generally match other studies - see highlighted section at top of p11. Suggests Araucaria forests can generate by colonising bogs (important for them), and that increased temperatures depressed their pollen production (seen in concentration diagrams). Important for working out pollen productivity etc. Also important discussion on other results.\n\nI think that percentages show you the composition of the vegetation (80% campos, say), and concentrations show you how dense/developed it is. You can have decreasing percentages of something (campos to 60%) and increasing concentrations, which show that the campos is being taken over by something else, but in the space that remains it's getting more campos-y. I think.","page":"3-12","title":"Vegetation dynamics in the southern Brazilian highlands during the last millennia and the role of bogs in Araucaria forest formation","type":"article-journal","volume":"325"},"uris":["http://www.mendeley.com/documents/?uuid=7f1f0c6a-d19c-3d36-8b6d-7974769b13f2"]}],"mendeley":{"formattedCitation":"(Behling, 2007, 1997a, 1995; Behling et al., 2004; Jeske-Pieruschka et al., 2013; Leonhardt and Lorscheitter, 2010; Scherer and Lorscheitter, 2014)","plainTextFormattedCitation":"(Behling, 2007, 1997a, 1995; Behling et al., 2004; Jeske-Pieruschka et al., 2013; Leonhardt and Lorscheitter, 2010; Scherer and Lorscheitter, 2014)","previouslyFormattedCitation":"(Behling, 2007, 1997a, 1995; Behling et al., 2004; Jeske-Pieruschka et al., 2013; Leonhardt and Lorscheitter, 2010; Scherer and Lorscheitter, 2014)"},"properties":{"noteIndex":0},"schema":"https://github.com/citation-style-language/schema/raw/master/csl-citation.json"}</w:instrText>
      </w:r>
      <w:r w:rsidR="000B372E">
        <w:fldChar w:fldCharType="separate"/>
      </w:r>
      <w:r w:rsidR="005A4773" w:rsidRPr="005A4773">
        <w:rPr>
          <w:noProof/>
          <w:lang w:val="da-DK"/>
        </w:rPr>
        <w:t>(Behling, 2007, 1997a, 1995; Behling et al., 2004; Jeske-Pieruschka et al., 2013; Leonhardt and Lorscheitter, 2010; Scherer and Lorscheitter, 2014)</w:t>
      </w:r>
      <w:r w:rsidR="000B372E">
        <w:fldChar w:fldCharType="end"/>
      </w:r>
      <w:r w:rsidR="000B372E" w:rsidRPr="004C4948">
        <w:rPr>
          <w:lang w:val="da-DK"/>
        </w:rPr>
        <w:t>.</w:t>
      </w:r>
    </w:p>
    <w:p w14:paraId="17899F89" w14:textId="54893C83" w:rsidR="00B41BC1" w:rsidRPr="006201A5" w:rsidRDefault="004754AE" w:rsidP="001C1F44">
      <w:pPr>
        <w:pStyle w:val="Mynormal"/>
      </w:pPr>
      <w:r>
        <w:t>Th</w:t>
      </w:r>
      <w:r w:rsidR="00C92D24">
        <w:t>e</w:t>
      </w:r>
      <w:r>
        <w:t xml:space="preserve"> </w:t>
      </w:r>
      <w:r w:rsidR="00444473">
        <w:t xml:space="preserve">geographical </w:t>
      </w:r>
      <w:r w:rsidR="001076BC">
        <w:t xml:space="preserve">bias </w:t>
      </w:r>
      <w:r w:rsidR="00444473">
        <w:t xml:space="preserve">of existing studies </w:t>
      </w:r>
      <w:r>
        <w:t xml:space="preserve">can further be seen in the classifications proposed by </w:t>
      </w:r>
      <w:r w:rsidR="00A7681E">
        <w:t xml:space="preserve">Rodrigues et al. </w:t>
      </w:r>
      <w:r>
        <w:fldChar w:fldCharType="begin" w:fldLock="1"/>
      </w:r>
      <w:r w:rsidR="005A4773">
        <w:instrText>ADDIN CSL_CITATION {"citationItems":[{"id":"ITEM-1","itemData":{"DOI":"10.1007/s00334-016-0558-y","ISBN":"0939-6314","ISSN":"09396314","abstract":"In south and southeast Brazil land use caused profound changes in natural vegetation and consequently the value of the pollen composition in surface samples as modern analogues. In order to test the capability of modern pollen to represent the natural vegetation, three different time slices of pollen assemblages from 27 sites spread over southern and south-eastern Brazil and the Misiones Province in Argentina were collated. Pollen samples from the pre-colonization period, selected from the moment just before abrupt changes evidenced on pollen diagrams caused by the colonization process throughout the last 500 years, were assumed to represent the natural vegetation conditions once the climate remained stable within this period. Thus we used pre-colonization assemblages to compare with modern samples to explore to what extent surface pollen may be biased in representing the natural vegetation types. Furthermore, to compare man made vegetation change to climate driven vegetation change we also compared to these 20 out of 27 samples dated to 3,000 years bp. Guided by ordination and cluster analysis, but using abundance thresholds of indicator taxa we classified the pollen spectra of pre-colonization time into seven groups consistent with the main vegetation types in the area. Ordination analyses capture the differentiation between grassland and forested vegetation and between tropical and subtropical vegetation types. Comparing the pre-colonization with other time slices we observed that based on Poaceae abundance, 70 and 85 % respectively of sites from 3,000 bp and modern assemblages maintained their classification. Based on finer classification criteria these values decreased to 40 and 52 % respectively. Square chord dissimilarity indicates that colonization impact altered the pollen composition as strongly as 3,000 years of climate induced vegetation change. The surface samples still represent important environmental gradients; however, their use as modern analogue requires careful treatment and eventual exclusion of highly impacted sites.","author":[{"dropping-particle":"","family":"Rodrigues","given":"Jackson Martins","non-dropping-particle":"","parse-names":false,"suffix":""},{"dropping-particle":"","family":"Behling","given":"Hermann","non-dropping-particle":"","parse-names":false,"suffix":""},{"dropping-particle":"","family":"Giesecke","given":"Thomas","non-dropping-particle":"","parse-names":false,"suffix":""}],"container-title":"Vegetation History and Archaeobotany","id":"ITEM-1","issue":"4","issued":{"date-parts":[["2016","7","12"]]},"note":"Paper laying out a way of classifying past pollen assemblages into vegetation types (see fig3). These are essentially campos, campos de altitude, semi-deciduous forest, subtropical forest and parkland savannah (Cerrado-ish), but ARF can't be unambiguously recognised. \n\nSuggests modern pollen assemblages might not be ideal as analogues of past vegetation communities because of changes in them - caution required.","page":"387-403","publisher":"Springer Berlin Heidelberg","title":"Differentiating vegetation types from eastern South American ecosystems based on modern and subfossil pollen samples: evaluating modern analogues","type":"article-journal","volume":"25"},"suppress-author":1,"uris":["http://www.mendeley.com/documents/?uuid=e80053a5-176d-37ce-aeb5-47b52046c986"]}],"mendeley":{"formattedCitation":"(2016b)","plainTextFormattedCitation":"(2016b)","previouslyFormattedCitation":"(2016b)"},"properties":{"noteIndex":0},"schema":"https://github.com/citation-style-language/schema/raw/master/csl-citation.json"}</w:instrText>
      </w:r>
      <w:r>
        <w:fldChar w:fldCharType="separate"/>
      </w:r>
      <w:r w:rsidRPr="004754AE">
        <w:rPr>
          <w:noProof/>
        </w:rPr>
        <w:t>(2016b)</w:t>
      </w:r>
      <w:r>
        <w:fldChar w:fldCharType="end"/>
      </w:r>
      <w:r w:rsidR="00A7681E">
        <w:t xml:space="preserve"> for distinguishing woodland types in southern Brazil</w:t>
      </w:r>
      <w:r w:rsidR="002C6F75">
        <w:t xml:space="preserve"> based on pollen spectra.</w:t>
      </w:r>
      <w:r w:rsidR="00896BCB">
        <w:t xml:space="preserve"> </w:t>
      </w:r>
      <w:r w:rsidR="007A008B">
        <w:t>Although o</w:t>
      </w:r>
      <w:r w:rsidR="00562527">
        <w:t>ur sites (721-953</w:t>
      </w:r>
      <w:r w:rsidR="001233A0">
        <w:t xml:space="preserve"> </w:t>
      </w:r>
      <w:r w:rsidR="00562527">
        <w:t>m a.s.l.)</w:t>
      </w:r>
      <w:r w:rsidR="00286A57">
        <w:t xml:space="preserve"> have </w:t>
      </w:r>
      <w:r w:rsidR="006050D4">
        <w:t>vegetation</w:t>
      </w:r>
      <w:r w:rsidR="00896BCB">
        <w:t xml:space="preserve"> </w:t>
      </w:r>
      <w:r w:rsidR="00286A57">
        <w:t xml:space="preserve">which </w:t>
      </w:r>
      <w:r w:rsidR="00896BCB">
        <w:t xml:space="preserve">is </w:t>
      </w:r>
      <w:r w:rsidR="00DC50AD">
        <w:t xml:space="preserve">most similar </w:t>
      </w:r>
      <w:r w:rsidR="007A008B">
        <w:t xml:space="preserve">to </w:t>
      </w:r>
      <w:r w:rsidR="00DC50AD">
        <w:t xml:space="preserve">that </w:t>
      </w:r>
      <w:r w:rsidR="00055EAA">
        <w:t xml:space="preserve">in </w:t>
      </w:r>
      <w:r w:rsidR="00896BCB">
        <w:t xml:space="preserve">the </w:t>
      </w:r>
      <w:r w:rsidR="00896BCB">
        <w:lastRenderedPageBreak/>
        <w:t xml:space="preserve">‘low Poaceae subtropical forest’ (LPSF) </w:t>
      </w:r>
      <w:r w:rsidR="00C64C1C">
        <w:t>category</w:t>
      </w:r>
      <w:r w:rsidR="00896BCB">
        <w:t xml:space="preserve"> </w:t>
      </w:r>
      <w:r w:rsidR="00896BCB">
        <w:fldChar w:fldCharType="begin" w:fldLock="1"/>
      </w:r>
      <w:r w:rsidR="005A4773">
        <w:instrText>ADDIN CSL_CITATION {"citationItems":[{"id":"ITEM-1","itemData":{"DOI":"10.1017/qua.2017.87","ISSN":"0033-5894","abstract":"A high-resolution pollen record of the Atlantic rain forest (ARF) biome from the coastal Serra do Tabuleiro mountains of southern Brazil documents an 11,960 yr history of vegetation and climate change. A marked expansion of Weinmannia into the grassland vegetation marks the latter part of the Younger Dryas, reflecting warm and relatively wet conditions. Between 11,490 and 9110 cal yr BP, grasslands became dominant again, indicating a long cold and dry phase, probably in response to the stronger influence of cold South Atlantic seawater and to Antarctic cold fronts. Between 9110 and 2640 cal yr BP, four distinct phases with strong or moderate expansions of different ARF biome taxa were recorded, reflecting warmer and relatively dry conditions with changes in rainfall and length of the annual dry season. After 2640 cal yr BP, the modern ARF biome became established with high amounts of ferns, reflecting somewhat cooler and wetter conditions with a reduced annual dry season. In particular, after 1000 cal yr BP tree ferns increased, reflecting wetter conditions with no dry season.","author":[{"dropping-particle":"","family":"Behling","given":"Hermann","non-dropping-particle":"","parse-names":false,"suffix":""},{"dropping-particle":"","family":"Oliveira","given":"Marcelo Accioly Teixeira","non-dropping-particle":"de","parse-names":false,"suffix":""}],"container-title":"Quaternary Research","id":"ITEM-1","issue":"01","issued":{"date-parts":[["2018","1","24"]]},"note":"Pollen core from Tabuleiro mountains, covering pretty much 12,000 years. Lots of time spent discussing the weird Weinmannia spike early on in the record - related to Younger Dryas but its effect was limited on non-cloud forest taxa. All the chat about sea surface temperatures etc. Occasional bits of Araucaria, but not much; first human influence 260 BP, but no charcoal counted so chance to catch it limited","page":"90-102","title":"Evidence of a late glacial warming event and early Holocene cooling in the southern Brazilian coastal highlands","type":"article-journal","volume":"89"},"uris":["http://www.mendeley.com/documents/?uuid=8c402a06-c408-3fb7-bbbc-df5aaf0d758d"]},{"id":"ITEM-2","itemData":{"DOI":"10.1007/s00334-012-0382-y","ISBN":"0939-6314","ISSN":"09396314","abstract":"The present study reveals palaeoenvironmental changes in the coastal southern Brazilian highlands during the last 39720 b.p., by the means of pollen, charcoal and multivariate data analyses. The isolated mountain range of Serra do Tabuleiro corresponds to the southern distribution limit of many tropical plant species and is therefore sensitive to climate change. Palaeoenvironmental reconstructions from the Ciama 2 core at 860 m a.s.l. indicate that Campos (subtropical grassland) covered extensive areas on the highlands throughout the recorded glacial period, thus suggesting cold and dry climatic conditions. The initial development of the Atlantic rainforest occurred after the glacial period, whereas plant diversity began to increase at the beginning of the Holocene due to climate change towards warmer and wetter conditions. At about 10400 cal. b.p., the Atlantic rainforest started to move over the slopes and Campos retracted. Multivariate data analysis showed a change of vegetation dynamics after 11200 cal. b.p. with the initial development of the Atlantic rainforest continuing until the mid-Holocene. Major vegetation changes, including the further expansion of the Atlantic rainforest and the initial development of the Araucaria forest in the higher regions of the Serra do Tabuleiro, occurred during the late Holocene after about 3600 cal. b.p. These changes reflect higher precipitation levels without an annual dry season. Multivariate data analysis reveals a clearly directional change of vegetation dynamics corresponding to the progressive expansion of the Atlantic rainforest from 3850 to 1600 cal. b.p. A second directional change of vegetation dynamics occurred from 320 to 160 cal. b.p. (a.d. 1630 to 1790) with a further development of the Atlantic rainforest and the partial replacement of Campos by Araucaria forest and Atlantic rainforest. Thereafter, an ecosystem disturbance, which resulted in forest opening, took place. Palaeofires probably did not occur during glacial times, whereas fire events, which were probably caused by Amerindians, were common in the Serra do Tabuleiro region from ca. 10400 until 3600 cal. b.p.","author":[{"dropping-particle":"","family":"Jeske-Pieruschka","given":"Vivian","non-dropping-particle":"","parse-names":false,"suffix":""},{"dropping-particle":"","family":"Pillar","given":"Valerio D.","non-dropping-particle":"","parse-names":false,"suffix":""},{"dropping-particle":"","family":"Oliveira","given":"Marcelo A T","non-dropping-particle":"de","parse-names":false,"suffix":""},{"dropping-particle":"","family":"Behling","given":"Hermann","non-dropping-particle":"","parse-names":false,"suffix":""}],"container-title":"Vegetation History and Archaeobotany","id":"ITEM-2","issue":"4","issued":{"date-parts":[["2013","7","20"]]},"note":"169cm core covering nearly 40.000 years analysed. Finds mostly campos (with some Myrtaceae, though they could be campos spp) from 40,000 - early Holocene, with rise in Atlantic forest from lower levels from about 10,000 BP to 3,300 BP. There's a bit of Araucaria forest 40,000 - 18,000 BP, but it disappears until about 10,000 BP, when it's still fairly rare. There's a big increase of Atlantic forest pollen between 3300 BP and present, and a decent increase of Araucaria forest too (though Aa is only up to 4% max).\n\nThere's a much later Araucaria forest expansion than in other cores. Maybe due to location, maybe because this area wasn't a glacial refugium, but maybe also because of people..?\n\nThe core is chiefly used to interpret climate as it's the only long-term core around other than Cambara do Sul. Also worth bearing in mind that this is quite a lot closer to the coast than most of the other studies I've looked at.","page":"299-314","publisher":"Springer-Verlag","title":"New insights into vegetation, climate and fire history of southern Brazil revealed by a 40,000 year environmental record from the State Park Serra do Tabuleiro","type":"article-journal","volume":"22"},"uris":["http://www.mendeley.com/documents/?uuid=d9a9619d-5dd8-33cc-ba51-570cce662b1d"]},{"id":"ITEM-3","itemData":{"DOI":"10.1016/S0031-0182(03)00687-4","ISBN":"0031-0182","ISSN":"00310182","abstract":"Late Quaternary vegetation, fire and climate dynamics have been studied based on high-resolution dated pollen and charcoal samples and multivariate data analysis. The samples were taken from a 212-cm-long sediment core of a bog in the Cambará do Sul region on the highlands of northeastern Rio Grande do Sul State, Brazil. The records, including seven AMS radiocarbon dates, span 42 840 14C years, for the first time extending the reconstruction of past environmental changes on the southern Brazilian highlands back to the Last Glacial Maximum (LGM) and pre-LGM times. The last 1100 years provide a decadal resolution. Initially the site was a permanent shallow lake which became seasonally dry after 26 900 14C yr BP. Seasonal climate with a long annual dry period prevailed until the late Holocene. The climate was somewhat wetter from 42 840 to 41 470 14C yr BP and from 41 470 to 26 900 14C yr BP than during the LGM and the late-Glacial period. Natural fires were rare, but became very frequent after 7400 cal BP, suggesting human occupation of the southernmost Brazilian highlands since that time. The records suggest that a species-rich Campos (grassland) vegetation existed in the area under a relatively dry and cold climate during glacial times under possibly as low as -10°C. The record also suggests that small populations of Araucaria were probably only present in refugia of deep and protected valleys and/or on wetter coastal slopes. Campos vegetation existed through the early and mid-Holocene until 4320 cal yr BP, after which Araucaria forest expanded into the network of gallery forests along the streams. By 1100 cal yr BP the Araucaria forest replaced the Campos vegetation reflecting the onset of the wettest period with no marked annual dry season. The marked expansion of the Araucaria forest coincided with the reduction in fire. Between AD 1520 and 1770 Weinmannia became a common taxa in the Araucaria forest, suggesting a shift to warmer climatic conditions on the highlands. This interval was synchronous with a cool phase within the Little Ice Age known from North Atlantic land records. After about AD 1780 human activities changed the original forest composition, first by introducing cattle into the forest and than by selective logging of Araucaria trees. Multivariate analysis of the pollen data shows compositional changes that follow a trajectory alternating undirectional, random phases and phases with directional, sometimes fast transitions. The results al…","author":[{"dropping-particle":"","family":"Behling","given":"Hermann","non-dropping-particle":"","parse-names":false,"suffix":""},{"dropping-particle":"","family":"Pillar","given":"Valerio DePatta","non-dropping-particle":"","parse-names":false,"suffix":""},{"dropping-particle":"","family":"Orlóci","given":"László","non-dropping-particle":"","parse-names":false,"suffix":""},{"dropping-particle":"","family":"Bauermann","given":"Soraia Girardi","non-dropping-particle":"","parse-names":false,"suffix":""}],"container-title":"Palaeogeography, Palaeoclimatology, Palaeoecology","id":"ITEM-3","issue":"3-4","issued":{"date-parts":[["2004"]]},"note":"Detailed examination of Cambara do Sul core in NE Rio Grande do Sul, 42,658 C14 yr BP to present. Shows 100 year Campos-Araucaria switch in about 1100 cal yr BP.\n\nNEEDS SOME REINTERPRETING WITH LEONHARDT &amp;amp; LORSCHEITTER 2010. SEE NOTE\n\n(All dates C14 yr BP)\n\n42,840 - 41,470\n83-88% campos pollen, 8-14% Araucaria forest pollen (only 2 grains of A. angustifolia), only one pollen grain from Atlantic forest taxa, aquatics 6-16%, ferns 3-6%. Low conc and accumulation of carbonised particles.\n\n41,4701 - 26,900\n87-94% campos pollen, 3-9% Araucaria forest (less pollen from Myrtaceae), a few single grains of Atlantic forest pollen, less aquatic pollen (3-7%), fewer fern spores (0-3%). Carbonised particles still rare.\n\n26,900 - 10,120\n87-97% campos pollen (though changing composition - Poaceae down, Eryngium up; less Apiaceae), 1-5% Araucaria forest, 0-0.3% Atlantic forest (lowest for both), 1-3% aquatic, lowest time for ferns (but big increase at end of zone). Carbonised particles rare.\n\n10,120 - 3,950 (11,540 - 4,320 cal yr BP)\n74-88% campos but lower near end (Poaceae up from last time; Eryngium get more common; other compositional changes), 3-13% Araucaria forest (up slightly thanks to A. angustifolia and Myrsine), 0-4% Atlantic (up slightly), trace aquatics, big increase of ferns (up to 46%) then decrease by end (to 9%), increase in Dicksonia (0-14%). Lots of carbonised particles higher up in this section.\n\n3950 - 1140 (4320 - 1100 cal yr BP)\n65-84% campos (down a bit but still high; Cyperaceae up, Poaceae and Eryngium down), 13-27% Araucaria forest (mainly A. angustifolia 4-7%, Myrsine and Weinmannia), 2-5% Atlantic forest, fern spores up again (9-40%), Dicksonia common (9-16%). Lots and lots of carbonised particles.\n\n1140 - 410 (1100 - 430 cal yr BP)\nCampos way down and keeps going (55-24%), continuous increase of Araucaria forest pollen (39-80%) with A. angustifolia going up 14-42% and big increase in Mimosa scabrella, no change in Atlantic (2-6%), fewer fern spores (5-19%), highest Dicksonia spore level (9-26%), high point for mosses but decrease later. Low concentration of carbonised particles but higher accumulation than at beginning of core.\n\n410 - -50 (430 - -50 cal yr BP)\nCampos start way down (to 11%) but increase (to 38%, through Cyperaceae then Poaceae) then go down right at the end, Araucaria forest highest early on (87%) but decreases at the end (65%) as A. angustifolia drops off right at the end (41-2%; Mimosa scabrella jumps correspondingly; other changes), nothing much happens with Atlantic forest (2-7%), fern spores go down (21-2%) and Dicksonia crashes by end (19-0.3%). Similar carbonised particles to before.","page":"277-297","title":"Late Quaternary Araucaria forest, grassland (Campos), fire and climate dynamics, studied by high-resolution pollen, charcoal and multivariate analysis of the Cambará do Sul core in southern Brazil","type":"article-journal","volume":"203"},"uris":["http://www.mendeley.com/documents/?uuid=46579170-55fd-37c2-8f78-517419a62e98"]},{"id":"ITEM-4","itemData":{"DOI":"10.1177/0959683611414930","ISSN":"0959-6836","abstract":"We present new palaeoenvironmental data from a 281 cm long sediment core studied by means of pollen and charcoal analyses from Rincão das Cabritas of the São Francisco de Paula area, which lies in the wettest region of southern Brazil at the present time. The high-resolution record, dated with seven AMS dates, spans the last 16 700 cal. BP. The continuous presence of grassland vegetation (Campos) throughout the glacial period reflects cold and markedly drier climatic conditions than today. Nowadays, remote areas of Campos on the highlands represent remnants of an early and widely expanded vegetation of glacial times that was gradually replaced by forest ecosystems during the late Holocene. Araucaria forest began to develop after 3200 cal. BP, with its expansion over Campos starting at about 2950 cal. BP. This was probably due to the presence of a somewhat wetter climate after about 4600 cal. BP, which supported the initial development of forest ecosystems and allowed Atlantic rainforest to spread from the...","author":[{"dropping-particle":"","family":"Jeske-Pieruschka","given":"V.","non-dropping-particle":"","parse-names":false,"suffix":""},{"dropping-particle":"","family":"Behling","given":"H.","non-dropping-particle":"","parse-names":false,"suffix":""}],"container-title":"The Holocene","id":"ITEM-4","issue":"11","issued":{"date-parts":[["2012","11","1"]]},"note":"Study of the Rincao das Cabritas core in Rio Grande do Sul from 16,700 cal yr BP. Not an area of southern proto-Je (instead Caaguaras Indians). Araucaria forest expansion began 2900 yr BP and just kind of continued (no mad expansion), though it increased more during the last 1000 years. They reckon climate was the most important factor controlling forest expansion.\n\nHas a useful table of core coordinates, references and vegetation change summaries.","page":"1251-1262","publisher":"SAGE PublicationsSage UK: London, England","title":"Palaeoenvironmental history of the Sao Francisco de Paula region in southern Brazil during the late Quaternary inferred from the Rincao das Cabritas core","type":"article-journal","volume":"22"},"uris":["http://www.mendeley.com/documents/?uuid=966112de-0d54-3ff6-b35a-5c64de9b42f7"]}],"mendeley":{"formattedCitation":"(Behling et al., 2004; Behling and de Oliveira, 2018; Jeske-Pieruschka et al., 2013; Jeske-Pieruschka and Behling, 2012)","plainTextFormattedCitation":"(Behling et al., 2004; Behling and de Oliveira, 2018; Jeske-Pieruschka et al., 2013; Jeske-Pieruschka and Behling, 2012)","previouslyFormattedCitation":"(Behling et al., 2004; Behling and de Oliveira, 2018; Jeske-Pieruschka et al., 2013; Jeske-Pieruschka and Behling, 2012)"},"properties":{"noteIndex":0},"schema":"https://github.com/citation-style-language/schema/raw/master/csl-citation.json"}</w:instrText>
      </w:r>
      <w:r w:rsidR="00896BCB">
        <w:fldChar w:fldCharType="separate"/>
      </w:r>
      <w:r w:rsidR="00896BCB" w:rsidRPr="0092241C">
        <w:rPr>
          <w:noProof/>
        </w:rPr>
        <w:t>(Behling et al., 2004; Behling and de Oliveira, 2018; Jeske-Pieruschka et al., 2013; Jeske-Pieruschka and Behling, 2012)</w:t>
      </w:r>
      <w:r w:rsidR="00896BCB">
        <w:fldChar w:fldCharType="end"/>
      </w:r>
      <w:r w:rsidR="00126556">
        <w:t xml:space="preserve">, </w:t>
      </w:r>
      <w:r w:rsidR="00706EB6">
        <w:t>they are</w:t>
      </w:r>
      <w:r w:rsidR="00896BCB">
        <w:t xml:space="preserve"> excluded </w:t>
      </w:r>
      <w:r w:rsidR="00C64C1C">
        <w:t xml:space="preserve">from this group </w:t>
      </w:r>
      <w:r w:rsidR="00896BCB">
        <w:t>due to the</w:t>
      </w:r>
      <w:r w:rsidR="00103892">
        <w:t>ir</w:t>
      </w:r>
      <w:r w:rsidR="00896BCB">
        <w:t xml:space="preserve"> absence of </w:t>
      </w:r>
      <w:r w:rsidR="00896BCB" w:rsidRPr="00993612">
        <w:rPr>
          <w:i/>
        </w:rPr>
        <w:t>Weinmannia</w:t>
      </w:r>
      <w:r w:rsidR="00896BCB">
        <w:t xml:space="preserve"> pollen</w:t>
      </w:r>
      <w:r w:rsidR="00913887">
        <w:t>.</w:t>
      </w:r>
      <w:r w:rsidR="00055EAA">
        <w:t xml:space="preserve"> Instead, </w:t>
      </w:r>
      <w:r w:rsidR="00103892">
        <w:t>our plots</w:t>
      </w:r>
      <w:r w:rsidR="00913887">
        <w:t xml:space="preserve"> would likely be </w:t>
      </w:r>
      <w:r w:rsidR="00EA270B">
        <w:t>included in the disparate</w:t>
      </w:r>
      <w:r w:rsidR="002C6F75">
        <w:t xml:space="preserve"> ‘low Poaceae subtropical-tropical’ (LPST)</w:t>
      </w:r>
      <w:r w:rsidR="00EA270B">
        <w:t xml:space="preserve"> group</w:t>
      </w:r>
      <w:r w:rsidR="002C6F75">
        <w:t xml:space="preserve">, </w:t>
      </w:r>
      <w:r w:rsidR="00920D96">
        <w:t xml:space="preserve">along with two sites </w:t>
      </w:r>
      <w:r w:rsidR="002C6F75">
        <w:t>in Santa Catarina’s coastal tropical forest (9-10</w:t>
      </w:r>
      <w:r w:rsidR="001233A0">
        <w:t xml:space="preserve"> </w:t>
      </w:r>
      <w:r w:rsidR="002C6F75">
        <w:t>m</w:t>
      </w:r>
      <w:r w:rsidR="00E068D9">
        <w:t xml:space="preserve"> </w:t>
      </w:r>
      <w:r w:rsidR="002C6F75">
        <w:t xml:space="preserve">a.s.l.) </w:t>
      </w:r>
      <w:r w:rsidR="002C6F75">
        <w:fldChar w:fldCharType="begin" w:fldLock="1"/>
      </w:r>
      <w:r w:rsidR="0006304A">
        <w:instrText>ADDIN CSL_CITATION {"citationItems":[{"id":"ITEM-1","itemData":{"DOI":"10.1016/S0031-0182(97)88177-1","ISBN":"0031-0182","ISSN":"00310182","abstract":"Late Quaternary paleoenvironments have been interpreted from a 35,000 yr B.P. pollen and charcoal record from Morro de Itapeva (22''47'S, 45''32'W, 1850 m a.s.l.) in the SE Brazilian highlands. Changes in taxa composition and elevational shifts in high elevation grassland (campos de altitude), Araucaria forest, cloud forest and Atlantic rain forest, all of which can be found in the study area today, indicate climatic changes in the past. Expanded high elevation grasslands, absence of Araucaria forest, cloud forest and Atlantic rain forest during the recorded last glacial period (ca. 35,000-17,000 yr B.P.) suggest a climate markedly cooler and drier than today. Development of a Sphagnum peat bog, rare presence of Araucaria forest taxa and existence of a narrow cloud forest and rain forest belt at lower elevations during the late glacial period (17,000-ca. 10,000 yr B.P.) indicate a change to a cool and somewhat moister climates. During the early Holocene cloud forest developed close to the study site, reflecting a warm and moist climate on the east facing slopes, but a drier climate on the highland plateau, evidenced by the rare presence of Araucaria and Podocarpus. Only during the late Holocene moisture increases in the highlands, suggested by the higher frequency of Araucaria and Podocarpus. Fires were more frequent daring the last glacial than during the Holocene.","author":[{"dropping-particle":"","family":"Behling","given":"Hermann","non-dropping-particle":"","parse-names":false,"suffix":""}],"container-title":"Palaeogeography, Palaeoclimatology, Palaeoecology","id":"ITEM-1","issue":"3-4","issued":{"date-parts":[["1997"]]},"note":"USE TO COMPARE WITH LEDRU 1993 ON MOIST LGM (OR NOT - SEE PART 4.1 IN THIS PAPER)\n\nAnalysis of the 142cm core at Morro de Itapeva to look back over 35,000 yr BP of vegetation changes on the Serra de Mantiqueira. There are quite a few differences to some S Brazil records because influences on climate differ between there and SE Brazil where this is. The pollen diagram does show an increase in Aa around 1000 yr BP but as mentioned in the discussion it's not pronounced. This could be due to climatic differences, but it's not inconceivable that no spJ meant no spread.\n\nReally useful diagram showing the relation between elevation, rainfall, distance from the ocean, and vegetation types. Also useful bits on the meaning of different pollen taxa for the palaeoecological record, and a fair diagram on the climatic changes recorded in different places.","page":"407-422","title":"Late Quaternary vegetation, climate and fire history from the tropical mountain region of Morro de Itapeva, SE Brazil","type":"article-journal","volume":"129"},"uris":["http://www.mendeley.com/documents/?uuid=06644376-eb15-3141-b819-60ab5253043f"]},{"id":"ITEM-2","itemData":{"DOI":"10.1007/BF00203932","ISBN":"0939-6314","ISSN":"09396314","abstract":"Palynological studies have been carried out on three highland peat bogs, and one situated on the Atlan- tic coastal plain. In the highlands, the late Pleistocene (14,000 - 10,000 uncal B.P.) vegetation was dominated by campos (grassland). Scattered stands of Araucaria forests were preserved in deep valleys. In the region of the sites at Morro da Igreja and Serra do Rio Rastro, the dominance of campos vegetation continued until about 1000 B.P. while at the Serra da Boa Vista site there was an expansion of Atlantic pluvial forest elements fol- lowed by Araucaria forests at the beginning of the Holocene. A general expansion of A. anguslifolia, clear- ly related to a change towards an increasingly moist cli- mate, can be dated to the present millenium. On the coastal plains, the late Pleistocene vegetation was domi- nated by Myrtaceae which were replaced by tropical taxa in the Holocene. The lowland profile (Pogo Grande) also covers part of the upper Holocene, where the rich flora of the Atlantic pluvial forests can be characterized by taxa including Alchornea, Urticales and Rapanea. Close to the coring site, there was a repeated alternation be- tween two different dune communities (4840 - 4590 B.P.), followed by a lake stage with aquatic plant succes- sion (4590 - 4265 B.P.), plant communities dominated by Rapanea (4265 - 4230 B.P.) and the spread of Alchornea (4230 - 3525 B.P.). Late Pleistocene climate conditions (14,000 - 10,000 B.P.) can be described as cold and relatively dry, possibly including an equivalent of the Younger Dryas period. In the Holocene, there were changes from a warm and drier climate (10,000 - ~3000 B.P.) to a cool and more moist regime (ca. 3000 - ca. 1000 B.P.) and finally to a cool and very moist period (from around 1000 B.P.).","author":[{"dropping-particle":"","family":"Behling","given":"Hermann","non-dropping-particle":"","parse-names":false,"suffix":""}],"container-title":"Vegetation History and Archaeobotany","id":"ITEM-2","issue":"3","issued":{"date-parts":[["1995","9"]]},"page":"127-152","publisher":"Springer-Verlag","title":"Investigations into the late Pleistocene and Holocene history of vegetation and climate in Santa Catarina (S Brazil)","type":"article-journal","volume":"4"},"uris":["http://www.mendeley.com/documents/?uuid=fcea03a7-e07e-3d31-94a9-b68f1fec0a97"]}],"mendeley":{"formattedCitation":"(Behling, 1997b, 1995)","plainTextFormattedCitation":"(Behling, 1997b, 1995)","previouslyFormattedCitation":"(Behling, 1997b, 1995)"},"properties":{"noteIndex":0},"schema":"https://github.com/citation-style-language/schema/raw/master/csl-citation.json"}</w:instrText>
      </w:r>
      <w:r w:rsidR="002C6F75">
        <w:fldChar w:fldCharType="separate"/>
      </w:r>
      <w:r w:rsidR="002C6F75" w:rsidRPr="00CA1B8D">
        <w:rPr>
          <w:noProof/>
        </w:rPr>
        <w:t>(Behling, 1997b, 1995)</w:t>
      </w:r>
      <w:r w:rsidR="002C6F75">
        <w:fldChar w:fldCharType="end"/>
      </w:r>
      <w:r w:rsidR="002C6F75">
        <w:t xml:space="preserve">, one in northern Argentina at the westernmost limit of </w:t>
      </w:r>
      <w:r w:rsidR="00547B38" w:rsidRPr="00301AE1">
        <w:rPr>
          <w:i/>
        </w:rPr>
        <w:t>Araucaria</w:t>
      </w:r>
      <w:r w:rsidR="00547B38">
        <w:t xml:space="preserve"> forest </w:t>
      </w:r>
      <w:r w:rsidR="002C6F75">
        <w:t>taxa (604</w:t>
      </w:r>
      <w:r w:rsidR="001233A0">
        <w:t xml:space="preserve"> </w:t>
      </w:r>
      <w:r w:rsidR="002C6F75">
        <w:t>m</w:t>
      </w:r>
      <w:r w:rsidR="00E068D9">
        <w:t xml:space="preserve"> </w:t>
      </w:r>
      <w:r w:rsidR="002C6F75">
        <w:t xml:space="preserve">a.s.l.) </w:t>
      </w:r>
      <w:r w:rsidR="002C6F75">
        <w:fldChar w:fldCharType="begin" w:fldLock="1"/>
      </w:r>
      <w:r w:rsidR="005A4773">
        <w:instrText>ADDIN CSL_CITATION {"citationItems":[{"id":"ITEM-1","itemData":{"DOI":"10.1016/j.revpalbo.2011.04.006","ISBN":"0034-6667","ISSN":"00346667","abstract":"This paper presents the late Holocene vegetation and fire history record from Parque Provincial Cruce Caballero, Misiones, NE Argentina (26?? 30'' 55.35'' S, 53?? 59'' 44.73'' W). The pollen and charcoal content of the 194. cm deep sediment core dating to ca. 1840. cal. yr BP permitted the recognition of three distinct zones. Zone CC. -1 (before ca. 1810. cal. yr BP) was characterised by a forest dominated by Myrtaceae that also included other forest taxa like Alchornea, Trema and Moraceae/Urticaceae. The presence of Zea mays (maize) pollen grains around 1840. cal. yr BP suggests the presence of pre-Colombian groups in the region who practiced food-production. Zone CC. -2 (ca. 1810 to ca. 40. cal. yr BP) witnessed the establishment of an herbaceous wetland in the locality as evidenced by the formation of peat and the increase in wetland taxa, in particular the Cyperaceae, indicating the change to a wetter and less seasonal climate that appears to be coeval with pollen records and soil-depth profiles' carbon isotope records documented in other regions of the southern Brazilian highlands during the late Holocene. The basal section of this zone also documents the arrival of Araucaria angustifolia trees to the region, the presence of maize, and a moderate increase in fires that could be related to more intense human activity in the region. The upper section of this zone shows a slight increase in A. angustifolia paralleled by a raise of other typical elements of mixed Araucaria forests like Clethra, Ilex, Myrsine and Podocarpus. Zone CC. -3 (ca. 40. cal. yr BP-today) shows a major increase in trees and ferns (particularly Osmunda) at the expense of sedges and grasses evidencing a local change from a wetland dominated herbaceous vegetation to the one dominated by arboreal taxa and ferns that exists today. This zone also shows a reduction in regional fires and the disappearance of local fires that seems to be associated to the creation of the Parque Provincial Cruce Caballero. Poaceae pollen percentages remained relatively low throughout the sequence indicating that the region did not support Campos (grassland) vegetation but was a forested landscape during the late Holocene. ?? 2011 Elsevier B.V.","author":[{"dropping-particle":"","family":"Gessert","given":"Sarah","non-dropping-particle":"","parse-names":false,"suffix":""},{"dropping-particle":"","family":"Iriarte","given":"José","non-dropping-particle":"","parse-names":false,"suffix":""},{"dropping-particle":"","family":"Ríos","given":"Román Carlos","non-dropping-particle":"","parse-names":false,"suffix":""},{"dropping-particle":"","family":"Behling","given":"Hermann","non-dropping-particle":"","parse-names":false,"suffix":""}],"container-title":"Review of Palaeobotany and Palynology","id":"ITEM-1","issue":"1-2","issued":{"date-parts":[["2011"]]},"note":"Interesting paper because it is in an Argentine Araucaria forest zone around archaeological sites (also Je-ish) but there was no great expansion of Araucaria forest. See below.\n\nI wonder why there wasn't such a marked expansion of Araucaria forest here? What's different? Not that it's miles from archaeology (see map, xyz)... Is it because it's a transitional zone? (*, qqq) Does this suggest that climate was more responsible for spread? Or is the increase in trees even here a support for humans affecting this landscape too?","page":"29-37","title":"Late Holocene vegetation and environmental dynamics of the Araucaria forest region in Misiones Province, NE Argentina","type":"article-journal","volume":"166"},"uris":["http://www.mendeley.com/documents/?uuid=e4bbd69b-dc55-3b59-b56f-8f2fa667c51d"]}],"mendeley":{"formattedCitation":"(Gessert et al., 2011)","plainTextFormattedCitation":"(Gessert et al., 2011)","previouslyFormattedCitation":"(Gessert et al., 2011)"},"properties":{"noteIndex":0},"schema":"https://github.com/citation-style-language/schema/raw/master/csl-citation.json"}</w:instrText>
      </w:r>
      <w:r w:rsidR="002C6F75">
        <w:fldChar w:fldCharType="separate"/>
      </w:r>
      <w:r w:rsidR="002C6F75" w:rsidRPr="000526B7">
        <w:rPr>
          <w:noProof/>
        </w:rPr>
        <w:t>(Gessert et al., 2011)</w:t>
      </w:r>
      <w:r w:rsidR="002C6F75">
        <w:fldChar w:fldCharType="end"/>
      </w:r>
      <w:r w:rsidR="002C6F75">
        <w:t xml:space="preserve">, and </w:t>
      </w:r>
      <w:r w:rsidR="00AF1EEC">
        <w:t>an</w:t>
      </w:r>
      <w:r w:rsidR="002C6F75">
        <w:t>other at low altitude in south-central Rio Grande do Sul (176</w:t>
      </w:r>
      <w:r w:rsidR="001233A0">
        <w:t xml:space="preserve"> </w:t>
      </w:r>
      <w:r w:rsidR="002C6F75">
        <w:t>m</w:t>
      </w:r>
      <w:r w:rsidR="00E068D9">
        <w:t xml:space="preserve"> </w:t>
      </w:r>
      <w:r w:rsidR="002C6F75">
        <w:t xml:space="preserve">a.s.l.) </w:t>
      </w:r>
      <w:r w:rsidR="00C8063D">
        <w:fldChar w:fldCharType="begin" w:fldLock="1"/>
      </w:r>
      <w:r w:rsidR="00446109">
        <w:instrText>ADDIN CSL_CITATION {"citationItems":[{"id":"ITEM-1","itemData":{"DOI":"10.1007/s00334-016-0558-y","ISBN":"0939-6314","ISSN":"09396314","abstract":"In south and southeast Brazil land use caused profound changes in natural vegetation and consequently the value of the pollen composition in surface samples as modern analogues. In order to test the capability of modern pollen to represent the natural vegetation, three different time slices of pollen assemblages from 27 sites spread over southern and south-eastern Brazil and the Misiones Province in Argentina were collated. Pollen samples from the pre-colonization period, selected from the moment just before abrupt changes evidenced on pollen diagrams caused by the colonization process throughout the last 500 years, were assumed to represent the natural vegetation conditions once the climate remained stable within this period. Thus we used pre-colonization assemblages to compare with modern samples to explore to what extent surface pollen may be biased in representing the natural vegetation types. Furthermore, to compare man made vegetation change to climate driven vegetation change we also compared to these 20 out of 27 samples dated to 3,000 years bp. Guided by ordination and cluster analysis, but using abundance thresholds of indicator taxa we classified the pollen spectra of pre-colonization time into seven groups consistent with the main vegetation types in the area. Ordination analyses capture the differentiation between grassland and forested vegetation and between tropical and subtropical vegetation types. Comparing the pre-colonization with other time slices we observed that based on Poaceae abundance, 70 and 85 % respectively of sites from 3,000 bp and modern assemblages maintained their classification. Based on finer classification criteria these values decreased to 40 and 52 % respectively. Square chord dissimilarity indicates that colonization impact altered the pollen composition as strongly as 3,000 years of climate induced vegetation change. The surface samples still represent important environmental gradients; however, their use as modern analogue requires careful treatment and eventual exclusion of highly impacted sites.","author":[{"dropping-particle":"","family":"Rodrigues","given":"Jackson Martins","non-dropping-particle":"","parse-names":false,"suffix":""},{"dropping-particle":"","family":"Behling","given":"Hermann","non-dropping-particle":"","parse-names":false,"suffix":""},{"dropping-particle":"","family":"Giesecke","given":"Thomas","non-dropping-particle":"","parse-names":false,"suffix":""}],"container-title":"Vegetation History and Archaeobotany","id":"ITEM-1","issue":"4","issued":{"date-parts":[["2016","7","12"]]},"note":"Paper laying out a way of classifying past pollen assemblages into vegetation types (see fig3). These are essentially campos, campos de altitude, semi-deciduous forest, subtropical forest and parkland savannah (Cerrado-ish), but ARF can't be unambiguously recognised. \n\nSuggests modern pollen assemblages might not be ideal as analogues of past vegetation communities because of changes in them - caution required.","page":"387-403","publisher":"Springer Berlin Heidelberg","title":"Differentiating vegetation types from eastern South American ecosystems based on modern and subfossil pollen samples: evaluating modern analogues","type":"article-journal","volume":"25"},"prefix":"Santa Mônica, unpublished, cited in ","uris":["http://www.mendeley.com/documents/?uuid=e80053a5-176d-37ce-aeb5-47b52046c986"]}],"mendeley":{"formattedCitation":"(Santa Mônica, unpublished, cited in Rodrigues et al., 2016b)","plainTextFormattedCitation":"(Santa Mônica, unpublished, cited in Rodrigues et al., 2016b)","previouslyFormattedCitation":"(Santa Mônica, unpublished, cited in Rodrigues et al., 2016b)"},"properties":{"noteIndex":0},"schema":"https://github.com/citation-style-language/schema/raw/master/csl-citation.json"}</w:instrText>
      </w:r>
      <w:r w:rsidR="00C8063D">
        <w:fldChar w:fldCharType="separate"/>
      </w:r>
      <w:r w:rsidR="00A60FC1" w:rsidRPr="00A60FC1">
        <w:rPr>
          <w:noProof/>
        </w:rPr>
        <w:t>(Santa Mônica, unpublished, cited in Rodrigues et al., 2016b)</w:t>
      </w:r>
      <w:r w:rsidR="00C8063D">
        <w:fldChar w:fldCharType="end"/>
      </w:r>
      <w:r w:rsidR="00A60FC1" w:rsidDel="00AC19ED">
        <w:t xml:space="preserve"> </w:t>
      </w:r>
      <w:r w:rsidR="002C6F75">
        <w:t xml:space="preserve">. </w:t>
      </w:r>
      <w:r w:rsidR="005A7989">
        <w:t>The</w:t>
      </w:r>
      <w:r w:rsidR="002B618A">
        <w:t xml:space="preserve"> significant</w:t>
      </w:r>
      <w:r w:rsidR="00CD44AF">
        <w:t xml:space="preserve"> altitudinal, geographical and</w:t>
      </w:r>
      <w:r w:rsidR="002B618A">
        <w:t xml:space="preserve"> floristic differences between these</w:t>
      </w:r>
      <w:r w:rsidR="005A7989">
        <w:t xml:space="preserve"> sites</w:t>
      </w:r>
      <w:r w:rsidR="002B618A">
        <w:t xml:space="preserve"> </w:t>
      </w:r>
      <w:r w:rsidR="00D83A1A">
        <w:t>suggest</w:t>
      </w:r>
      <w:r w:rsidR="002B618A">
        <w:t>s</w:t>
      </w:r>
      <w:r w:rsidR="00D83A1A">
        <w:t xml:space="preserve"> LPST may not be a </w:t>
      </w:r>
      <w:r w:rsidR="00AF0872">
        <w:t xml:space="preserve">true </w:t>
      </w:r>
      <w:r w:rsidR="00D83A1A">
        <w:t>grouping</w:t>
      </w:r>
      <w:r w:rsidR="0045261E">
        <w:t xml:space="preserve">, and that </w:t>
      </w:r>
      <w:r w:rsidR="00D47371">
        <w:t>the</w:t>
      </w:r>
      <w:r w:rsidR="0045261E">
        <w:t xml:space="preserve"> </w:t>
      </w:r>
      <w:r w:rsidR="00AB0660">
        <w:t>classification of</w:t>
      </w:r>
      <w:r w:rsidR="0045261E">
        <w:t xml:space="preserve"> south</w:t>
      </w:r>
      <w:r w:rsidR="00623BC6">
        <w:t>ern</w:t>
      </w:r>
      <w:r w:rsidR="0045261E">
        <w:t xml:space="preserve"> Brazil’s forests </w:t>
      </w:r>
      <w:r w:rsidR="00AB0660">
        <w:t xml:space="preserve">by their pollen spectra </w:t>
      </w:r>
      <w:r w:rsidR="0045261E">
        <w:t xml:space="preserve">will </w:t>
      </w:r>
      <w:r w:rsidR="002C6F75">
        <w:t xml:space="preserve">improve as more westerly </w:t>
      </w:r>
      <w:r w:rsidR="00AB0660">
        <w:t>plateau</w:t>
      </w:r>
      <w:r w:rsidR="002C6F75">
        <w:t xml:space="preserve"> sites, with different assemblages of </w:t>
      </w:r>
      <w:r w:rsidR="002C6F75" w:rsidRPr="004F4229">
        <w:rPr>
          <w:i/>
        </w:rPr>
        <w:t>Araucaria</w:t>
      </w:r>
      <w:r w:rsidR="002C6F75">
        <w:t xml:space="preserve"> forest, are studied</w:t>
      </w:r>
      <w:r w:rsidR="00AB0660">
        <w:t>.</w:t>
      </w:r>
    </w:p>
    <w:p w14:paraId="79568C4D" w14:textId="1F350166" w:rsidR="00BA66EE" w:rsidRDefault="00424220" w:rsidP="001C1F44">
      <w:pPr>
        <w:pStyle w:val="Mynormal"/>
      </w:pPr>
      <w:r>
        <w:t xml:space="preserve">Most of the </w:t>
      </w:r>
      <w:r w:rsidR="00A7361B">
        <w:t>taxa widely used in palaeoecological studies were here found to be</w:t>
      </w:r>
      <w:r w:rsidR="00EF7A5E">
        <w:t xml:space="preserve"> over-represented</w:t>
      </w:r>
      <w:r w:rsidR="00592389">
        <w:t xml:space="preserve"> in the</w:t>
      </w:r>
      <w:r w:rsidR="00EF7A5E">
        <w:t xml:space="preserve"> pollen</w:t>
      </w:r>
      <w:r w:rsidR="00592389">
        <w:t xml:space="preserve"> </w:t>
      </w:r>
      <w:r w:rsidR="00041061">
        <w:t>record</w:t>
      </w:r>
      <w:r w:rsidR="00592389">
        <w:t xml:space="preserve"> </w:t>
      </w:r>
      <w:r w:rsidR="00295F89">
        <w:t>(</w:t>
      </w:r>
      <w:r w:rsidR="00295F89" w:rsidRPr="00C9258F">
        <w:rPr>
          <w:i/>
        </w:rPr>
        <w:t>Araucaria, Myrsine, Podocarpus, Lamanonia</w:t>
      </w:r>
      <w:r w:rsidR="00295F89">
        <w:t xml:space="preserve">) </w:t>
      </w:r>
      <w:r w:rsidR="00592389">
        <w:t xml:space="preserve">or under-represented but </w:t>
      </w:r>
      <w:r w:rsidR="00A03F02">
        <w:t xml:space="preserve">very </w:t>
      </w:r>
      <w:r w:rsidR="00295F89">
        <w:t>abundant</w:t>
      </w:r>
      <w:r w:rsidR="00A6787D">
        <w:t xml:space="preserve"> </w:t>
      </w:r>
      <w:r w:rsidR="00295F89">
        <w:t xml:space="preserve">in the vegetation </w:t>
      </w:r>
      <w:r w:rsidR="00592389">
        <w:t>(</w:t>
      </w:r>
      <w:r w:rsidR="00B07F91">
        <w:t>Myrtaceae</w:t>
      </w:r>
      <w:r w:rsidR="00FE7E7F">
        <w:t>, such as</w:t>
      </w:r>
      <w:r w:rsidR="008C1FC6">
        <w:t xml:space="preserve"> </w:t>
      </w:r>
      <w:r w:rsidR="009302DB" w:rsidRPr="00C9258F">
        <w:rPr>
          <w:i/>
        </w:rPr>
        <w:t>Eugenia</w:t>
      </w:r>
      <w:r w:rsidR="00AD0828">
        <w:rPr>
          <w:i/>
        </w:rPr>
        <w:t xml:space="preserve"> </w:t>
      </w:r>
      <w:r w:rsidR="00AD0828" w:rsidRPr="00AD0828">
        <w:t>and</w:t>
      </w:r>
      <w:r w:rsidR="009302DB">
        <w:rPr>
          <w:i/>
        </w:rPr>
        <w:t xml:space="preserve"> Calyptranthes</w:t>
      </w:r>
      <w:r w:rsidR="0039182D">
        <w:t xml:space="preserve"> which are</w:t>
      </w:r>
      <w:r w:rsidR="009302DB">
        <w:t xml:space="preserve"> rarely distinguished</w:t>
      </w:r>
      <w:r w:rsidR="008C1FC6">
        <w:t xml:space="preserve"> to genus</w:t>
      </w:r>
      <w:r w:rsidR="009302DB">
        <w:t xml:space="preserve"> in fossil pollen</w:t>
      </w:r>
      <w:r w:rsidR="00592389">
        <w:t>)</w:t>
      </w:r>
      <w:r w:rsidR="002449E0">
        <w:t xml:space="preserve">. </w:t>
      </w:r>
      <w:r w:rsidR="007F58B9">
        <w:t xml:space="preserve">Fossil </w:t>
      </w:r>
      <w:r w:rsidR="00787939" w:rsidRPr="00AD6408">
        <w:rPr>
          <w:i/>
        </w:rPr>
        <w:t>Lithraea</w:t>
      </w:r>
      <w:r w:rsidR="00787939" w:rsidRPr="00AD6408">
        <w:t xml:space="preserve"> pollen is</w:t>
      </w:r>
      <w:r w:rsidR="0054552C">
        <w:t xml:space="preserve"> quite</w:t>
      </w:r>
      <w:r w:rsidR="00787939" w:rsidRPr="00AD6408">
        <w:t xml:space="preserve"> often identified </w:t>
      </w:r>
      <w:r w:rsidR="00787939" w:rsidRPr="00AD6408">
        <w:fldChar w:fldCharType="begin" w:fldLock="1"/>
      </w:r>
      <w:r w:rsidR="00A70A70">
        <w:instrText>ADDIN CSL_CITATION {"citationItems":[{"id":"ITEM-1","itemData":{"DOI":"10.1016/j.revpalbo.2004.10.004","ISSN":"00346667","abstract":"We present a detailed pollen and charcoal record of a 368-cm-long sediment core from the lowland Campos (grassland) region near the city of São Francisco de Assis in the western Rio Grande do Sul State in southern Brazil. Based on four AMS radiocarbon dates, the record represents the last about 22,000 cal yr BP. The region was naturally covered by Campos throughout the recorded glacial and Holocene period under cold and relatively dry and warm and dry condition, respectively. Initial expansion of gallery forest after 5170 cal yr BP indicates a change to wetter climatic conditions. Maximum extent of gallery forest after 1550 cal yr BP reflects the wettest recorded period. There is some evidence of plant migration from the eastern Atlantic coastal lowland reaching the western lowland, first after mid Holocene times by Cecropia and, possibly, species of Myrsine and Moraceae and later, after about 1000 cal yr BP, by species of Alchornea and Acalypha. Multivariate analysis revealed that the long-term pollen composition dynamics is a two-phase process, with random, chaotic changes characterizing some periods when climate conditions were likely more stable, and directional compositional changes (phase transitions) in periods coincide with major climate and/or anthropogenic changes. Natural fires were rare during full- and lateglacial periods, but became frequent at the beginning of the Holocene, suggesting the beginning of human occupation of the western lowland at that time. Highest fire frequency is found during the wet late Holocene period, suggesting an increase of indigenous populations in the São Francisco de Assis region.","author":[{"dropping-particle":"","family":"Behling","given":"Hermann","non-dropping-particle":"","parse-names":false,"suffix":""},{"dropping-particle":"","family":"Pillar","given":"Valerio DePatta","non-dropping-particle":"","parse-names":false,"suffix":""},{"dropping-particle":"","family":"Bauermann","given":"Soraia Girardi","non-dropping-particle":"","parse-names":false,"suffix":""}],"container-title":"Review of Palaeobotany and Palynology","id":"ITEM-1","issue":"3","issued":{"date-parts":[["2005"]]},"note":"NOT ABOUT ARAUCARIA FOREST (lowlands)\n\nSao Francisco de Assis core in RS studied. 380cm covering 23,011 cal yr BP (but only pollen from 22,150 cal yr BP). It's been campos forever, basically, but there was a small increase in (non-Araucaria) gallery forest from 5170 cal yr BP, and a proper expansion from 1550 cal yr BP when things got wetter. Fires also started in the early Holocene and became 'very frequent' after 7400 cal yr BP. Fire frequency was highest in the wettest times of the late Holocene - higher levels of occupation.","page":"235-248","title":"Late Quaternary grassland (Campos), gallery forest, fire and climate dynamics, studied by pollen, charcoal and multivariate analysis of the São Francisco de Assis core in western Rio Grande do Sul (southern Brazil)","type":"article-journal","volume":"133"},"uris":["http://www.mendeley.com/documents/?uuid=d4545a43-a8ec-300b-91e9-5a32c11327db"]},{"id":"ITEM-2","itemData":{"DOI":"10.1007/s00334-006-0078-2","ISBN":"0939-6314\\r1617-6278","ISSN":"09396314","abstract":"Late Quaternary vegetation, fire and climate dy- namics were studied by pollen and charcoal analysis on a sediment core from near the summit of the Serra do Arac ¸atuba at 1500 m elevation, part of the Serra do Mar coastal mountains of Paran´ a State, southern Brazil. Three radiocarbon dates indicate that clay and peat were deposited in a shallow basin during the last 14,880 b.p. Accumula- tion was probably continuous, but sedimentary gaps dur- ing the dry mid Holocene cannot be excluded. During late- glacial times the upper coastal mountain were covered with grassland, reflecting relatively dry and cold climatic con- ditions. Large areas of natural grasslands remained in the upper mountain region during the Holocene. Only after 2000 b.p. did Araucaria forest trees, specially Ilex, some Atlantic forest trees as well as the pioneer Myrsine move to higher elevations, reflecting markedly wetter climatic con- ditions. This expansion stopped and the forest areas were reduced significantly by human activities during about the last 200–300 years. The modern grassland vegetation of the uppermost mountains may reflect the natural setting, but may also partly result from post-Columbian human activ- ities. Fires were rare during the late Pleistocene and even less frequent during the early and mid Holocene. During the wettest recorded period of the late Holocene fires increased markedly and are therefore most probably of anthropogenic origin.","author":[{"dropping-particle":"","family":"Behling","given":"Hermann","non-dropping-particle":"","parse-names":false,"suffix":""}],"container-title":"Vegetation History and Archaeobotany","id":"ITEM-2","issue":"2-3","issued":{"date-parts":[["2007","12","19"]]},"note":"Analysis of the 121cm core from Serra do Aracatuba over the last 14,880 cal yr BP. Results are broadly similar to other records, but with different timing (altitude?). No massive Aa expansion but expansion of Araucaria forest (a bit distant from the bog) was mainly due to Ilex expansion. \n\nInteresting reclassification of Myrsine as 'other' - bear in mind for other reinterpretations.\n\nReally interesting comment on p83 on the difference between climate inferred from pollen records and that from speleothems. Worth exploring.","page":"77-85","publisher":"Springer-Verlag","title":"Late Quaternary vegetation, fire and climate dynamics of Serra do Aracatuba in the Atlantic coastal mountains of Parana State, southern Brazil","type":"article-journal","volume":"16"},"uris":["http://www.mendeley.com/documents/?uuid=e0e2dc1c-e00c-3bb1-b5f2-761f12b3cc39"]},{"id":"ITEM-3","itemData":{"DOI":"10.1590/1678-4324-2016150264","ISSN":"1516-8913","author":[{"dropping-particle":"","family":"Behling","given":"Hermann","non-dropping-particle":"","parse-names":false,"suffix":""},{"dropping-particle":"","family":"Verissimo","given":"Nuno","non-dropping-particle":"","parse-names":false,"suffix":""},{"dropping-particle":"","family":"Bauermann","given":"Soraia","non-dropping-particle":"","parse-names":false,"suffix":""},{"dropping-particle":"","family":"Bordignon","given":"Sergio","non-dropping-particle":"","parse-names":false,"suffix":""},{"dropping-particle":"","family":"Evaldt","given":"Andreia","non-dropping-particle":"","parse-names":false,"suffix":""}],"container-title":"Brazilian Archives of Biology and Technology","id":"ITEM-3","issue":"e16150264","issued":{"date-parts":[["2016"]]},"note":"Short core in southern RS (500 years) looking at origins of Araucaria fragments, with vegetation survey as backup. Seems like they're natural (natural phytosociology), but can't be sure. Not introduced with first European settlers. I disagree with some conclusions - wonder whether the increase of Aa around 1650 is due to humans rather than climate...","publisher":"Tecpar","title":"Late Holocene Vegetation History and Early Evidence of Araucaria angustifolia in Caçapava do Sul in the Lowland Region of Rio Grande do Sul State, Southern Brazil","type":"article-journal","volume":"59"},"uris":["http://www.mendeley.com/documents/?uuid=3ecc780d-806f-356b-8729-d7202727a397"]},{"id":"ITEM-4","itemData":{"DOI":"10.1016/j.revpalbo.2011.04.006","ISBN":"0034-6667","ISSN":"00346667","abstract":"This paper presents the late Holocene vegetation and fire history record from Parque Provincial Cruce Caballero, Misiones, NE Argentina (26?? 30'' 55.35'' S, 53?? 59'' 44.73'' W). The pollen and charcoal content of the 194. cm deep sediment core dating to ca. 1840. cal. yr BP permitted the recognition of three distinct zones. Zone CC. -1 (before ca. 1810. cal. yr BP) was characterised by a forest dominated by Myrtaceae that also included other forest taxa like Alchornea, Trema and Moraceae/Urticaceae. The presence of Zea mays (maize) pollen grains around 1840. cal. yr BP suggests the presence of pre-Colombian groups in the region who practiced food-production. Zone CC. -2 (ca. 1810 to ca. 40. cal. yr BP) witnessed the establishment of an herbaceous wetland in the locality as evidenced by the formation of peat and the increase in wetland taxa, in particular the Cyperaceae, indicating the change to a wetter and less seasonal climate that appears to be coeval with pollen records and soil-depth profiles' carbon isotope records documented in other regions of the southern Brazilian highlands during the late Holocene. The basal section of this zone also documents the arrival of Araucaria angustifolia trees to the region, the presence of maize, and a moderate increase in fires that could be related to more intense human activity in the region. The upper section of this zone shows a slight increase in A. angustifolia paralleled by a raise of other typical elements of mixed Araucaria forests like Clethra, Ilex, Myrsine and Podocarpus. Zone CC. -3 (ca. 40. cal. yr BP-today) shows a major increase in trees and ferns (particularly Osmunda) at the expense of sedges and grasses evidencing a local change from a wetland dominated herbaceous vegetation to the one dominated by arboreal taxa and ferns that exists today. This zone also shows a reduction in regional fires and the disappearance of local fires that seems to be associated to the creation of the Parque Provincial Cruce Caballero. Poaceae pollen percentages remained relatively low throughout the sequence indicating that the region did not support Campos (grassland) vegetation but was a forested landscape during the late Holocene. ?? 2011 Elsevier B.V.","author":[{"dropping-particle":"","family":"Gessert","given":"Sarah","non-dropping-particle":"","parse-names":false,"suffix":""},{"dropping-particle":"","family":"Iriarte","given":"José","non-dropping-particle":"","parse-names":false,"suffix":""},{"dropping-particle":"","family":"Ríos","given":"Román Carlos","non-dropping-particle":"","parse-names":false,"suffix":""},{"dropping-particle":"","family":"Behling","given":"Hermann","non-dropping-particle":"","parse-names":false,"suffix":""}],"container-title":"Review of Palaeobotany and Palynology","id":"ITEM-4","issue":"1-2","issued":{"date-parts":[["2011"]]},"note":"Interesting paper because it is in an Argentine Araucaria forest zone around archaeological sites (also Je-ish) but there was no great expansion of Araucaria forest. See below.\n\nI wonder why there wasn't such a marked expansion of Araucaria forest here? What's different? Not that it's miles from archaeology (see map, xyz)... Is it because it's a transitional zone? (*, qqq) Does this suggest that climate was more responsible for spread? Or is the increase in trees even here a support for humans affecting this landscape too?","page":"29-37","title":"Late Holocene vegetation and environmental dynamics of the Araucaria forest region in Misiones Province, NE Argentina","type":"article-journal","volume":"166"},"uris":["http://www.mendeley.com/documents/?uuid=e4bbd69b-dc55-3b59-b56f-8f2fa667c51d"]}],"mendeley":{"formattedCitation":"(Behling, 2007; Behling et al., 2016, 2005; Gessert et al., 2011)","plainTextFormattedCitation":"(Behling, 2007; Behling et al., 2016, 2005; Gessert et al., 2011)","previouslyFormattedCitation":"(Behling, 2007; Behling et al., 2016, 2005; Gessert et al., 2011)"},"properties":{"noteIndex":0},"schema":"https://github.com/citation-style-language/schema/raw/master/csl-citation.json"}</w:instrText>
      </w:r>
      <w:r w:rsidR="00787939" w:rsidRPr="00AD6408">
        <w:fldChar w:fldCharType="separate"/>
      </w:r>
      <w:r w:rsidR="001A7355" w:rsidRPr="001A7355">
        <w:rPr>
          <w:noProof/>
        </w:rPr>
        <w:t>(Behling, 2007; Behling et al., 2016, 2005; Gessert et al., 2011)</w:t>
      </w:r>
      <w:r w:rsidR="00787939" w:rsidRPr="00AD6408">
        <w:fldChar w:fldCharType="end"/>
      </w:r>
      <w:r w:rsidR="00D7794C">
        <w:t xml:space="preserve"> or </w:t>
      </w:r>
      <w:r w:rsidR="00A70A70">
        <w:t>grouped with</w:t>
      </w:r>
      <w:r w:rsidR="00446109">
        <w:t xml:space="preserve"> </w:t>
      </w:r>
      <w:r w:rsidR="00D7794C">
        <w:rPr>
          <w:i/>
        </w:rPr>
        <w:t>Schinus</w:t>
      </w:r>
      <w:r w:rsidR="00A70A70">
        <w:t xml:space="preserve"> </w:t>
      </w:r>
      <w:r w:rsidR="00446109">
        <w:fldChar w:fldCharType="begin" w:fldLock="1"/>
      </w:r>
      <w:r w:rsidR="00A2237A">
        <w:instrText>ADDIN CSL_CITATION {"citationItems":[{"id":"ITEM-1","itemData":{"DOI":"10.1016/S0031-0182(03)00687-4","ISBN":"0031-0182","ISSN":"00310182","abstract":"Late Quaternary vegetation, fire and climate dynamics have been studied based on high-resolution dated pollen and charcoal samples and multivariate data analysis. The samples were taken from a 212-cm-long sediment core of a bog in the Cambará do Sul region on the highlands of northeastern Rio Grande do Sul State, Brazil. The records, including seven AMS radiocarbon dates, span 42 840 14C years, for the first time extending the reconstruction of past environmental changes on the southern Brazilian highlands back to the Last Glacial Maximum (LGM) and pre-LGM times. The last 1100 years provide a decadal resolution. Initially the site was a permanent shallow lake which became seasonally dry after 26 900 14C yr BP. Seasonal climate with a long annual dry period prevailed until the late Holocene. The climate was somewhat wetter from 42 840 to 41 470 14C yr BP and from 41 470 to 26 900 14C yr BP than during the LGM and the late-Glacial period. Natural fires were rare, but became very frequent after 7400 cal BP, suggesting human occupation of the southernmost Brazilian highlands since that time. The records suggest that a species-rich Campos (grassland) vegetation existed in the area under a relatively dry and cold climate during glacial times under possibly as low as -10°C. The record also suggests that small populations of Araucaria were probably only present in refugia of deep and protected valleys and/or on wetter coastal slopes. Campos vegetation existed through the early and mid-Holocene until 4320 cal yr BP, after which Araucaria forest expanded into the network of gallery forests along the streams. By 1100 cal yr BP the Araucaria forest replaced the Campos vegetation reflecting the onset of the wettest period with no marked annual dry season. The marked expansion of the Araucaria forest coincided with the reduction in fire. Between AD 1520 and 1770 Weinmannia became a common taxa in the Araucaria forest, suggesting a shift to warmer climatic conditions on the highlands. This interval was synchronous with a cool phase within the Little Ice Age known from North Atlantic land records. After about AD 1780 human activities changed the original forest composition, first by introducing cattle into the forest and than by selective logging of Araucaria trees. Multivariate analysis of the pollen data shows compositional changes that follow a trajectory alternating undirectional, random phases and phases with directional, sometimes fast transitions. The results al…","author":[{"dropping-particle":"","family":"Behling","given":"Hermann","non-dropping-particle":"","parse-names":false,"suffix":""},{"dropping-particle":"","family":"Pillar","given":"Valerio DePatta","non-dropping-particle":"","parse-names":false,"suffix":""},{"dropping-particle":"","family":"Orlóci","given":"László","non-dropping-particle":"","parse-names":false,"suffix":""},{"dropping-particle":"","family":"Bauermann","given":"Soraia Girardi","non-dropping-particle":"","parse-names":false,"suffix":""}],"container-title":"Palaeogeography, Palaeoclimatology, Palaeoecology","id":"ITEM-1","issue":"3-4","issued":{"date-parts":[["2004"]]},"note":"Detailed examination of Cambara do Sul core in NE Rio Grande do Sul, 42,658 C14 yr BP to present. Shows 100 year Campos-Araucaria switch in about 1100 cal yr BP.\n\nNEEDS SOME REINTERPRETING WITH LEONHARDT &amp;amp; LORSCHEITTER 2010. SEE NOTE\n\n(All dates C14 yr BP)\n\n42,840 - 41,470\n83-88% campos pollen, 8-14% Araucaria forest pollen (only 2 grains of A. angustifolia), only one pollen grain from Atlantic forest taxa, aquatics 6-16%, ferns 3-6%. Low conc and accumulation of carbonised particles.\n\n41,4701 - 26,900\n87-94% campos pollen, 3-9% Araucaria forest (less pollen from Myrtaceae), a few single grains of Atlantic forest pollen, less aquatic pollen (3-7%), fewer fern spores (0-3%). Carbonised particles still rare.\n\n26,900 - 10,120\n87-97% campos pollen (though changing composition - Poaceae down, Eryngium up; less Apiaceae), 1-5% Araucaria forest, 0-0.3% Atlantic forest (lowest for both), 1-3% aquatic, lowest time for ferns (but big increase at end of zone). Carbonised particles rare.\n\n10,120 - 3,950 (11,540 - 4,320 cal yr BP)\n74-88% campos but lower near end (Poaceae up from last time; Eryngium get more common; other compositional changes), 3-13% Araucaria forest (up slightly thanks to A. angustifolia and Myrsine), 0-4% Atlantic (up slightly), trace aquatics, big increase of ferns (up to 46%) then decrease by end (to 9%), increase in Dicksonia (0-14%). Lots of carbonised particles higher up in this section.\n\n3950 - 1140 (4320 - 1100 cal yr BP)\n65-84% campos (down a bit but still high; Cyperaceae up, Poaceae and Eryngium down), 13-27% Araucaria forest (mainly A. angustifolia 4-7%, Myrsine and Weinmannia), 2-5% Atlantic forest, fern spores up again (9-40%), Dicksonia common (9-16%). Lots and lots of carbonised particles.\n\n1140 - 410 (1100 - 430 cal yr BP)\nCampos way down and keeps going (55-24%), continuous increase of Araucaria forest pollen (39-80%) with A. angustifolia going up 14-42% and big increase in Mimosa scabrella, no change in Atlantic (2-6%), fewer fern spores (5-19%), highest Dicksonia spore level (9-26%), high point for mosses but decrease later. Low concentration of carbonised particles but higher accumulation than at beginning of core.\n\n410 - -50 (430 - -50 cal yr BP)\nCampos start way down (to 11%) but increase (to 38%, through Cyperaceae then Poaceae) then go down right at the end, Araucaria forest highest early on (87%) but decreases at the end (65%) as A. angustifolia drops off right at the end (41-2%; Mimosa scabrella jumps correspondingly; other changes), nothing much happens with Atlantic forest (2-7%), fern spores go down (21-2%) and Dicksonia crashes by end (19-0.3%). Similar carbonised particles to before.","page":"277-297","title":"Late Quaternary Araucaria forest, grassland (Campos), fire and climate dynamics, studied by high-resolution pollen, charcoal and multivariate analysis of the Cambará do Sul core in southern Brazil","type":"article-journal","volume":"203"},"uris":["http://www.mendeley.com/documents/?uuid=46579170-55fd-37c2-8f78-517419a62e98"]},{"id":"ITEM-2","itemData":{"DOI":"10.1016/j.revpalbo.2010.01.005","ISBN":"0034-6667","ISSN":"00346667","abstract":"To elucidate the relationship between forest dynamics and fire frequency pollen percentages and charcoal amounts from a 120 cm long peat core and from samples of modern pollen rain were collected along a transect. The study site in southern Brazil is characterized by a species-rich mosaic of grassland-Araucaria forest. It is of crucial importance for management strategies for conservation to understand the development and maintenance of these vegetation mosaics including their sharp forest-grassland boundaries. During the late Holocene, considerable changes occurred in the area. From Anno Domini (AD) 1360 to 1410, the area was dominated by Campos (grassland) vegetation and fire was very common. From AD 1410 to 1500, Araucaria forest expanded and fire was less frequent. From AD 1500 to 1580, Campos grassland spread and the Araucaria forest ceased its development, apparently due to the increase of fire. From AD 1580 to 1935, after a decrease in fire frequency, Araucaria forest expanded again. From AD 1935 to the present, the Araucaria forest expanded while the Campos area decreased. Fire was very rare in this period. The results indicate a strong interaction of forest expansion, forming a mosaic of Campos and Araucaria forest, and the frequency of fire during the past 600 years. A possible collapse of the indigenous population following the post-Colombian colonization in southern Brazil after about AD 1550 may have caused a great reduction of fire frequency. The introduction of cattle (probably after AD 1780) and the resulting decrease of fire frequency might be the reason for forest expansion. Fire is probably the most important factor controlling the dynamics of the forest-grassland mosaics and the formation of sharp borders between these two vegetation types. ?? 2010 Elsevier B.V. All rights reserved.","author":[{"dropping-particle":"","family":"Jeske-Pieruschka","given":"Vivian","non-dropping-particle":"","parse-names":false,"suffix":""},{"dropping-particle":"","family":"Fidelis","given":"Alessandra","non-dropping-particle":"","parse-names":false,"suffix":""},{"dropping-particle":"","family":"Bergamin","given":"Rodrigo S.","non-dropping-particle":"","parse-names":false,"suffix":""},{"dropping-particle":"","family":"Vélez","given":"Eduardo","non-dropping-particle":"","parse-names":false,"suffix":""},{"dropping-particle":"","family":"Behling","given":"Hermann","non-dropping-particle":"","parse-names":false,"suffix":""}],"container-title":"Review of Palaeobotany and Palynology","id":"ITEM-2","issue":"1-2","issued":{"date-parts":[["2010"]]},"note":"Paper looking at how an Araucaria forest island varies with fire intensity (doesn't like it), and also takes pollen signatures from current landscape. Not a lot of Araucaria angustifolia pollen around though - see below. When interpreting this paper, try and use it as showing what happens to the forest plant community with fire, rather than how Aa as a species responds.\n\nGood info on species in pollen record/floristic inventory\n\n'Araucaria forest' seems to be dominated by Myrsine pollen, with very little pollen from Araucaria angustifolia at any point. Is it really fair to say that it represents Araucaria forest? (Albeit islands of the forest.) Since Myrsine is a pioneer, maybe this island never made it to mature Araucaria forest? Or for the duration of the pollen record it's been ?degraded secondary forest.\n\nMaybe this part of the landscape was managed for a use other than pinhao\n\nAlso, worth remembering that this paper starts about 600 cal yr BP\n\n590-540 cal yr BP campos dominated (rich but especially Poaceae) and has been present since then. Araucaria forest island small or absent. Fire very common (potentially stopping forest expansion). Potentially anthropogenic fire stopping forest growth. Impact of fire on Aa is less clear though, as there's so little pollen there. Could be burning to control/remove understorey for all we can tell.\n\n540-490 cal yr BP Araucaria forest island grows, as does Atlantic forest on more distant slopes (both: lots of pioneer Myrsine). Peat bog grows. Less fire (hence Araucaria island growing).\n\n450-370 cal yr BP reverse: campos up, Araucaria island down, fire increased (hence changes)\n\n370-15 cal yr BP Araucaria island expands (Melastomataceae then Myrsine pioneers) and campos is reduced from this point. Less fire (so Araucaria forest expansion)\n\n15 cal yr BP - present campos decreased a lot and Araucaria island grew (low fire again), though it also got a bit trashed (logging and cattle).","page":"53-65","title":"Araucaria forest dynamics in relation to fire frequency in southern Brazil based on fossil and modern pollen data","type":"article-journal","volume":"160"},"uris":["http://www.mendeley.com/documents/?uuid=cf667d5b-830b-3f76-a2ab-41b8c67d7999"]},{"id":"ITEM-3","itemData":{"DOI":"10.1016/S0031-0182(97)88177-1","ISBN":"0031-0182","ISSN":"00310182","abstract":"Late Quaternary paleoenvironments have been interpreted from a 35,000 yr B.P. pollen and charcoal record from Morro de Itapeva (22''47'S, 45''32'W, 1850 m a.s.l.) in the SE Brazilian highlands. Changes in taxa composition and elevational shifts in high elevation grassland (campos de altitude), Araucaria forest, cloud forest and Atlantic rain forest, all of which can be found in the study area today, indicate climatic changes in the past. Expanded high elevation grasslands, absence of Araucaria forest, cloud forest and Atlantic rain forest during the recorded last glacial period (ca. 35,000-17,000 yr B.P.) suggest a climate markedly cooler and drier than today. Development of a Sphagnum peat bog, rare presence of Araucaria forest taxa and existence of a narrow cloud forest and rain forest belt at lower elevations during the late glacial period (17,000-ca. 10,000 yr B.P.) indicate a change to a cool and somewhat moister climates. During the early Holocene cloud forest developed close to the study site, reflecting a warm and moist climate on the east facing slopes, but a drier climate on the highland plateau, evidenced by the rare presence of Araucaria and Podocarpus. Only during the late Holocene moisture increases in the highlands, suggested by the higher frequency of Araucaria and Podocarpus. Fires were more frequent daring the last glacial than during the Holocene.","author":[{"dropping-particle":"","family":"Behling","given":"Hermann","non-dropping-particle":"","parse-names":false,"suffix":""}],"container-title":"Palaeogeography, Palaeoclimatology, Palaeoecology","id":"ITEM-3","issue":"3-4","issued":{"date-parts":[["1997"]]},"note":"USE TO COMPARE WITH LEDRU 1993 ON MOIST LGM (OR NOT - SEE PART 4.1 IN THIS PAPER)\n\nAnalysis of the 142cm core at Morro de Itapeva to look back over 35,000 yr BP of vegetation changes on the Serra de Mantiqueira. There are quite a few differences to some S Brazil records because influences on climate differ between there and SE Brazil where this is. The pollen diagram does show an increase in Aa around 1000 yr BP but as mentioned in the discussion it's not pronounced. This could be due to climatic differences, but it's not inconceivable that no spJ meant no spread.\n\nReally useful diagram showing the relation between elevation, rainfall, distance from the ocean, and vegetation types. Also useful bits on the meaning of different pollen taxa for the palaeoecological record, and a fair diagram on the climatic changes recorded in different places.","page":"407-422","title":"Late Quaternary vegetation, climate and fire history from the tropical mountain region of Morro de Itapeva, SE Brazil","type":"article-journal","volume":"129"},"uris":["http://www.mendeley.com/documents/?uuid=06644376-eb15-3141-b819-60ab5253043f"]},{"id":"ITEM-4","itemData":{"DOI":"10.1016/S0034-6667(96)00065-6","ISSN":"00346667","abstract":"New palynological and charcoal data from a bog (24°40′S, 50°13′W, 1200 m asl) of Serra Campos Gerais, northeastern ParanáState, allow a complete and detailed reconstruction of the late Quaternary vegetation and climate history of the South Brazilian highlands. The late-glacial period, which starts at 12,50014C yr BP, indicates the predominance of a diverse grassland vegetation (campos) with scattered stands of Araucaria forest and Atlantic rain forest, probably growing in valley bottoms. This suggests 3 to 5°C colder and drier climates than at present. Judging from the absence of charcoal, fires must here been rare during late-glacial times. The early and mid-Holocene (until 285014C yr BP) is marked by a predominance of campos vegetation on the highlands and expansion of tropical rain forest trees in the valleys, indicating warm climates and perhaps an increase in annual precipitation compared to the late-glacial. A migration of Araucaria forest from the valleys onto the highlands did probably not occur. Seasonal drought is probably the major factor explaining the absence of an expansion of Araucaria forests on the southern Brazilian highlands in the early and mid-Holocene. Palaeofires were more frequent at the beginning of the Holocene, probably ignited by Amerindians at that time. First expansion in the valleys or an initial migration of Araucaria angustifolia from valleys into the Serra Campos Gerais highland occurred during the late Holocene (2850-153014C yr BP), indicating a wetter climate with a shorter dry season. Fires during this period had the highest frequency and may have influenced the migration of Araucaria into the campos areas. A marked expansion of Araucaria forest, forming a mosaic of grassland and Araucaria forest patches on the highlands, took place only in the last 1500 years. This suggests onset of a high precipitation climate without a strong annual dry season. Fires were also less frequent. Logging of Araucaria forests occurred during the last centuries.","author":[{"dropping-particle":"","family":"Behling","given":"Hermann","non-dropping-particle":"","parse-names":false,"suffix":""}],"container-title":"Review of Palaeobotany and Palynology","id":"ITEM-4","issue":"1","issued":{"date-parts":[["1997"]]},"note":"Analysis of a highland core (about 185cm, from 12,300 C14 yr BP) in Serra Campos Gerais, Parana. Campos in late glacial, slow expansion of Araucaria forest from about 2850 C14 Bp, more significant from 1530 C14 BP with an increase of fires/charcoal. A fair number of climatic conclusions are made, which should be checked cf the Botuvera speleothem","page":"109-121","title":"Late Quaternary vegetation, climate and fire history of the Araucaria forest and campos region from Serra Campos Gerais, Paraná State (South Brazil)","type":"article-journal","volume":"97"},"uris":["http://www.mendeley.com/documents/?uuid=a345d1da-e951-387a-ba95-0c87b285d4af"]}],"mendeley":{"formattedCitation":"(Behling, 1997b, 1997a; Behling et al., 2004; Jeske-Pieruschka et al., 2010)","plainTextFormattedCitation":"(Behling, 1997b, 1997a; Behling et al., 2004; Jeske-Pieruschka et al., 2010)","previouslyFormattedCitation":"(Behling, 1997b, 1997a; Behling et al., 2004; Jeske-Pieruschka et al., 2010)"},"properties":{"noteIndex":0},"schema":"https://github.com/citation-style-language/schema/raw/master/csl-citation.json"}</w:instrText>
      </w:r>
      <w:r w:rsidR="00446109">
        <w:fldChar w:fldCharType="separate"/>
      </w:r>
      <w:r w:rsidR="009F0B3C" w:rsidRPr="009F0B3C">
        <w:rPr>
          <w:noProof/>
        </w:rPr>
        <w:t>(Behling, 1997b, 1997a; Behling et al., 2004; Jeske-Pieruschka et al., 2010)</w:t>
      </w:r>
      <w:r w:rsidR="00446109">
        <w:fldChar w:fldCharType="end"/>
      </w:r>
      <w:r w:rsidR="0054552C">
        <w:t xml:space="preserve"> </w:t>
      </w:r>
      <w:r w:rsidR="00787939" w:rsidRPr="00AD6408">
        <w:t xml:space="preserve">but rarely </w:t>
      </w:r>
      <w:r w:rsidR="00CA13C6">
        <w:t>treated as</w:t>
      </w:r>
      <w:r w:rsidR="00787939" w:rsidRPr="00AD6408">
        <w:t xml:space="preserve"> important  </w:t>
      </w:r>
      <w:r w:rsidR="00787939" w:rsidRPr="00AD6408">
        <w:fldChar w:fldCharType="begin" w:fldLock="1"/>
      </w:r>
      <w:r w:rsidR="003420C5">
        <w:instrText>ADDIN CSL_CITATION {"citationItems":[{"id":"ITEM-1","itemData":{"DOI":"10.1016/j.revpalbo.2011.04.006","ISBN":"0034-6667","ISSN":"00346667","abstract":"This paper presents the late Holocene vegetation and fire history record from Parque Provincial Cruce Caballero, Misiones, NE Argentina (26?? 30'' 55.35'' S, 53?? 59'' 44.73'' W). The pollen and charcoal content of the 194. cm deep sediment core dating to ca. 1840. cal. yr BP permitted the recognition of three distinct zones. Zone CC. -1 (before ca. 1810. cal. yr BP) was characterised by a forest dominated by Myrtaceae that also included other forest taxa like Alchornea, Trema and Moraceae/Urticaceae. The presence of Zea mays (maize) pollen grains around 1840. cal. yr BP suggests the presence of pre-Colombian groups in the region who practiced food-production. Zone CC. -2 (ca. 1810 to ca. 40. cal. yr BP) witnessed the establishment of an herbaceous wetland in the locality as evidenced by the formation of peat and the increase in wetland taxa, in particular the Cyperaceae, indicating the change to a wetter and less seasonal climate that appears to be coeval with pollen records and soil-depth profiles' carbon isotope records documented in other regions of the southern Brazilian highlands during the late Holocene. The basal section of this zone also documents the arrival of Araucaria angustifolia trees to the region, the presence of maize, and a moderate increase in fires that could be related to more intense human activity in the region. The upper section of this zone shows a slight increase in A. angustifolia paralleled by a raise of other typical elements of mixed Araucaria forests like Clethra, Ilex, Myrsine and Podocarpus. Zone CC. -3 (ca. 40. cal. yr BP-today) shows a major increase in trees and ferns (particularly Osmunda) at the expense of sedges and grasses evidencing a local change from a wetland dominated herbaceous vegetation to the one dominated by arboreal taxa and ferns that exists today. This zone also shows a reduction in regional fires and the disappearance of local fires that seems to be associated to the creation of the Parque Provincial Cruce Caballero. Poaceae pollen percentages remained relatively low throughout the sequence indicating that the region did not support Campos (grassland) vegetation but was a forested landscape during the late Holocene. ?? 2011 Elsevier B.V.","author":[{"dropping-particle":"","family":"Gessert","given":"Sarah","non-dropping-particle":"","parse-names":false,"suffix":""},{"dropping-particle":"","family":"Iriarte","given":"José","non-dropping-particle":"","parse-names":false,"suffix":""},{"dropping-particle":"","family":"Ríos","given":"Román Carlos","non-dropping-particle":"","parse-names":false,"suffix":""},{"dropping-particle":"","family":"Behling","given":"Hermann","non-dropping-particle":"","parse-names":false,"suffix":""}],"container-title":"Review of Palaeobotany and Palynology","id":"ITEM-1","issue":"1-2","issued":{"date-parts":[["2011"]]},"note":"Interesting paper because it is in an Argentine Araucaria forest zone around archaeological sites (also Je-ish) but there was no great expansion of Araucaria forest. See below.\n\nI wonder why there wasn't such a marked expansion of Araucaria forest here? What's different? Not that it's miles from archaeology (see map, xyz)... Is it because it's a transitional zone? (*, qqq) Does this suggest that climate was more responsible for spread? Or is the increase in trees even here a support for humans affecting this landscape too?","page":"29-37","title":"Late Holocene vegetation and environmental dynamics of the Araucaria forest region in Misiones Province, NE Argentina","type":"article-journal","volume":"166"},"uris":["http://www.mendeley.com/documents/?uuid=e4bbd69b-dc55-3b59-b56f-8f2fa667c51d"]},{"id":"ITEM-2","itemData":{"DOI":"10.1016/S0034-6667(96)00065-6","ISSN":"00346667","abstract":"New palynological and charcoal data from a bog (24°40′S, 50°13′W, 1200 m asl) of Serra Campos Gerais, northeastern ParanáState, allow a complete and detailed reconstruction of the late Quaternary vegetation and climate history of the South Brazilian highlands. The late-glacial period, which starts at 12,50014C yr BP, indicates the predominance of a diverse grassland vegetation (campos) with scattered stands of Araucaria forest and Atlantic rain forest, probably growing in valley bottoms. This suggests 3 to 5°C colder and drier climates than at present. Judging from the absence of charcoal, fires must here been rare during late-glacial times. The early and mid-Holocene (until 285014C yr BP) is marked by a predominance of campos vegetation on the highlands and expansion of tropical rain forest trees in the valleys, indicating warm climates and perhaps an increase in annual precipitation compared to the late-glacial. A migration of Araucaria forest from the valleys onto the highlands did probably not occur. Seasonal drought is probably the major factor explaining the absence of an expansion of Araucaria forests on the southern Brazilian highlands in the early and mid-Holocene. Palaeofires were more frequent at the beginning of the Holocene, probably ignited by Amerindians at that time. First expansion in the valleys or an initial migration of Araucaria angustifolia from valleys into the Serra Campos Gerais highland occurred during the late Holocene (2850-153014C yr BP), indicating a wetter climate with a shorter dry season. Fires during this period had the highest frequency and may have influenced the migration of Araucaria into the campos areas. A marked expansion of Araucaria forest, forming a mosaic of grassland and Araucaria forest patches on the highlands, took place only in the last 1500 years. This suggests onset of a high precipitation climate without a strong annual dry season. Fires were also less frequent. Logging of Araucaria forests occurred during the last centuries.","author":[{"dropping-particle":"","family":"Behling","given":"Hermann","non-dropping-particle":"","parse-names":false,"suffix":""}],"container-title":"Review of Palaeobotany and Palynology","id":"ITEM-2","issue":"1","issued":{"date-parts":[["1997"]]},"note":"Analysis of a highland core (about 185cm, from 12,300 C14 yr BP) in Serra Campos Gerais, Parana. Campos in late glacial, slow expansion of Araucaria forest from about 2850 C14 Bp, more significant from 1530 C14 BP with an increase of fires/charcoal. A fair number of climatic conclusions are made, which should be checked cf the Botuvera speleothem","page":"109-121","title":"Late Quaternary vegetation, climate and fire history of the Araucaria forest and campos region from Serra Campos Gerais, Paraná State (South Brazil)","type":"article-journal","volume":"97"},"prefix":"but see","uris":["http://www.mendeley.com/documents/?uuid=a345d1da-e951-387a-ba95-0c87b285d4af"]}],"mendeley":{"formattedCitation":"(but see Behling, 1997a; Gessert et al., 2011)","plainTextFormattedCitation":"(but see Behling, 1997a; Gessert et al., 2011)","previouslyFormattedCitation":"(but see Behling, 1997a; Gessert et al., 2011)"},"properties":{"noteIndex":0},"schema":"https://github.com/citation-style-language/schema/raw/master/csl-citation.json"}</w:instrText>
      </w:r>
      <w:r w:rsidR="00787939" w:rsidRPr="00AD6408">
        <w:fldChar w:fldCharType="separate"/>
      </w:r>
      <w:r w:rsidR="00A2237A" w:rsidRPr="00A2237A">
        <w:rPr>
          <w:noProof/>
        </w:rPr>
        <w:t>(but see Behling, 1997a; Gessert et al., 2011)</w:t>
      </w:r>
      <w:r w:rsidR="00787939" w:rsidRPr="00AD6408">
        <w:fldChar w:fldCharType="end"/>
      </w:r>
      <w:r w:rsidR="00B662A7">
        <w:t xml:space="preserve">; given the </w:t>
      </w:r>
      <w:r w:rsidR="00AF0872">
        <w:t xml:space="preserve">floristic </w:t>
      </w:r>
      <w:r w:rsidR="00B662A7">
        <w:t xml:space="preserve">importance of </w:t>
      </w:r>
      <w:r w:rsidR="007E16A9">
        <w:rPr>
          <w:i/>
        </w:rPr>
        <w:t>L. brasiliensis</w:t>
      </w:r>
      <w:r w:rsidR="00B662A7">
        <w:t xml:space="preserve"> </w:t>
      </w:r>
      <w:r w:rsidR="00B662A7">
        <w:fldChar w:fldCharType="begin" w:fldLock="1"/>
      </w:r>
      <w:r w:rsidR="0006304A">
        <w:instrText>ADDIN CSL_CITATION {"citationItems":[{"id":"ITEM-1","itemData":{"author":[{"dropping-particle":"","family":"Schorn","given":"Lauri Amândio","non-dropping-particle":"","parse-names":false,"suffix":""},{"dropping-particle":"","family":"Gasper","given":"André Luís","non-dropping-particle":"de","parse-names":false,"suffix":""},{"dropping-particle":"","family":"Meyer","given":"Leila","non-dropping-particle":"","parse-names":false,"suffix":""},{"dropping-particle":"","family":"Vibrans","given":"Alexander Christian","non-dropping-particle":"","parse-names":false,"suffix":""}],"chapter-number":"7","container-title":"Inventário Florístico Florestal de Santa Catarina Volume I - Diversidade e Conservação dos Remanescentes Florestais","editor":[{"dropping-particle":"","family":"Vibrans","given":"Alexander Christian","non-dropping-particle":"","parse-names":false,"suffix":""},{"dropping-particle":"","family":"Sevegnani","given":"Lúcia","non-dropping-particle":"","parse-names":false,"suffix":""},{"dropping-particle":"","family":"Gasper","given":"André Luís","non-dropping-particle":"de","parse-names":false,"suffix":""},{"dropping-particle":"","family":"Lingner","given":"Débora Vanessa","non-dropping-particle":"","parse-names":false,"suffix":""}],"id":"ITEM-1","issued":{"date-parts":[["2012"]]},"page":"125-140","publisher":"Edifurb","publisher-place":"Blumenau","title":"Síntese da estrutura dos remanescentes florestais em Santa Catarina","type":"chapter"},"uris":["http://www.mendeley.com/documents/?uuid=9dd2b59f-7691-435e-b7b3-637c7c010f53"]},{"id":"ITEM-2","itemData":{"ISBN":"9788571143326","author":[{"dropping-particle":"","family":"Meyer","given":"Leila","non-dropping-particle":"","parse-names":false,"suffix":""},{"dropping-particle":"","family":"Sevegnani","given":"Lúcia","non-dropping-particle":"","parse-names":false,"suffix":""},{"dropping-particle":"","family":"Gasper","given":"André Luís","non-dropping-particle":"de","parse-names":false,"suffix":""},{"dropping-particle":"","family":"Schorn","given":"Lauri A","non-dropping-particle":"","parse-names":false,"suffix":""},{"dropping-particle":"","family":"Vibrans","given":"Alexander Christian","non-dropping-particle":"","parse-names":false,"suffix":""},{"dropping-particle":"","family":"Lingner","given":"Débora Vanessa","non-dropping-particle":"","parse-names":false,"suffix":""},{"dropping-particle":"","family":"Sobral","given":"Marcos Guerra","non-dropping-particle":"","parse-names":false,"suffix":""},{"dropping-particle":"","family":"Klemz","given":"Guilherme","non-dropping-particle":"","parse-names":false,"suffix":""},{"dropping-particle":"","family":"Schmitt","given":"R","non-dropping-particle":"","parse-names":false,"suffix":""},{"dropping-particle":"","family":"Anastacio Jr.","given":"C","non-dropping-particle":"","parse-names":false,"suffix":""},{"dropping-particle":"","family":"Brogni","given":"Eduardo","non-dropping-particle":"","parse-names":false,"suffix":""}],"chapter-number":"6","container-title":"Inventário Florístico Florestal de Santa Catarina Volume III - Floresta Ombrófila Mista","editor":[{"dropping-particle":"","family":"Vibrans","given":"Alexander Christian","non-dropping-particle":"","parse-names":false,"suffix":""},{"dropping-particle":"","family":"Sevegnani","given":"Lucia","non-dropping-particle":"","parse-names":false,"suffix":""},{"dropping-particle":"De","family":"Gasper","given":"André Luis","non-dropping-particle":"","parse-names":false,"suffix":""},{"dropping-particle":"","family":"Lingner","given":"Débora Vanessa","non-dropping-particle":"","parse-names":false,"suffix":""}],"id":"ITEM-2","issued":{"date-parts":[["2013"]]},"page":"157-189","publisher":"Edifurb","publisher-place":"Blumenau","title":"Fitossociologia do componente arbóreo/arbustivo da Floresta Ombrófila Mista no Estado de Santa Catarina","type":"chapter"},"uris":["http://www.mendeley.com/documents/?uuid=9bfebecb-9c29-4838-bceb-445ccb124e25"]}],"mendeley":{"formattedCitation":"(Meyer et al., 2013; Schorn et al., 2012)","plainTextFormattedCitation":"(Meyer et al., 2013; Schorn et al., 2012)","previouslyFormattedCitation":"(Meyer et al., 2013; Schorn et al., 2012)"},"properties":{"noteIndex":0},"schema":"https://github.com/citation-style-language/schema/raw/master/csl-citation.json"}</w:instrText>
      </w:r>
      <w:r w:rsidR="00B662A7">
        <w:fldChar w:fldCharType="separate"/>
      </w:r>
      <w:r w:rsidR="007E16A9" w:rsidRPr="007E16A9">
        <w:rPr>
          <w:noProof/>
        </w:rPr>
        <w:t>(Meyer et al., 2013; Schorn et al., 2012)</w:t>
      </w:r>
      <w:r w:rsidR="00B662A7">
        <w:fldChar w:fldCharType="end"/>
      </w:r>
      <w:r w:rsidR="00C568D6">
        <w:t xml:space="preserve"> and its</w:t>
      </w:r>
      <w:r w:rsidR="00A70C01">
        <w:t xml:space="preserve"> </w:t>
      </w:r>
      <w:r w:rsidR="00C568D6">
        <w:t>under-representation</w:t>
      </w:r>
      <w:r w:rsidR="00755458">
        <w:t xml:space="preserve"> </w:t>
      </w:r>
      <w:r w:rsidR="00B23C7E">
        <w:t xml:space="preserve">in the pollen rain </w:t>
      </w:r>
      <w:r w:rsidR="00755458">
        <w:t>(p/v 0.09-0.39</w:t>
      </w:r>
      <w:r w:rsidR="006127EE">
        <w:t>, pollen 8.25% less abundant than vegetation on average</w:t>
      </w:r>
      <w:r w:rsidR="00755458">
        <w:t xml:space="preserve">), </w:t>
      </w:r>
      <w:r w:rsidR="009F5A3B">
        <w:t xml:space="preserve">the </w:t>
      </w:r>
      <w:r w:rsidR="00E2171A">
        <w:t xml:space="preserve">presence and dynamics </w:t>
      </w:r>
      <w:r w:rsidR="009F5A3B">
        <w:t xml:space="preserve">of </w:t>
      </w:r>
      <w:r w:rsidR="009F5A3B">
        <w:rPr>
          <w:i/>
        </w:rPr>
        <w:t xml:space="preserve">Lithraea </w:t>
      </w:r>
      <w:r w:rsidR="009F5A3B">
        <w:t xml:space="preserve">pollen </w:t>
      </w:r>
      <w:r w:rsidR="005A7160">
        <w:t xml:space="preserve">may warrant </w:t>
      </w:r>
      <w:r w:rsidR="009C1F50">
        <w:t>more detailed</w:t>
      </w:r>
      <w:r w:rsidR="00C568D6">
        <w:t xml:space="preserve"> </w:t>
      </w:r>
      <w:r w:rsidR="00E2171A">
        <w:t>examination</w:t>
      </w:r>
      <w:r w:rsidR="00FD6EBF">
        <w:t xml:space="preserve"> in future studies</w:t>
      </w:r>
      <w:r w:rsidR="00E2171A">
        <w:t>.</w:t>
      </w:r>
      <w:r w:rsidR="00320B00">
        <w:t xml:space="preserve"> </w:t>
      </w:r>
      <w:r w:rsidR="00320B00">
        <w:rPr>
          <w:i/>
        </w:rPr>
        <w:t xml:space="preserve">Lithraea </w:t>
      </w:r>
      <w:r w:rsidR="00320B00">
        <w:t xml:space="preserve">is one of </w:t>
      </w:r>
      <w:r w:rsidR="006F0811">
        <w:t>several</w:t>
      </w:r>
      <w:r w:rsidR="00320B00">
        <w:t xml:space="preserve"> key </w:t>
      </w:r>
      <w:r w:rsidR="006160EF">
        <w:rPr>
          <w:i/>
        </w:rPr>
        <w:t>Araucaria</w:t>
      </w:r>
      <w:r w:rsidR="006160EF">
        <w:t xml:space="preserve"> forest </w:t>
      </w:r>
      <w:r w:rsidR="00320B00">
        <w:t>taxa w</w:t>
      </w:r>
      <w:r w:rsidR="00F006E8">
        <w:t xml:space="preserve">e have shown </w:t>
      </w:r>
      <w:r w:rsidR="00320B00">
        <w:t xml:space="preserve">to be </w:t>
      </w:r>
      <w:r w:rsidR="00F006E8">
        <w:t xml:space="preserve">either </w:t>
      </w:r>
      <w:r w:rsidR="00C3272E">
        <w:t>significantly under-represented (</w:t>
      </w:r>
      <w:r w:rsidR="00C3272E" w:rsidRPr="008B7B80">
        <w:rPr>
          <w:i/>
        </w:rPr>
        <w:t>Matayba, Cinnamodendron, Prunus</w:t>
      </w:r>
      <w:r w:rsidR="00C3272E">
        <w:t xml:space="preserve">) or </w:t>
      </w:r>
      <w:r w:rsidR="00A543DD">
        <w:t>absent</w:t>
      </w:r>
      <w:r w:rsidR="00F006E8">
        <w:t xml:space="preserve"> (</w:t>
      </w:r>
      <w:r w:rsidR="00FD6A04" w:rsidRPr="00EA2C41">
        <w:rPr>
          <w:i/>
        </w:rPr>
        <w:t>Ocotea, Nectandra</w:t>
      </w:r>
      <w:r w:rsidR="00EA2C41">
        <w:t xml:space="preserve">) </w:t>
      </w:r>
      <w:r w:rsidR="009140D1">
        <w:t>in the pollen</w:t>
      </w:r>
      <w:r w:rsidR="00A50114" w:rsidRPr="00A50114">
        <w:t xml:space="preserve"> </w:t>
      </w:r>
      <w:r w:rsidR="00A50114">
        <w:t>record</w:t>
      </w:r>
      <w:r w:rsidR="00136B8E">
        <w:t>, even when quite abundant in the vegetation</w:t>
      </w:r>
      <w:r w:rsidR="00BE0D48">
        <w:t xml:space="preserve">. </w:t>
      </w:r>
      <w:r w:rsidR="00A50114">
        <w:t xml:space="preserve">This suggests that </w:t>
      </w:r>
      <w:r w:rsidR="00404E32">
        <w:t xml:space="preserve">some </w:t>
      </w:r>
      <w:r w:rsidR="00043CA0">
        <w:t xml:space="preserve">significant changes in </w:t>
      </w:r>
      <w:r w:rsidR="00190D3B">
        <w:t xml:space="preserve">past </w:t>
      </w:r>
      <w:r w:rsidR="00EC1375">
        <w:t xml:space="preserve">forest composition may not be reflected in </w:t>
      </w:r>
      <w:r w:rsidR="00B80414">
        <w:t xml:space="preserve">fossil </w:t>
      </w:r>
      <w:r w:rsidR="00B80414">
        <w:lastRenderedPageBreak/>
        <w:t>pollen</w:t>
      </w:r>
      <w:r w:rsidR="00613D55">
        <w:t xml:space="preserve">, </w:t>
      </w:r>
      <w:r w:rsidR="00190D3B">
        <w:t>highlighting a</w:t>
      </w:r>
      <w:r w:rsidR="001233A0">
        <w:t xml:space="preserve"> potentially</w:t>
      </w:r>
      <w:r w:rsidR="00190D3B">
        <w:t xml:space="preserve"> important </w:t>
      </w:r>
      <w:r w:rsidR="001233A0">
        <w:t>limitation of pollen as a</w:t>
      </w:r>
      <w:r w:rsidR="00190D3B">
        <w:t xml:space="preserve"> </w:t>
      </w:r>
      <w:r w:rsidR="00D2035B">
        <w:t xml:space="preserve">palaeoecological </w:t>
      </w:r>
      <w:r w:rsidR="001233A0">
        <w:t>proxy for</w:t>
      </w:r>
      <w:r w:rsidR="00613D55">
        <w:t xml:space="preserve"> </w:t>
      </w:r>
      <w:r w:rsidR="001233A0">
        <w:t>determining this</w:t>
      </w:r>
      <w:r w:rsidR="00613D55">
        <w:t xml:space="preserve"> ecosystem</w:t>
      </w:r>
      <w:r w:rsidR="00EB644C">
        <w:t>’s responses</w:t>
      </w:r>
      <w:r w:rsidR="00613D55">
        <w:t xml:space="preserve"> to past</w:t>
      </w:r>
      <w:r w:rsidR="001D2A33">
        <w:t xml:space="preserve"> millennial-scale</w:t>
      </w:r>
      <w:r w:rsidR="00613D55">
        <w:t xml:space="preserve"> </w:t>
      </w:r>
      <w:r w:rsidR="001D2A33">
        <w:t>human land use</w:t>
      </w:r>
      <w:r w:rsidR="00613D55">
        <w:t xml:space="preserve"> and </w:t>
      </w:r>
      <w:r w:rsidR="00621ADD">
        <w:t>climat</w:t>
      </w:r>
      <w:r w:rsidR="00EB644C">
        <w:t>e changes</w:t>
      </w:r>
      <w:r w:rsidR="00621ADD">
        <w:t>.</w:t>
      </w:r>
    </w:p>
    <w:p w14:paraId="412FA8EC" w14:textId="04D5EB8C" w:rsidR="00425619" w:rsidRDefault="00D15180" w:rsidP="001C1F44">
      <w:pPr>
        <w:pStyle w:val="Mynormal"/>
      </w:pPr>
      <w:r>
        <w:t>Th</w:t>
      </w:r>
      <w:r w:rsidR="009403BB">
        <w:t xml:space="preserve">e importance of </w:t>
      </w:r>
      <w:r w:rsidR="00BB15A0">
        <w:t xml:space="preserve">fossil pollen’s </w:t>
      </w:r>
      <w:r w:rsidR="009403BB">
        <w:t>limit</w:t>
      </w:r>
      <w:r w:rsidR="00C33DAD">
        <w:t>ed sensitivity to</w:t>
      </w:r>
      <w:r w:rsidR="00BB15A0">
        <w:t xml:space="preserve"> </w:t>
      </w:r>
      <w:r w:rsidR="00082F0E">
        <w:t xml:space="preserve">compositional </w:t>
      </w:r>
      <w:r w:rsidR="00BB15A0">
        <w:t xml:space="preserve">changes </w:t>
      </w:r>
      <w:r w:rsidR="00C33DAD">
        <w:t xml:space="preserve">in </w:t>
      </w:r>
      <w:r w:rsidR="00C33DAD" w:rsidRPr="00301AE1">
        <w:rPr>
          <w:i/>
        </w:rPr>
        <w:t>Araucaria</w:t>
      </w:r>
      <w:r w:rsidR="00C33DAD">
        <w:t xml:space="preserve"> forest </w:t>
      </w:r>
      <w:r>
        <w:t xml:space="preserve">is </w:t>
      </w:r>
      <w:r w:rsidR="000F7BFF">
        <w:t>reinforced when considering that</w:t>
      </w:r>
      <w:r w:rsidR="00536443">
        <w:t xml:space="preserve"> structural differences between plots were not</w:t>
      </w:r>
      <w:r w:rsidR="006222CE">
        <w:t xml:space="preserve"> clearly</w:t>
      </w:r>
      <w:r w:rsidR="00536443">
        <w:t xml:space="preserve"> reflected in their pollen signals</w:t>
      </w:r>
      <w:r w:rsidR="00C36F2F">
        <w:t xml:space="preserve">. </w:t>
      </w:r>
      <w:r w:rsidR="00131FBA">
        <w:t>Although the plots had notably different structural characteristics</w:t>
      </w:r>
      <w:r w:rsidR="00ED019A">
        <w:t xml:space="preserve"> to one another</w:t>
      </w:r>
      <w:r w:rsidR="00BE65D7">
        <w:t>,</w:t>
      </w:r>
      <w:r w:rsidR="00A470B2">
        <w:t xml:space="preserve"> </w:t>
      </w:r>
      <w:r w:rsidR="00ED019A">
        <w:t xml:space="preserve">this was </w:t>
      </w:r>
      <w:r w:rsidR="00EA2AA7">
        <w:t xml:space="preserve">only </w:t>
      </w:r>
      <w:r w:rsidR="006222CE">
        <w:t>weakly echoed</w:t>
      </w:r>
      <w:r w:rsidR="00ED019A">
        <w:t xml:space="preserve"> in the </w:t>
      </w:r>
      <w:r w:rsidR="001D2A33">
        <w:t xml:space="preserve">floristic </w:t>
      </w:r>
      <w:r w:rsidR="00ED019A">
        <w:t xml:space="preserve">composition of their arboreal component, and even less so in their </w:t>
      </w:r>
      <w:r w:rsidR="00352B4A">
        <w:t>pollen spectra</w:t>
      </w:r>
      <w:r w:rsidR="00BE65D7">
        <w:t xml:space="preserve">, </w:t>
      </w:r>
      <w:r w:rsidR="00A470B2">
        <w:t xml:space="preserve">which </w:t>
      </w:r>
      <w:r w:rsidR="00352B4A">
        <w:t>were more similar to each other than the vegetation</w:t>
      </w:r>
      <w:r w:rsidR="00A470B2">
        <w:t>.</w:t>
      </w:r>
      <w:r w:rsidR="00352B4A">
        <w:t xml:space="preserve"> </w:t>
      </w:r>
      <w:r w:rsidR="00BE65D7">
        <w:t>This i</w:t>
      </w:r>
      <w:r w:rsidR="00571C18">
        <w:t>mpl</w:t>
      </w:r>
      <w:r w:rsidR="00BE65D7">
        <w:t xml:space="preserve">ies </w:t>
      </w:r>
      <w:r w:rsidR="00E21B7C">
        <w:t xml:space="preserve">that </w:t>
      </w:r>
      <w:r w:rsidR="00BE65D7">
        <w:t xml:space="preserve">pollen records </w:t>
      </w:r>
      <w:r w:rsidR="001C35B3">
        <w:t xml:space="preserve">may not </w:t>
      </w:r>
      <w:r w:rsidR="006222CE">
        <w:t xml:space="preserve">clearly </w:t>
      </w:r>
      <w:r w:rsidR="001C35B3">
        <w:t xml:space="preserve">detect </w:t>
      </w:r>
      <w:r w:rsidR="00571C18">
        <w:t xml:space="preserve">structural changes </w:t>
      </w:r>
      <w:r w:rsidR="005216C9">
        <w:t xml:space="preserve">in </w:t>
      </w:r>
      <w:r w:rsidR="005216C9" w:rsidRPr="004F4229">
        <w:rPr>
          <w:i/>
        </w:rPr>
        <w:t>Araucaria</w:t>
      </w:r>
      <w:r w:rsidR="005216C9">
        <w:t xml:space="preserve"> forest, especially when these </w:t>
      </w:r>
      <w:r w:rsidR="001D2A33">
        <w:t>are not accompanied by</w:t>
      </w:r>
      <w:r w:rsidR="00571C18">
        <w:t xml:space="preserve"> </w:t>
      </w:r>
      <w:r w:rsidR="003235A1">
        <w:t xml:space="preserve">significant </w:t>
      </w:r>
      <w:r w:rsidR="005216C9">
        <w:t xml:space="preserve">or long-term alterations </w:t>
      </w:r>
      <w:r w:rsidR="003235A1">
        <w:t xml:space="preserve">in floristic composition. </w:t>
      </w:r>
      <w:r w:rsidR="00425619">
        <w:t xml:space="preserve">Further investigations of </w:t>
      </w:r>
      <w:r w:rsidR="009258BA">
        <w:t>the sensitivity of pollen rain to</w:t>
      </w:r>
      <w:r w:rsidR="001C302E">
        <w:t xml:space="preserve"> larger-scale</w:t>
      </w:r>
      <w:r w:rsidR="009258BA">
        <w:t xml:space="preserve"> changes in composition</w:t>
      </w:r>
      <w:r w:rsidR="005943B7">
        <w:t xml:space="preserve"> and </w:t>
      </w:r>
      <w:r w:rsidR="009258BA">
        <w:t xml:space="preserve">structure of </w:t>
      </w:r>
      <w:r w:rsidR="009258BA" w:rsidRPr="004F4229">
        <w:rPr>
          <w:i/>
        </w:rPr>
        <w:t>Araucaria</w:t>
      </w:r>
      <w:r w:rsidR="009258BA" w:rsidRPr="00F723C2">
        <w:t xml:space="preserve"> </w:t>
      </w:r>
      <w:r w:rsidR="009258BA">
        <w:t xml:space="preserve">forest might </w:t>
      </w:r>
      <w:r w:rsidR="001A1184">
        <w:t xml:space="preserve">involve integration with the </w:t>
      </w:r>
      <w:r w:rsidR="005943B7">
        <w:t xml:space="preserve">state-wide plot network of the </w:t>
      </w:r>
      <w:r w:rsidR="001A1184">
        <w:t xml:space="preserve">Santa Catarina forest floristic inventory </w:t>
      </w:r>
      <w:r w:rsidR="001A1184">
        <w:fldChar w:fldCharType="begin" w:fldLock="1"/>
      </w:r>
      <w:r w:rsidR="005A4773">
        <w:instrText>ADDIN CSL_CITATION {"citationItems":[{"id":"ITEM-1","itemData":{"DOI":"10.4336/2010.pfb.64.291","abstract":"The purpose of this study is to contribute to the discussion on regional and national forest inventories, aiming mainly on aspects of methodos and operational. The Floristic and Forest Inventory of Santa Catarina State (IFFSC) is an initiative of the state government and it was conceived in order to attend requirements of environmental laws. A pilot inventory took place in 2005; then the methodology was fitted to the proposal of the National Forest Inventory (IFN-BR) in discussion at the time. IFFSC is carried out since 2007 in all natural forest formations all over the state’s territory, including floristic sampling (collection of fertile trees, shrubs and herbs within the sample unit and in its surroundings) and survey of vascular epiphytes by specialized crews. The inventory applies a systematic sampling, with sample units containing clusters of four crosswise 1,000 m² plots (20 m x 50 m), distributed systematically at the intersections of a 10 km x 10 km grid all over the state’s territory (a 5 km x 5 km grid is applied on highly fragmentized Seasonal Deciduous Forests). Methodological details and some important operational issues are discussed beyond the four years experience of IFFSC. Major sampling intensity and lower diameter and height thresholds (in the arboreal and regeneration strata) than in the nationwide inventory proposal (IFN-BR), as well as the execution of a floristic survey within and around the sample plots, showed to be important to record plant diversity of Santa Catarina’s forests.","author":[{"dropping-particle":"","family":"Vibrans","given":"Alexander Christian","non-dropping-particle":"","parse-names":false,"suffix":""},{"dropping-particle":"","family":"Sevegnani","given":"Lúcia","non-dropping-particle":"","parse-names":false,"suffix":""},{"dropping-particle":"","family":"Lingner","given":"Débora Vanessa","non-dropping-particle":"","parse-names":false,"suffix":""},{"dropping-particle":"","family":"Gasper","given":"André Luís","non-dropping-particle":"de","parse-names":false,"suffix":""},{"dropping-particle":"","family":"Sabbagh","given":"Shams","non-dropping-particle":"","parse-names":false,"suffix":""}],"container-title":"Pesquisa Florestal Brasileira","id":"ITEM-1","issue":"64","issued":{"date-parts":[["2010"]]},"page":"291-302","title":"Inventário florístico florestal de Santa Catarina (IFFSC): aspectos metodológicos e operacionais","type":"article-journal","volume":"30"},"uris":["http://www.mendeley.com/documents/?uuid=373f3df7-0ac2-3c2f-982b-59c479bdbbcb"]}],"mendeley":{"formattedCitation":"(Vibrans et al., 2010)","plainTextFormattedCitation":"(Vibrans et al., 2010)","previouslyFormattedCitation":"(Vibrans et al., 2010)"},"properties":{"noteIndex":0},"schema":"https://github.com/citation-style-language/schema/raw/master/csl-citation.json"}</w:instrText>
      </w:r>
      <w:r w:rsidR="001A1184">
        <w:fldChar w:fldCharType="separate"/>
      </w:r>
      <w:r w:rsidR="001A1184" w:rsidRPr="001A1184">
        <w:rPr>
          <w:noProof/>
        </w:rPr>
        <w:t>(Vibrans et al., 2010)</w:t>
      </w:r>
      <w:r w:rsidR="001A1184">
        <w:fldChar w:fldCharType="end"/>
      </w:r>
      <w:r w:rsidR="001A1184">
        <w:t xml:space="preserve"> or </w:t>
      </w:r>
      <w:r w:rsidR="003B103A">
        <w:t xml:space="preserve">palynological </w:t>
      </w:r>
      <w:r w:rsidR="001C302E">
        <w:t>examination</w:t>
      </w:r>
      <w:r w:rsidR="001A59AF">
        <w:t xml:space="preserve"> </w:t>
      </w:r>
      <w:r w:rsidR="001A1184">
        <w:t xml:space="preserve">of </w:t>
      </w:r>
      <w:r w:rsidR="006160EF">
        <w:t xml:space="preserve">forest </w:t>
      </w:r>
      <w:r w:rsidR="007D516E">
        <w:t xml:space="preserve">fragments </w:t>
      </w:r>
      <w:r w:rsidR="00AF393F">
        <w:t>with relatively intense present human</w:t>
      </w:r>
      <w:r w:rsidR="001D2A33">
        <w:t xml:space="preserve"> land</w:t>
      </w:r>
      <w:r w:rsidR="00AF393F">
        <w:t xml:space="preserve"> use, </w:t>
      </w:r>
      <w:r w:rsidR="001A59AF">
        <w:t xml:space="preserve">such as </w:t>
      </w:r>
      <w:r w:rsidR="00F17F56">
        <w:t>caívas</w:t>
      </w:r>
      <w:r w:rsidR="001A59AF">
        <w:t xml:space="preserve">, faxinais or ervais </w:t>
      </w:r>
      <w:r w:rsidR="004577B4">
        <w:fldChar w:fldCharType="begin" w:fldLock="1"/>
      </w:r>
      <w:r w:rsidR="005A4773">
        <w:instrText>ADDIN CSL_CITATION {"citationItems":[{"id":"ITEM-1","itemData":{"DOI":"10.1080/21513732.2016.1275811","ISSN":"2151-3732","abstract":"ISSN: 2151-3732 (Print) 2151-3740 (Online) Journal homepage: http://www.tandfonline.com/loi/tbsm21 ABSTRACT Assessing the consequences of human exploitation at different intensities on ecosystem services is important in the Brazilian Araucaria Forest biome, because it has been drastically reduced, mainly due to the exploitation of Araucaria angustifolia (Bertol.) Kuntze for wood. The inclusion of A. angustifolia on the list of Brazilian endangered plant species places the harvesting of Araucaria nuts as the most important provisioning service in this type of ecosystem. The aim of this study was to determine the trade-offs related to provisioning, supporting and regulating ecosystem services in the Araucaria Forest at different intensities of nut harvesting, by addressing ecosystem attributes that assure forest sustainability. Six indicators of ecosystem services were evaluated in harvested and non-harvested areas in Brazilian Araucaria Forest fragments. Trade-offs were examined under five harvesting inten-sities. The supporting services were the most sensitive to the harvesting intensity. The results indicate that a harvesting threshold of between 60% and 85% of the nuts produced guaran-tees forest sustainability. In addition, areas under higher harvesting intensities provide more short-term benefit services at the local scale that can be included in the formal market.","author":[{"dropping-particle":"","family":"Fichino","given":"Betânia Santos","non-dropping-particle":"","parse-names":false,"suffix":""},{"dropping-particle":"","family":"Pivello","given":"Vânia Regina","non-dropping-particle":"","parse-names":false,"suffix":""},{"dropping-particle":"","family":"Santos","given":"Rozely Ferreira","non-dropping-particle":"","parse-names":false,"suffix":""}],"container-title":"International Journal of Biodiversity Science, Ecosystem Services &amp; Management","id":"ITEM-1","issue":"1","issued":{"date-parts":[["2017","1","9"]]},"page":"139-149","title":"Trade-offs among ecosystem services under different pinion harvesting intensities in Brazilian Araucaria Forests","type":"article-journal","volume":"13"},"uris":["http://www.mendeley.com/documents/?uuid=e6346c9c-9eb1-388c-86b4-be46e1ede195"]},{"id":"ITEM-2","itemData":{"DOI":"10.3389/fevo.2018.00011","ISSN":"2296-701X","abstract":"Araucaria forest is a sub-tropical component of the Atlantic Forest Biome, occurring between 18º S and 30º S latitude, and 500 to 1800 m altitude in Southern and Southwestern Brazil and Northwestern Argentina. In recent history (20th century), this forest has undergone non-sustainable exploitation and reduction in area dedicated to agricultural and forestry use. However, smallholders continue using several resources from this forest, even adapting management systems. The main system is geared towards the production of yerba mate (Ilex paraguariensis) under Araucaria trees (Araucaria angustifolia), which holds economic, cultural and social relevance for thousands of farmers. Seeking evidence of domestication and conservation of the resources managed in this system, we compared different landscapes on the Northern Plateau of Santa Catarina in Southern Brazil. Focusing on three species – yerba mate, Araucaria and caraguatá (Bromelia antiacantha) – we characterized management practices (interviews and guided tours), demographic structure (permanent plots in farming zones and in a protected area) and genetic diversity in populations from farming zones and from a protected area. Demographic structure and genetic diversity from different landscapes were compared to evaluate the system potential for conservation. The results indicated that the three species are intentionally promoted with practices of protection, transplanting and/or selection, in different ways and with different functions (caraguatá hedges, yerba mate harvesting and collection of pinhões – seed-like nuts of araucaria). Landscapes are managed for yerba mate harvesting and cattle raising, for both economic and cultural reasons, with a consequent reduction in the density of most other plant species. In all cases the genetic diversity of the species was high for most of the sampled properties, and the set of farmers’ populations did not differ from the protected area. The set of populations of each species operates as a metapopulation and local management practices contribute to conservation. Thus, management systems and practices conducted by farmers maintain the landscape with productive forest fragments, favoring the conservation-by-use of these species. The system requires these management practices, which bring about changes in various species and are motivated by cultural and economic factors, in order to maintain the domestication of these","author":[{"dropping-particle":"","family":"Reis","given":"Maurício S.","non-dropping-particle":"","parse-names":false,"suffix":""},{"dropping-particle":"","family":"Montagna","given":"Tiago","non-dropping-particle":"","parse-names":false,"suffix":""},{"dropping-particle":"","family":"Mattos","given":"Andréa G.","non-dropping-particle":"","parse-names":false,"suffix":""},{"dropping-particle":"","family":"Filippon","given":"Samantha","non-dropping-particle":"","parse-names":false,"suffix":""},{"dropping-particle":"","family":"Ladio","given":"Ana H.","non-dropping-particle":"","parse-names":false,"suffix":""},{"dropping-particle":"","family":"Marques","given":"Anésio da Cunha","non-dropping-particle":"","parse-names":false,"suffix":""},{"dropping-particle":"","family":"Zechini","given":"Alex A.","non-dropping-particle":"","parse-names":false,"suffix":""},{"dropping-particle":"","family":"Peroni","given":"Nivaldo","non-dropping-particle":"","parse-names":false,"suffix":""},{"dropping-particle":"","family":"Mantovani","given":"Adelar","non-dropping-particle":"","parse-names":false,"suffix":""}],"container-title":"Frontiers in Ecology and Evolution","id":"ITEM-2","issued":{"date-parts":[["2018","2","7"]]},"note":"Not looking at very historical/pre-Columbian landscapes, but finds evidence of domestication in Bromelia antiacantha in environments where yerba mate is extracted in N SC. No evidence of domestication in yerba mate, or in Aa (which isn't used commercially), but the conservation of these systems (which often also include cattle grazing) depends directly on their economic use. Important to bear in mind and value this.","page":"11","publisher":"Frontiers","title":"Domesticated Landscapes in Araucaria Forests, Southern Brazil: A Multispecies Local Conservation-by-Use System","type":"article-journal","volume":"6"},"uris":["http://www.mendeley.com/documents/?uuid=bff74b9c-c5a0-3a26-860c-d65cab3ad48e"]},{"id":"ITEM-3","itemData":{"DOI":"10.1186/s13002-015-0039-x","ISBN":"3263","ISSN":"1746-4269","PMID":"26054395","abstract":"BACKGROUND: The Araucaria Forest is associated with the Atlantic Forest domain and is a typical ecosystem of southern Brazil. The expansion of Araucaria angustifolia had a human influence in southern Brazil, where historically hunter-gatherer communities used the pinhão, araucaria's seed, as a food source. In the north of the state of Santa Catarina, the Araucaria Forest is a mosaic composed of cultivation and pasture inserted between forest fragments, where pinhão and erva-mate are gathered; some local communities denominate these forest ecotopes as caívas. Therefore, the aim of this study is to understand how human populations transform, manage and conserve landscapes using the case study of caívas from the Araucaria Forests of southern Brazil, as well as to evaluate the local ecological knowledge and how these contribute to conservation of the Araucaria Forest.\\n\\nMETHODS: This study was conducted in the northern plateau of the state of Santa Catarina, Brazil in local five communities. To assess ethnoecological perceptions the historical use and management of caívas, semi-structured interviews, checklist interviews and guided tours were conducted with family units.\\n\\nRESULTS: In total 28 family units participated in the study that had caívas on their properties. During the course of the study two main perceptions of the ecotope caíva were found, there is no consensus to the exact definition; perception of caívas is considered a gradient. In general caívas are considered to have the presence of cattle feeding on native pasture, with denser forest area that is managed, and the presence of specific species. Eleven management practices within caívas were found, firewood collection, cattle grazing, trimming of the herbaceous layer, and erva-mate extraction were the most common. Caívas are perceived and defined through the management practices and native plant resources. All participants stated that there have been many changes to the management practices within caívas and to the caíva itself.\\n\\nCONCLUSIONS: These areas still remain today due to cultural tradition, use and management of plant resources. Through this cultural tradition of maintaining caívas the vegetation of the Araucaria Forest has been conserved associated to the use of the Araucaria Forests native plant resources.","author":[{"dropping-particle":"","family":"Mello","given":"Anna Jacinta Machado","non-dropping-particle":"","parse-names":false,"suffix":""},{"dropping-particle":"","family":"Peroni","given":"Nivaldo","non-dropping-particle":"","parse-names":false,"suffix":""}],"container-title":"Journal of Ethnobiology and Ethnomedicine","id":"ITEM-3","issue":"1","issued":{"date-parts":[["2015","12","9"]]},"note":"Interesting look at the management of caivas (the modern and historical cultural landscape that incorporates Araucaria with management for cattle and erva mate). Worth remembering that extrapolating into prehistory is unwise here (erva mate really took off commercially in C19th, and cattle weren't so big a deal before Europeans) but still represents some interesting information about human relationships with this environment. Caivas are evidently continuing cultural landscapes, but perhaps some other areas of Araucaria forest are relict ones?","page":"51","publisher":"BioMed Central","title":"Cultural landscapes of the Araucaria Forests in the northern plateau of Santa Catarina, Brazil","type":"article-journal","volume":"11"},"uris":["http://www.mendeley.com/documents/?uuid=8c8a7ab3-dd9e-330a-adc4-6fb9843ba136"]}],"mendeley":{"formattedCitation":"(Fichino et al., 2017; Mello and Peroni, 2015; Reis et al., 2018)","plainTextFormattedCitation":"(Fichino et al., 2017; Mello and Peroni, 2015; Reis et al., 2018)","previouslyFormattedCitation":"(Fichino et al., 2017; Mello and Peroni, 2015; Reis et al., 2018)"},"properties":{"noteIndex":0},"schema":"https://github.com/citation-style-language/schema/raw/master/csl-citation.json"}</w:instrText>
      </w:r>
      <w:r w:rsidR="004577B4">
        <w:fldChar w:fldCharType="separate"/>
      </w:r>
      <w:r w:rsidR="000D4D59" w:rsidRPr="000D4D59">
        <w:rPr>
          <w:noProof/>
        </w:rPr>
        <w:t>(Fichino et al., 2017; Mello and Peroni, 2015; Reis et al., 2018)</w:t>
      </w:r>
      <w:r w:rsidR="004577B4">
        <w:fldChar w:fldCharType="end"/>
      </w:r>
      <w:r w:rsidR="002B36BB">
        <w:t>.</w:t>
      </w:r>
      <w:r w:rsidR="00DE5336">
        <w:t xml:space="preserve"> Such research would aid the interpretation of fossil pollen records which do show significant changes </w:t>
      </w:r>
      <w:r w:rsidR="00536A9C">
        <w:t xml:space="preserve">with climatic changes and human land use </w:t>
      </w:r>
      <w:r w:rsidR="00DE5336">
        <w:fldChar w:fldCharType="begin" w:fldLock="1"/>
      </w:r>
      <w:r w:rsidR="00352E80">
        <w:instrText>ADDIN CSL_CITATION {"citationItems":[{"id":"ITEM-1","itemData":{"DOI":"10.1016/S0031-0182(03)00687-4","ISBN":"0031-0182","ISSN":"00310182","abstract":"Late Quaternary vegetation, fire and climate dynamics have been studied based on high-resolution dated pollen and charcoal samples and multivariate data analysis. The samples were taken from a 212-cm-long sediment core of a bog in the Cambará do Sul region on the highlands of northeastern Rio Grande do Sul State, Brazil. The records, including seven AMS radiocarbon dates, span 42 840 14C years, for the first time extending the reconstruction of past environmental changes on the southern Brazilian highlands back to the Last Glacial Maximum (LGM) and pre-LGM times. The last 1100 years provide a decadal resolution. Initially the site was a permanent shallow lake which became seasonally dry after 26 900 14C yr BP. Seasonal climate with a long annual dry period prevailed until the late Holocene. The climate was somewhat wetter from 42 840 to 41 470 14C yr BP and from 41 470 to 26 900 14C yr BP than during the LGM and the late-Glacial period. Natural fires were rare, but became very frequent after 7400 cal BP, suggesting human occupation of the southernmost Brazilian highlands since that time. The records suggest that a species-rich Campos (grassland) vegetation existed in the area under a relatively dry and cold climate during glacial times under possibly as low as -10°C. The record also suggests that small populations of Araucaria were probably only present in refugia of deep and protected valleys and/or on wetter coastal slopes. Campos vegetation existed through the early and mid-Holocene until 4320 cal yr BP, after which Araucaria forest expanded into the network of gallery forests along the streams. By 1100 cal yr BP the Araucaria forest replaced the Campos vegetation reflecting the onset of the wettest period with no marked annual dry season. The marked expansion of the Araucaria forest coincided with the reduction in fire. Between AD 1520 and 1770 Weinmannia became a common taxa in the Araucaria forest, suggesting a shift to warmer climatic conditions on the highlands. This interval was synchronous with a cool phase within the Little Ice Age known from North Atlantic land records. After about AD 1780 human activities changed the original forest composition, first by introducing cattle into the forest and than by selective logging of Araucaria trees. Multivariate analysis of the pollen data shows compositional changes that follow a trajectory alternating undirectional, random phases and phases with directional, sometimes fast transitions. The results al…","author":[{"dropping-particle":"","family":"Behling","given":"Hermann","non-dropping-particle":"","parse-names":false,"suffix":""},{"dropping-particle":"","family":"Pillar","given":"Valerio DePatta","non-dropping-particle":"","parse-names":false,"suffix":""},{"dropping-particle":"","family":"Orlóci","given":"László","non-dropping-particle":"","parse-names":false,"suffix":""},{"dropping-particle":"","family":"Bauermann","given":"Soraia Girardi","non-dropping-particle":"","parse-names":false,"suffix":""}],"container-title":"Palaeogeography, Palaeoclimatology, Palaeoecology","id":"ITEM-1","issue":"3-4","issued":{"date-parts":[["2004"]]},"note":"Detailed examination of Cambara do Sul core in NE Rio Grande do Sul, 42,658 C14 yr BP to present. Shows 100 year Campos-Araucaria switch in about 1100 cal yr BP.\n\nNEEDS SOME REINTERPRETING WITH LEONHARDT &amp;amp; LORSCHEITTER 2010. SEE NOTE\n\n(All dates C14 yr BP)\n\n42,840 - 41,470\n83-88% campos pollen, 8-14% Araucaria forest pollen (only 2 grains of A. angustifolia), only one pollen grain from Atlantic forest taxa, aquatics 6-16%, ferns 3-6%. Low conc and accumulation of carbonised particles.\n\n41,4701 - 26,900\n87-94% campos pollen, 3-9% Araucaria forest (less pollen from Myrtaceae), a few single grains of Atlantic forest pollen, less aquatic pollen (3-7%), fewer fern spores (0-3%). Carbonised particles still rare.\n\n26,900 - 10,120\n87-97% campos pollen (though changing composition - Poaceae down, Eryngium up; less Apiaceae), 1-5% Araucaria forest, 0-0.3% Atlantic forest (lowest for both), 1-3% aquatic, lowest time for ferns (but big increase at end of zone). Carbonised particles rare.\n\n10,120 - 3,950 (11,540 - 4,320 cal yr BP)\n74-88% campos but lower near end (Poaceae up from last time; Eryngium get more common; other compositional changes), 3-13% Araucaria forest (up slightly thanks to A. angustifolia and Myrsine), 0-4% Atlantic (up slightly), trace aquatics, big increase of ferns (up to 46%) then decrease by end (to 9%), increase in Dicksonia (0-14%). Lots of carbonised particles higher up in this section.\n\n3950 - 1140 (4320 - 1100 cal yr BP)\n65-84% campos (down a bit but still high; Cyperaceae up, Poaceae and Eryngium down), 13-27% Araucaria forest (mainly A. angustifolia 4-7%, Myrsine and Weinmannia), 2-5% Atlantic forest, fern spores up again (9-40%), Dicksonia common (9-16%). Lots and lots of carbonised particles.\n\n1140 - 410 (1100 - 430 cal yr BP)\nCampos way down and keeps going (55-24%), continuous increase of Araucaria forest pollen (39-80%) with A. angustifolia going up 14-42% and big increase in Mimosa scabrella, no change in Atlantic (2-6%), fewer fern spores (5-19%), highest Dicksonia spore level (9-26%), high point for mosses but decrease later. Low concentration of carbonised particles but higher accumulation than at beginning of core.\n\n410 - -50 (430 - -50 cal yr BP)\nCampos start way down (to 11%) but increase (to 38%, through Cyperaceae then Poaceae) then go down right at the end, Araucaria forest highest early on (87%) but decreases at the end (65%) as A. angustifolia drops off right at the end (41-2%; Mimosa scabrella jumps correspondingly; other changes), nothing much happens with Atlantic forest (2-7%), fern spores go down (21-2%) and Dicksonia crashes by end (19-0.3%). Similar carbonised particles to before.","page":"277-297","title":"Late Quaternary Araucaria forest, grassland (Campos), fire and climate dynamics, studied by high-resolution pollen, charcoal and multivariate analysis of the Cambará do Sul core in southern Brazil","type":"article-journal","volume":"203"},"prefix":"e.g.","uris":["http://www.mendeley.com/documents/?uuid=46579170-55fd-37c2-8f78-517419a62e98"]}],"mendeley":{"formattedCitation":"(e.g. Behling et al., 2004)","plainTextFormattedCitation":"(e.g. Behling et al., 2004)","previouslyFormattedCitation":"(e.g. Behling et al., 2004)"},"properties":{"noteIndex":0},"schema":"https://github.com/citation-style-language/schema/raw/master/csl-citation.json"}</w:instrText>
      </w:r>
      <w:r w:rsidR="00DE5336">
        <w:fldChar w:fldCharType="separate"/>
      </w:r>
      <w:r w:rsidR="00DE5336" w:rsidRPr="003420C5">
        <w:rPr>
          <w:noProof/>
        </w:rPr>
        <w:t>(e.g. Behling et al., 2004)</w:t>
      </w:r>
      <w:r w:rsidR="00DE5336">
        <w:fldChar w:fldCharType="end"/>
      </w:r>
      <w:r w:rsidR="00536A9C">
        <w:t xml:space="preserve">, permitting </w:t>
      </w:r>
      <w:r w:rsidR="00784403">
        <w:t>shifts in pollen composition to be more accurately related to changes in the vegetation.</w:t>
      </w:r>
    </w:p>
    <w:p w14:paraId="20F7119D" w14:textId="6A8499A0" w:rsidR="009A18EB" w:rsidRDefault="009E17CF" w:rsidP="001C1F44">
      <w:pPr>
        <w:pStyle w:val="Mynormal"/>
      </w:pPr>
      <w:r>
        <w:t xml:space="preserve">The </w:t>
      </w:r>
      <w:r w:rsidR="00256A05">
        <w:t xml:space="preserve">difficulty </w:t>
      </w:r>
      <w:r>
        <w:t xml:space="preserve">of </w:t>
      </w:r>
      <w:r w:rsidR="00EC53E0">
        <w:t xml:space="preserve">detecting structural and compositional changes in </w:t>
      </w:r>
      <w:r w:rsidR="006160EF">
        <w:rPr>
          <w:i/>
        </w:rPr>
        <w:t>Araucaria</w:t>
      </w:r>
      <w:r w:rsidR="006160EF">
        <w:t xml:space="preserve"> forest </w:t>
      </w:r>
      <w:r w:rsidR="00EC53E0">
        <w:t xml:space="preserve">with </w:t>
      </w:r>
      <w:r>
        <w:t xml:space="preserve">pollen records </w:t>
      </w:r>
      <w:r w:rsidR="003B103A">
        <w:t xml:space="preserve">has implications for </w:t>
      </w:r>
      <w:r w:rsidR="00550C4C">
        <w:t xml:space="preserve">the reconstruction of past human impacts on the forest. </w:t>
      </w:r>
      <w:r w:rsidR="00D12C1B">
        <w:t>Before European arrival</w:t>
      </w:r>
      <w:r w:rsidR="001D2A33">
        <w:t>,</w:t>
      </w:r>
      <w:r w:rsidR="00D12C1B">
        <w:t xml:space="preserve"> t</w:t>
      </w:r>
      <w:r w:rsidR="00550C4C">
        <w:t xml:space="preserve">he </w:t>
      </w:r>
      <w:r w:rsidR="008C7E50">
        <w:t xml:space="preserve">indigenous </w:t>
      </w:r>
      <w:r w:rsidR="00550C4C">
        <w:t>southern Jê people</w:t>
      </w:r>
      <w:r w:rsidR="00D12C1B">
        <w:t xml:space="preserve"> </w:t>
      </w:r>
      <w:r w:rsidR="001B021B">
        <w:t xml:space="preserve">lived in semi-subterranean </w:t>
      </w:r>
      <w:r w:rsidR="00D12C1B">
        <w:t>dwellings</w:t>
      </w:r>
      <w:r w:rsidR="001B021B">
        <w:t xml:space="preserve"> in the forest, practising </w:t>
      </w:r>
      <w:r w:rsidR="0030777B">
        <w:t>swidden cultivation</w:t>
      </w:r>
      <w:r w:rsidR="001B021B">
        <w:t xml:space="preserve"> and exploiting </w:t>
      </w:r>
      <w:r w:rsidR="001B021B" w:rsidRPr="008A5E0D">
        <w:rPr>
          <w:i/>
        </w:rPr>
        <w:t>Araucaria angustifolia</w:t>
      </w:r>
      <w:r w:rsidR="001B021B">
        <w:t xml:space="preserve"> nuts and Myrtaceae fruits </w:t>
      </w:r>
      <w:r w:rsidR="001B021B">
        <w:fldChar w:fldCharType="begin" w:fldLock="1"/>
      </w:r>
      <w:r w:rsidR="005A4773">
        <w:instrText>ADDIN CSL_CITATION {"citationItems":[{"id":"ITEM-1","itemData":{"author":[{"dropping-particle":"","family":"Corteletti","given":"Rafael","non-dropping-particle":"","parse-names":false,"suffix":""}],"id":"ITEM-1","issued":{"date-parts":[["2012"]]},"note":"Where maps are missing, see the end section (last few pages of document)","number-of-pages":"342","publisher":"Universidade de São Paulo","title":"Projeto Arqueológico Alto Canoas-Paraca. Um estudo da presença Jê no planalto catarinense","type":"thesis"},"uris":["http://www.mendeley.com/documents/?uuid=d5fe0565-60fc-429b-97f4-2b2cc5b0bf1e"]},{"id":"ITEM-2","itemData":{"DOI":"10.1016/j.jas.2015.03.017","ISSN":"10959238","abstract":"This article presents the results of starch grain and phytolith residue analyses from 14 ceramic fragments recovered in two domestic cooking structures from a southern proto-Jê pit house at the Bonin site (Urubici, Santa Catarina state, southern Brazil) dating to 1300-1439 and 1297-1414calyr.A.D. The novel application of plant microfossil techniques in this region revealed, for the first time, the consumption of manioc (Manihot esculenta Crantz), beans (Phaseolus sp.), and possibly yams (cf. Dioscorea sp.) in addition to maize (Zea mays L.) and squash (Cucurbita sp.). These findings show that southern proto-Jê people had a subsistence economy based on a variety of plant foods and practiced food production more than one century before European Conquest. Contrary to traditional models of southern proto-Jê mobility, our data suggest that food production may have allowed populations to settle in the southern Brazilian highland plateau year-round without the need for seasonal movements to the Atlantic forest escarpment and the Atlantic coast environments to procure food. Our data complement archaeological evidence for increased sedentism and social complexity among southern proto-Jê groups from A.D. 300-1700, including the construction of large, well-planned pit-house villages, and the creation of a highly structured landscape revolving around funerary/ceremonial structures.","author":[{"dropping-particle":"","family":"Corteletti","given":"Rafael","non-dropping-particle":"","parse-names":false,"suffix":""},{"dropping-particle":"","family":"Dickau","given":"Ruth","non-dropping-particle":"","parse-names":false,"suffix":""},{"dropping-particle":"","family":"DeBlasis","given":"Paulo","non-dropping-particle":"","parse-names":false,"suffix":""},{"dropping-particle":"","family":"Iriarte","given":"José","non-dropping-particle":"","parse-names":false,"suffix":""}],"container-title":"Journal of Archaeological Science","id":"ITEM-2","issued":{"date-parts":[["2015"]]},"note":"Interesting paper on the economy and food sources of southern proto-Je people. Good information on Je/Kaingang plant/animal food use (inc pinhao). Concludes that groups were probably sedentary and cultivating crops from quite early and didn't have to do seasonal movement.","page":"46-61","title":"Revisiting the economy and mobility of southern proto-Jê (Taquara-Itararé) groups in the southern Brazilian highlands: Starch grain and phytoliths analyses from the Bonin site, Urubici, Brazil","type":"article-journal","volume":"58"},"uris":["http://www.mendeley.com/documents/?uuid=e6aa57d8-0a4d-3b65-b6a0-2ca8f07aff58"]},{"id":"ITEM-3","itemData":{"DOI":"10.5751/ES-06163-190243","ISBN":"3262","ISSN":"17083087","abstract":"South American Araucaria species include Araucaria araucana (Mol.) C. Koch (Argentina and Chile) and Araucaria angustifolia (Bert.) O. Kuntze (Brazil and Argentina). Both species produce nut-like seeds (piñones, pinhões) that have, since pre- Columbian times, formed part of the traditional diet of local societies: Kaingang (A. angustifolia) and Mapuche-Pehuenche (A. araucana). In this work, we compared and analyzed converging and diverging characteristics of these species founded on ecological and ethnobotanical evidence. We also studied the role of human groups in the construction of Araucaria forests. The methodology used was based on a bibliographical analysis that included a wide range of sources, from ecological to social sciences. Our results show that both species hold strong cultural and symbolic significance for associated human groups. The ecological characteristics of both species have favored their rapid territorial expansion since the Holocene; however, palynological, archaeological, and ethnobotanical evidence reinforces the hypothesis that the human groups involved played a key role in this process. For both societies, there are records of past and present practices related to the transport, storage, and processing of the seeds. The landscapes where A. araucana and A. angustifolia are present also reflect use patterns that hold a level of significance that goes beyond merely utilitarian purposes. For the Kaingang and the Mapuche-Pehuenche, the Araucaria forests are associated with the concept of territoriality and play a key role in determining their identity. Our approach to cultural landscapes, which considers the importance of societies in the modelling of natural landscapes, can offer new perspectives for conservation policies and action in both forests.","author":[{"dropping-particle":"","family":"Reis","given":"Maurício Sedrez","non-dropping-particle":"dos","parse-names":false,"suffix":""},{"dropping-particle":"","family":"Ladio","given":"Ana","non-dropping-particle":"","parse-names":false,"suffix":""},{"dropping-particle":"","family":"Peroni","given":"Nivaldo","non-dropping-particle":"","parse-names":false,"suffix":""}],"container-title":"Ecology and Society","id":"ITEM-3","issue":"2","issued":{"date-parts":[["2014"]]},"note":"This paper looks at forests with Araucaria araucana and A. angustifolia in SA, and the possible cultural genesis of these landscapes. It makes the case that the biological characteristics of these species (broad niches, big, gravity-dispersed (but what about animals??) seeds etc) combined with cultural actions mean the forests are almost certainly cultural landscapes. I'm not 100% convinced (there's less direct and compelling evidence provided than for the Brazil nut, for example), but it shows people are thinking along those lines and it shouldn't be ruled out.\n\nAlso links to a lot of useful/interesting papers (especially ethnography/ethnobotany), but many are in Portuguese.","page":"43","publisher":"The Resilience Alliance","title":"Landscapes with Araucaria in South America: Evidence for a cultural dimension","type":"article-journal","volume":"19"},"uris":["http://www.mendeley.com/documents/?uuid=46d1e447-ad0b-38ea-b396-edca73a224f2"]},{"id":"ITEM-4","itemData":{"DOI":"10.1179/174963107x226390","ISBN":"14614103\\r17496314","ISSN":"14614103","abstract":"An examination of the late Holocene environmental and cultural sequences of the southern Brazilian highlands indicates that the colonisation of this region by the Taquara/Itarare ´ people is associated with the expansion of Araucaria forest resulting from the onset of wetter climatic conditions in the region, which started between around 1410 and 900 cal. yr BP. The more intense and permanent human occupation of this region is associated with the advance of Araucaria forest, which provided Taquara/Itararé groups with a newly abundant and reliable resource: Araucaria seeds. In addition, we review the evidence for landscape transformation associated with the beginning of food-production in the region. Charcoal records show that local populations may have practiced slash-and-burn agriculture at lower elevations since the beginning of the late Holocene around 4320 cal. yr BP, and continued this practice during the second part of the late Holocene.","author":[{"dropping-particle":"","family":"Iriarte","given":"José","non-dropping-particle":"","parse-names":false,"suffix":""},{"dropping-particle":"","family":"Behling","given":"Hermann","non-dropping-particle":"","parse-names":false,"suffix":""}],"container-title":"Environmental Archaeology","id":"ITEM-4","issue":"2","issued":{"date-parts":[["2007"]]},"note":"Really good details on ethnobotanical importance of Araucaria to T/I people. Good overview/introduction to changes in landscape, and suggests possible human cause\n\nPalaeoecology:\nFirst Holocene expansion of Araucaria forest (at expense of Campos) in SBHs: 4480-3200 cal yr BP. Wetter climate, expansion of Araucaria gallery forest. (Especially evident in Cambara do Sul, less so in others.)\nLater, bigger expansion between 1410-900 cal yr BP (see highlight amid pollen diagrams for dates from different records). Wettest climate and no real annual dry season. Fires a bit less frequent than in the interval since last expansion (when there had been a lot - probably slash and burn in semideciduous/Atlantic forest), bu</w:instrText>
      </w:r>
      <w:r w:rsidR="005A4773" w:rsidRPr="00696EA8">
        <w:rPr>
          <w:lang w:val="pt-BR"/>
        </w:rPr>
        <w:instrText>t still a fair number of them. This ended up either in a mosaic with campos or with an Araucaria takeover.\n\nArchaeology:\nPithouses are everyday living places. Closely overlap with Araucaria forest. Diameter 2-20m, most &amp;lt;5m. Charred Araucaria seeds are found in lots of them.\n'Surface sites' (agriculture, quarries etc) are found amongst pithouses in highlands/Araucaria, but are more common at lower altitudes when pithouses get rarer.\nEarthworkds (?geoglyphs) found in the most prominent hills. They were ceremonial spaces\nExpansion of T/I sites: started 1500cal yr BP and peaked after 1000 cal yr BP. 79% of pithouse dates are more recent than 1000 cal yr BP.","page":"115-127","title":"The expansion of Araucaria forest in the southern Brazilian highlands during the last 4000 years and its implications for the development of the Taquara/Itararé Tradition","type":"article-journal","volume":"12"},"uris":["http://www.mendeley.com/documents/?uuid=67c6efcb-8665-3d79-a859-769fcfa45315"]}],"mendeley":{"formattedCitation":"(Corteletti, 2012; Corteletti et al., 2015; dos Reis et al., 2014; Iriarte and Behling, 2007)","plainTextFormattedCitation":"(Corteletti, 2012; Corteletti et al., 2015; dos Reis et al., 2014; Iriarte and Behling, 2007)","previouslyFormattedCitation":"(Corteletti, 2012; Corteletti et al., 2015; dos Reis et al., 2014; Iriarte and Behling, 2007)"},"properties":{"noteIndex":0},"schema":"https://github.com/citation-style-language/schema/raw/master/csl-citation.json"}</w:instrText>
      </w:r>
      <w:r w:rsidR="001B021B">
        <w:fldChar w:fldCharType="separate"/>
      </w:r>
      <w:r w:rsidR="001B021B" w:rsidRPr="00696EA8">
        <w:rPr>
          <w:noProof/>
          <w:lang w:val="pt-BR"/>
        </w:rPr>
        <w:t>(Corteletti, 2012; Corteletti et al., 2015; dos Reis et al., 2014; Iriarte and Behling, 2007)</w:t>
      </w:r>
      <w:r w:rsidR="001B021B">
        <w:fldChar w:fldCharType="end"/>
      </w:r>
      <w:r w:rsidR="001B021B" w:rsidRPr="00696EA8">
        <w:rPr>
          <w:lang w:val="pt-BR"/>
        </w:rPr>
        <w:t>.</w:t>
      </w:r>
      <w:r w:rsidR="00BB5514" w:rsidRPr="00696EA8">
        <w:rPr>
          <w:lang w:val="pt-BR"/>
        </w:rPr>
        <w:t xml:space="preserve"> </w:t>
      </w:r>
      <w:r w:rsidR="000E6AA9">
        <w:t xml:space="preserve">It has </w:t>
      </w:r>
      <w:r w:rsidR="000E6AA9">
        <w:lastRenderedPageBreak/>
        <w:t xml:space="preserve">been suggested that their lifestyles helped to spread </w:t>
      </w:r>
      <w:r w:rsidR="000E6AA9" w:rsidRPr="004F4229">
        <w:rPr>
          <w:i/>
        </w:rPr>
        <w:t>Araucaria</w:t>
      </w:r>
      <w:r w:rsidR="000E6AA9">
        <w:t xml:space="preserve"> forest </w:t>
      </w:r>
      <w:r w:rsidR="00651B7D">
        <w:t>more quickly than natural</w:t>
      </w:r>
      <w:r w:rsidR="008A04A0">
        <w:t xml:space="preserve"> drivers, such as climate change</w:t>
      </w:r>
      <w:r w:rsidR="00651B7D">
        <w:t>,</w:t>
      </w:r>
      <w:r w:rsidR="008A04A0">
        <w:t xml:space="preserve"> and even</w:t>
      </w:r>
      <w:r w:rsidR="00651B7D">
        <w:t xml:space="preserve"> beyond </w:t>
      </w:r>
      <w:r w:rsidR="008A5E0D">
        <w:t>the forest’s</w:t>
      </w:r>
      <w:r w:rsidR="00651B7D">
        <w:t xml:space="preserve"> natural limits </w:t>
      </w:r>
      <w:r w:rsidR="00651B7D">
        <w:fldChar w:fldCharType="begin" w:fldLock="1"/>
      </w:r>
      <w:r w:rsidR="005A4773">
        <w:instrText>ADDIN CSL_CITATION {"citationItems":[{"id":"ITEM-1","itemData":{"DOI":"10.1038/s41598-018-24429-5","ISSN":"2045-2322","abstract":"In the highlands of southern Brazil an anthropogenitcally driven expansion of forest occurred at the expense of grasslands between 1410 and 900 cal BP, coincident with a period of demographic and cultural change in the region. Previous studies have debated the relative contributions of increasing wetter and warmer climate conditions and human landscape modifications to forest expansion, but generally lacked high resoltiuon proxies to measure these effects, or have relied on single proxies to reconstruct both climate and vegetation. Here, we develop and test a model of natural ecosystem distribution against vegetation histories, paleoclimate proxies, and the archaeological record to distinguish human from temperature and precipitation impacts on the distribution and expansion of Araucaria forests during the late Holocene. Carbon isotopes from soil profiles confirm that in spite of climatic fluctuations, vegetation was stable and forests were spatially limited to south-facing slopes in the absence of human inputs. In contrast, forest management strategies for the past 1400 years expanded this economically important forest beyond its natural geographic boundaries in areas of dense pre-Columbian occupation, suggesting that landscape modifications were linked to demographic changes, the effects of which are still visible today.","author":[{"dropping-particle":"","family":"Robinson","given":"Mark","non-dropping-particle":"","parse-names":false,"suffix":""},{"dropping-particle":"","family":"Souza","given":"Jonas Gregorio","non-dropping-particle":"De","parse-names":false,"suffix":""},{"dropping-particle":"","family":"Maezumi","given":"S Yoshi","non-dropping-particle":"","parse-names":false,"suffix":""},{"dropping-particle":"","family":"Cárdenas","given":"Macarena","non-dropping-particle":"","parse-names":false,"suffix":""},{"dropping-particle":"","family":"Pessenda","given":"Luiz","non-dropping-particle":"","parse-names":false,"suffix":""},{"dropping-particle":"","family":"Prufer","given":"Keith","non-dropping-particle":"","parse-names":false,"suffix":""},{"dropping-particle":"","family":"Corteletti","given":"Rafael","non-dropping-particle":"","parse-names":false,"suffix":""},{"dropping-particle":"","family":"Scunderlick","given":"Deisi","non-dropping-particle":"","parse-names":false,"suffix":""},{"dropping-particle":"","family":"Mayle","given":"Francis Edward","non-dropping-particle":"","parse-names":false,"suffix":""},{"dropping-particle":"","family":"Blasis","given":"Paulo","non-dropping-particle":"De","parse-names":false,"suffix":""},{"dropping-particle":"","family":"Iriarte","given":"José","non-dropping-particle":"","parse-names":false,"suffix":""}],"container-title":"Scientific Reports","id":"ITEM-1","issue":"1","issued":{"date-parts":[["2018","12","17"]]},"page":"7800","title":"Uncoupling human and climate drivers of late Holocene vegetation change in southern Brazil","type":"article-journal","volume":"8"},"uris":["http://www.mendeley.com/documents/?uuid=31596bfb-9a43-43e4-a359-a0d4859f2499"]},{"id":"ITEM-2","itemData":{"DOI":"10.1007/s11295-018-1250-4","ISSN":"1614-2942","abstract":"Phylogeographic studies allow us to better understand the past history of species and the factors that mold their current distri-bution. Here, we demonstrate the potential human impact on the distribution of a tree species. In particular, it was hypothesized that Araucaria angustifolia, an endangered South American conifer, was dispersed from its Pleistocene glacial refugium to its maximum occurrence distribution (MOD), mainly by pre-Columbian human groups (ca 2000 years ago). In order to test this hypothesis, we sampled 20 A. angustifolia populations in southern Brazil. Our analysis consisted of an integrative phylogeo-graphic approach, supported by ecological aspects of the species. Therefore, we constructed the species chloroplast haplotype network, tested for possible neutrality deviations, genetic divergence, association between genetic and geographic distances, and simulated the amount of time that the species required to reach its MOD without human help. The species showed clear signs of rapid and recent expansion from a single refugium. The haplotype network had a star-like shape. Populations and the species showed negative values for the neutrality tests and low divergence values among populations (F ST = 0.041) not associated with geographic distance. The estimated dispersal time required for the species to reach its MOD from its putative refugium without human help is not consistent with the rapid and recent expansion of the species. Hence, we argue that humans played an important role in expanding the distribution of the currently endangered species, and it needs to be accounted for when analyzing landscape genetics or in the development of conservation strategies.","author":[{"dropping-particle":"","family":"Lauterjung","given":"Miguel Busarello","non-dropping-particle":"","parse-names":false,"suffix":""},{"dropping-particle":"","family":"Bernardi","given":"Alison Paulo","non-dropping-particle":"","parse-names":false,"suffix":""},{"dropping-particle":"","family":"Montagna","given":"Tiago","non-dropping-particle":"","parse-names":false,"suffix":""},{"dropping-particle":"","family":"Candido-Ribeiro","given":"Rafael","non-dropping-particle":"","parse-names":false,"suffix":""},{"dropping-particle":"","family":"Costa","given":"Newton Clóvis Freitas","non-dropping-particle":"da","parse-names":false,"suffix":""},{"dropping-particle":"","family":"Mantovani","given":"Adelar","non-dropping-particle":"","parse-names":false,"suffix":""},{"dropping-particle":"","family":"Reis","given":"Maurício Sedrez","non-dropping-particle":"dos","parse-names":false,"suffix":""}],"container-title":"Tree Genetics &amp; Genomes","id":"ITEM-2","issue":"3","issued":{"date-parts":[["2018"]]},"note":"This is an interesting paper looking for genetic evidence of anthropogenic expansion of Aa. I don't agree with all of it, but there is still good, useful stuff within it. Particularly, it finds that there's very little differentiation between populations compared to within, and not really any isolation by distance. This (and other factors) suggests quite rapid expansion from an origin point.\n\nHowever, the proposal here is that the origin point was in the SE highlands, and I don't think that's likely to be right. My modelling suggests Aa could have been present more widely to the west (backed up by the 13ka core by Bertoldo et al 2014) so it's not unreasonable that Aa might have been able to spread across its whole range in the time allowed - it's much less far than the authors assume. Also, there's very little pollen evidence in much of this region - need to be careful about extrapolating to wider area. This does not, however, completely rule out these results - perhaps the spJ ~domesticated Aa or otherwise bottlenecked it in places where it was already suitable, or helped spread it faster than it would otherwise have gone (but it would, nonetheless, have spread there). To explore with past modelling, I think.","page":"36","title":"Phylogeography of Brazilian pine (Araucaria angustifolia): integrative evidence for pre-Columbian anthropogenic dispersal","type":"article-journal","volume":"14"},"uris":["http://www.mendeley.com/documents/?uuid=9809cb5b-ef0a-3553-8096-e722f9a8a6ca"]},{"id":"ITEM-3","itemData":{"abstract":"This study offers a few thoughts about a possible prehistoric anthropogenic effect on the expansion of Araucaria angustifolia during the late Holocene based on overlay and analysis of archeological, geographical, palynological and botanical data. Archeological research reveals that groups of pottery-producing hunter-gatherers belonging to the Jê linguistic stock. These are archeologically defined as the Taquara/Itararé Tradition, and occupied the highlands in southern Brazil from 2000 years BP until 200 years BP. Major resource uses regarding forest vegetation were hunting, Araucaria nuts seed harvesting (considered an essential component in the diet) and agroforestry management. Their settlements, known as casas subterrâneas (pit houses), were distributed according to relief and geography under the domain of Araucaria forest. A strong expansion of Araucaria angustifolia in the late Holocene is recorded by various palynological studies as occurring after 1,500 years BP in Paraná, 1,000 years BP in Santa Catarina and 1,140 years BP in Rio Grande do Sul over areas near archaeological settlements. These data deserve some attention. Furthermore, botanical sources indicate that Araucaria angustifolia need a dispersing factor, including birds, animals and humans. In spite of climate conditions being considered one of the major causes of increase, the possibility of contribution by pottery-producing hunter-gatherers of the Taquara/Itararé Tradition in seed dispersal by harvesting of seeds, and possible management and planting of this species. These sites are considered important elements as indicators of Araucaria forest areas in landscape reconstruction studies.","author":[{"dropping-particle":"","family":"Bitencourt","given":"Ana Luisa Vietti","non-dropping-particle":"","parse-names":false,"suffix":""},{"dropping-particle":"","family":"Krauspenhar","given":"Patrícia Maria","non-dropping-particle":"","parse-names":false,"suffix":""}],"container-title":"Revista Brasileira de Paleontologia","id":"ITEM-3","issue":"1","issued":{"date-parts":[["2006"]]},"note":"Paper that first(?) suggested a potential anthropogenic cause for the late-Holocene expansion of Araucaria forest. No experimental evidence but suggests potential management of the understorey as a means for this, and compares dates of human and forest expansion.","page":"109-116","title":"Possible prehistoric anthropogenic effect on Araucaria angustifolia (Bert.) O. Kuntze expansion during the late Holocene","type":"article-journal","volume":"9"},"uris":["http://www.mendeley.com/documents/?uuid=f0770d30-0d2e-3ebc-a93c-d43c0879c48c"]},{"id":"ITEM-4","itemData":{"author":[{"dropping-particle":"","family":"Noelli","given":"Francisco Silva","non-dropping-particle":"","parse-names":false,"suffix":""}],"container-title":"Revista da Universidade da São Paulo","id":"ITEM-4","issued":{"date-parts":[["2000"]]},"note":"At this point, used mainly for early suggestion of anthropogenic landscapes (search Araucaria/arauc)","page":"218-269","title":"A ocupação humana na Região Sul do Brasil: Arqueologia, debates e perspectivas 1872-2000","type":"article-journal","volume":"44"},"uris":["http://www.mendeley.com/documents/?uuid=db1352f9-aa5c-3958-bf2f-d84404307805"]},{"id":"ITEM-5","itemData":{"DOI":"10.1179/174963107x226390","ISBN":"14614103\\r17496314","ISSN":"14614103","abstract":"An examination of the late Holocene environmental and cultural sequences of the southern Brazilian highlands indicates that the colonisation of this region by the Taquara/Itarare ´ people is associated with the expansion of Araucaria forest resulting from the onset of wetter climatic conditions in the region, which started between around 1410 and 900 cal. yr BP. The more intense and permanent human occupation of this region is associated with the advance of Araucaria forest, which provided Taquara/Itararé groups with a newly abundant and reliable resource: Araucaria seeds. In addition, we review the evidence for landscape transformation associated with the beginning of food-production in the region. Charcoal records show that local populations may have practiced slash-and-burn agriculture at lower elevations since the beginning of the late Holocene around 4320 cal. yr BP, and continued this practice during the second part of the late Holocene.","author":[{"dropping-particle":"","family":"Iriarte","given":"José","non-dropping-particle":"","parse-names":false,"suffix":""},{"dropping-particle":"","family":"Behling","given":"Hermann","non-dropping-particle":"","parse-names":false,"suffix":""}],"container-title":"Environmental Archaeology","id":"ITEM-5","issue":"2","issued":{"date-parts":[["2007"]]},"note":"Really good details on ethnobotanical importance of Araucaria to T/I people. Good overview/introduction to changes in landscape, and suggests possible human cause\n\nPalaeoecology:\nFirst Holocene expansion of Araucaria forest (at expense of Campos) in SBHs: 4480-3200 cal yr BP. Wetter climate, expansion of Araucaria gallery forest. (Especially evident in Cambara do Sul, less so in others.)\nLater, bigger expansion between 1410-900 cal yr BP (see highlight amid pollen diagrams for dates from different records). Wettest climate and no real annual dry season. Fires a bit less frequent than in the interval since last expansion (when there had been a lot - probably slash and burn in semideciduous/Atlantic forest), but still a fair number of them. This ended up either in a mosaic with campos or with an Araucaria takeover.\n\nArchaeology:\nPithouses are everyday living places. Closely overlap with Araucaria forest. Diameter 2-20m, most &amp;lt;5m. Charred Araucaria seeds are found in lots of them.\n'Surface sites' (agriculture, quarries etc) are found amongst pithouses in highlands/Araucaria, but are more common at lower altitudes when pithouses get rarer.\nEarthworkds (?geoglyphs) found in the most prominent hills. They were ceremonial spaces\nExpansion of T/I sites: started 1500cal yr BP and peaked after 1000 cal yr BP. 79% of pithouse dates are more recent than 1000 cal yr BP.","page":"115-127","title":"The expansion of Araucaria forest in the southern Brazilian highlands during the last 4000 years and its implications for the development of the Taquara/Itararé Tradition","type":"article-journal","volume":"12"},"uris":["http://www.mendeley.com/documents/?uuid=67c6efcb-8665-3d79-a859-769fcfa45315"]}],"mendeley":{"formattedCitation":"(Bitencourt and Krauspenhar, 2006; Iriarte and Behling, 2007; Lauterjung et al., 2018; Noelli, 2000; Robinson et al., 2018)","plainTextFormattedCitation":"(Bitencourt and Krauspenhar, 2006; Iriarte and Behling, 2007; Lauterjung et al., 2018; Noelli, 2000; Robinson et al., 2018)","previouslyFormattedCitation":"(Bitencourt and Krauspenhar, 2006; Iriarte and Behling, 2007; Lauterjung et al., 2018; Noelli, 2000; Robinson et al., 2018)"},"properties":{"noteIndex":0},"schema":"https://github.com/citation-style-language/schema/raw/master/csl-citation.json"}</w:instrText>
      </w:r>
      <w:r w:rsidR="00651B7D">
        <w:fldChar w:fldCharType="separate"/>
      </w:r>
      <w:r w:rsidR="00651B7D" w:rsidRPr="00651B7D">
        <w:rPr>
          <w:noProof/>
        </w:rPr>
        <w:t>(Bitencourt and Krauspenhar, 2006; Iriarte and Behling, 2007; Lauterjung et al., 2018; Noelli, 2000; Robinson et al., 2018)</w:t>
      </w:r>
      <w:r w:rsidR="00651B7D">
        <w:fldChar w:fldCharType="end"/>
      </w:r>
      <w:r w:rsidR="00651B7D">
        <w:t xml:space="preserve">, </w:t>
      </w:r>
      <w:r w:rsidR="00E22099">
        <w:t>but our findings raise the question of whether</w:t>
      </w:r>
      <w:r w:rsidR="00971F21">
        <w:t>,</w:t>
      </w:r>
      <w:r w:rsidR="00E22099">
        <w:t xml:space="preserve"> and how</w:t>
      </w:r>
      <w:r w:rsidR="00971F21">
        <w:t>,</w:t>
      </w:r>
      <w:r w:rsidR="00E22099">
        <w:t xml:space="preserve"> more subtle impacts </w:t>
      </w:r>
      <w:r w:rsidR="000B4FDE">
        <w:t>within</w:t>
      </w:r>
      <w:r w:rsidR="00E22099">
        <w:t xml:space="preserve"> the forest – especially structural and compositional changes </w:t>
      </w:r>
      <w:r w:rsidR="00955C00">
        <w:t>–</w:t>
      </w:r>
      <w:r w:rsidR="00E22099">
        <w:t xml:space="preserve"> </w:t>
      </w:r>
      <w:r w:rsidR="000B4FDE">
        <w:t>w</w:t>
      </w:r>
      <w:r w:rsidR="00955C00">
        <w:t xml:space="preserve">ould be </w:t>
      </w:r>
      <w:r w:rsidR="000B4FDE">
        <w:t xml:space="preserve">represented </w:t>
      </w:r>
      <w:r w:rsidR="00955C00">
        <w:t>in</w:t>
      </w:r>
      <w:r w:rsidR="001D2A33">
        <w:t xml:space="preserve"> fossil pollen</w:t>
      </w:r>
      <w:r w:rsidR="00955C00">
        <w:t xml:space="preserve"> sedimentary archives.</w:t>
      </w:r>
      <w:r w:rsidR="000251EE">
        <w:t xml:space="preserve"> </w:t>
      </w:r>
      <w:r w:rsidR="00921919">
        <w:t xml:space="preserve">There is significant </w:t>
      </w:r>
      <w:r w:rsidR="004C17AB">
        <w:t xml:space="preserve">ongoing </w:t>
      </w:r>
      <w:r w:rsidR="00921919">
        <w:t>debate o</w:t>
      </w:r>
      <w:r w:rsidR="001D2A33">
        <w:t>ver</w:t>
      </w:r>
      <w:r w:rsidR="00921919">
        <w:t xml:space="preserve"> the extent to which </w:t>
      </w:r>
      <w:r w:rsidR="00BD6328">
        <w:t>pre-Columbian peoples altered the floristic composition of</w:t>
      </w:r>
      <w:r w:rsidR="00971F21">
        <w:t xml:space="preserve"> Amazon</w:t>
      </w:r>
      <w:r w:rsidR="00BD6328">
        <w:t>ian forests</w:t>
      </w:r>
      <w:r w:rsidR="00971F21">
        <w:t xml:space="preserve"> </w:t>
      </w:r>
      <w:r w:rsidR="00302264">
        <w:fldChar w:fldCharType="begin" w:fldLock="1"/>
      </w:r>
      <w:r w:rsidR="005A4773">
        <w:instrText>ADDIN CSL_CITATION {"citationItems":[{"id":"ITEM-1","itemData":{"DOI":"10.1126/science.aal0157","ISSN":"0036-8075","abstract":"The extent to which pre-Columbian societies altered Amazonian landscapes is hotly debated. We performed a basin-wide analysis of pre-Columbian impacts on Amazonian forests by overlaying known archaeological sites in Amazonia with the distributions and abundances of 85 woody species domesticated by pre-Columbian peoples. Domesticated species are five times more likely than nondomesticated species to be hyperdominant. Across the basin, the relative abundance and richness of domesticated species increase in forests on and around archaeological sites. In southwestern and eastern Amazonia, distance to archaeological sites strongly influences the relative abundance and richness of domesticated species. Our analyses indicate that modern tree communities in Amazonia are structured to an important extent by a long history of plant domestication by Amazonian peoples.","author":[{"dropping-particle":"","family":"Levis","given":"C","non-dropping-particle":"","parse-names":false,"suffix":""},{"dropping-particle":"","family":"Costa","given":"F R C","non-dropping-particle":"","parse-names":false,"suffix":""},{"dropping-particle":"","family":"Bongers","given":"F","non-dropping-particle":"","parse-names":false,"suffix":""},{"dropping-particle":"","family":"Peña-Claros","given":"M","non-dropping-particle":"","parse-names":false,"suffix":""},{"dropping-particle":"","family":"Clement","given":"C R","non-dropping-particle":"","parse-names":false,"suffix":""},{"dropping-particle":"","family":"Junqueira","given":"A B","non-dropping-particle":"","parse-names":false,"suffix":""},{"dropping-particle":"","family":"Neves","given":"E G","non-dropping-particle":"","parse-names":false,"suffix":""},{"dropping-particle":"","family":"Tamanaha","given":"E K","non-dropping-particle":"","parse-names":false,"suffix":""},{"dropping-particle":"","family":"Figueiredo","given":"F O G","non-dropping-particle":"","parse-names":false,"suffix":""},{"dropping-particle":"","family":"Salomão","given":"R P","non-dropping-particle":"","parse-names":false,"suffix":""},{"dropping-particle":"V","family":"Castilho","given":"C","non-dropping-particle":"","parse-names":false,"suffix":""},{"dropping-particle":"","family":"Magnusson","given":"W E","non-dropping-particle":"","parse-names":false,"suffix":""},{"dropping-particle":"","family":"Phillips","given":"O. L.","non-dropping-particle":"","parse-names":false,"suffix":""},{"dropping-particle":"","family":"Guevara","given":"J E","non-dropping-particle":"","parse-names":false,"suffix":""},{"dropping-particle":"","family":"Sabatier","given":"D","non-dropping-particle":"","parse-names":false,"suffix":""},{"dropping-particle":"","family":"Molino","given":"J.-F","non-dropping-particle":"","parse-names":false,"suffix":""},{"dropping-particle":"","family":"López","given":"D. Cárdenas","non-dropping-particle":"","parse-names":false,"suffix":""},{"dropping-particle":"","family":"Mendoza","given":"A. M.","non-dropping-particle":"","parse-names":false,"suffix":""},{"dropping-particle":"","family":"Pitman","given":"N C A","non-dropping-particle":"","parse-names":false,"suffix":""},{"dropping-particle":"","family":"Duque","given":"A","non-dropping-particle":"","parse-names":false,"suffix":""},{"dropping-particle":"","family":"Vargas","given":"P Núñez","non-dropping-particle":"","parse-names":false,"suffix":""},{"dropping-particle":"","family":"Zartman","given":"C E","non-dropping-particle":"","parse-names":false,"suffix":""},{"dropping-particle":"","family":"Vasquez","given":"R","non-dropping-particle":"","parse-names":false,"suffix":""},{"dropping-particle":"","family":"Andrade","given":"A","non-dropping-particle":"","parse-names":false,"suffix":""},{"dropping-particle":"","family":"Camargo","given":"J L","non-dropping-particle":"","parse-names":false,"suffix":""},{"dropping-particle":"","family":"Feldpausch","given":"T R","non-dropping-particle":"","parse-names":false,"suffix":""},{"dropping-particle":"","family":"Laurance","given":"S. G. W.","non-dropping-particle":"","parse-names":false,"suffix":""},{"dropping-particle":"","family":"Laurance","given":"W F","non-dropping-particle":"","parse-names":false,"suffix":""},{"dropping-particle":"","family":"Killeen","given":"T J","non-dropping-particle":"","parse-names":false,"suffix":""},{"dropping-particle":"","family":"Nascimento","given":"H. E. Mendonça","non-dropping-particle":"","parse-names":false,"suffix":""},{"dropping-particle":"","family":"Montero","given":"J C","non-dropping-particle":"","parse-names":false,"suffix":""},{"dropping-particle":"","family":"Mostacedo","given":"B","non-dropping-particle":"","parse-names":false,"suffix":""},{"dropping-particle":"","family":"Amaral","given":"I L","non-dropping-particle":"","parse-names":false,"suffix":""},{"dropping-particle":"","family":"Guimarães Vieira","given":"I. C.","non-dropping-particle":"","parse-names":false,"suffix":""},{"dropping-particle":"","family":"Brienen","given":"R","non-dropping-particle":"","parse-names":false,"suffix":""},{"dropping-particle":"","family":"Castellanos","given":"H","non-dropping-particle":"","parse-names":false,"suffix":""},{"dropping-particle":"","family":"Terborgh","given":"J","non-dropping-particle":"","parse-names":false,"suffix":""},{"dropping-particle":"","family":"Carim","given":"M. de Jesus Veiga","non-dropping-particle":"","parse-names":false,"suffix":""},{"dropping-particle":"","family":"Guimarães","given":"J. R. da Silva","non-dropping-particle":"","parse-names":false,"suffix":""},{"dropping-particle":"","family":"Coelho","given":"L De Souza","non-dropping-particle":"","parse-names":false,"suffix":""},{"dropping-particle":"","family":"Matos","given":"F D De Almeida","non-dropping-particle":"","parse-names":false,"suffix":""},{"dropping-particle":"","family":"Wittmann","given":"F","non-dropping-particle":"","parse-names":false,"suffix":""},{"dropping-particle":"","family":"Mogollón","given":"H F","non-dropping-particle":"","parse-names":false,"suffix":""},{"dropping-particle":"","family":"Damasco","given":"G","non-dropping-particle":"","parse-names":false,"suffix":""},{"dropping-particle":"","family":"Dávila","given":"N.","non-dropping-particle":"","parse-names":false,"suffix":""},{"dropping-particle":"","family":"García-Villacorta","given":"R.","non-dropping-particle":"","parse-names":false,"suffix":""},{"dropping-particle":"","family":"Coronado","given":"E. N. H.","non-dropping-particle":"","parse-names":false,"suffix":""},{"dropping-particle":"","family":"Emilio","given":"T.","non-dropping-particle":"","parse-names":false,"suffix":""},{"dropping-particle":"","family":"Filho","given":"D. de Andrade Lima","non-dropping-particle":"","parse-names":false,"suffix":""},{"dropping-particle":"","family":"Schietti","given":"J.","non-dropping-particle":"","parse-names":false,"suffix":""},{"dropping-particle":"","family":"Souza","given":"P.","non-dropping-particle":"","parse-names":false,"suffix":""},{"dropping-particle":"","family":"Targhetta","given":"N.","non-dropping-particle":"","parse-names":false,"suffix":""},{"dropping-particle":"","family":"Comiskey","given":"J. A.","non-dropping-particle":"","parse-names":false,"suffix":""},{"dropping-particle":"","family":"Marimon","given":"B. S.","non-dropping-particle":"","parse-names":false,"suffix":""},{"dropping-particle":"","family":"Marimon","given":"B.-H.","non-dropping-particle":"","parse-names":false,"suffix":""},{"dropping-particle":"","family":"Neill","given":"D.","non-dropping-particle":"","parse-names":false,"suffix":""},{"dropping-particle":"","family":"Alonso","given":"A.","non-dropping-particle":"","parse-names":false,"suffix":""},{"dropping-particle":"","family":"Arroyo","given":"L.","non-dropping-particle":"","parse-names":false,"suffix":""},{"dropping-particle":"","family":"Carvalho","given":"F. A.","non-dropping-particle":"","parse-names":false,"suffix":""},{"dropping-particle":"","family":"Souza","given":"F. C.","non-dropping-particle":"de","parse-names":false,"suffix":""},{"dropping-particle":"","family":"Dallmeier","given":"F.","non-dropping-particle":"","parse-names":false,"suffix":""},{"dropping-particle":"","family":"Pansonato","given":"M. P.","non-dropping-particle":"","parse-names":false,"suffix":""},{"dropping-particle":"","family":"Duivenvoorden","given":"J. F.","non-dropping-particle":"","parse-names":false,"suffix":""},{"dropping-particle":"","family":"Fine","given":"P. V. A.","non-dropping-particle":"","parse-names":false,"suffix":""},{"dropping-particle":"","family":"Stevenson","given":"P. R.","non-dropping-particle":"","parse-names":false,"suffix":""},{"dropping-particle":"","family":"Araujo-Murakami","given":"A.","non-dropping-particle":"","parse-names":false,"suffix":""},{"dropping-particle":"","family":"Aymard C.","given":"G. A.","non-dropping-particle":"","parse-names":false,"suffix":""},{"dropping-particle":"","family":"Baraloto","given":"C","non-dropping-particle":"","parse-names":false,"suffix":""},{"dropping-particle":"","family":"Amaral","given":"D. D.","non-dropping-particle":"do","parse-names":false,"suffix":""},{"dropping-particle":"","family":"Engel","given":"J","non-dropping-particle":"","parse-names":false,"suffix":""},{"dropping-particle":"","family":"Henkel","given":"T W","non-dropping-particle":"","parse-names":false,"suffix":""},{"dropping-particle":"","family":"Maas","given":"P","non-dropping-particle":"","parse-names":false,"suffix":""},{"dropping-particle":"","family":"Petronelli","given":"P","non-dropping-particle":"","parse-names":false,"suffix":""},{"dropping-particle":"","family":"Revilla","given":"J. D. Cardenas","non-dropping-particle":"","parse-names":false,"suffix":""},{"dropping-particle":"","family":"Stropp","given":"J","non-dropping-particle":"","parse-names":false,"suffix":""},{"dropping-particle":"","family":"Daly","given":"D","non-dropping-particle":"","parse-names":false,"suffix":""},{"dropping-particle":"","family":"Gribel","given":"R","non-dropping-particle":"","parse-names":false,"suffix":""},{"dropping-particle":"","family":"Paredes","given":"M Ríos","non-dropping-particle":"","parse-names":false,"suffix":""},{"dropping-particle":"","family":"Silveira","given":"M","non-dropping-particle":"","parse-names":false,"suffix":""},{"dropping-particle":"","family":"Thomas-Caesar","given":"R","non-dropping-particle":"","parse-names":false,"suffix":""},{"dropping-particle":"","family":"Baker","given":"T R","non-dropping-particle":"","parse-names":false,"suffix":""},{"dropping-particle":"","family":"Silva","given":"N. F.","non-dropping-particle":"da","parse-names":false,"suffix":""},{"dropping-particle":"V.","family":"Ferreira","given":"L.","non-dropping-particle":"","parse-names":false,"suffix":""},{"dropping-particle":"","family":"Peres","given":"C A","non-dropping-particle":"","parse-names":false,"suffix":""},{"dropping-particle":"","family":"Silman","given":"M R","non-dropping-particle":"","parse-names":false,"suffix":""},{"dropping-particle":"","family":"Cerón","given":"C","non-dropping-particle":"","parse-names":false,"suffix":""},{"dropping-particle":"","family":"Valverde","given":"F C","non-dropping-particle":"","parse-names":false,"suffix":""},{"dropping-particle":"","family":"Fiore","given":"A.","non-dropping-particle":"Di","parse-names":false,"suffix":""},{"dropping-particle":"","family":"Jimenez","given":"E M","non-dropping-particle":"","parse-names":false,"suffix":""},{"dropping-particle":"","family":"Mora","given":"M C Peñuela","non-dropping-particle":"","parse-names":false,"suffix":""},{"dropping-particle":"","family":"Toledo","given":"M","non-dropping-particle":"","parse-names":false,"suffix":""},{"dropping-particle":"","family":"Barbosa","given":"E M","non-dropping-particle":"","parse-names":false,"suffix":""},{"dropping-particle":"","family":"Bonates","given":"L. C. de Matos","non-dropping-particle":"","parse-names":false,"suffix":""},{"dropping-particle":"","family":"Arboleda","given":"N C","non-dropping-particle":"","parse-names":false,"suffix":""},{"dropping-particle":"","family":"Farias","given":"E. de Sousa","non-dropping-particle":"","parse-names":false,"suffix":""},{"dropping-particle":"","family":"Fuentes","given":"A","non-dropping-particle":"","parse-names":false,"suffix":""},{"dropping-particle":"","family":"Guillaumet","given":"J.-L","non-dropping-particle":"","parse-names":false,"suffix":""},{"dropping-particle":"","family":"Jørgensen","given":"P. Møller","non-dropping-particle":"","parse-names":false,"suffix":""},{"dropping-particle":"","family":"Malhi","given":"Y","non-dropping-particle":"","parse-names":false,"suffix":""},{"dropping-particle":"","family":"Andrade Miranda","given":"I. P.","non-dropping-particle":"de","parse-names":false,"suffix":""},{"dropping-particle":"","family":"Phillips","given":"J F","non-dropping-particle":"","parse-names":false,"suffix":""},{"dropping-particle":"","family":"Prieto","given":"A","non-dropping-particle":"","parse-names":false,"suffix":""},{"dropping-particle":"","family":"Rudas","given":"A","non-dropping-particle":"","parse-names":false,"suffix":""},{"dropping-particle":"","family":"Ruschel","given":"A R","non-dropping-particle":"","parse-names":false,"suffix":""},{"dropping-particle":"","family":"Silva","given":"N","non-dropping-particle":"","parse-names":false,"suffix":""},{"dropping-particle":"","family":"Hildebrand","given":"P.","non-dropping-particle":"von","parse-names":false,"suffix":""},{"dropping-particle":"","family":"Vos","given":"V A","non-dropping-particle":"","parse-names":false,"suffix":""},{"dropping-particle":"","family":"Zent","given":"E. L.","non-dropping-particle":"","parse-names":false,"suffix":""},{"dropping-particle":"","family":"Zent","given":"S.","non-dropping-particle":"","parse-names":false,"suffix":""},{"dropping-particle":"","family":"Cintra","given":"B. B. L.","non-dropping-particle":"","parse-names":false,"suffix":""},{"dropping-particle":"","family":"Nascimento","given":"M. T.","non-dropping-particle":"","parse-names":false,"suffix":""},{"dropping-particle":"","family":"Oliveira","given":"A. A.","non-dropping-particle":"","parse-names":false,"suffix":""},{"dropping-particle":"","family":"Ramirez-Angulo","given":"H.","non-dropping-particle":"","parse-names":false,"suffix":""},{"dropping-particle":"","family":"Ramos","given":"J. F.","non-dropping-particle":"","parse-names":false,"suffix":""},{"dropping-particle":"","family":"Rivas","given":"G.","non-dropping-particle":"","parse-names":false,"suffix":""},{"dropping-particle":"","family":"Schöngart","given":"J.","non-dropping-particle":"","parse-names":false,"suffix":""},{"dropping-particle":"","family":"Sierra","given":"R.","non-dropping-particle":"","parse-names":false,"suffix":""},{"dropping-particle":"","family":"Tirado","given":"M.","non-dropping-particle":"","parse-names":false,"suffix":""},{"dropping-particle":"","family":"Heijden","given":"G.","non-dropping-particle":"van der","parse-names":false,"suffix":""},{"dropping-particle":"V.","family":"Torre","given":"E.","non-dropping-particle":"","parse-names":false,"suffix":""},{"dropping-particle":"","family":"Wang","given":"O.","non-dropping-particle":"","parse-names":false,"suffix":""},{"dropping-particle":"","family":"Young","given":"K. R.","non-dropping-particle":"","parse-names":false,"suffix":""},{"dropping-particle":"","family":"Baider","given":"C.","non-dropping-particle":"","parse-names":false,"suffix":""},{"dropping-particle":"","family":"Cano","given":"A.","non-dropping-particle":"","parse-names":false,"suffix":""},{"dropping-particle":"","family":"Farfan-Rios","given":"W.","non-dropping-particle":"","parse-names":false,"suffix":""},{"dropping-particle":"","family":"Ferreira","given":"C.","non-dropping-particle":"","parse-names":false,"suffix":""},{"dropping-particle":"","family":"Hoffman","given":"B.","non-dropping-particle":"","parse-names":false,"suffix":""},{"dropping-particle":"","family":"Mendoza","given":"C.","non-dropping-particle":"","parse-names":false,"suffix":""},{"dropping-particle":"","family":"Mesones","given":"I.","non-dropping-particle":"","parse-names":false,"suffix":""},{"dropping-particle":"","family":"Torres-Lezama","given":"A.","non-dropping-particle":"","parse-names":false,"suffix":""},{"dropping-particle":"","family":"Medina","given":"M. N. U.","non-dropping-particle":"","parse-names":false,"suffix":""},{"dropping-particle":"","family":"Andel","given":"T. R.","non-dropping-particle":"van","parse-names":false,"suffix":""},{"dropping-particle":"","family":"Villarroel","given":"D.","non-dropping-particle":"","parse-names":false,"suffix":""},{"dropping-particle":"","family":"Zagt","given":"R.","non-dropping-particle":"","parse-names":false,"suffix":""},{"dropping-particle":"","family":"Alexiades","given":"M. N.","non-dropping-particle":"","parse-names":false,"suffix":""},{"dropping-particle":"","family":"Balslev","given":"H.","non-dropping-particle":"","parse-names":false,"suffix":""},{"dropping-particle":"","family":"Garcia-Cabrera","given":"K.","non-dropping-particle":"","parse-names":false,"suffix":""},{"dropping-particle":"","family":"Gonzales","given":"T.","non-dropping-particle":"","parse-names":false,"suffix":""},{"dropping-particle":"","family":"Hernandez","given":"L.","non-dropping-particle":"","parse-names":false,"suffix":""},{"dropping-particle":"","family":"Huamantupa-Chuquimaco","given":"I.","non-dropping-particle":"","parse-names":false,"suffix":""},{"dropping-particle":"","family":"Manzatto","given":"A. G.","non-dropping-particle":"","parse-names":false,"suffix":""},{"dropping-particle":"","family":"Milliken","given":"W.","non-dropping-particle":"","parse-names":false,"suffix":""},{"dropping-particle":"","family":"Cuenca","given":"W. P.","non-dropping-particle":"","parse-names":false,"suffix":""},{"dropping-particle":"","family":"Pansini","given":"S.","non-dropping-particle":"","parse-names":false,"suffix":""},{"dropping-particle":"","family":"Pauletto","given":"D.","non-dropping-particle":"","parse-names":false,"suffix":""},{"dropping-particle":"","family":"Arevalo","given":"F. R.","non-dropping-particle":"","parse-names":false,"suffix":""},{"dropping-particle":"","family":"Reis","given":"N. F. Costa","non-dropping-particle":"","parse-names":false,"suffix":""},{"dropping-particle":"","family":"Sampaio","given":"A. F.","non-dropping-particle":"","parse-names":false,"suffix":""},{"dropping-particle":"","family":"Giraldo","given":"L. E. Urrego","non-dropping-particle":"","parse-names":false,"suffix":""},{"dropping-particle":"","family":"Sandoval","given":"E H Valderrama","non-dropping-particle":"","parse-names":false,"suffix":""},{"dropping-particle":"","family":"Gamarra","given":"L Valenzuela","non-dropping-particle":"","parse-names":false,"suffix":""},{"dropping-particle":"","family":"Vela","given":"C I A","non-dropping-particle":"","parse-names":false,"suffix":""},{"dropping-particle":"","family":"Steege","given":"H.","non-dropping-particle":"ter","parse-names":false,"suffix":""}],"container-title":"Science","id":"ITEM-1","issue":"6328","issued":{"date-parts":[["2017","3","3"]]},"note":"It has previously been established that there are probably 16,000 woody species in Amazonia, of which 227 are hyperdominant. 85 woody species have been domesticated to some extent. 20 of these species are hyperdominant, which is 5x more than chance would dictate. It seems likely that humans were managing these species within the forest, and past human influence can explain up to 20% of variation in abundance and richness (environment explains up to 30%).","page":"925-931","title":"Persistent effects of pre-Columbian plant domestication on Amazonian forest composition","type":"article-journal","volume":"355"},"uris":["http://www.mendeley.com/documents/?uuid=44fcdc66-9e08-345c-9f7a-f9e0e60b3a12"]},{"id":"ITEM-2","itemData":{"DOI":"10.3389/fevo.2017.00171","ISBN":"2296-701X","ISSN":"2296-701X","abstract":"For millennia, Amazonian peoples have managed forest resources, modifying the natural environment in subtle and persistent ways. Legacies of past human occupation are striking near archaeological sites, yet we still lack a clear picture of how human management practices resulted in the domestication of Amazonian forests. The general view is that domesticated forests are recognizable by the presence of forest patches dominated by one or a few useful species favored by long-term human activities. Here, we used three complementary approaches to understand the long-term domestication of Amazonian forests. First, we compiled information from the literature about how indigenous and traditional Amazonian peoples manage forest resources to promote useful plant species that are mainly used as food resources. Then, we developed an interdisciplinary conceptual model of how interactions between these management practices across space and time may form domesticated forests. Finally, we collected field data from 30 contemporary villages located on and near archaeological sites, along four major Amazonian rivers, to compare with the management practices synthesized in our conceptual model. We identified eight distinct categories of management practices that contribute to form forest patches of useful plants: (1) removal of non-useful plants, (2) protection of useful plants, (3) attraction of non-human animal dispersers, (4) transportation of useful plants, (5) selection of phenotypes, (6) fire management, (7) planting of useful plants, and (8) soil improvement. Our conceptual model, when ethnographically projected into the past, reveals how the interaction of these multiple management practices interferes with natural ecological processes, resulting in the domestication of Amazonian forest patches dominated by useful species. Our model suggests that management practices became more frequent as human population increased during the Holocene. In the field, we found that useful perennial plants occur in multi-species patches around archaeological sites, and that the dominant species are still managed by local people, suggesting long-term persistence of ancient cultural practices. The management practices we identified have transformed plant species abundance and floristic composition through the creation of diverse forest patches rich in edible perennial plants that enhanced food production and food security in Amazonia.","author":[{"dropping-particle":"","family":"Levis","given":"Carolina","non-dropping-particle":"","parse-names":false,"suffix":""},{"dropping-particle":"","family":"Flores","given":"Bernardo M.","non-dropping-particle":"","parse-names":false,"suffix":""},{"dropping-particle":"","family":"Moreira","given":"Priscila A.","non-dropping-particle":"","parse-names":false,"suffix":""},{"dropping-particle":"","family":"Luize","given":"Bruno G.","non-dropping-particle":"","parse-names":false,"suffix":""},{"dropping-particle":"","family":"Alves","given":"Rubana P.","non-dropping-particle":"","parse-names":false,"suffix":""},{"dropping-particle":"","family":"Franco-Moraes","given":"Juliano","non-dropping-particle":"","parse-names":false,"suffix":""},{"dropping-particle":"","family":"Lins","given":"Juliana","non-dropping-particle":"","parse-names":false,"suffix":""},{"dropping-particle":"","family":"Konings","given":"Evelien","non-dropping-particle":"","parse-names":false,"suffix":""},{"dropping-particle":"","family":"Peña-Claros","given":"Marielos","non-dropping-particle":"","parse-names":false,"suffix":""},{"dropping-particle":"","family":"Bongers","given":"Frans","non-dropping-particle":"","parse-names":false,"suffix":""},{"dropping-particle":"","family":"Costa","given":"Flavia R. C.","non-dropping-particle":"","parse-names":false,"suffix":""},{"dropping-particle":"","family":"Clement","given":"Charles R.","non-dropping-particle":"","parse-names":false,"suffix":""}],"container-title":"Frontiers in Ecology and Evolution","id":"ITEM-2","issue":"171","issued":{"date-parts":[["2018","1","17"]]},"note":"Big, big paper looking at how people may have domesticated (parts of) Amazonia. Seems to be very clear with definitions, and presents a convincing framework for explaining how humans may have significantly shaped areas of forest around them. It does seem from fig5 that this is mostly within 10km of archaeological sites, almost all within 20km, and exceptionally up to 40km. I feel like drawing conclusions from this for all Amazonia, though, might be a bit much - what about areas where no archaeological evidence is known?\n\nWorth a re-read.\n\nMisc. thoughts not covered in comments: 'management' sounds intentional. Can you accidentally or unintentionally 'domesticate' a forest? What about 'facilitating useful forests' instead of managing/domesticating them? If you passively facilitate something useful, are you domesticating it?","page":"1-21","publisher":"Frontiers","title":"How People Domesticated Amazonian Forests","type":"article-journal","volume":"5"},"uris":["http://www.mendeley.com/documents/?uuid=faf67376-d563-3f28-a2ad-616fef684e53"]},{"id":"ITEM-3","itemData":{"DOI":"10.1073/pnas.1614577114","ISSN":"0027-8424","abstract":"Although the Amazon rainforest houses much of Earth's biodiver-sity and plays a major role in the global carbon budget, estimates of tree biodiversity originate from fewer than 1,000 forest inven-tory plots, and estimates of carbon dynamics are derived from fewer than 200 recensus plots. It is well documented that the pre-European inhabitants of Amazonia actively transformed and modified the forest in many regions before their population col-lapse around 1491 AD; however, the impacts of these ancient dis-turbances remain entirely unaccounted for in the many highly influential studies using Amazonian forest plots. Here we examine whether Amazonian forest inventory plot locations are spatially biased toward areas with high probability of ancient human im-pacts. Our analyses reveal that forest inventory plots, and espe-cially forest recensus plots, in all regions of Amazonia are located disproportionately near archaeological evidence and in areas likely to have ancient human impacts. Furthermore, regions of the Ama-zon that are relatively oversampled with inventory plots also con-tain the highest values of predicted ancient human impacts. Given the long lifespan of Amazonian trees, many forest inventory and recensus sites may still be recovering from past disturbances, poten-tially skewing our interpretations of forest dynamics and our under-standing of how these forests are responding to global change. Empirical data on the human history of forest inventory sites are crucial for determining how past disturbances affect modern pat-terns of forest composition and carbon flux in Amazonian forests. Amazon | succession | carbon dynamics | hyperdominants | biomass","author":[{"dropping-particle":"","family":"McMichael","given":"Crystal N. H.","non-dropping-particle":"","parse-names":false,"suffix":""},{"dropping-particle":"","family":"Matthews-Bird","given":"Frazer","non-dropping-particle":"","parse-names":false,"suffix":""},{"dropping-particle":"","family":"Farfan-Rios","given":"William","non-dropping-particle":"","parse-names":false,"suffix":""},{"dropping-particle":"","family":"Feeley","given":"Kenneth J","non-dropping-particle":"","parse-names":false,"suffix":""}],"container-title":"Proceedings of the National Academy of Sciences","id":"ITEM-3","issue":"3","issued":{"date-parts":[["2017","1","17"]]},"note":"Interesting paper that finds that Amazon forest inventory plots (and especially recensus plots for carbon cycle monitoring) are disproportionately near areas of highly likely ancient human impact (AHI) and undersample those with lower AHI. This raises issues for drawing sweeping conclusions about Amazonia from the plots as they are (probably) not representative of the whole region. \n\nWorth considering, though, whether archaeological finds (that dictate AHI) are also subject to the same spatial biases as the forest plots - maybe we keep seeing the same corners of Amazonia again and again..?","page":"522-527","title":"Ancient human disturbances may be skewing our understanding of Amazonian forests","type":"article-journal","volume":"114"},"uris":["http://www.mendeley.com/documents/?uuid=2da7a400-dafb-375c-b233-b30535db9879"]},{"id":"ITEM-4","itemData":{"DOI":"10.1016/j.biocon.2011.10.013","ISBN":"0006-3207","ISSN":"00063207","abstract":"Archeologists, paleoecologists and anthropologists argue that ecologists need to give greater consideration to the pre-historical influence of humans in shaping the current structure and composition of tropical forests. We examine these arguments within the context of Amazonia, and assess the extent to which (i) the concepts of \" pristine forests\" and \" cultural parklands\" are mutually exclusive, (ii) the aggregated distribution of some plants necessarily indicates enrichment planting, (iii) pre-Columbian human disturbance has increased forest biodiversity, (iv) pre-Columbian indigenous practices were always sustainable, and (v) if indeed, the ecological impacts of pre-Columbian peoples are relevant for modern biodiversity conservation. Overall, we reject the notion that \" the pristine myth has been thoroughly debunked\" by archeological evidence, and suggest that the environmental impacts of historical peoples occurred along gradients, with high-impacts in settlements and patches of Amazonian Dark Earth (ADE), lesser impacts where occasional enrichment planting took place in forests surrounding agricultural plots, and a very low influence (in terms of light hunting pressure and other types of resource extraction) across vast areas of Amazonia that may always have been far from permanent settlements and navigable rivers. We suggest that the spatial distribution of pre-Columbian finds is given more attention, and urge caution before case studies are extrapolated to the entire Basin. Above all, we feel that debates over \" naturalness\" and environmental impacts of pre-Columbian humans are of limited relevance to present and future biodiversity conservation, and can detract from the major challenges facing Amazonia and other tropical forest regions today. ?? 2011 Elsevier Ltd.","author":[{"dropping-particle":"","family":"Barlow","given":"Jos","non-dropping-particle":"","parse-names":false,"suffix":""},{"dropping-particle":"","family":"Gardner","given":"Toby A.","non-dropping-particle":"","parse-names":false,"suffix":""},{"dropping-particle":"","family":"Lees","given":"Alexander C.","non-dropping-particle":"","parse-names":false,"suffix":""},{"dropping-particle":"","family":"Parry","given":"Luke","non-dropping-particle":"","parse-names":false,"suffix":""},{"dropping-particle":"","family":"Peres","given":"Carlos A.","non-dropping-particle":"","parse-names":false,"suffix":""}],"container-title":"Biological Conservation","id":"ITEM-4","issue":"1","issued":{"date-parts":[["2012"]]},"note":"I agree with some of this paper, but not all. Suggests that human impacts in Amazonia are on a gradient from effectively untouched to intensively changed (I agree) and that it's dangerous to extrapolate too much from archaeological studies in limited space to places where they may not be (also agree). They also point out that there would have been variation in the sustainability of pre-Columbian land/resource use (agree again). However, they make the case that knowing about past human contributions to biodiversity doesn't matter for current Amazon conservation, and I don't think I agree with that. On a number of levels, I think it matters if people had a hand in creating the Amazon's diversity - even if only because it makes its loss more of a tragedy.\n\n(Also, conservation should be about looking after the drivers and generators of observed biodiversity patterns, not just the patterns and components themselves; it's important to know whether those patterns were influenced by people or not - the people may not have been conserved, but their actions might be.)","page":"45-49","title":"How pristine are tropical forests? An ecological perspective on the pre-Columbian human footprint in Amazonia and implications for contemporary conservation","type":"article-journal","volume":"151"},"uris":["http://www.mendeley.com/documents/?uuid=48d27ee6-5e75-3dd4-80d9-5337657dd5bd"]},{"id":"ITEM-5","itemData":{"DOI":"10.1007/s12231-011-9151-6","ISBN":"0013-0001","ISSN":"00130001","abstract":"The Brazil nut, Bertholletia excelsa , is a colossal tree of terra firme forest whose seeds represent the most important non-timber forest product in Amazonia. Its peculiarly inefficient dispersal strategy and discontinuous distribution have led some to hypothesize anthropogenic origins, but evidence to date has been inconclusive. Here we present results of a multidisciplinary study addressing this question. A review of the geographic distribution of B. excelsa and comparison with that of similar Lecythis species suggest a number of anomalies that are consistent with a recent and wide colonization of Bertholletia . Published studies and field observations indicate that anthropogenic disturbance facilitates Brazil nut regeneration. Recent genetic studies showing no sequence diversity and no geographical structuring of within-population variability support a rapid and recent irradiation from an ancestral population. Historical linguistic analysis of indigenous terms for Brazil nut suggests a northern/eastern Amazonian origin for Bertholletia , with a concomitant spread of Brazil nut distribution or cultivation to the south and west. Such an expansion would have been particularly facilitated by the emergence of intensive bitter manioc cultivation and networks of interethnic trade beginning in the first millennium C.E. Together, ecological, phytogeographic, genetic, linguistic, and archeological data reinforce the hypothesis that ancient Amazonian peoples played a role in establishing this emblematic and economically important rainforest landscape.","author":[{"dropping-particle":"","family":"Shepard","given":"Glenn","non-dropping-particle":"","parse-names":false,"suffix":""},{"dropping-particle":"","family":"Ramirez","given":"Henri","non-dropping-particle":"","parse-names":false,"suffix":""}],"container-title":"Economic Botany","id":"ITEM-5","issue":"1","issued":{"date-parts":[["2011","3","22"]]},"note":"Interesting paper presenting a lot of circumstantial evidence pointing towards a human contribution in the dispersal/range of brazil nut trees. Uses geographical, ecological, genetic and linguistic evidence.","page":"44-65","publisher":"Springer-Verlag","title":"“Made in Brazil”: Human Dispersal of the Brazil Nut (Bertholletia excelsa, Lecythidaceae) in Ancient Amazonia","type":"article-journal","volume":"65"},"uris":["http://www.mendeley.com/documents/?uuid=1745bf21-712c-3fb9-a5b4-078791f8980e"]}],"mendeley":{"formattedCitation":"(Barlow et al., 2012; Levis et al., 2018, 2017; McMichael et al., 2017; Shepard and Ramirez, 2011)","plainTextFormattedCitation":"(Barlow et al., 2012; Levis et al., 2018, 2017; McMichael et al., 2017; Shepard and Ramirez, 2011)","previouslyFormattedCitation":"(Barlow et al., 2012; Levis et al., 2018, 2017; McMichael et al., 2017; Shepard and Ramirez, 2011)"},"properties":{"noteIndex":0},"schema":"https://github.com/citation-style-language/schema/raw/master/csl-citation.json"}</w:instrText>
      </w:r>
      <w:r w:rsidR="00302264">
        <w:fldChar w:fldCharType="separate"/>
      </w:r>
      <w:r w:rsidR="00A35CBD" w:rsidRPr="00A35CBD">
        <w:rPr>
          <w:noProof/>
        </w:rPr>
        <w:t>(Barlow et al., 2012; Levis et al., 2018, 2017; McMichael et al., 2017; Shepard and Ramirez, 2011)</w:t>
      </w:r>
      <w:r w:rsidR="00302264">
        <w:fldChar w:fldCharType="end"/>
      </w:r>
      <w:r w:rsidR="004C17AB">
        <w:t xml:space="preserve"> and </w:t>
      </w:r>
      <w:r w:rsidR="00BD6328">
        <w:t>the limitations of fossil pollen analysis in identifying such impacts are well known</w:t>
      </w:r>
      <w:r w:rsidR="00016402">
        <w:t xml:space="preserve"> </w:t>
      </w:r>
      <w:r w:rsidR="00016402">
        <w:fldChar w:fldCharType="begin" w:fldLock="1"/>
      </w:r>
      <w:r w:rsidR="00016402">
        <w:instrText xml:space="preserve">ADDIN CSL_CITATION {"citationItems":[{"id":"ITEM-1","itemData":{"DOI":"10.1002/jqs.2835","ISSN":"10991417","abstract":"We present a palaeoecological investigation of pre-Columbian land use in the savanna ‘forest island’ landscape of the north-east Bolivian Amazon. A 5700-year sediment core from La Luna Lake, located adjacent to the La Luna forest island site, was analysed for fossil pollen and charcoal. We aimed to determine the palaeoenvironmental context of pre-Columbian occupation on the site and assess the environmental impact of land use in the forest island region. Evidence for anthropogenic burning and Zea mays L. cultivation began </w:instrText>
      </w:r>
      <w:r w:rsidR="00016402">
        <w:rPr>
          <w:rFonts w:ascii="Cambria Math" w:hAnsi="Cambria Math" w:cs="Cambria Math"/>
        </w:rPr>
        <w:instrText>∼</w:instrText>
      </w:r>
      <w:r w:rsidR="00016402">
        <w:instrText xml:space="preserve">2000 cal a BP, at a time when the island was covered by savanna, under drier-than-present climatic conditions. After </w:instrText>
      </w:r>
      <w:r w:rsidR="00016402">
        <w:rPr>
          <w:rFonts w:ascii="Cambria Math" w:hAnsi="Cambria Math" w:cs="Cambria Math"/>
        </w:rPr>
        <w:instrText>∼</w:instrText>
      </w:r>
      <w:r w:rsidR="00016402">
        <w:instrText>1240 cal a BP burning declined and afforestation occurred. We show that construction of the ring ditch, which encircles the island, did not involve substantial deforestation. Previous estimates of pre-Columbian population size in this region, based upon labour required for forest clearance, should therefore be reconsidered. Despite the high density of economically useful plants, such as Theobroma cacao, in the modern forest, no direct pollen evidence for agroforestry was found. However, human occupation is shown to pre-date and span forest expansion on this site, suggesting that here, and in the wider forest island region, there is no truly pre-anthropogenic ‘pristine’ forest.","author":[{"dropping-particle":"","family":"Carson","given":"John F.","non-dropping-particle":"","parse-names":false,"suffix":""},{"dropping-particle":"","family":"Mayle","given":"Francis E.","non-dropping-particle":"","parse-names":false,"suffix":""},{"dropping-particle":"","family":"Whitney","given":"Bronwen S.","non-dropping-particle":"","parse-names":false,"suffix":""},{"dropping-particle":"","family":"Iriarte","given":"José","non-dropping-particle":"","parse-names":false,"suffix":""},{"dropping-particle":"","family":"Soto","given":"J. Daniel","non-dropping-particle":"","parse-names":false,"suffix":""}],"container-title":"Journal of Quaternary Science","id":"ITEM-1","issue":"4","issued":{"date-parts":[["2016"]]},"note":"Looks at palaeoecology and people in Bolivia and tries to find evidence of anthropogenic landscape changes","page":"337-347","title":"Pre-Columbian ring ditch construction and land use on a 'chocolate forest island' in the Bolivian Amazon","type":"article-journal","volume":"31"},"prefix":"e.g.","uris":["http://www.mendeley.com/documents/?uuid=d79edac5-1ee0-44a7-afd2-7243caaa4683"]}],"mendeley":{"formattedCitation":"(e.g. Carson et al., 2016)","plainTextFormattedCitation":"(e.g. Carson et al., 2016)","previouslyFormattedCitation":"(e.g. Carson et al., 2016)"},"properties":{"noteIndex":0},"schema":"https://github.com/citation-style-language/schema/raw/master/csl-citation.json"}</w:instrText>
      </w:r>
      <w:r w:rsidR="00016402">
        <w:fldChar w:fldCharType="separate"/>
      </w:r>
      <w:r w:rsidR="00016402" w:rsidRPr="00016402">
        <w:rPr>
          <w:noProof/>
        </w:rPr>
        <w:t>(e.g. Carson et al., 2016)</w:t>
      </w:r>
      <w:r w:rsidR="00016402">
        <w:fldChar w:fldCharType="end"/>
      </w:r>
      <w:r w:rsidR="00D46E9C">
        <w:t xml:space="preserve">, with recent </w:t>
      </w:r>
      <w:r w:rsidR="00813224">
        <w:t>simulations</w:t>
      </w:r>
      <w:r w:rsidR="003671A2">
        <w:t xml:space="preserve"> showing</w:t>
      </w:r>
      <w:r w:rsidR="00A37017">
        <w:t xml:space="preserve"> that </w:t>
      </w:r>
      <w:r w:rsidR="00A4759F">
        <w:t xml:space="preserve">pollen sites in </w:t>
      </w:r>
      <w:r w:rsidR="00FD0163">
        <w:t xml:space="preserve">tropical </w:t>
      </w:r>
      <w:r w:rsidR="00A4759F">
        <w:t xml:space="preserve">forest-grassland mosaics (like those between </w:t>
      </w:r>
      <w:r w:rsidR="00A4759F">
        <w:rPr>
          <w:i/>
        </w:rPr>
        <w:t>Araucaria</w:t>
      </w:r>
      <w:r w:rsidR="00A4759F" w:rsidRPr="00301AE1">
        <w:t xml:space="preserve"> forest</w:t>
      </w:r>
      <w:r w:rsidR="00A4759F">
        <w:t xml:space="preserve"> and </w:t>
      </w:r>
      <w:r w:rsidR="00FD0163">
        <w:t>ca</w:t>
      </w:r>
      <w:r w:rsidR="00A4759F">
        <w:t>mpos</w:t>
      </w:r>
      <w:r w:rsidR="00091F30">
        <w:t xml:space="preserve"> grasslands</w:t>
      </w:r>
      <w:r w:rsidR="00A4759F">
        <w:t xml:space="preserve">) </w:t>
      </w:r>
      <w:r w:rsidR="00FD0163">
        <w:t>may be</w:t>
      </w:r>
      <w:r w:rsidR="00D46E9C">
        <w:t xml:space="preserve"> </w:t>
      </w:r>
      <w:r w:rsidR="00FD0163">
        <w:t xml:space="preserve">insensitive to </w:t>
      </w:r>
      <w:r w:rsidR="003671A2">
        <w:t>large changes in forest cover</w:t>
      </w:r>
      <w:r w:rsidR="0006304A">
        <w:t xml:space="preserve"> </w:t>
      </w:r>
      <w:r w:rsidR="0006304A">
        <w:fldChar w:fldCharType="begin" w:fldLock="1"/>
      </w:r>
      <w:r w:rsidR="00914BAC">
        <w:instrText>ADDIN CSL_CITATION {"citationItems":[{"id":"ITEM-1","itemData":{"DOI":"10.1177/0959683618810394","ISSN":"0959-6836","abstract":"Pollen dispersal and deposition (PDD) modelling has been instrumental in reconstructing historical vegetation in temperate regions, but its application has been limited in the tropics where there is greatest uncertainty in past land cover change. Here, we apply PDD modelling to Amazonian savanna and forested ecosystems. Empirical pollen data from lakes situated in southwestern Amazonia were used to calibrate the PDD model for a two-component landscape of forest and non-forest. The PDD model was then used to simulate pollen assemblages for different combinations of landscape arrangements (the multiple scenario approach) that reflect possible anthropogenic and climate-driven forest cover change in the late-Holocene. We show that pollen records from large Amazonian lakes vary greatly in their sensitivity to forest loss depending on the baseline forest cover. Lakes in landscapes containing &gt;80% forest will detect small reductions (5% of total cover), but this sensitivity degrades rapidly with forest cover loss. There are a wide range of uncertainties in pollen reconstructions from mosaic and ecotonal landscapes. In forest-savanna mosaics, large reductions of forest cover could be undetectable through the pollen record. In ecotonal landscapes, the relationship between forest cover and its representation in the pollen record rapidly weakens with increasing distance from the forest boundary. Further application of PDD modelling in combination with the multiple scenario approach can address the uncertainties in pollen-based reconstructions of past land cover in the tropics, but require further investment and development","author":[{"dropping-particle":"","family":"Whitney","given":"Bronwen S","non-dropping-particle":"","parse-names":false,"suffix":""},{"dropping-particle":"","family":"Smallman","given":"T Luke","non-dropping-particle":"","parse-names":false,"suffix":""},{"dropping-particle":"","family":"Mitchard","given":"Edward TA","non-dropping-particle":"","parse-names":false,"suffix":""},{"dropping-particle":"","family":"Carson","given":"John F","non-dropping-particle":"","parse-names":false,"suffix":""},{"dropping-particle":"","family":"Mayle","given":"Francis E","non-dropping-particle":"","parse-names":false,"suffix":""},{"dropping-particle":"","family":"Bunting","given":"M Jane","non-dropping-particle":"","parse-names":false,"suffix":""}],"container-title":"The Holocene","id":"ITEM-1","issue":"2","issued":{"date-parts":[["2019","2","28"]]},"note":"Interesting article using Jane's MSA to look at pollen site sensitivity to forest cover changes. Large lakes in forest are the most sensitive, but large losses in forest cover can occur with little to no change in pollen in mosaic environments. Interesting discussion about context around past human land use. Lots of possibilities for MOF/Campos mosaics too.","page":"262-270","title":"Constraining pollen-based estimates of forest cover in the Amazon: A simulation approach","type":"article-journal","volume":"29"},"uris":["http://www.mendeley.com/documents/?uuid=f81086a8-7c46-3127-b45e-8cb08bff9b71"]}],"mendeley":{"formattedCitation":"(Whitney et al., 2019)","plainTextFormattedCitation":"(Whitney et al., 2019)","previouslyFormattedCitation":"(Whitney et al., 2019)"},"properties":{"noteIndex":0},"schema":"https://github.com/citation-style-language/schema/raw/master/csl-citation.json"}</w:instrText>
      </w:r>
      <w:r w:rsidR="0006304A">
        <w:fldChar w:fldCharType="separate"/>
      </w:r>
      <w:r w:rsidR="0006304A" w:rsidRPr="0006304A">
        <w:rPr>
          <w:noProof/>
        </w:rPr>
        <w:t>(Whitney et al., 2019)</w:t>
      </w:r>
      <w:r w:rsidR="0006304A">
        <w:fldChar w:fldCharType="end"/>
      </w:r>
      <w:r w:rsidR="00200F37">
        <w:t>.</w:t>
      </w:r>
      <w:r w:rsidR="003671A2">
        <w:t xml:space="preserve"> </w:t>
      </w:r>
      <w:r w:rsidR="00883F0D">
        <w:t>T</w:t>
      </w:r>
      <w:r w:rsidR="005A5544">
        <w:t>he forest plots in our study have been free of human disturbance for several decades</w:t>
      </w:r>
      <w:r w:rsidR="00765158">
        <w:t xml:space="preserve">, so </w:t>
      </w:r>
      <w:r w:rsidR="006D09DA">
        <w:t>their present</w:t>
      </w:r>
      <w:r w:rsidR="00075822">
        <w:t xml:space="preserve"> condition is</w:t>
      </w:r>
      <w:r w:rsidR="006D09DA">
        <w:t xml:space="preserve"> </w:t>
      </w:r>
      <w:r w:rsidR="00AF0872">
        <w:t>unlikely to</w:t>
      </w:r>
      <w:r w:rsidR="005A5544">
        <w:t xml:space="preserve"> </w:t>
      </w:r>
      <w:r w:rsidR="00765158">
        <w:t xml:space="preserve">mirror </w:t>
      </w:r>
      <w:r w:rsidR="005A5544">
        <w:t xml:space="preserve">the full range of </w:t>
      </w:r>
      <w:r w:rsidR="00765158">
        <w:t xml:space="preserve">southern Jê </w:t>
      </w:r>
      <w:r w:rsidR="005A5544">
        <w:t>land use</w:t>
      </w:r>
      <w:r w:rsidR="00091F30">
        <w:t>.</w:t>
      </w:r>
      <w:r w:rsidR="00883F0D">
        <w:t xml:space="preserve"> </w:t>
      </w:r>
      <w:r w:rsidR="00091F30">
        <w:t>N</w:t>
      </w:r>
      <w:r w:rsidR="00883F0D">
        <w:t>evertheless,</w:t>
      </w:r>
      <w:r w:rsidR="005A5544">
        <w:t xml:space="preserve"> </w:t>
      </w:r>
      <w:r w:rsidR="00690E7C">
        <w:t>o</w:t>
      </w:r>
      <w:r w:rsidR="00BE163E">
        <w:t xml:space="preserve">ur findings </w:t>
      </w:r>
      <w:r w:rsidR="00BD6328">
        <w:t xml:space="preserve">highlight </w:t>
      </w:r>
      <w:r w:rsidR="00D62DEB">
        <w:t xml:space="preserve">potential </w:t>
      </w:r>
      <w:r w:rsidR="00BD6328">
        <w:t xml:space="preserve">limitations of pollen analysis as a tool for </w:t>
      </w:r>
      <w:r w:rsidR="00232521">
        <w:t>investigating</w:t>
      </w:r>
      <w:r w:rsidR="00BE163E">
        <w:t xml:space="preserve"> </w:t>
      </w:r>
      <w:r w:rsidR="003938D2">
        <w:t xml:space="preserve">and reconstructing </w:t>
      </w:r>
      <w:r w:rsidR="00BE163E">
        <w:t xml:space="preserve">the role of the southern Jê in </w:t>
      </w:r>
      <w:r w:rsidR="00232521">
        <w:t xml:space="preserve">shaping </w:t>
      </w:r>
      <w:r w:rsidR="0095135A">
        <w:t xml:space="preserve">the </w:t>
      </w:r>
      <w:r w:rsidR="0024739F" w:rsidRPr="004F4229">
        <w:rPr>
          <w:i/>
        </w:rPr>
        <w:t>Araucaria</w:t>
      </w:r>
      <w:r w:rsidR="0024739F">
        <w:t xml:space="preserve"> forest’s</w:t>
      </w:r>
      <w:r w:rsidR="00232521">
        <w:t xml:space="preserve"> </w:t>
      </w:r>
      <w:r w:rsidR="00AC38DA">
        <w:t xml:space="preserve">floristic </w:t>
      </w:r>
      <w:r w:rsidR="00BD6328">
        <w:t>composition and structure</w:t>
      </w:r>
      <w:r w:rsidR="0095135A">
        <w:t xml:space="preserve"> </w:t>
      </w:r>
      <w:r w:rsidR="00E577EA">
        <w:t>– the absence of evidence of human impacts may not equate to evidence of their absence.</w:t>
      </w:r>
      <w:r w:rsidR="009A18EB">
        <w:t xml:space="preserve"> </w:t>
      </w:r>
    </w:p>
    <w:p w14:paraId="636454D8" w14:textId="455590C4" w:rsidR="00466034" w:rsidRDefault="00466034" w:rsidP="004F4229">
      <w:pPr>
        <w:pStyle w:val="Heading1"/>
        <w:spacing w:line="480" w:lineRule="auto"/>
      </w:pPr>
      <w:r>
        <w:t>5. Conclusions</w:t>
      </w:r>
    </w:p>
    <w:p w14:paraId="1E3360A4" w14:textId="7C06716D" w:rsidR="00D04A1B" w:rsidRDefault="00623B7E" w:rsidP="007B7661">
      <w:pPr>
        <w:pStyle w:val="Mynormal"/>
      </w:pPr>
      <w:r>
        <w:t xml:space="preserve">In this study, </w:t>
      </w:r>
      <w:r w:rsidR="00E84709">
        <w:t xml:space="preserve">the pollen rain from </w:t>
      </w:r>
      <w:r w:rsidR="009033B4">
        <w:t xml:space="preserve">16 structurally different </w:t>
      </w:r>
      <w:r w:rsidR="00E84709">
        <w:rPr>
          <w:i/>
        </w:rPr>
        <w:t xml:space="preserve">Araucaria </w:t>
      </w:r>
      <w:r w:rsidR="009033B4">
        <w:t xml:space="preserve">forest plots </w:t>
      </w:r>
      <w:r w:rsidR="00E84709">
        <w:t xml:space="preserve">has been characterised and compared with </w:t>
      </w:r>
      <w:r w:rsidR="007144CF">
        <w:t xml:space="preserve">floristic inventory data, </w:t>
      </w:r>
      <w:r w:rsidR="00B46562">
        <w:t xml:space="preserve">and 27 tree genera have had their </w:t>
      </w:r>
      <w:r w:rsidR="007144CF">
        <w:t xml:space="preserve">vegetation-pollen </w:t>
      </w:r>
      <w:r w:rsidR="00B46562">
        <w:t xml:space="preserve">relationships quantified. </w:t>
      </w:r>
    </w:p>
    <w:p w14:paraId="758FC72F" w14:textId="50958735" w:rsidR="00091F30" w:rsidRDefault="00D04A1B" w:rsidP="00142497">
      <w:pPr>
        <w:pStyle w:val="Mynormal"/>
      </w:pPr>
      <w:r>
        <w:t xml:space="preserve">Our results show that the structurally different plots </w:t>
      </w:r>
      <w:r w:rsidR="009033B4">
        <w:t>d</w:t>
      </w:r>
      <w:r w:rsidR="00091F30">
        <w:t>o</w:t>
      </w:r>
      <w:r w:rsidR="009033B4">
        <w:t xml:space="preserve"> not exhibit consistent differences in the </w:t>
      </w:r>
      <w:r w:rsidR="0046041C">
        <w:t xml:space="preserve">floristic </w:t>
      </w:r>
      <w:r w:rsidR="009033B4">
        <w:t xml:space="preserve">composition of their </w:t>
      </w:r>
      <w:r w:rsidR="0046041C">
        <w:t>tree taxa</w:t>
      </w:r>
      <w:r w:rsidR="00FB375B">
        <w:t>. Correspondingly, the</w:t>
      </w:r>
      <w:r w:rsidR="00B179CA">
        <w:t>ir</w:t>
      </w:r>
      <w:r w:rsidR="00FB375B">
        <w:t xml:space="preserve"> </w:t>
      </w:r>
      <w:r w:rsidR="001C1196">
        <w:t xml:space="preserve">structural </w:t>
      </w:r>
      <w:r w:rsidR="00FB375B">
        <w:t>differences c</w:t>
      </w:r>
      <w:r w:rsidR="00091F30">
        <w:t>an</w:t>
      </w:r>
      <w:r w:rsidR="00FB375B">
        <w:t xml:space="preserve">not be </w:t>
      </w:r>
      <w:r w:rsidR="004049D3">
        <w:lastRenderedPageBreak/>
        <w:t xml:space="preserve">clearly </w:t>
      </w:r>
      <w:r w:rsidR="00FB375B">
        <w:t xml:space="preserve">detected in their pollen rain, with pollen spectra more similar </w:t>
      </w:r>
      <w:r w:rsidR="005B50AD">
        <w:t xml:space="preserve">than vegetation </w:t>
      </w:r>
      <w:r w:rsidR="00FB375B">
        <w:t>between plots</w:t>
      </w:r>
      <w:r w:rsidR="005B50AD">
        <w:t>.</w:t>
      </w:r>
      <w:r w:rsidR="007B7661">
        <w:t xml:space="preserve"> </w:t>
      </w:r>
    </w:p>
    <w:p w14:paraId="7687158C" w14:textId="737D0649" w:rsidR="00277394" w:rsidRDefault="00EF2EBD" w:rsidP="00142497">
      <w:pPr>
        <w:pStyle w:val="Mynormal"/>
      </w:pPr>
      <w:r>
        <w:t>On average, t</w:t>
      </w:r>
      <w:r w:rsidR="00A64C64">
        <w:t>he most abundant tree</w:t>
      </w:r>
      <w:r w:rsidR="00A415EB">
        <w:t xml:space="preserve"> specie</w:t>
      </w:r>
      <w:r w:rsidR="00A64C64">
        <w:t xml:space="preserve">s in the plots </w:t>
      </w:r>
      <w:r w:rsidR="00091F30">
        <w:t>are</w:t>
      </w:r>
      <w:r w:rsidR="00A64C64">
        <w:t xml:space="preserve"> </w:t>
      </w:r>
      <w:r w:rsidRPr="00EF2EBD">
        <w:rPr>
          <w:i/>
        </w:rPr>
        <w:t>Lithraea brasiliensis</w:t>
      </w:r>
      <w:r w:rsidRPr="0083145E">
        <w:t xml:space="preserve">, </w:t>
      </w:r>
      <w:r w:rsidRPr="00EF2EBD">
        <w:rPr>
          <w:i/>
        </w:rPr>
        <w:t>Cinnamodendron dinisii</w:t>
      </w:r>
      <w:r w:rsidRPr="0083145E">
        <w:t xml:space="preserve">, </w:t>
      </w:r>
      <w:r w:rsidRPr="00EF2EBD">
        <w:rPr>
          <w:i/>
        </w:rPr>
        <w:t>Araucaria angustifolia</w:t>
      </w:r>
      <w:r w:rsidRPr="0083145E">
        <w:t xml:space="preserve">, </w:t>
      </w:r>
      <w:r w:rsidRPr="00EF2EBD">
        <w:rPr>
          <w:i/>
        </w:rPr>
        <w:t>Eugenia</w:t>
      </w:r>
      <w:r w:rsidRPr="0083145E">
        <w:t xml:space="preserve"> sp., </w:t>
      </w:r>
      <w:r w:rsidRPr="00EF2EBD">
        <w:rPr>
          <w:i/>
        </w:rPr>
        <w:t>Ocotea pulchella</w:t>
      </w:r>
      <w:r w:rsidRPr="0083145E">
        <w:t xml:space="preserve"> and </w:t>
      </w:r>
      <w:r w:rsidRPr="00EF2EBD">
        <w:rPr>
          <w:i/>
        </w:rPr>
        <w:t>Calyptranthes</w:t>
      </w:r>
      <w:r w:rsidRPr="0083145E">
        <w:t xml:space="preserve"> cf. </w:t>
      </w:r>
      <w:r w:rsidRPr="00EF2EBD">
        <w:rPr>
          <w:i/>
        </w:rPr>
        <w:t>concinna</w:t>
      </w:r>
      <w:r w:rsidR="007823D7">
        <w:rPr>
          <w:i/>
        </w:rPr>
        <w:t xml:space="preserve">, </w:t>
      </w:r>
      <w:r w:rsidR="00080F28">
        <w:t xml:space="preserve">representing </w:t>
      </w:r>
      <w:r w:rsidR="0046041C">
        <w:t xml:space="preserve">the </w:t>
      </w:r>
      <w:r w:rsidR="007823D7">
        <w:t xml:space="preserve">typical </w:t>
      </w:r>
      <w:r w:rsidR="00080F28">
        <w:t xml:space="preserve">composition </w:t>
      </w:r>
      <w:r w:rsidR="0046041C">
        <w:t xml:space="preserve">of </w:t>
      </w:r>
      <w:r w:rsidR="006160EF" w:rsidRPr="0006304A">
        <w:rPr>
          <w:i/>
        </w:rPr>
        <w:t>Ara</w:t>
      </w:r>
      <w:r w:rsidR="006160EF" w:rsidRPr="006160EF">
        <w:rPr>
          <w:i/>
        </w:rPr>
        <w:t>ucaria</w:t>
      </w:r>
      <w:r w:rsidR="006160EF">
        <w:t xml:space="preserve"> forest</w:t>
      </w:r>
      <w:r w:rsidR="0046041C" w:rsidRPr="0083145E">
        <w:t xml:space="preserve"> </w:t>
      </w:r>
      <w:r w:rsidR="007823D7">
        <w:t>at this altitude</w:t>
      </w:r>
      <w:r w:rsidR="00A415EB">
        <w:rPr>
          <w:i/>
        </w:rPr>
        <w:t>.</w:t>
      </w:r>
      <w:r w:rsidR="00A415EB" w:rsidRPr="00E95F49">
        <w:t xml:space="preserve"> </w:t>
      </w:r>
      <w:r w:rsidR="008A657B">
        <w:t>As well as these</w:t>
      </w:r>
      <w:r w:rsidR="00F27B06" w:rsidRPr="009B2A3D">
        <w:rPr>
          <w:i/>
        </w:rPr>
        <w:t xml:space="preserve">, </w:t>
      </w:r>
      <w:r w:rsidR="00012E29" w:rsidRPr="009B2A3D">
        <w:rPr>
          <w:i/>
        </w:rPr>
        <w:t>Styrax leprosus</w:t>
      </w:r>
      <w:r w:rsidR="009B2A3D">
        <w:t xml:space="preserve"> ha</w:t>
      </w:r>
      <w:r w:rsidR="00091F30">
        <w:t>s</w:t>
      </w:r>
      <w:r w:rsidR="009B2A3D">
        <w:t xml:space="preserve"> </w:t>
      </w:r>
      <w:r w:rsidR="008A657B">
        <w:t xml:space="preserve">a </w:t>
      </w:r>
      <w:r w:rsidR="002E42FF">
        <w:t>hig</w:t>
      </w:r>
      <w:r w:rsidR="008A657B">
        <w:t xml:space="preserve">h average </w:t>
      </w:r>
      <w:r w:rsidR="0046041C">
        <w:t>relative coverage value (</w:t>
      </w:r>
      <w:r w:rsidR="008A657B">
        <w:t>RCV</w:t>
      </w:r>
      <w:r w:rsidR="0046041C">
        <w:t>)</w:t>
      </w:r>
      <w:r w:rsidR="002E42FF">
        <w:t xml:space="preserve"> across all plots, </w:t>
      </w:r>
      <w:r w:rsidR="00C27877">
        <w:t>and species including</w:t>
      </w:r>
      <w:r w:rsidR="002E42FF">
        <w:t xml:space="preserve"> </w:t>
      </w:r>
      <w:r w:rsidR="00457DE0" w:rsidRPr="0085455A">
        <w:rPr>
          <w:i/>
        </w:rPr>
        <w:t>Matayba elaeagnoides</w:t>
      </w:r>
      <w:r w:rsidR="00457DE0">
        <w:t xml:space="preserve">, </w:t>
      </w:r>
      <w:r w:rsidR="004A1CDD" w:rsidRPr="0083145E">
        <w:rPr>
          <w:i/>
        </w:rPr>
        <w:t>N</w:t>
      </w:r>
      <w:r w:rsidR="004A1CDD">
        <w:rPr>
          <w:i/>
        </w:rPr>
        <w:t>ectandra</w:t>
      </w:r>
      <w:r w:rsidR="004A1CDD" w:rsidRPr="0083145E">
        <w:rPr>
          <w:i/>
        </w:rPr>
        <w:t xml:space="preserve"> megapotamica</w:t>
      </w:r>
      <w:r w:rsidR="004A1CDD" w:rsidRPr="0083145E">
        <w:t xml:space="preserve">, </w:t>
      </w:r>
      <w:r w:rsidR="004A1CDD" w:rsidRPr="0083145E">
        <w:rPr>
          <w:i/>
        </w:rPr>
        <w:t>Vernonanthura discolor</w:t>
      </w:r>
      <w:r w:rsidR="004A1CDD" w:rsidRPr="0083145E">
        <w:t xml:space="preserve">, </w:t>
      </w:r>
      <w:r w:rsidR="004A1CDD" w:rsidRPr="0083145E">
        <w:rPr>
          <w:i/>
        </w:rPr>
        <w:t>Prunus myrtifolia</w:t>
      </w:r>
      <w:r w:rsidR="004A1CDD" w:rsidRPr="0083145E">
        <w:t xml:space="preserve">, </w:t>
      </w:r>
      <w:r w:rsidR="004A1CDD" w:rsidRPr="0083145E">
        <w:rPr>
          <w:i/>
        </w:rPr>
        <w:t>Piptocarpha angustifolia</w:t>
      </w:r>
      <w:r w:rsidR="004A1CDD" w:rsidRPr="0083145E">
        <w:t xml:space="preserve">, </w:t>
      </w:r>
      <w:r w:rsidR="004A1CDD" w:rsidRPr="0083145E">
        <w:rPr>
          <w:i/>
        </w:rPr>
        <w:t xml:space="preserve">Myrceugenia </w:t>
      </w:r>
      <w:r w:rsidR="004A1CDD" w:rsidRPr="004A1CDD">
        <w:t>sp</w:t>
      </w:r>
      <w:r w:rsidR="004A1CDD" w:rsidRPr="0083145E">
        <w:rPr>
          <w:i/>
        </w:rPr>
        <w:t>.</w:t>
      </w:r>
      <w:r w:rsidR="004A1CDD" w:rsidRPr="0083145E">
        <w:t xml:space="preserve"> and </w:t>
      </w:r>
      <w:r w:rsidR="004A1CDD" w:rsidRPr="0083145E">
        <w:rPr>
          <w:i/>
        </w:rPr>
        <w:t xml:space="preserve">Myrsine </w:t>
      </w:r>
      <w:r w:rsidR="00313445">
        <w:rPr>
          <w:i/>
        </w:rPr>
        <w:t>umbellata</w:t>
      </w:r>
      <w:r w:rsidR="00313445" w:rsidRPr="000B2A6B">
        <w:t xml:space="preserve"> </w:t>
      </w:r>
      <w:r w:rsidR="00AC72E8">
        <w:t>ha</w:t>
      </w:r>
      <w:r w:rsidR="00091F30">
        <w:t>ve</w:t>
      </w:r>
      <w:r w:rsidR="00AC72E8">
        <w:t xml:space="preserve"> </w:t>
      </w:r>
      <w:r w:rsidR="00301AD1">
        <w:t xml:space="preserve">high </w:t>
      </w:r>
      <w:r w:rsidR="003765B8">
        <w:t xml:space="preserve">RCVs </w:t>
      </w:r>
      <w:r w:rsidR="00301AD1">
        <w:t xml:space="preserve">in </w:t>
      </w:r>
      <w:r w:rsidR="003765B8">
        <w:t xml:space="preserve">the </w:t>
      </w:r>
      <w:r w:rsidR="00301AD1">
        <w:t>(</w:t>
      </w:r>
      <w:r w:rsidR="003765B8">
        <w:t>relatively few</w:t>
      </w:r>
      <w:r w:rsidR="00301AD1">
        <w:t>)</w:t>
      </w:r>
      <w:r w:rsidR="003765B8">
        <w:t xml:space="preserve"> </w:t>
      </w:r>
      <w:r w:rsidR="009246FF">
        <w:t>plots in which they occur.</w:t>
      </w:r>
      <w:r w:rsidR="003765B8">
        <w:t xml:space="preserve"> </w:t>
      </w:r>
      <w:r w:rsidR="009B03F0">
        <w:t>T</w:t>
      </w:r>
      <w:r w:rsidR="00277394">
        <w:t>he</w:t>
      </w:r>
      <w:r w:rsidR="005C65EB">
        <w:t xml:space="preserve"> modern pollen rain of</w:t>
      </w:r>
      <w:r w:rsidR="00277394">
        <w:t xml:space="preserve"> </w:t>
      </w:r>
      <w:r w:rsidR="006160EF">
        <w:rPr>
          <w:i/>
        </w:rPr>
        <w:t>Araucaria</w:t>
      </w:r>
      <w:r w:rsidR="006160EF">
        <w:t xml:space="preserve"> forest </w:t>
      </w:r>
      <w:r w:rsidR="009F198D">
        <w:t>in our study area</w:t>
      </w:r>
      <w:r w:rsidR="00277394">
        <w:t xml:space="preserve"> </w:t>
      </w:r>
      <w:r w:rsidR="009F198D">
        <w:t>(</w:t>
      </w:r>
      <w:r w:rsidR="00277394">
        <w:t>720-920m</w:t>
      </w:r>
      <w:r w:rsidR="0046041C">
        <w:t xml:space="preserve"> </w:t>
      </w:r>
      <w:r w:rsidR="00277394">
        <w:t>a.s.l.</w:t>
      </w:r>
      <w:r w:rsidR="009F198D">
        <w:t>)</w:t>
      </w:r>
      <w:r w:rsidR="00277394">
        <w:t xml:space="preserve"> is characterised by </w:t>
      </w:r>
      <w:r w:rsidR="00277394">
        <w:rPr>
          <w:i/>
        </w:rPr>
        <w:t xml:space="preserve">Myrsine </w:t>
      </w:r>
      <w:r w:rsidR="005C65EB">
        <w:t>(</w:t>
      </w:r>
      <w:r w:rsidR="005C65EB" w:rsidRPr="0083145E">
        <w:t xml:space="preserve">19.5%), </w:t>
      </w:r>
      <w:r w:rsidR="005C65EB" w:rsidRPr="0083145E">
        <w:rPr>
          <w:i/>
        </w:rPr>
        <w:t>A. angustifolia</w:t>
      </w:r>
      <w:r w:rsidR="005C65EB" w:rsidRPr="0083145E">
        <w:t xml:space="preserve"> (16.6%), Pteridophyta (13.2%), </w:t>
      </w:r>
      <w:r w:rsidR="005C65EB" w:rsidRPr="0083145E">
        <w:rPr>
          <w:i/>
        </w:rPr>
        <w:t>Podocarpus lambertii</w:t>
      </w:r>
      <w:r w:rsidR="005C65EB" w:rsidRPr="0083145E">
        <w:t xml:space="preserve"> (7.9%)</w:t>
      </w:r>
      <w:r w:rsidR="005C65EB">
        <w:t xml:space="preserve"> and</w:t>
      </w:r>
      <w:r w:rsidR="005C65EB" w:rsidRPr="0083145E">
        <w:t xml:space="preserve"> Poaceae (5.2%)</w:t>
      </w:r>
      <w:r w:rsidR="00277394">
        <w:t xml:space="preserve">, </w:t>
      </w:r>
      <w:r w:rsidR="005C65EB">
        <w:t>along with</w:t>
      </w:r>
      <w:r w:rsidR="00277394">
        <w:t xml:space="preserve"> </w:t>
      </w:r>
      <w:r w:rsidR="00277394" w:rsidRPr="0083145E">
        <w:rPr>
          <w:i/>
        </w:rPr>
        <w:t>Eugenia-</w:t>
      </w:r>
      <w:r w:rsidR="00277394" w:rsidRPr="0083145E">
        <w:t xml:space="preserve">type, </w:t>
      </w:r>
      <w:r w:rsidR="00277394">
        <w:t xml:space="preserve">Anacardiaceae cf. </w:t>
      </w:r>
      <w:r w:rsidR="00277394" w:rsidRPr="0083145E">
        <w:rPr>
          <w:i/>
        </w:rPr>
        <w:t>Lithraea</w:t>
      </w:r>
      <w:r w:rsidR="00277394" w:rsidRPr="0083145E">
        <w:t>, Asteraceae</w:t>
      </w:r>
      <w:r w:rsidR="00277394">
        <w:t xml:space="preserve"> (others)</w:t>
      </w:r>
      <w:r w:rsidR="00277394" w:rsidRPr="0083145E">
        <w:t xml:space="preserve">, </w:t>
      </w:r>
      <w:r w:rsidR="00277394" w:rsidRPr="0083145E">
        <w:rPr>
          <w:i/>
        </w:rPr>
        <w:t>Lamanonia</w:t>
      </w:r>
      <w:r w:rsidR="00277394" w:rsidRPr="0083145E">
        <w:t xml:space="preserve">, </w:t>
      </w:r>
      <w:r w:rsidR="00277394" w:rsidRPr="0083145E">
        <w:rPr>
          <w:i/>
        </w:rPr>
        <w:t>I</w:t>
      </w:r>
      <w:r w:rsidR="00277394">
        <w:rPr>
          <w:i/>
        </w:rPr>
        <w:t>lex</w:t>
      </w:r>
      <w:r w:rsidR="00277394" w:rsidRPr="0083145E">
        <w:rPr>
          <w:i/>
        </w:rPr>
        <w:t xml:space="preserve"> theezans, Calyptranthes-</w:t>
      </w:r>
      <w:r w:rsidR="00277394" w:rsidRPr="0083145E">
        <w:t xml:space="preserve">type, </w:t>
      </w:r>
      <w:r w:rsidR="00277394" w:rsidRPr="0083145E">
        <w:rPr>
          <w:i/>
        </w:rPr>
        <w:t>Vernonanthura-</w:t>
      </w:r>
      <w:r w:rsidR="00277394" w:rsidRPr="0083145E">
        <w:t xml:space="preserve">type and </w:t>
      </w:r>
      <w:r w:rsidR="00277394" w:rsidRPr="00FA5254">
        <w:rPr>
          <w:i/>
        </w:rPr>
        <w:t>Clethra</w:t>
      </w:r>
      <w:r w:rsidR="005C65EB">
        <w:rPr>
          <w:i/>
        </w:rPr>
        <w:t xml:space="preserve"> </w:t>
      </w:r>
      <w:r w:rsidR="005C65EB">
        <w:t>at lower abundance</w:t>
      </w:r>
      <w:r w:rsidR="00277394">
        <w:t>.</w:t>
      </w:r>
    </w:p>
    <w:p w14:paraId="70E6294C" w14:textId="7AFB5905" w:rsidR="00881DE0" w:rsidRDefault="0044441E" w:rsidP="00142497">
      <w:pPr>
        <w:pStyle w:val="Mynormal"/>
      </w:pPr>
      <w:r>
        <w:t>Vegetation-pollen relationships var</w:t>
      </w:r>
      <w:r w:rsidR="00091F30">
        <w:t>y</w:t>
      </w:r>
      <w:r>
        <w:t xml:space="preserve"> between plots but general patterns of over- or under-representation could be identified for the majority of taxa. </w:t>
      </w:r>
      <w:r w:rsidR="006C39B1" w:rsidRPr="0083145E">
        <w:rPr>
          <w:i/>
        </w:rPr>
        <w:t>Araucaria</w:t>
      </w:r>
      <w:r w:rsidR="006C39B1">
        <w:rPr>
          <w:i/>
        </w:rPr>
        <w:t xml:space="preserve">, </w:t>
      </w:r>
      <w:r w:rsidR="00B647B1" w:rsidRPr="0083145E">
        <w:rPr>
          <w:i/>
        </w:rPr>
        <w:t>Lamanonia</w:t>
      </w:r>
      <w:r w:rsidR="00B647B1" w:rsidRPr="0083145E">
        <w:t xml:space="preserve">, </w:t>
      </w:r>
      <w:r w:rsidR="00B647B1" w:rsidRPr="0083145E">
        <w:rPr>
          <w:i/>
        </w:rPr>
        <w:t>Podocarpus</w:t>
      </w:r>
      <w:r w:rsidR="00B647B1" w:rsidRPr="0083145E">
        <w:t xml:space="preserve">, </w:t>
      </w:r>
      <w:r w:rsidR="006C39B1">
        <w:t xml:space="preserve">and </w:t>
      </w:r>
      <w:r w:rsidR="00B647B1" w:rsidRPr="0083145E">
        <w:rPr>
          <w:i/>
        </w:rPr>
        <w:t>Myrsine</w:t>
      </w:r>
      <w:r w:rsidR="00B647B1" w:rsidRPr="0083145E">
        <w:t xml:space="preserve"> </w:t>
      </w:r>
      <w:r w:rsidR="00091F30">
        <w:t>are</w:t>
      </w:r>
      <w:r w:rsidR="00B647B1">
        <w:t xml:space="preserve"> over-represented in the pollen record</w:t>
      </w:r>
      <w:r w:rsidR="0023389F">
        <w:t xml:space="preserve"> (</w:t>
      </w:r>
      <w:r>
        <w:t xml:space="preserve">average </w:t>
      </w:r>
      <w:r w:rsidR="0023389F">
        <w:t>p/v &gt;1)</w:t>
      </w:r>
      <w:r w:rsidR="00FE3684">
        <w:t>,</w:t>
      </w:r>
      <w:r w:rsidR="005C65EB">
        <w:t xml:space="preserve"> and</w:t>
      </w:r>
      <w:r w:rsidR="00FE3684">
        <w:t xml:space="preserve"> </w:t>
      </w:r>
      <w:r w:rsidR="005C65EB">
        <w:rPr>
          <w:i/>
        </w:rPr>
        <w:t xml:space="preserve">Clethra </w:t>
      </w:r>
      <w:r w:rsidR="005C65EB">
        <w:t xml:space="preserve">pollen was frequently identified but the genus </w:t>
      </w:r>
      <w:r w:rsidR="00091F30">
        <w:t>is</w:t>
      </w:r>
      <w:r w:rsidR="005C65EB">
        <w:t xml:space="preserve"> absent from the vegetation survey. </w:t>
      </w:r>
      <w:r w:rsidR="00CD65F9">
        <w:t>A</w:t>
      </w:r>
      <w:r w:rsidR="00E92A5D">
        <w:t xml:space="preserve">ll </w:t>
      </w:r>
      <w:r w:rsidR="00E55879">
        <w:t xml:space="preserve">of </w:t>
      </w:r>
      <w:r w:rsidR="00FE3684">
        <w:t xml:space="preserve">the other 22 </w:t>
      </w:r>
      <w:r w:rsidR="002C58CD">
        <w:t xml:space="preserve">genera </w:t>
      </w:r>
      <w:r w:rsidR="00FE3684">
        <w:t xml:space="preserve">analysed </w:t>
      </w:r>
      <w:r w:rsidR="00091F30">
        <w:t>are</w:t>
      </w:r>
      <w:r w:rsidR="00FE3684">
        <w:t xml:space="preserve"> </w:t>
      </w:r>
      <w:r w:rsidR="002C58CD">
        <w:t>under-represented</w:t>
      </w:r>
      <w:r w:rsidR="00CD65F9">
        <w:t>, with</w:t>
      </w:r>
      <w:r w:rsidR="002C58CD">
        <w:t xml:space="preserve"> </w:t>
      </w:r>
      <w:r w:rsidR="002C58CD" w:rsidRPr="0083145E">
        <w:rPr>
          <w:i/>
        </w:rPr>
        <w:t>Myrceugenia, Nectandra, Ocotea</w:t>
      </w:r>
      <w:r w:rsidR="002C58CD" w:rsidRPr="0083145E">
        <w:t xml:space="preserve"> and </w:t>
      </w:r>
      <w:r w:rsidR="002C58CD" w:rsidRPr="0083145E">
        <w:rPr>
          <w:i/>
        </w:rPr>
        <w:t>Piptocarpha</w:t>
      </w:r>
      <w:r w:rsidR="002C58CD">
        <w:rPr>
          <w:i/>
        </w:rPr>
        <w:t xml:space="preserve"> </w:t>
      </w:r>
      <w:r w:rsidR="002C58CD">
        <w:t>palynologically silent.</w:t>
      </w:r>
      <w:r w:rsidR="00A078A9">
        <w:t xml:space="preserve"> </w:t>
      </w:r>
    </w:p>
    <w:p w14:paraId="1E3F1CCD" w14:textId="3812BB59" w:rsidR="004B3114" w:rsidRDefault="007040B5" w:rsidP="00142497">
      <w:pPr>
        <w:pStyle w:val="Mynormal"/>
      </w:pPr>
      <w:r>
        <w:t>T</w:t>
      </w:r>
      <w:r w:rsidR="00AE4A3D">
        <w:t>he</w:t>
      </w:r>
      <w:r w:rsidR="00C75291">
        <w:t xml:space="preserve"> palynological</w:t>
      </w:r>
      <w:r w:rsidR="00AE4A3D">
        <w:t xml:space="preserve"> under-representation of</w:t>
      </w:r>
      <w:r w:rsidR="00C65C93">
        <w:t xml:space="preserve"> ecologically</w:t>
      </w:r>
      <w:r w:rsidR="00AE4A3D">
        <w:t xml:space="preserve"> key</w:t>
      </w:r>
      <w:r w:rsidR="00E55879">
        <w:t xml:space="preserve"> </w:t>
      </w:r>
      <w:r w:rsidR="006160EF">
        <w:rPr>
          <w:i/>
        </w:rPr>
        <w:t>Araucaria</w:t>
      </w:r>
      <w:r w:rsidR="006160EF" w:rsidRPr="00301AE1">
        <w:t xml:space="preserve"> forest</w:t>
      </w:r>
      <w:r w:rsidR="006160EF">
        <w:t xml:space="preserve"> </w:t>
      </w:r>
      <w:r w:rsidR="00AE4A3D">
        <w:t>taxa</w:t>
      </w:r>
      <w:r w:rsidR="00084E08">
        <w:t xml:space="preserve"> </w:t>
      </w:r>
      <w:r w:rsidR="00C65C93">
        <w:t xml:space="preserve">and the </w:t>
      </w:r>
      <w:r w:rsidR="005549A2">
        <w:t>lack of</w:t>
      </w:r>
      <w:r w:rsidR="006C39B1">
        <w:t xml:space="preserve"> clear</w:t>
      </w:r>
      <w:r w:rsidR="005549A2">
        <w:t xml:space="preserve"> differentiation </w:t>
      </w:r>
      <w:r w:rsidR="00CD65F9">
        <w:t>of</w:t>
      </w:r>
      <w:r w:rsidR="00084E08">
        <w:t xml:space="preserve"> structural differences </w:t>
      </w:r>
      <w:r w:rsidR="00D94B87">
        <w:t xml:space="preserve">in </w:t>
      </w:r>
      <w:r w:rsidR="007F0644">
        <w:t xml:space="preserve">the </w:t>
      </w:r>
      <w:r w:rsidR="00D94B87">
        <w:t>forest</w:t>
      </w:r>
      <w:r w:rsidR="000D527E">
        <w:t>’s pollen spectra</w:t>
      </w:r>
      <w:r w:rsidR="00D94B87">
        <w:t xml:space="preserve"> </w:t>
      </w:r>
      <w:r w:rsidR="009A18EB">
        <w:t>have important implications for the interpretation of</w:t>
      </w:r>
      <w:r w:rsidR="00D34A84">
        <w:t xml:space="preserve"> </w:t>
      </w:r>
      <w:r w:rsidR="00C75291">
        <w:t>fossil pollen records</w:t>
      </w:r>
      <w:r w:rsidR="00FD344D">
        <w:t xml:space="preserve">, </w:t>
      </w:r>
      <w:r w:rsidR="009A18EB">
        <w:t>highlighting the challenges</w:t>
      </w:r>
      <w:r w:rsidR="00FD344D">
        <w:t xml:space="preserve"> of </w:t>
      </w:r>
      <w:r w:rsidR="009A18EB">
        <w:t>resolving</w:t>
      </w:r>
      <w:r w:rsidR="00653A96">
        <w:t xml:space="preserve"> </w:t>
      </w:r>
      <w:r w:rsidR="00FD344D">
        <w:t xml:space="preserve">past human impacts </w:t>
      </w:r>
      <w:r w:rsidR="009A18EB">
        <w:t>and ecological changes within</w:t>
      </w:r>
      <w:r w:rsidR="00FD344D">
        <w:t xml:space="preserve"> </w:t>
      </w:r>
      <w:r w:rsidR="00FD344D" w:rsidRPr="004F4229">
        <w:rPr>
          <w:i/>
        </w:rPr>
        <w:t>Araucaria</w:t>
      </w:r>
      <w:r w:rsidR="00FD344D" w:rsidRPr="00040BB0">
        <w:t xml:space="preserve"> </w:t>
      </w:r>
      <w:r w:rsidR="00FD344D">
        <w:t>forest</w:t>
      </w:r>
      <w:r w:rsidR="00A551A1">
        <w:t xml:space="preserve"> using this proxy</w:t>
      </w:r>
      <w:r w:rsidR="00FD344D">
        <w:t>.</w:t>
      </w:r>
      <w:r w:rsidR="00371EC4">
        <w:t xml:space="preserve"> </w:t>
      </w:r>
      <w:r w:rsidR="004B3114">
        <w:t>Th</w:t>
      </w:r>
      <w:r w:rsidR="0080153B">
        <w:t xml:space="preserve">is </w:t>
      </w:r>
      <w:r w:rsidR="004B3114">
        <w:lastRenderedPageBreak/>
        <w:t>quanti</w:t>
      </w:r>
      <w:r w:rsidR="007A4C57">
        <w:t>tative</w:t>
      </w:r>
      <w:r w:rsidR="00FC442C">
        <w:t xml:space="preserve"> </w:t>
      </w:r>
      <w:r w:rsidR="00517EAA">
        <w:t>analysis</w:t>
      </w:r>
      <w:r w:rsidR="004B3114">
        <w:t xml:space="preserve"> of </w:t>
      </w:r>
      <w:r w:rsidR="0080153B">
        <w:t xml:space="preserve">vegetation-pollen relationships for key </w:t>
      </w:r>
      <w:r w:rsidR="0080153B" w:rsidRPr="004F4229">
        <w:rPr>
          <w:i/>
        </w:rPr>
        <w:t>Araucaria</w:t>
      </w:r>
      <w:r w:rsidR="0080153B">
        <w:t xml:space="preserve"> forest </w:t>
      </w:r>
      <w:r w:rsidR="00FC442C">
        <w:t xml:space="preserve">taxa </w:t>
      </w:r>
      <w:r w:rsidR="00D83131">
        <w:t>is a key tool for interpreting fossil pollen</w:t>
      </w:r>
      <w:r w:rsidR="00544FDD">
        <w:t xml:space="preserve"> </w:t>
      </w:r>
      <w:r w:rsidR="00091F30">
        <w:t>records</w:t>
      </w:r>
      <w:r w:rsidR="00544FDD">
        <w:t xml:space="preserve"> </w:t>
      </w:r>
      <w:r w:rsidR="00D83131">
        <w:t>and understand</w:t>
      </w:r>
      <w:r w:rsidR="000D527E">
        <w:t>ing</w:t>
      </w:r>
      <w:r w:rsidR="00D83131">
        <w:t xml:space="preserve"> </w:t>
      </w:r>
      <w:r w:rsidR="007A4C57">
        <w:t>past vegetation dynamics on the highlands of southern Brazil.</w:t>
      </w:r>
    </w:p>
    <w:p w14:paraId="1FDBFF05" w14:textId="77777777" w:rsidR="00651956" w:rsidRDefault="00651956" w:rsidP="004F4229">
      <w:pPr>
        <w:pStyle w:val="Heading1"/>
        <w:spacing w:line="480" w:lineRule="auto"/>
      </w:pPr>
      <w:r>
        <w:t>Author contributions</w:t>
      </w:r>
    </w:p>
    <w:p w14:paraId="1FB199E9" w14:textId="1B725281" w:rsidR="00651956" w:rsidRDefault="000D527E" w:rsidP="001C1F44">
      <w:pPr>
        <w:pStyle w:val="Mynormal"/>
      </w:pPr>
      <w:r w:rsidRPr="00651956">
        <w:t>MLC and FEM conceived the study; MLC collected moss polsters; MLC and LAS</w:t>
      </w:r>
      <w:r>
        <w:t xml:space="preserve"> collected vegetation survey data; MLC performed pollen analysis and counting; MLC </w:t>
      </w:r>
      <w:r w:rsidR="00651956">
        <w:t xml:space="preserve">and OJW </w:t>
      </w:r>
      <w:r>
        <w:t>analysed the data and interpreted the results; OJW</w:t>
      </w:r>
      <w:r w:rsidR="00651956">
        <w:t xml:space="preserve">, </w:t>
      </w:r>
      <w:r>
        <w:t xml:space="preserve">MLC </w:t>
      </w:r>
      <w:r w:rsidR="00651956">
        <w:t xml:space="preserve">and FEM </w:t>
      </w:r>
      <w:r>
        <w:t>drafted the manuscript</w:t>
      </w:r>
      <w:r w:rsidR="00651956">
        <w:t>; all authors commented on the manuscript before submission.</w:t>
      </w:r>
      <w:r>
        <w:t xml:space="preserve"> </w:t>
      </w:r>
    </w:p>
    <w:p w14:paraId="4141B55A" w14:textId="77777777" w:rsidR="00651956" w:rsidRDefault="00651956" w:rsidP="004F4229">
      <w:pPr>
        <w:pStyle w:val="Heading1"/>
        <w:spacing w:line="480" w:lineRule="auto"/>
      </w:pPr>
      <w:r>
        <w:t>Acknowledgements</w:t>
      </w:r>
    </w:p>
    <w:p w14:paraId="72EEF168" w14:textId="53689BD7" w:rsidR="006A7FAD" w:rsidRPr="000B0637" w:rsidRDefault="006A7FAD" w:rsidP="001C1F44">
      <w:pPr>
        <w:pStyle w:val="Mynormal"/>
      </w:pPr>
      <w:r w:rsidRPr="00651956">
        <w:t>This study was funded by a</w:t>
      </w:r>
      <w:r w:rsidR="00507DD0">
        <w:t xml:space="preserve">n </w:t>
      </w:r>
      <w:r w:rsidRPr="00651956">
        <w:t>AHRC</w:t>
      </w:r>
      <w:r w:rsidR="00507DD0">
        <w:t>-</w:t>
      </w:r>
      <w:r w:rsidRPr="00651956">
        <w:t xml:space="preserve">FAPESP </w:t>
      </w:r>
      <w:r w:rsidR="00507DD0">
        <w:t xml:space="preserve">research grant entitled ‘Je Landscapes of southern Brazil: Ecology, History and Power in a transitional landscape during the Late Holocene’ </w:t>
      </w:r>
      <w:r w:rsidRPr="00651956">
        <w:t>(</w:t>
      </w:r>
      <w:r w:rsidR="00507DD0">
        <w:t>AH/K004212/1</w:t>
      </w:r>
      <w:r w:rsidRPr="00651956">
        <w:t xml:space="preserve">) to </w:t>
      </w:r>
      <w:r w:rsidR="00653A96" w:rsidRPr="00651956">
        <w:t xml:space="preserve">JI </w:t>
      </w:r>
      <w:r w:rsidRPr="00651956">
        <w:t>and FEM</w:t>
      </w:r>
      <w:r w:rsidR="00507DD0">
        <w:t>, with M</w:t>
      </w:r>
      <w:r w:rsidR="00D03C3E">
        <w:t>L</w:t>
      </w:r>
      <w:r w:rsidR="00507DD0">
        <w:t>C as appointed PDRA</w:t>
      </w:r>
      <w:r w:rsidR="00813B14">
        <w:t xml:space="preserve"> with FEM</w:t>
      </w:r>
      <w:r w:rsidRPr="00651956">
        <w:t>; OJW was funded by a University of Reading Graduate Teaching Assistant PhD studentship. The authors thank the Florestal Gateados Company for permission to conduct this research on their property; Museu Botânico Municipal of Curitiba</w:t>
      </w:r>
      <w:r w:rsidR="003E3AF5" w:rsidRPr="00651956">
        <w:t xml:space="preserve"> for providing key herbarium samples </w:t>
      </w:r>
      <w:r w:rsidR="00807393">
        <w:t>for</w:t>
      </w:r>
      <w:r w:rsidR="003E3AF5" w:rsidRPr="00651956">
        <w:t xml:space="preserve"> modern pollen reference</w:t>
      </w:r>
      <w:r w:rsidR="00807393">
        <w:t>s</w:t>
      </w:r>
      <w:r w:rsidRPr="00651956">
        <w:t>; Alyne Ruggiero and Alvaro Cortes for fieldwork assistance; Professor Hermann Behling for assistance with pollen identification; Dr John Carson for constructive comments in the early stages of the study</w:t>
      </w:r>
      <w:r w:rsidR="00AF0872">
        <w:t>; and Dr Mark Robinson for early editing support</w:t>
      </w:r>
      <w:r w:rsidR="00653A96" w:rsidRPr="00651956">
        <w:t>.</w:t>
      </w:r>
      <w:r w:rsidRPr="00651956">
        <w:t xml:space="preserve"> </w:t>
      </w:r>
    </w:p>
    <w:p w14:paraId="14047253" w14:textId="76680D9F" w:rsidR="00B97E14" w:rsidRPr="004C4948" w:rsidRDefault="006A7FAD" w:rsidP="004F4229">
      <w:pPr>
        <w:pStyle w:val="Heading1"/>
        <w:spacing w:line="480" w:lineRule="auto"/>
      </w:pPr>
      <w:r w:rsidRPr="004C4948">
        <w:t>References</w:t>
      </w:r>
    </w:p>
    <w:p w14:paraId="4684432B" w14:textId="6DAE1F86" w:rsidR="00571B4A" w:rsidRPr="00571B4A" w:rsidRDefault="006A7FAD" w:rsidP="00571B4A">
      <w:pPr>
        <w:widowControl w:val="0"/>
        <w:autoSpaceDE w:val="0"/>
        <w:autoSpaceDN w:val="0"/>
        <w:adjustRightInd w:val="0"/>
        <w:spacing w:line="480" w:lineRule="auto"/>
        <w:ind w:left="480" w:hanging="480"/>
        <w:rPr>
          <w:rFonts w:ascii="Calibri" w:hAnsi="Calibri" w:cs="Times New Roman"/>
          <w:noProof/>
          <w:sz w:val="24"/>
          <w:szCs w:val="24"/>
        </w:rPr>
      </w:pPr>
      <w:r w:rsidRPr="001C1F44">
        <w:rPr>
          <w:rFonts w:cstheme="minorHAnsi"/>
          <w:sz w:val="24"/>
          <w:szCs w:val="24"/>
        </w:rPr>
        <w:fldChar w:fldCharType="begin" w:fldLock="1"/>
      </w:r>
      <w:r w:rsidRPr="001C1F44">
        <w:rPr>
          <w:rFonts w:cstheme="minorHAnsi"/>
          <w:sz w:val="24"/>
          <w:szCs w:val="24"/>
        </w:rPr>
        <w:instrText xml:space="preserve">ADDIN Mendeley Bibliography CSL_BIBLIOGRAPHY </w:instrText>
      </w:r>
      <w:r w:rsidRPr="001C1F44">
        <w:rPr>
          <w:rFonts w:cstheme="minorHAnsi"/>
          <w:sz w:val="24"/>
          <w:szCs w:val="24"/>
        </w:rPr>
        <w:fldChar w:fldCharType="separate"/>
      </w:r>
      <w:r w:rsidR="00571B4A" w:rsidRPr="00571B4A">
        <w:rPr>
          <w:rFonts w:ascii="Calibri" w:hAnsi="Calibri" w:cs="Times New Roman"/>
          <w:noProof/>
          <w:sz w:val="24"/>
          <w:szCs w:val="24"/>
        </w:rPr>
        <w:t xml:space="preserve">Albuquerque, A.A.E., de Lima, H.A., Gonçalves-Esteves, V., Benevides, C.R., Rodarte, A.T.A., 2013. Myrsine parvifolia (Primulaceae) in sandy coastal plains marginal to Atlantic rainforest: a case of pollination by wind or by both wind and insects? Brazilian J. Bot. 36, 65–73. </w:t>
      </w:r>
      <w:r w:rsidR="00571B4A" w:rsidRPr="00571B4A">
        <w:rPr>
          <w:rFonts w:ascii="Calibri" w:hAnsi="Calibri" w:cs="Times New Roman"/>
          <w:noProof/>
          <w:sz w:val="24"/>
          <w:szCs w:val="24"/>
        </w:rPr>
        <w:lastRenderedPageBreak/>
        <w:t>https://doi.org/10.1007/s40415-013-0007-4</w:t>
      </w:r>
    </w:p>
    <w:p w14:paraId="5B119A37"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Alvares, C.A., Stape, J.L., Sentelhas, P.C., De Moraes Gonçalves, J.L., Sparovek, G., 2013. Köppen’s climate classification map for Brazil. Meteorol. Zeitschrift 22, 711–728. https://doi.org/10.1127/0941-2948/2013/0507</w:t>
      </w:r>
    </w:p>
    <w:p w14:paraId="4D5628C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Atanassova, J.R., 2007. Pollen deposition in moss polsters and pollen traps in the Central Stara Planina Mts (2002–2005). Phytol. Balc. 13, 223–228.</w:t>
      </w:r>
    </w:p>
    <w:p w14:paraId="7D66B98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Barlow, J., Gardner, T.A., Lees, A.C., Parry, L., Peres, C.A., 2012. How pristine are tropical forests? An ecological perspective on the pre-Columbian human footprint in Amazonia and implications for contemporary conservation. Biol. Conserv. 151, 45–49. https://doi.org/10.1016/j.biocon.2011.10.013</w:t>
      </w:r>
    </w:p>
    <w:p w14:paraId="68E92199"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Behling, H., 2007. Late Quaternary vegetation, fire and climate dynamics of Serra do Aracatuba in the Atlantic coastal mountains of Parana State, southern Brazil. Veg. Hist. Archaeobot. 16, 77–85. https://doi.org/10.1007/s00334-006-0078-2</w:t>
      </w:r>
    </w:p>
    <w:p w14:paraId="52BAE09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Behling, H., 2002. South and southeast Brazilian grasslands during Late Quaternary times: A synthesis. Palaeogeogr. Palaeoclimatol. Palaeoecol. 177, 19–27. https://doi.org/10.1016/S0031-0182(01)00349-2</w:t>
      </w:r>
    </w:p>
    <w:p w14:paraId="66470447"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Behling, H., 1997a. Late Quaternary vegetation, climate and fire history of the Araucaria forest and campos region from Serra Campos Gerais, Paraná State (South Brazil). Rev. Palaeobot. Palynol. 97, 109–121. https://doi.org/10.1016/S0034-6667(96)00065-6</w:t>
      </w:r>
    </w:p>
    <w:p w14:paraId="4D7C088F"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Behling, H., 1997b. Late Quaternary vegetation, climate and fire history from the tropical mountain region of Morro de Itapeva, SE Brazil. Palaeogeogr. Palaeoclimatol. Palaeoecol. 129, 407–422. https://doi.org/10.1016/S0031-0182(97)88177-1</w:t>
      </w:r>
    </w:p>
    <w:p w14:paraId="2A613DF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Behling, H., 1995. Investigations into the late Pleistocene and Holocene history of vegetation and climate in Santa Catarina (S Brazil). Veg. Hist. Archaeobot. 4, 127–152. https://doi.org/10.1007/BF00203932</w:t>
      </w:r>
    </w:p>
    <w:p w14:paraId="6F92719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Behling, H., 1993. Untersuchungen zur Spatpleistozänen und Holozänen Vegetations- und Klimageschichte der Tropischen Kustenwalder und der Araukarienwälder in Santa Catarina (Sudbrasilien). Diss. Bot. J. Cramer, Stuttgart, Germany.</w:t>
      </w:r>
    </w:p>
    <w:p w14:paraId="601D61CF"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Behling, H., Bauermann, S.G., Neves, P.C.P. das, 2001. Holocene environmental changes in the Sao Francisco de Paula region, southern Brazil. J. South Am. Earth Sci. 14, 631–639. https://doi.org/10.1016/S0895-9811(01)00040-2</w:t>
      </w:r>
    </w:p>
    <w:p w14:paraId="623E310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Behling, H., de Oliveira, M.A.T., 2018. Evidence of a late glacial warming event and early Holocene cooling in the southern Brazilian coastal highlands. Quat. Res. 89, 90–102. https://doi.org/10.1017/qua.2017.87</w:t>
      </w:r>
    </w:p>
    <w:p w14:paraId="06EB5919"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Behling, H., Pillar, V.D., Bauermann, S.G., 2005. Late Quaternary grassland (Campos), gallery forest, fire and climate dynamics, studied by pollen, charcoal and multivariate analysis of the São Francisco de Assis core in western Rio Grande do Sul (southern Brazil). Rev. Palaeobot. Palynol. 133, 235–248. https://doi.org/10.1016/j.revpalbo.2004.10.004</w:t>
      </w:r>
    </w:p>
    <w:p w14:paraId="0DC5C41D"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Behling, H., Pillar, V.D., Orlóci, L., Bauermann, S.G., 2004. Late Quaternary Araucaria forest, grassland (Campos), fire and climate dynamics, studied by high-resolution pollen, charcoal and multivariate analysis of the Cambará do Sul core in southern Brazil. Palaeogeogr. Palaeoclimatol. Palaeoecol. 203, 277–297. https://doi.org/10.1016/S0031-0182(03)00687-4</w:t>
      </w:r>
    </w:p>
    <w:p w14:paraId="77015091"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 xml:space="preserve">Behling, H., Verissimo, N., Bauermann, S., Bordignon, S., Evaldt, A., 2016. Late Holocene Vegetation History and Early Evidence of Araucaria angustifolia in Caçapava do Sul in the Lowland Region </w:t>
      </w:r>
      <w:r w:rsidRPr="00571B4A">
        <w:rPr>
          <w:rFonts w:ascii="Calibri" w:hAnsi="Calibri" w:cs="Times New Roman"/>
          <w:noProof/>
          <w:sz w:val="24"/>
          <w:szCs w:val="24"/>
        </w:rPr>
        <w:lastRenderedPageBreak/>
        <w:t>of Rio Grande do Sul State, Southern Brazil. Brazilian Arch. Biol. Technol. 59. https://doi.org/10.1590/1678-4324-2016150264</w:t>
      </w:r>
    </w:p>
    <w:p w14:paraId="087CC82F"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Bergamin, R.S., 2017. Variação espacial e temporal de espécies arbóreas em florestas da Mata Atlântica: perspectivas sobre o efeito de mudanças climáticas e planejamento de conservação. Universidade Federal do Rio Grande do Sul.</w:t>
      </w:r>
    </w:p>
    <w:p w14:paraId="3618702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Bernal, J.P., Cruz, F.W., Stríkis, N.M., Wang, X., Deininger, M., Catunda, M.C.A., Ortega-Obregón, C., Cheng, H., Edwards, R.L., Auler, A.S., 2016. High-resolution Holocene South American monsoon history recorded by a speleothem from Botuverá Cave, Brazil. Earth Planet. Sci. Lett. 450, 186–196. https://doi.org/10.1016/j.epsl.2016.06.008</w:t>
      </w:r>
    </w:p>
    <w:p w14:paraId="6292F057"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Bitencourt, A.L.V., Krauspenhar, P.M., 2006. Possible prehistoric anthropogenic effect on Araucaria angustifolia (Bert.) O. Kuntze expansion during the late Holocene. Rev. Bras. Paleontol. 9, 109–116.</w:t>
      </w:r>
    </w:p>
    <w:p w14:paraId="3A1B1C96"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Bittencourt, J.V.M., Sebbenn, A.M., 2008. Pollen movement within a continuous forest of wind-pollinated Araucaria angustifolia, inferred from paternity and TwoGener analysis. Conserv. Genet. 9, 855–868. https://doi.org/10.1007/s10592-007-9411-2</w:t>
      </w:r>
    </w:p>
    <w:p w14:paraId="3D247E4F"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Bittencourt, J.V.M., Sebbenn, A.M., 2007. Patterns of pollen and seed dispersal in a small, fragmented population of the wind-pollinated tree Araucaria angustifolia in southern Brazil. Heredity (Edinb). 99, 580–591. https://doi.org/10.1038/sj.hdy.6801019</w:t>
      </w:r>
    </w:p>
    <w:p w14:paraId="3C0E720B"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Burn, M.J., Mayle, F.E., Killeen, T.J., 2010. Pollen-based differentiation of Amazonian rainforest communities and implications for lowland palaeoecology in tropical South America. Palaeogeogr. Palaeoclimatol. Palaeoecol. 295, 1–18. https://doi.org/10.1016/j.palaeo.2010.05.009</w:t>
      </w:r>
    </w:p>
    <w:p w14:paraId="1139E591"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Bush, M.B., 1995. Neotropical Plant Reproductive Strategies and Fossil Pollen Representation. Am. Nat. 145, 594–609. https://doi.org/10.1086/285757</w:t>
      </w:r>
    </w:p>
    <w:p w14:paraId="7528AFC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Bush, M.B., Rivera, R., 1998. Pollen Dispersal and Representation in a Neotropical Rain Forest. Glob. Ecol. Biogeogr. Lett. 7, 379–392. https://doi.org/10.2307/2997685</w:t>
      </w:r>
    </w:p>
    <w:p w14:paraId="34EC9021"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Bush, M.B., Weng, C., 2007. Introducing a new (freeware) tool for palynology. J. Biogeogr. 34, 377–380. https://doi.org/10.1111/j.1365-2699.2006.01645.x</w:t>
      </w:r>
    </w:p>
    <w:p w14:paraId="7262213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Carson, J.F., Mayle, F.E., Whitney, B.S., Iriarte, J., Soto, J.D., 2016. Pre-Columbian ring ditch construction and land use on a “chocolate forest island” in the Bolivian Amazon. J. Quat. Sci. 31, 337–347. https://doi.org/10.1002/jqs.2835</w:t>
      </w:r>
    </w:p>
    <w:p w14:paraId="39A15C6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Carvalho, M.M.X. de, Nodari, E.S., 2010. As fases da exploração madeireira na floresta com Araucária e os progressivos avanços da indústria madeireira sobre as florestas primárias ( 1870-1970 ), in: Simpósio Internacional de História Ambiental e Migrações. UFSC, Florianópolis, pp. 707–726.</w:t>
      </w:r>
    </w:p>
    <w:p w14:paraId="7E61B29A"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Caseldine, C.J., 1989. Pollen assemblage–plant community relationships on the Storbreen glacier foreland, Jotunheimen Mountains, southern Norway. New Phytol. 111, 105–118. https://doi.org/10.1111/j.1469-8137.1989.tb04224.x</w:t>
      </w:r>
    </w:p>
    <w:p w14:paraId="050DB516"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Chou, S.C., Lyra, A., Mourão, C., Dereczynski, C., Pilotto, I., Gomes, J., Bustamante, J., Tavares, P., Silva, A., Rodrigues, D., Campos, D., Chagas, D., Sueiro, G., Siqueira, G., Marengo, J., 2014. Assessment of Climate Change over South America under RCP 4.5 and 8.5 Downscaling Scenarios. Am. J. Clim. Chang. 03, 512–527. https://doi.org/10.4236/ajcc.2014.35043</w:t>
      </w:r>
    </w:p>
    <w:p w14:paraId="79E8B946"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Colinvaux, P., Oliveira, P.E. de, Moreno Patiño, J.E., 1999. Amazon pollen manual and atlas. Harwood Academic Publishers.</w:t>
      </w:r>
    </w:p>
    <w:p w14:paraId="701899AE"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Colombo, A.F., Joly, C.A., 2010. Brazilian Atlantic Forest lato sensu: the most ancient Brazilian forest, and a biodiversity hotspot, is highly threatened by climate change. Brazilian J. Biol. 70, 697–708. https://doi.org/10.1590/S1519-69842010000400002</w:t>
      </w:r>
    </w:p>
    <w:p w14:paraId="7ACC8DB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Correa-Metrio, A., Dechnik, Y., Lozano-García, S., Caballero, M., 2014. Detrended correspondence analysis: A useful tool to quantify ecological changes from fossil data sets. Boletín la Soc. Geológica Mex. 66, 135–143.</w:t>
      </w:r>
    </w:p>
    <w:p w14:paraId="14666A4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Corteletti, R., 2012. Projeto Arqueológico Alto Canoas-Paraca. Um estudo da presença Jê no planalto catarinense. Universidade de São Paulo.</w:t>
      </w:r>
    </w:p>
    <w:p w14:paraId="3808A8F9"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Corteletti, R., Dickau, R., DeBlasis, P., Iriarte, J., 2015. Revisiting the economy and mobility of southern proto-Jê (Taquara-Itararé) groups in the southern Brazilian highlands: Starch grain and phytoliths analyses from the Bonin site, Urubici, Brazil. J. Archaeol. Sci. 58, 46–61. https://doi.org/10.1016/j.jas.2015.03.017</w:t>
      </w:r>
    </w:p>
    <w:p w14:paraId="3F47173F"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Danieli-Silva, A., Varassin, I.G., 2013. Breeding system and thrips (Thysanoptera) pollination in the endangered tree Ocotea porosa (Lauraceae): Implications for conservation. Plant Species Biol. 28, 31–40. https://doi.org/10.1111/j.1442-1984.2011.00354.x</w:t>
      </w:r>
    </w:p>
    <w:p w14:paraId="2553ADF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Davis, M.B., 1963. On the Theory of Pollen Analysis. Am. J. Sci. 261, 897–912.</w:t>
      </w:r>
    </w:p>
    <w:p w14:paraId="1645D405"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de Deus, F.F., do Vale, V.S., Schiavini, I., Oliveira, P.E., 2014. Diversity of reproductive ecological groups in semideciduous seasonal forests. Biosci. J. 30, 1885–1902.</w:t>
      </w:r>
    </w:p>
    <w:p w14:paraId="0FE37DE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De Souza, J.G., Corteletti, R., Robinson, M., Iriarte, J., 2016a. The genesis of monuments: Resisting outsiders in the contested landscapes of southern Brazil. J. Anthropol. Archaeol. 41, 196–212. https://doi.org/10.1016/j.jaa.2016.01.003</w:t>
      </w:r>
    </w:p>
    <w:p w14:paraId="25613E8A"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 xml:space="preserve">De Souza, J.G., Robinson, M., Corteletti, R., C??rdenas, M.L., Wolf, S., Iriarte, J., Mayle, F., DeBlasis, </w:t>
      </w:r>
      <w:r w:rsidRPr="00571B4A">
        <w:rPr>
          <w:rFonts w:ascii="Calibri" w:hAnsi="Calibri" w:cs="Times New Roman"/>
          <w:noProof/>
          <w:sz w:val="24"/>
          <w:szCs w:val="24"/>
        </w:rPr>
        <w:lastRenderedPageBreak/>
        <w:t>P., 2016b. Understanding the chronology and occupation dynamics of oversized pit houses in the southern Brazilian highlands. PLoS One 11, 1–24. https://doi.org/10.1371/journal.pone.0158127</w:t>
      </w:r>
    </w:p>
    <w:p w14:paraId="1EA8FC2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dos Reis, M.S., Ladio, A., Peroni, N., 2014. Landscapes with Araucaria in South America: Evidence for a cultural dimension. Ecol. Soc. 19, 43. https://doi.org/10.5751/ES-06163-190243</w:t>
      </w:r>
    </w:p>
    <w:p w14:paraId="53DDB9E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Duarte, L.D.S., Bergamin, R.S., Marcilio-Silva, V., Seger, G.D.D.S., Marques, M.C.M., 2014. Phylobetadiversity among forest types in the Brazilian Atlantic Forest complex. PLoS One 9. https://doi.org/10.1371/journal.pone.0105043</w:t>
      </w:r>
    </w:p>
    <w:p w14:paraId="7C31E866"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Faegri, K., Iversen, J., 1989. Textbook of Pollen Analysis, 4th ed, Textbook of pollen analysis. John Wiley &amp; Sons Ltd., Chichester, UK.</w:t>
      </w:r>
    </w:p>
    <w:p w14:paraId="21AD7935"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Fernandes, R.C., Piovezana, L., 2015. The Kaingang perspectives on land and environmental rights in the south of Brazil. Ambient. Soc. 18, 111–128. https://doi.org/10.1590/1809-4422ASOCEx07V1822015en</w:t>
      </w:r>
    </w:p>
    <w:p w14:paraId="170FAC51"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Fichino, B.S., Pivello, V.R., Santos, R.F., 2017. Trade-offs among ecosystem services under different pinion harvesting intensities in Brazilian Araucaria Forests. Int. J. Biodivers. Sci. Ecosyst. Serv. Manag. 13, 139–149. https://doi.org/10.1080/21513732.2016.1275811</w:t>
      </w:r>
    </w:p>
    <w:p w14:paraId="4F524C8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Forest, F., Moat, J., Baloch, E., Brummitt, N.A., Bachman, S.P., Ickert-Bond, S., Hollingsworth, P.M., Liston, A., Little, D.P., Mathews, S., Rai, H., Rydin, C., Stevenson, D.W., Thomas, P., Buerki, S., 2018. Gymnosperms on the EDGE. Sci. Rep. 8, 6053. https://doi.org/10.1038/s41598-018-24365-4</w:t>
      </w:r>
    </w:p>
    <w:p w14:paraId="234EE496"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Formento, S., Schorn, L.A., Alaor, R., Ramos, B., 2004. Dinâmica Estrutural Arbórea De Uma Floresta Ombrófila Mista Em Campo Belo Do Sul , Sc. Cerne 10, 196–212.</w:t>
      </w:r>
    </w:p>
    <w:p w14:paraId="24A4068A"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Freitas, L., Sazima, M., 2006. Pollination Biology in a Tropical High-Altitude Grassland in Brazil: Interactions at the Community Level. Ann. Missouri Bot. Gard. 93, 465–516.</w:t>
      </w:r>
    </w:p>
    <w:p w14:paraId="439BB0E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Garcia, M.J., De Oliveira, P.E., de Siqueira, E., Fernandes, R.S., 2004. A Holocene vegetational and climatic record from the Atlantic rainforest belt of coastal State of São Paulo, SE Brazil. Rev. Palaeobot. Palynol. 131, 181–199. https://doi.org/10.1016/j.revpalbo.2004.03.007</w:t>
      </w:r>
    </w:p>
    <w:p w14:paraId="46DD6BE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Gessert, S., Iriarte, J., Ríos, R.C., Behling, H., 2011. Late Holocene vegetation and environmental dynamics of the Araucaria forest region in Misiones Province, NE Argentina. Rev. Palaeobot. Palynol. 166, 29–37. https://doi.org/10.1016/j.revpalbo.2011.04.006</w:t>
      </w:r>
    </w:p>
    <w:p w14:paraId="378221D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Gonçalves, E.T., Souza, A.F., 2014. Floristic variation in ecotonal areas: Patterns, determinants and biogeographic origins of subtropical forests in South America. Austral Ecol. 39, 122–134. https://doi.org/10.1111/aec.12051</w:t>
      </w:r>
    </w:p>
    <w:p w14:paraId="165803AE"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Gosling, W.D., Mayle, F.E., Tate, N.J., Killeen, T.J., 2009. Differentiation between Neotropical rainforest, dry forest, and savannah ecosystems by their modern pollen spectra and implications for the fossil pollen record. Rev. Palaeobot. Palynol. 153, 70–85. https://doi.org/10.1016/j.revpalbo.2008.06.007</w:t>
      </w:r>
    </w:p>
    <w:p w14:paraId="4991D8E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Gu, F., Zonneveld, K.A.F., Chiessi, C.M., Arz, H.W., Pätzold, J., Behling, H., 2017. Long-term vegetation, climate and ocean dynamics inferred from a 73,500 years old marine sediment core (GeoB2107-3) off southern Brazil. Quat. Sci. Rev. 172, 55–71. https://doi.org/10.1016/j.quascirev.2017.06.028</w:t>
      </w:r>
    </w:p>
    <w:p w14:paraId="7B3A82E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Hammer, Ø., Harper, D.A.T., Ryan, P.D., 2001. PAST: Paleontological Statistics Software Package for Education and Data Analysis. Palaeontol. Electron. 4, 1–9. https://doi.org/10.1016/j.bcp.2008.05.025</w:t>
      </w:r>
    </w:p>
    <w:p w14:paraId="0EBC131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Haselhorst, D.S., Moreno, J.E., Punyasena, S.W., 2013. Variability within the 10-Year Pollen Rain of a Seasonal Neotropical Forest and Its Implications for Paleoenvironmental and Phenological Research. PLoS One 8. https://doi.org/10.1371/journal.pone.0053485</w:t>
      </w:r>
    </w:p>
    <w:p w14:paraId="6034032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Haverroth, M., 1997. Kaingang, um estudo etnobotânico: o uso e a classificação das plantas na Área Indígena Xapecó (oeste de SC). Universidade Federal de Santa Catarina.</w:t>
      </w:r>
    </w:p>
    <w:p w14:paraId="466923A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Heineberg, M.R., 2014. Conhecimento e Uso das Plantas pelos Xokleng na TI Ibirama-Laklãnõ, Santa Catarina. Universidade Federal de Santa Catarina.</w:t>
      </w:r>
    </w:p>
    <w:p w14:paraId="4A8920D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Henry, J., 1964. Jungle people: A Kaingáng tribe of the highlands of Brazil, 2nd ed. Random House, New York, NY.</w:t>
      </w:r>
    </w:p>
    <w:p w14:paraId="09BCF4C1"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Hermes, M.G., Köhler, A., 2006. The flower-visiting social wasps (Hymenoptera, Vespidae, Polistinae) in two areas of Rio Grande do Sul State, southern Brazil. Rev. Bras. Entomol. 50, 268–274. https://doi.org/10.1590/S0085-56262006000200008</w:t>
      </w:r>
    </w:p>
    <w:p w14:paraId="31064923"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Hicks, S., 1985. Modern pollen deposition records from Kuusamo, Finland. Grana 24, 167–184. https://doi.org/10.1080/00173138509431005</w:t>
      </w:r>
    </w:p>
    <w:p w14:paraId="59307FF5"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Hicks, S., 1977. Modern pollen rain in Finnish Lapland investigated by analysis of surface moss samples. New Phytol. 78, 715–734. https://doi.org/10.1111/j.1469-8137.1977.tb02176.x</w:t>
      </w:r>
    </w:p>
    <w:p w14:paraId="34A9B55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Higuchi, P., Silva, A.C. da, Sousa-Ferreira, T., Souza, S.T. de, Pereira-Gomes, J., Silva, K.M. da, Santos, K.F. do, 2012. Floristic composition and phytogeography of the tree component of Araucaria Forest fragments in southern Brazil. Brazilian J. Bot. 35, 145–157. https://doi.org/10.1590/S1806-99592012000200004</w:t>
      </w:r>
    </w:p>
    <w:p w14:paraId="6D9EB48D"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Hill, M.O., Gauch, H.G., 1980. Detrended correspondence analysis: An improved ordination technique. Vegetatio 42, 47–58. https://doi.org/10.1007/BF00048870</w:t>
      </w:r>
    </w:p>
    <w:p w14:paraId="7C817F47"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Hoffmann, K.D., 2011. Mito, história e alteridade entre os Xokleng. Tellus 11, 53–69.</w:t>
      </w:r>
    </w:p>
    <w:p w14:paraId="0EFCC2F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Hooghiemstra, H., 1984. Vegetational and climatic history of the high plain of Bogota, Colombia: a continuous record of the last 3.5 million years, Dissertationes Botanicae. J. Cramer.</w:t>
      </w:r>
    </w:p>
    <w:p w14:paraId="11CFBD5F"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Hueck, K., 1966. Die Wälder Südamerikas: Ökologie, Zusammensetzung und wirtschaftliche Bedeutung. G. Fischer, Stuttgart.</w:t>
      </w:r>
    </w:p>
    <w:p w14:paraId="69A097D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Hueck, K., 1953. Distribuição e habitat natural do Pinheiro do Paraná (Araucaria angustifolia). Bol. da Fac. Filos. Ciências e Let. Univ. São Paulo. 10, 5–24. https://doi.org/10.11606/issn.2318-5988.v10i1p5-24</w:t>
      </w:r>
    </w:p>
    <w:p w14:paraId="50EED585"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Imperatriz-Fonseca, V.L., Kleinert-Giovannini, A., Ramalho, M., 1989. Pollen Harvest by Eusocial Bees in a Non-Natural Community in Brazil. Source J. Trop. Ecol. 5, 239–242.</w:t>
      </w:r>
    </w:p>
    <w:p w14:paraId="7582402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Iriarte, J., Behling, H., 2007. The expansion of Araucaria forest in the southern Brazilian highlands during the last 4000 years and its implications for the development of the Taquara/Itararé Tradition. Environ. Archaeol. 12, 115–127. https://doi.org/10.1179/174963107x226390</w:t>
      </w:r>
    </w:p>
    <w:p w14:paraId="20E42D81"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Iriarte, J., DeBlasis, P., De Souza, J.G., Corteletti, R., 2016. Emergent Complexity, Changing Landscapes, and Spheres of Interaction in Southeastern South America During the Middle and Late Holocene. J. Archaeol. Res. 1–63. https://doi.org/10.1007/s10814-016-9100-0</w:t>
      </w:r>
    </w:p>
    <w:p w14:paraId="6CB261C9"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Iriarte, J., Moehlecke Copé, S., Fradley, M., Lockhart, J.J., Gillam, J.C., 2013. Sacred landscapes of the southern Brazilian highlands: Understanding southern proto-Je mound and enclosure complexes. J. Anthropol. Archaeol. 32, 74–96. https://doi.org/10.1016/j.jaa.2012.10.003</w:t>
      </w:r>
    </w:p>
    <w:p w14:paraId="125E5781"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Jeske-Pieruschka, V., Behling, H., 2012. Palaeoenvironmental history of the Sao Francisco de Paula region in southern Brazil during the late Quaternary inferred from the Rincao das Cabritas core. The Holocene 22, 1251–1262. https://doi.org/10.1177/0959683611414930</w:t>
      </w:r>
    </w:p>
    <w:p w14:paraId="484FB087"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Jeske-Pieruschka, V., Fidelis, A., Bergamin, R.S., Vélez, E., Behling, H., 2010. Araucaria forest dynamics in relation to fire frequency in southern Brazil based on fossil and modern pollen data. Rev. Palaeobot. Palynol. 160, 53–65. https://doi.org/10.1016/j.revpalbo.2010.01.005</w:t>
      </w:r>
    </w:p>
    <w:p w14:paraId="3433FB8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Jeske-Pieruschka, V., Pillar, V.D., de Oliveira, M.A.T., Behling, H., 2013. New insights into vegetation, climate and fire history of southern Brazil revealed by a 40,000 year environmental record from the State Park Serra do Tabuleiro. Veg. Hist. Archaeobot. 22, 299–314. https://doi.org/10.1007/s00334-012-0382-y</w:t>
      </w:r>
    </w:p>
    <w:p w14:paraId="4944D3F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Juggins, S., 2016. C2 Software for Ecological and Palaeoecological Data Analysis and Visualisation.</w:t>
      </w:r>
    </w:p>
    <w:p w14:paraId="708387F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Kent, M., Coker, P., 1992. Vegetation description and analysis : a practical approach. CRC Press.</w:t>
      </w:r>
    </w:p>
    <w:p w14:paraId="0104BAA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Klein, R.M., 1978. Mapa fitogeográfico do Estado de Santa Catarina, Flora Ilustrada Catarinense. Herbário “Barbosa Rodrigues,” Itajai.</w:t>
      </w:r>
    </w:p>
    <w:p w14:paraId="2D7A102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Klein, R.M., 1975. Southern Brazilian phytogeographic features and the probable influence of upper Quaternary climatic changes in the floristic distribution. Bol. Parana. Geociências 33, 67–88.</w:t>
      </w:r>
    </w:p>
    <w:p w14:paraId="3ECAA6C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Lacerda, A.E.B., 2016. Conservation strategies for Araucaria Forests in Southern Brazil: assessing current and alternative approaches. Biotropica 48, 537–544. https://doi.org/10.1111/btp.12317</w:t>
      </w:r>
    </w:p>
    <w:p w14:paraId="7F6DC466"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Lauterjung, M.B., Bernardi, A.P., Montagna, T., Candido-Ribeiro, R., da Costa, N.C.F., Mantovani, A., dos Reis, M.S., 2018. Phylogeography of Brazilian pine (Araucaria angustifolia): integrative evidence for pre-Columbian anthropogenic dispersal. Tree Genet. Genomes 14, 36. https://doi.org/10.1007/s11295-018-1250-4</w:t>
      </w:r>
    </w:p>
    <w:p w14:paraId="31146EF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 xml:space="preserve">Ledru, M.-P., Mourguiart, P., Riccomini, C., 2009. Related changes in biodiversity, insolation and climate in the Atlantic rainforest since the last interglacial. Palaeogeogr. Palaeoclimatol. </w:t>
      </w:r>
      <w:r w:rsidRPr="00571B4A">
        <w:rPr>
          <w:rFonts w:ascii="Calibri" w:hAnsi="Calibri" w:cs="Times New Roman"/>
          <w:noProof/>
          <w:sz w:val="24"/>
          <w:szCs w:val="24"/>
        </w:rPr>
        <w:lastRenderedPageBreak/>
        <w:t>Palaeoecol. 271, 140–152. https://doi.org/10.1016/j.palaeo.2008.10.008</w:t>
      </w:r>
    </w:p>
    <w:p w14:paraId="77F11759"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Legendre, P., Legendre, L., Legendre, L., Legendre, P., 2012. Numerical ecology. Elsevier.</w:t>
      </w:r>
    </w:p>
    <w:p w14:paraId="77199E93"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Leite, P.F., Klein, R.M., 1990. Vegetação, in: Mesquita, O.V. (Ed.), Geografia Do Brasil — Região Sul (Vol. 2). Instituto Brasileiro de Geografia e Estatística, Rio de Janeiro, pp. 113–150.</w:t>
      </w:r>
    </w:p>
    <w:p w14:paraId="2CE5675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Leonhardt, A., Lorscheitter, M.L., 2010. The last 25,000 years in the Eastern Plateau of Southern Brazil according to Alpes de Sao Francisco record. J. South Am. Earth Sci. 29, 454–463. https://doi.org/10.1016/j.jsames.2009.09.003</w:t>
      </w:r>
    </w:p>
    <w:p w14:paraId="77B92FEA"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 xml:space="preserve">Levis, C., Costa, F.R.C., Bongers, F., Peña-Claros, M., Clement, C.R., Junqueira, A.B., Neves, E.G., Tamanaha, E.K., Figueiredo, F.O.G., Salomão, R.P., Castilho, C. V, Magnusson, W.E., Phillips, O.L., Guevara, J.E., Sabatier, D., Molino, J.-F., López, D.C., Mendoza, A.M., Pitman, N.C.A., Duque, A., Vargas, P.N., Zartman, C.E., Vasquez, R., Andrade, A., Camargo, J.L., Feldpausch, T.R., Laurance, S.G.W., Laurance, W.F., Killeen, T.J., Nascimento, H.E.M., Montero, J.C., Mostacedo, B., Amaral, I.L., Guimarães Vieira, I.C., Brienen, R., Castellanos, H., Terborgh, J., Carim, M. de J.V., Guimarães, J.R. da S., Coelho, L.D.S., Matos, F.D.D.A., Wittmann, F., Mogollón, H.F., Damasco, G., Dávila, N., García-Villacorta, R., Coronado, E.N.H., Emilio, T., Filho, D. de A.L., Schietti, J., Souza, P., Targhetta, N., Comiskey, J.A., Marimon, B.S., Marimon, B.-H., Neill, D., Alonso, A., Arroyo, L., Carvalho, F.A., de Souza, F.C., Dallmeier, F., Pansonato, M.P., Duivenvoorden, J.F., Fine, P.V.A., Stevenson, P.R., Araujo-Murakami, A., Aymard C., G.A., Baraloto, C., do Amaral, D.D., Engel, J., Henkel, T.W., Maas, P., Petronelli, P., Revilla, J.D.C., Stropp, J., Daly, D., Gribel, R., Paredes, M.R., Silveira, M., Thomas-Caesar, R., Baker, T.R., da Silva, N.F., Ferreira, L. V., Peres, C.A., Silman, M.R., Cerón, C., Valverde, F.C., Di Fiore, A., Jimenez, E.M., Mora, M.C.P., Toledo, M., Barbosa, E.M., Bonates, L.C. de M., Arboleda, N.C., Farias, E. de S., Fuentes, A., Guillaumet, J.-L., Jørgensen, P.M., Malhi, Y., de Andrade Miranda, </w:t>
      </w:r>
      <w:r w:rsidRPr="00571B4A">
        <w:rPr>
          <w:rFonts w:ascii="Calibri" w:hAnsi="Calibri" w:cs="Times New Roman"/>
          <w:noProof/>
          <w:sz w:val="24"/>
          <w:szCs w:val="24"/>
        </w:rPr>
        <w:lastRenderedPageBreak/>
        <w:t>I.P., Phillips, J.F., Prieto, A., Rudas, A., Ruschel, A.R., Silva, N., von Hildebrand, P., Vos, V.A., Zent, E.L., Zent, S., Cintra, B.B.L., Nascimento, M.T., Oliveira, A.A., Ramirez-Angulo, H., Ramos, J.F., Rivas, G., Schöngart, J., Sierra, R., Tirado, M., van der Heijden, G., Torre, E. V., Wang, O., Young, K.R., Baider, C., Cano, A., Farfan-Rios, W., Ferreira, C., Hoffman, B., Mendoza, C., Mesones, I., Torres-Lezama, A., Medina, M.N.U., van Andel, T.R., Villarroel, D., Zagt, R., Alexiades, M.N., Balslev, H., Garcia-Cabrera, K., Gonzales, T., Hernandez, L., Huamantupa-Chuquimaco, I., Manzatto, A.G., Milliken, W., Cuenca, W.P., Pansini, S., Pauletto, D., Arevalo, F.R., Reis, N.F.C., Sampaio, A.F., Giraldo, L.E.U., Sandoval, E.H.V., Gamarra, L.V., Vela, C.I.A., ter Steege, H., 2017. Persistent effects of pre-Columbian plant domestication on Amazonian forest composition. Science (80-. ). 355, 925–931. https://doi.org/10.1126/science.aal0157</w:t>
      </w:r>
    </w:p>
    <w:p w14:paraId="16702BA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Levis, C., Flores, B.M., Moreira, P.A., Luize, B.G., Alves, R.P., Franco-Moraes, J., Lins, J., Konings, E., Peña-Claros, M., Bongers, F., Costa, F.R.C., Clement, C.R., 2018. How People Domesticated Amazonian Forests. Front. Ecol. Evol. 5, 1–21. https://doi.org/10.3389/fevo.2017.00171</w:t>
      </w:r>
    </w:p>
    <w:p w14:paraId="684690A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López-Sáez, J.A., Alba-Sánchez, F., López-Merino, L., Pérez-Díaz, S., 2010. Modern pollen analysis: a reliable tool for discriminating Quercus rotundifolia communities in Central Spain. Phytocoenologia 40, 57–72. https://doi.org/10.1127/0340-269X/2010/0040-0430</w:t>
      </w:r>
    </w:p>
    <w:p w14:paraId="76278C3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Loponte, D., Carbonera, M., Corriale, M.J., Acosta, A., 2016. Horticulturists and oxygen ecozones in the tropical and subtropical forests of Southeast South America. Environ. Archaeol. 22, 1–21. https://doi.org/10.1080/14614103.2016.1211382</w:t>
      </w:r>
    </w:p>
    <w:p w14:paraId="6639F88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Maçaneiro, J.P. DE, Gasper, A.L. DE, Galvão, F., Schorn, L.A., 2018. Dispersion and aggregation patterns of tree species in Araucaria Forest, Southern Brazil. An. Acad. Bras. Cienc. 90, 2397–2408. https://doi.org/10.1590/0001-3765201820170150</w:t>
      </w:r>
    </w:p>
    <w:p w14:paraId="58FF82CB"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McMichael, C.N.H., Matthews-Bird, F., Farfan-Rios, W., Feeley, K.J., 2017. Ancient human disturbances may be skewing our understanding of Amazonian forests. Proc. Natl. Acad. Sci. 114, 522–527. https://doi.org/10.1073/pnas.1614577114</w:t>
      </w:r>
    </w:p>
    <w:p w14:paraId="5D499157"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Mello, A.J.M., Peroni, N., 2015. Cultural landscapes of the Araucaria Forests in the northern plateau of Santa Catarina, Brazil. J. Ethnobiol. Ethnomed. 11, 51. https://doi.org/10.1186/s13002-015-0039-x</w:t>
      </w:r>
    </w:p>
    <w:p w14:paraId="6A59B083"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Métraux, A., 1946. The Caingang, in: Steward, J.H. (Ed.), Handbook of South American Indians. The Marginal Tribes. Smithsonian Institution, Washington (D.C.), pp. 445–475.</w:t>
      </w:r>
    </w:p>
    <w:p w14:paraId="0DD57FBD"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Meyer, L., Sevegnani, L., de Gasper, A.L., Schorn, L.A., Vibrans, A.C., Lingner, D.V., Sobral, M.G., Klemz, G., Schmitt, R., Anastacio Jr., C., Brogni, E., 2013. Fitossociologia do componente arbóreo/arbustivo da Floresta Ombrófila Mista no Estado de Santa Catarina, in: Vibrans, A.C., Sevegnani, L., Gasper, A.L. De, Lingner, D.V. (Eds.), Inventário Florístico Florestal de Santa Catarina Volume III - Floresta Ombrófila Mista. Edifurb, Blumenau, pp. 157–189.</w:t>
      </w:r>
    </w:p>
    <w:p w14:paraId="52922996"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Midgley, J., 1989. Pollen dispersal distances for a conifer canopy species in the Knysna Forest. South African J. Bot. 55, 662–663.</w:t>
      </w:r>
    </w:p>
    <w:p w14:paraId="4C52349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Montade, V., Diogo, I.J.S., Bremond, L., Favier, C., Costa, I.R. da, Ledru, M.P., Paradis, L., Martins, E.S.P.R., Burte, J., Silva, F.H.M., Verola, C.F., 2016. Pollen-based characterization of montane forest types in north-eastern Brazil. Rev. Palaeobot. Palynol. 234, 147–158. https://doi.org/10.1016/j.revpalbo.2016.07.003</w:t>
      </w:r>
    </w:p>
    <w:p w14:paraId="08B92BB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Montalva, J., Dudley, L., Arroyo, M.K., Retamales, H., Abrahamovich, A.H., 2011. Geographic distribution and associated flora of native and introduced bumble bees (Bombus spp.) in Chile. J. Apic. Res. 50, 11–21.</w:t>
      </w:r>
    </w:p>
    <w:p w14:paraId="42CE428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Mrotzek, A., Couwenberg, J., Theuerkauf, M., Joosten, H., 2017. MARCO POLO - A new and simple tool for pollen-based stand-scale vegetation reconstruction. The Holocene 27, 321–330. https://doi.org/10.1177/0959683616660171</w:t>
      </w:r>
    </w:p>
    <w:p w14:paraId="7DDA057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Müller, S.C., Overbeck, G.E., Blanco, C.C., de Oliveira, J.M., Pillar, V.D., 2012. South Brazilian Forest-Grassland Ecotones: Dynamics Affected by Climate, Disturbance, and Woody Species Traits, in: Myster, R.W. (Ed.), Ecotones Between Forest and Grassland. Springer New York, New York, NY, pp. 167–187. https://doi.org/10.1007/978-1-4614-3797-0_7</w:t>
      </w:r>
    </w:p>
    <w:p w14:paraId="30114FD9"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Myers, N., Mittermeier, R.A., Mittermeier, C.G., da Fonseca, G.A.B., Kent, J., 2000. Biodiversity hotspots for conservation priorities. Nature 403, 853–858. https://doi.org/10.1038/35002501</w:t>
      </w:r>
    </w:p>
    <w:p w14:paraId="2330FD9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Negash, L., 2003. In situ fertility decline and provenance differences in the East African Yellow Wood (Podocarpus falcatus) measured through in vitro seed germination. For. Ecol. Manage. 174, 127–138. https://doi.org/10.1016/S0378-1127(02)00034-8</w:t>
      </w:r>
    </w:p>
    <w:p w14:paraId="297D67D1"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Neves, D.M., Dexter, K.G., Pennington, R.T., Valente, A.S.M., Bueno, M.L., Eisenlohr, P. V., Fontes, M.A.L., Miranda, P.L.S., Moreira, S.N., Rezende, V.L., Saiter, F.Z., Oliveira-Filho, A.T., 2017. Dissecting a biodiversity hotspot: The importance of environmentally marginal habitats in the Atlantic Forest Domain of South America. Divers. Distrib. 23, 898–909. https://doi.org/10.1111/ddi.12581</w:t>
      </w:r>
    </w:p>
    <w:p w14:paraId="4B048E39"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Noelli, F.S., 2000. A ocupação humana na Região Sul do Brasil: Arqueologia, debates e perspectivas 1872-2000. Rev. da Univ. da São Paulo 44, 218–269.</w:t>
      </w:r>
    </w:p>
    <w:p w14:paraId="08D0FD9F"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Noelli, F.S., De Souza, J.G., 2017. Novas perspectivas para a cartografia arqueológica Jê no Brasil meridional. Bol. do Mus. Para. Emilio Goeldi Ciencias Humanas. https://doi.org/10.1590/1981.81222017000100004</w:t>
      </w:r>
    </w:p>
    <w:p w14:paraId="549E793A"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Oksanen, J., Minchin, P.R., 1997. Instability of ordination results under changes in input data order: explanations and remedies. J. Veg. Sci. 8, 447–454. https://doi.org/10.2307/3237336</w:t>
      </w:r>
    </w:p>
    <w:p w14:paraId="5E9D965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Oliveira-Filho, A.T., Budke, J.C., Jarenkow, J.A., Eisenlohr, P. V, Neves, D.R.M., 2014. Delving into the variations in tree species composition and richness across South American subtropical Atlantic and Pampean forests. J. Plant Ecol. 8, 242–260. https://doi.org/10.1093/jpe/rtt058</w:t>
      </w:r>
    </w:p>
    <w:p w14:paraId="5E9C58A5"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Otegui, M., Cocucci, A., 1999. Flower morphology and biology of Myrsine laetevirens, structural and evolutionary implications of anemophily in Myrsinaceae. Nord. J. Bot. 19, 71–85. https://doi.org/10.1111/j.1756-1051.1999.tb01904.x</w:t>
      </w:r>
    </w:p>
    <w:p w14:paraId="2F01AD2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Pardoe, H.S., 2006. Surface pollen deposition on glacier forelands in southern Norway I: local patterns of representation and source area at Storbreen, Jotunheimen. The Holocene 16, 1149–1161. https://doi.org/10.1177/0959683606069422</w:t>
      </w:r>
    </w:p>
    <w:p w14:paraId="6E5B6FC7"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Pardoe, H.S., Giesecke, T., van der Knaap, W.O., Svitavská-Svobodová, H., Kvavadze, E. V., Panajiotidis, S., Gerasimidis, A., Pidek, I.A., Zimny, M., Święta-Musznicka, J., Latałowa, M., Noryśkiewicz, A.M., Bozilova, E., Tonkov, S., Filipova-Marinova, M. V., van Leeuwen, J.F.N., Kalniņa, L., 2010. Comparing pollen spectra from modified Tauber traps and moss samples: examples from a selection of woodlands across Europe. Veg. Hist. Archaeobot. 19, 271–283. https://doi.org/10.1007/s00334-010-0258-y</w:t>
      </w:r>
    </w:p>
    <w:p w14:paraId="44DC064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Parsons, R.W., Prentice, I.C., 1981. Statistical approaches to R-values and the pollen— vegetation relationship. Rev. Palaeobot. Palynol. 32, 127–152. https://doi.org/10.1016/0034-6667(81)90001-4</w:t>
      </w:r>
    </w:p>
    <w:p w14:paraId="47E8A0E3"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 xml:space="preserve">Peterson, R.H., Gale, D., 1991. Fish species associations in riffle habitat of streams of varying size and acidity in New Brunswick and Nova Scotia. J. Fish Biol. 38, 859–871. </w:t>
      </w:r>
      <w:r w:rsidRPr="00571B4A">
        <w:rPr>
          <w:rFonts w:ascii="Calibri" w:hAnsi="Calibri" w:cs="Times New Roman"/>
          <w:noProof/>
          <w:sz w:val="24"/>
          <w:szCs w:val="24"/>
        </w:rPr>
        <w:lastRenderedPageBreak/>
        <w:t>https://doi.org/10.1111/j.1095-8649.1991.tb03626.x</w:t>
      </w:r>
    </w:p>
    <w:p w14:paraId="427103E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R Core Team, 2017. R: a Language and Environment for Statistical Computing.</w:t>
      </w:r>
    </w:p>
    <w:p w14:paraId="04B05E5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Reis, M.S., Montagna, T., Mattos, A.G., Filippon, S., Ladio, A.H., Marques, A. da C., Zechini, A.A., Peroni, N., Mantovani, A., 2018. Domesticated Landscapes in Araucaria Forests, Southern Brazil: A Multispecies Local Conservation-by-Use System. Front. Ecol. Evol. 6, 11. https://doi.org/10.3389/fevo.2018.00011</w:t>
      </w:r>
    </w:p>
    <w:p w14:paraId="7D1ED3EA"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Rezende, V.L., Eisenlohr, P. V., Vibrans, A.C., de Oliveira-Filho, A.T., 2015. Humidity, low temperature extremes, and space influence floristic variation across an insightful gradient in the Subtropical Atlantic Forest. Plant Ecol. 216, 759–774. https://doi.org/10.1007/s11258-015-0465-9</w:t>
      </w:r>
    </w:p>
    <w:p w14:paraId="22B4A255"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Ribeiro, M.C., Metzger, J.P., Martensen, A.C., Ponzoni, F.J., Hirota, M.M., 2009. The Brazilian Atlantic Forest: How much is left, and how is the remaining forest distributed? Implications for conservation. Biol. Conserv. 142, 1141–1153. https://doi.org/10.1016/j.biocon.2009.02.021</w:t>
      </w:r>
    </w:p>
    <w:p w14:paraId="06C4672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Robinson, M., De Souza, J.G., Maezumi, S.Y., Cárdenas, M., Pessenda, L., Prufer, K., Corteletti, R., Scunderlick, D., Mayle, F.E., De Blasis, P., Iriarte, J., 2018. Uncoupling human and climate drivers of late Holocene vegetation change in southern Brazil. Sci. Rep. 8, 7800. https://doi.org/10.1038/s41598-018-24429-5</w:t>
      </w:r>
    </w:p>
    <w:p w14:paraId="37B5251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Robinson, M., Iriarte, J., De Souza, J.G., Marozzi, O., Scheel-Ybert, R., 2017. Moiety specific wood selection in funerary ritual for the southern proto-Jê. J. Archaeol. Sci. Reports 11, 237–244. https://doi.org/10.1016/j.jasrep.2016.11.047</w:t>
      </w:r>
    </w:p>
    <w:p w14:paraId="3B5BF357"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 xml:space="preserve">Rodrigues, J.M., Behling, H., Giesecke, T., 2016a. Holocene dynamics of vegetation change in southern and southeastern Brazil is consistent with climate forcing. Quat. Sci. Rev. 146, 54–65. </w:t>
      </w:r>
      <w:r w:rsidRPr="00571B4A">
        <w:rPr>
          <w:rFonts w:ascii="Calibri" w:hAnsi="Calibri" w:cs="Times New Roman"/>
          <w:noProof/>
          <w:sz w:val="24"/>
          <w:szCs w:val="24"/>
        </w:rPr>
        <w:lastRenderedPageBreak/>
        <w:t>https://doi.org/10.1016/j.quascirev.2016.06.011</w:t>
      </w:r>
    </w:p>
    <w:p w14:paraId="5193153D"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Rodrigues, J.M., Behling, H., Giesecke, T., 2016b. Differentiating vegetation types from eastern South American ecosystems based on modern and subfossil pollen samples: evaluating modern analogues. Veg. Hist. Archaeobot. 25, 387–403. https://doi.org/10.1007/s00334-016-0558-y</w:t>
      </w:r>
    </w:p>
    <w:p w14:paraId="12A2ADB0"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Roubik, D.W., Moreno, J.E., 1991. Pollen and spores of Barro Colorado Island (Panama), Monographs in Systematic Botany. Missouri Botanical Garden, St. Louis, MO, USA.</w:t>
      </w:r>
    </w:p>
    <w:p w14:paraId="05EDFB5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Scherer, C., Lorscheitter, M.L., 2014. Vegetation dynamics in the southern Brazilian highlands during the last millennia and the role of bogs in Araucaria forest formation. Quat. Int. 325, 3–12. https://doi.org/10.1016/j.quaint.2014.01.010</w:t>
      </w:r>
    </w:p>
    <w:p w14:paraId="15CF767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Schorn, L.A., de Gasper, A.L., Meyer, L., Vibrans, A.C., 2012. Síntese da estrutura dos remanescentes florestais em Santa Catarina, in: Vibrans, A.C., Sevegnani, L., de Gasper, A.L., Lingner, D.V. (Eds.), Inventário Florístico Florestal de Santa Catarina Volume I - Diversidade e Conservação Dos Remanescentes Florestais. Edifurb, Blumenau, pp. 125–140.</w:t>
      </w:r>
    </w:p>
    <w:p w14:paraId="52FFBE57"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Sevegnani, L., Uhlmann, A., de Gasper, A.L., Vibrans, A.C., dos Santos, A.S., Verdi, M., drev, 2013. Estádios sucessionais da Floresta Ombrófila Mista em Santa Catarina, in: Vibrans, A.C., Sevegnani, L., de Gaspar, A.L., Lingner, D.V. (Eds.), Inventário Florístico Florestal de Santa Catarina Volume III - Floresta Ombrófila Mista. Edifurb, Blumenau, p. 440.</w:t>
      </w:r>
    </w:p>
    <w:p w14:paraId="38360206"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Sevegnani, L., Uhlmann, A., Gasper, A.L. de, Meyer, L., Vibrans, A.C., 2016. Climate affects the structure of mixed rain forest in southern sector of Atlantic domain in Brazil. Acta Oecologica 77, 109–117. https://doi.org/10.1016/j.actao.2016.10.002</w:t>
      </w:r>
    </w:p>
    <w:p w14:paraId="0AF861A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 xml:space="preserve">Shepard, G., Ramirez, H., 2011. “Made in Brazil”: Human Dispersal of the Brazil Nut (Bertholletia </w:t>
      </w:r>
      <w:r w:rsidRPr="00571B4A">
        <w:rPr>
          <w:rFonts w:ascii="Calibri" w:hAnsi="Calibri" w:cs="Times New Roman"/>
          <w:noProof/>
          <w:sz w:val="24"/>
          <w:szCs w:val="24"/>
        </w:rPr>
        <w:lastRenderedPageBreak/>
        <w:t>excelsa, Lecythidaceae) in Ancient Amazonia. Econ. Bot. 65, 44–65. https://doi.org/10.1007/s12231-011-9151-6</w:t>
      </w:r>
    </w:p>
    <w:p w14:paraId="75C7AD8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Silva, S.B. da, 2002. Dualismo e cosmologia Kaingang: o xamã e o domínio da floresta. Horizontes Antropológicos 8, 189–209. https://doi.org/10.1590/S0104-71832002000200009</w:t>
      </w:r>
    </w:p>
    <w:p w14:paraId="08589D56"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Silva, L.C.R., Anand, M., 2011. Mechanisms of Araucaria (Atlantic) Forest Expansion into Southern Brazilian Grasslands. Ecosystems 14, 1354–1371. https://doi.org/10.1007/s10021-011-9486-y</w:t>
      </w:r>
    </w:p>
    <w:p w14:paraId="4A98B3C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Souza, L.A. de, Moscheta, I.S., 2000. Morfo-anatomia e aspectos da biologia floral de Nectandra megapotamica (Spreng.) Mez (Lauraceae). Acta Bot. Brasilica 14, 15–25. https://doi.org/10.1590/S0102-33062000000100003</w:t>
      </w:r>
    </w:p>
    <w:p w14:paraId="5F3684DB"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Sugita, S., 2007a. Theory of quantitative reconstruction of vegetation I: pollen from large sites REVEALS regional vegetation composition. The Holocene 17, 229–241. https://doi.org/10.1177/0959683607075837</w:t>
      </w:r>
    </w:p>
    <w:p w14:paraId="4993A70A"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Sugita, S., 2007b. Theory of quantitative reconstruction of vegetation II: all you need is LOVE. The Holocene 17, 243–257. https://doi.org/10.1177/0959683607075838</w:t>
      </w:r>
    </w:p>
    <w:p w14:paraId="407C1089"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Thomas, P., 2013. Araucaria angustifolia [WWW Document]. IUCN Red List Threat. Species. https://doi.org/http://dx.doi.org/10.2305/IUCN.UK.2013-1.RLTS.T32975A2829141.en</w:t>
      </w:r>
    </w:p>
    <w:p w14:paraId="729332CE"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Tomlinson, P.B., 1974. Breeding Mechanisms in Trees Native to Tropical Florida - a Morphological Assessment. J. Arnold Arbor. 55, 269–290. https://doi.org/10.2307/43781937</w:t>
      </w:r>
    </w:p>
    <w:p w14:paraId="1410FD47"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Tonkov, S., Hicks, S., Bozilova, E., Atanassova, J., 2001. Pollen monitoring in the central Rila Mountains, Southwestern Bulgaria: comparisons between pollen traps and surface samples for the period 1993–1999. Rev. Palaeobot. Palynol. 117, 167–182. https://doi.org/10.1016/S0034-6667(01)00085-9</w:t>
      </w:r>
    </w:p>
    <w:p w14:paraId="6AD14AC2"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lastRenderedPageBreak/>
        <w:t>Urban, G., 1985. Interpretations of Inter-Cultural Contact: The Shokleng and Brazilian National Society 1914-1915. Ethnohistory 32, 224–244. https://doi.org/10.2307/481922</w:t>
      </w:r>
    </w:p>
    <w:p w14:paraId="7A2DD6A1"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Vibrans, A.C., Sevegnani, L., Lingner, D.V., de Gasper, A.L., Sabbagh, S., 2010. Inventário florístico florestal de Santa Catarina (IFFSC): aspectos metodológicos e operacionais. Pesqui. Florest. Bras. 30, 291–302. https://doi.org/10.4336/2010.pfb.64.291</w:t>
      </w:r>
    </w:p>
    <w:p w14:paraId="4B8FDCE4"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Viera, F. V., Fonseca, R.S., Araújo, L.M. de, 2012. Floração, Polinização e Sistemas Reprodutivos em Florestas Tropicais, in: Martins, S.V. (Ed.), Ecologia de Florestas Tropicais Do Brasil. Universidade Federal de Viçosa, Viçosa, pp. 53–84.</w:t>
      </w:r>
    </w:p>
    <w:p w14:paraId="691A0126"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Whitehead, D.R., 1983. Wind pollination: some ecological and evolutionary perspectives, in: Real, L. (Ed.), Pollination Biology. Academic Press, Inc., Orlando, pp. 97–108.</w:t>
      </w:r>
    </w:p>
    <w:p w14:paraId="25AB0558"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Whitney, B.S., Smallman, T.L., Mitchard, E.T., Carson, J.F., Mayle, F.E., Bunting, M.J., 2019. Constraining pollen-based estimates of forest cover in the Amazon: A simulation approach. The Holocene 29, 262–270. https://doi.org/10.1177/0959683618810394</w:t>
      </w:r>
    </w:p>
    <w:p w14:paraId="2CF8C215"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Wilms, W., Wendel, L., Zillikens, A., Blochtein, B., Engels, W., 1997. Bees and Other Insects Recorded on Flowering Trees in a Subtropical Araucaria Forest in Southern Brazil. Stud. Neotrop. Fauna Environ. 32, 220–226. https://doi.org/10.1080/01650521.1997.11432425doi.org/10.1080/01650521.1997.11432425</w:t>
      </w:r>
    </w:p>
    <w:p w14:paraId="5E3A738C"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Wilson, V.R., Owens, J.N., 1999. The Reproductive Biology of Totara (Podocarpus totara) (Podocarpaceae). Ann. Bot. 83, 401–411.</w:t>
      </w:r>
    </w:p>
    <w:p w14:paraId="036FAC7D" w14:textId="77777777" w:rsidR="00571B4A" w:rsidRPr="00571B4A" w:rsidRDefault="00571B4A" w:rsidP="00571B4A">
      <w:pPr>
        <w:widowControl w:val="0"/>
        <w:autoSpaceDE w:val="0"/>
        <w:autoSpaceDN w:val="0"/>
        <w:adjustRightInd w:val="0"/>
        <w:spacing w:line="480" w:lineRule="auto"/>
        <w:ind w:left="480" w:hanging="480"/>
        <w:rPr>
          <w:rFonts w:ascii="Calibri" w:hAnsi="Calibri" w:cs="Times New Roman"/>
          <w:noProof/>
          <w:sz w:val="24"/>
          <w:szCs w:val="24"/>
        </w:rPr>
      </w:pPr>
      <w:r w:rsidRPr="00571B4A">
        <w:rPr>
          <w:rFonts w:ascii="Calibri" w:hAnsi="Calibri" w:cs="Times New Roman"/>
          <w:noProof/>
          <w:sz w:val="24"/>
          <w:szCs w:val="24"/>
        </w:rPr>
        <w:t>Wrege, M.S., Higa, R.C. V., Miranda Britez, R., Cordeiro Garrastazu, M., de Sousa, V.A., Caramori, P.H., Radin, B., Braga, H.J., 2009. Climate Change and Conservation of Araucaria angustifolia in Brazil. Unasylva 60, 30–33.</w:t>
      </w:r>
    </w:p>
    <w:p w14:paraId="6E38D6BA" w14:textId="77777777" w:rsidR="00571B4A" w:rsidRPr="00571B4A" w:rsidRDefault="00571B4A" w:rsidP="00571B4A">
      <w:pPr>
        <w:widowControl w:val="0"/>
        <w:autoSpaceDE w:val="0"/>
        <w:autoSpaceDN w:val="0"/>
        <w:adjustRightInd w:val="0"/>
        <w:spacing w:line="480" w:lineRule="auto"/>
        <w:ind w:left="480" w:hanging="480"/>
        <w:rPr>
          <w:rFonts w:ascii="Calibri" w:hAnsi="Calibri"/>
          <w:noProof/>
          <w:sz w:val="24"/>
        </w:rPr>
      </w:pPr>
      <w:r w:rsidRPr="00571B4A">
        <w:rPr>
          <w:rFonts w:ascii="Calibri" w:hAnsi="Calibri" w:cs="Times New Roman"/>
          <w:noProof/>
          <w:sz w:val="24"/>
          <w:szCs w:val="24"/>
        </w:rPr>
        <w:lastRenderedPageBreak/>
        <w:t>Zeller, R.H., 2010. PLANO DE MANEJO: RESERVA PARTICULAR DO PATRIMÔNIO NATURAL EMILIO EINSFELD FILHO, SANTA CATARINA. Campo Belo do Sul.</w:t>
      </w:r>
    </w:p>
    <w:p w14:paraId="120A7496" w14:textId="2B0DC0A0" w:rsidR="004D7346" w:rsidRDefault="006A7FAD" w:rsidP="0006304A">
      <w:pPr>
        <w:widowControl w:val="0"/>
        <w:autoSpaceDE w:val="0"/>
        <w:autoSpaceDN w:val="0"/>
        <w:adjustRightInd w:val="0"/>
        <w:spacing w:line="480" w:lineRule="auto"/>
        <w:ind w:left="480" w:hanging="480"/>
        <w:rPr>
          <w:rFonts w:cstheme="minorHAnsi"/>
          <w:sz w:val="24"/>
          <w:szCs w:val="24"/>
        </w:rPr>
      </w:pPr>
      <w:r w:rsidRPr="001C1F44">
        <w:rPr>
          <w:rFonts w:cstheme="minorHAnsi"/>
          <w:sz w:val="24"/>
          <w:szCs w:val="24"/>
        </w:rPr>
        <w:fldChar w:fldCharType="end"/>
      </w:r>
    </w:p>
    <w:p w14:paraId="42D10222" w14:textId="77777777" w:rsidR="00BE5E82" w:rsidRDefault="00BE5E82">
      <w:pPr>
        <w:rPr>
          <w:rFonts w:cstheme="minorHAnsi"/>
          <w:sz w:val="24"/>
          <w:szCs w:val="24"/>
        </w:rPr>
      </w:pPr>
    </w:p>
    <w:p w14:paraId="5C47CEE9" w14:textId="3DF3485C" w:rsidR="00BE5E82" w:rsidRDefault="00BE5E82">
      <w:pPr>
        <w:rPr>
          <w:rFonts w:cstheme="minorHAnsi"/>
          <w:sz w:val="24"/>
          <w:szCs w:val="24"/>
        </w:rPr>
      </w:pPr>
      <w:r>
        <w:rPr>
          <w:rFonts w:cstheme="minorHAnsi"/>
          <w:sz w:val="24"/>
          <w:szCs w:val="24"/>
        </w:rPr>
        <w:br w:type="page"/>
      </w:r>
    </w:p>
    <w:p w14:paraId="51C70698" w14:textId="2CE95E0C" w:rsidR="008D56C3" w:rsidRDefault="008D56C3" w:rsidP="008D56C3">
      <w:pPr>
        <w:pStyle w:val="Heading1"/>
        <w:spacing w:line="480" w:lineRule="auto"/>
      </w:pPr>
      <w:r>
        <w:lastRenderedPageBreak/>
        <w:t>Figures</w:t>
      </w:r>
    </w:p>
    <w:p w14:paraId="65353745" w14:textId="77777777" w:rsidR="00E211DC" w:rsidRPr="0083145E" w:rsidRDefault="00E211DC" w:rsidP="00E211DC">
      <w:pPr>
        <w:pStyle w:val="Mynormal"/>
      </w:pPr>
      <w:r>
        <w:t>Figure 1</w:t>
      </w:r>
      <w:r w:rsidRPr="588CF9D5">
        <w:t>:</w:t>
      </w:r>
      <w:r w:rsidRPr="0083145E">
        <w:t xml:space="preserve"> Map of forest plot locations; numbers refer to plot codes (see Table </w:t>
      </w:r>
      <w:r>
        <w:t xml:space="preserve">1 </w:t>
      </w:r>
      <w:r w:rsidRPr="0083145E">
        <w:t>below). Plot colours: Cyan: riverine; Olive: slope; Black: rock outcrop; Purple: open understorey; Orange: closed understorey; Red: disturbed.</w:t>
      </w:r>
    </w:p>
    <w:p w14:paraId="49A381D5" w14:textId="6DF4F236" w:rsidR="004D7346" w:rsidRDefault="00E211DC">
      <w:pPr>
        <w:rPr>
          <w:rFonts w:cstheme="minorHAnsi"/>
          <w:sz w:val="24"/>
          <w:szCs w:val="24"/>
        </w:rPr>
      </w:pPr>
      <w:r>
        <w:rPr>
          <w:rFonts w:cstheme="minorHAnsi"/>
          <w:noProof/>
          <w:sz w:val="24"/>
          <w:szCs w:val="24"/>
        </w:rPr>
        <w:drawing>
          <wp:inline distT="0" distB="0" distL="0" distR="0" wp14:anchorId="68FD0291" wp14:editId="4F977FCC">
            <wp:extent cx="4987808" cy="70485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 resize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0025" cy="7051633"/>
                    </a:xfrm>
                    <a:prstGeom prst="rect">
                      <a:avLst/>
                    </a:prstGeom>
                  </pic:spPr>
                </pic:pic>
              </a:graphicData>
            </a:graphic>
          </wp:inline>
        </w:drawing>
      </w:r>
      <w:r w:rsidR="004D7346">
        <w:rPr>
          <w:rFonts w:cstheme="minorHAnsi"/>
          <w:sz w:val="24"/>
          <w:szCs w:val="24"/>
        </w:rPr>
        <w:br w:type="page"/>
      </w:r>
    </w:p>
    <w:p w14:paraId="05D7276B" w14:textId="2648A4E7" w:rsidR="004D7346" w:rsidRPr="0083145E" w:rsidRDefault="004D7346" w:rsidP="004D7346">
      <w:pPr>
        <w:pStyle w:val="Mynormal"/>
      </w:pPr>
      <w:r>
        <w:lastRenderedPageBreak/>
        <w:t>Figure 2</w:t>
      </w:r>
      <w:r w:rsidRPr="0083145E">
        <w:t xml:space="preserve">: Relative abundance (%) of selected </w:t>
      </w:r>
      <w:r>
        <w:t xml:space="preserve">tree </w:t>
      </w:r>
      <w:r w:rsidRPr="0083145E">
        <w:t>species in the vegetation survey. Species included in the cluster analysis and DCA are indicated with an asterisk.</w:t>
      </w:r>
    </w:p>
    <w:p w14:paraId="58A44BC6" w14:textId="29D9199C" w:rsidR="00095EDC" w:rsidRDefault="00095EDC">
      <w:pPr>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14:anchorId="0B865BC2" wp14:editId="2FF772A6">
            <wp:simplePos x="0" y="0"/>
            <wp:positionH relativeFrom="margin">
              <wp:align>right</wp:align>
            </wp:positionH>
            <wp:positionV relativeFrom="paragraph">
              <wp:posOffset>2303780</wp:posOffset>
            </wp:positionV>
            <wp:extent cx="8831580" cy="2599055"/>
            <wp:effectExtent l="0" t="7938"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v2.emf"/>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831580" cy="259905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br w:type="page"/>
      </w:r>
    </w:p>
    <w:p w14:paraId="45FB34EE" w14:textId="248AB352" w:rsidR="00095EDC" w:rsidRPr="0083145E" w:rsidRDefault="00095EDC" w:rsidP="00095EDC">
      <w:pPr>
        <w:pStyle w:val="Mynormal"/>
      </w:pPr>
      <w:r>
        <w:lastRenderedPageBreak/>
        <w:t>Figure 3</w:t>
      </w:r>
      <w:r w:rsidRPr="0083145E">
        <w:t>: Relative Coverage Values (RCVs, %) of selected</w:t>
      </w:r>
      <w:r>
        <w:t xml:space="preserve"> tree</w:t>
      </w:r>
      <w:r w:rsidRPr="0083145E">
        <w:t xml:space="preserve"> species in the vegetation survey. ‘Ave. (all)’ = sum of RCVs/total number of plots; ‘Ave. (present)’ = sum of RCVs/number of plots in which taxon was present.</w:t>
      </w:r>
    </w:p>
    <w:p w14:paraId="2A9BC77A" w14:textId="77777777" w:rsidR="00CD6E7B" w:rsidRDefault="00CD6E7B" w:rsidP="0006304A">
      <w:pPr>
        <w:widowControl w:val="0"/>
        <w:autoSpaceDE w:val="0"/>
        <w:autoSpaceDN w:val="0"/>
        <w:adjustRightInd w:val="0"/>
        <w:spacing w:line="480" w:lineRule="auto"/>
        <w:ind w:left="480" w:hanging="480"/>
        <w:rPr>
          <w:rFonts w:cstheme="minorHAnsi"/>
          <w:sz w:val="24"/>
          <w:szCs w:val="24"/>
        </w:rPr>
      </w:pPr>
    </w:p>
    <w:p w14:paraId="03AE4F50" w14:textId="19934780" w:rsidR="00CD6E7B" w:rsidRDefault="00CD6E7B">
      <w:pPr>
        <w:rPr>
          <w:rFonts w:cstheme="minorHAnsi"/>
          <w:sz w:val="24"/>
          <w:szCs w:val="24"/>
        </w:rPr>
      </w:pPr>
      <w:r>
        <w:rPr>
          <w:rFonts w:cstheme="minorHAnsi"/>
          <w:noProof/>
          <w:sz w:val="24"/>
          <w:szCs w:val="24"/>
        </w:rPr>
        <w:drawing>
          <wp:anchor distT="0" distB="0" distL="114300" distR="114300" simplePos="0" relativeHeight="251660288" behindDoc="0" locked="0" layoutInCell="1" allowOverlap="1" wp14:anchorId="367CC930" wp14:editId="0A2B5D4E">
            <wp:simplePos x="0" y="0"/>
            <wp:positionH relativeFrom="margin">
              <wp:align>right</wp:align>
            </wp:positionH>
            <wp:positionV relativeFrom="paragraph">
              <wp:posOffset>1499870</wp:posOffset>
            </wp:positionV>
            <wp:extent cx="8832215" cy="25368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 v2.emf"/>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832215" cy="2536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br w:type="page"/>
      </w:r>
    </w:p>
    <w:p w14:paraId="4FA50A5B" w14:textId="77777777" w:rsidR="00CD6E7B" w:rsidRPr="0083145E" w:rsidRDefault="00CD6E7B" w:rsidP="00CD6E7B">
      <w:pPr>
        <w:pStyle w:val="Mynormal"/>
      </w:pPr>
      <w:r>
        <w:lastRenderedPageBreak/>
        <w:t>Figure 4</w:t>
      </w:r>
      <w:r w:rsidRPr="0083145E">
        <w:t>: Relative abundance (%) of selected pollen types. Taxa included in the cluster analysis and DCA are indicated with an asterisk</w:t>
      </w:r>
    </w:p>
    <w:p w14:paraId="033589EA" w14:textId="1EE57356" w:rsidR="0081712A" w:rsidRDefault="00CD6E7B" w:rsidP="00207E9D">
      <w:pPr>
        <w:widowControl w:val="0"/>
        <w:autoSpaceDE w:val="0"/>
        <w:autoSpaceDN w:val="0"/>
        <w:adjustRightInd w:val="0"/>
        <w:spacing w:line="480" w:lineRule="auto"/>
        <w:ind w:left="480" w:hanging="480"/>
        <w:rPr>
          <w:rFonts w:cstheme="minorHAnsi"/>
          <w:sz w:val="24"/>
          <w:szCs w:val="24"/>
        </w:rPr>
      </w:pPr>
      <w:r>
        <w:rPr>
          <w:rFonts w:cstheme="minorHAnsi"/>
          <w:noProof/>
          <w:sz w:val="24"/>
          <w:szCs w:val="24"/>
        </w:rPr>
        <w:drawing>
          <wp:inline distT="0" distB="0" distL="0" distR="0" wp14:anchorId="54259C92" wp14:editId="09C3056C">
            <wp:extent cx="6192520" cy="3177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 v2.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2520" cy="3177540"/>
                    </a:xfrm>
                    <a:prstGeom prst="rect">
                      <a:avLst/>
                    </a:prstGeom>
                  </pic:spPr>
                </pic:pic>
              </a:graphicData>
            </a:graphic>
          </wp:inline>
        </w:drawing>
      </w:r>
      <w:r w:rsidR="0081712A">
        <w:rPr>
          <w:rFonts w:cstheme="minorHAnsi"/>
          <w:sz w:val="24"/>
          <w:szCs w:val="24"/>
        </w:rPr>
        <w:br w:type="page"/>
      </w:r>
    </w:p>
    <w:p w14:paraId="727AEFF9" w14:textId="77777777" w:rsidR="0081712A" w:rsidRPr="0083145E" w:rsidRDefault="0081712A" w:rsidP="0081712A">
      <w:pPr>
        <w:pStyle w:val="Mynormal"/>
        <w:rPr>
          <w:i/>
        </w:rPr>
      </w:pPr>
      <w:r>
        <w:lastRenderedPageBreak/>
        <w:t>Figure 5</w:t>
      </w:r>
      <w:r w:rsidRPr="0083145E">
        <w:t>: Cluster analys</w:t>
      </w:r>
      <w:r>
        <w:t>e</w:t>
      </w:r>
      <w:r w:rsidRPr="0083145E">
        <w:t xml:space="preserve">s </w:t>
      </w:r>
      <w:r>
        <w:t xml:space="preserve">(left; a, c) and DCAs (right; b, d) </w:t>
      </w:r>
      <w:r w:rsidRPr="0083145E">
        <w:t xml:space="preserve">of plots by vegetation </w:t>
      </w:r>
      <w:r>
        <w:t>(top; a, b</w:t>
      </w:r>
      <w:r w:rsidRPr="0083145E">
        <w:t>)</w:t>
      </w:r>
      <w:r>
        <w:t xml:space="preserve"> and pollen (bottom; c, d) taxa found in ≥</w:t>
      </w:r>
      <w:r w:rsidRPr="0083145E">
        <w:t>2 plots</w:t>
      </w:r>
      <w:r>
        <w:t xml:space="preserve"> at ≥2% abundance.</w:t>
      </w:r>
      <w:r w:rsidRPr="0083145E">
        <w:t xml:space="preserve"> </w:t>
      </w:r>
      <w:r>
        <w:t>In the DCAs, c</w:t>
      </w:r>
      <w:r w:rsidRPr="0083145E">
        <w:t xml:space="preserve">onvex hulls are delimited for structural categories </w:t>
      </w:r>
      <w:r>
        <w:t xml:space="preserve">containing </w:t>
      </w:r>
      <w:r w:rsidRPr="0083145E">
        <w:t>three or more plots.</w:t>
      </w:r>
      <w:r>
        <w:t xml:space="preserve"> </w:t>
      </w:r>
      <w:r w:rsidRPr="0083145E">
        <w:t>Plot types are identified by colour and two-letter code</w:t>
      </w:r>
      <w:r>
        <w:t xml:space="preserve"> (op: open; cl: closed; ri: riverine; di: disturbed; ro: rock; sl: slope; </w:t>
      </w:r>
      <w:r w:rsidRPr="0083145E">
        <w:t xml:space="preserve">see </w:t>
      </w:r>
      <w:r>
        <w:t>Table 1).</w:t>
      </w:r>
    </w:p>
    <w:p w14:paraId="3B133946" w14:textId="5360B06A" w:rsidR="00F93524" w:rsidRDefault="00824F7B" w:rsidP="0006304A">
      <w:pPr>
        <w:widowControl w:val="0"/>
        <w:autoSpaceDE w:val="0"/>
        <w:autoSpaceDN w:val="0"/>
        <w:adjustRightInd w:val="0"/>
        <w:spacing w:line="480" w:lineRule="auto"/>
        <w:ind w:left="480" w:hanging="480"/>
        <w:rPr>
          <w:rFonts w:cstheme="minorHAnsi"/>
          <w:sz w:val="24"/>
          <w:szCs w:val="24"/>
        </w:rPr>
      </w:pPr>
      <w:r>
        <w:rPr>
          <w:rFonts w:cstheme="minorHAnsi"/>
          <w:noProof/>
          <w:sz w:val="24"/>
          <w:szCs w:val="24"/>
        </w:rPr>
        <w:drawing>
          <wp:inline distT="0" distB="0" distL="0" distR="0" wp14:anchorId="0A4D2B73" wp14:editId="68D90647">
            <wp:extent cx="6724650" cy="61454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 v2.emf"/>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737620" cy="6157267"/>
                    </a:xfrm>
                    <a:prstGeom prst="rect">
                      <a:avLst/>
                    </a:prstGeom>
                  </pic:spPr>
                </pic:pic>
              </a:graphicData>
            </a:graphic>
          </wp:inline>
        </w:drawing>
      </w:r>
    </w:p>
    <w:p w14:paraId="7238357F" w14:textId="77777777" w:rsidR="0075399C" w:rsidRPr="0083145E" w:rsidRDefault="0075399C" w:rsidP="0075399C">
      <w:pPr>
        <w:pStyle w:val="Mynormal"/>
      </w:pPr>
      <w:r>
        <w:lastRenderedPageBreak/>
        <w:t>Figure 6:</w:t>
      </w:r>
      <w:r w:rsidRPr="0083145E">
        <w:t xml:space="preserve"> p/v values of key genera of </w:t>
      </w:r>
      <w:r w:rsidRPr="00301AE1">
        <w:rPr>
          <w:i/>
        </w:rPr>
        <w:t>Araucaria</w:t>
      </w:r>
      <w:r w:rsidRPr="0083145E">
        <w:t xml:space="preserve"> forest in this study. </w:t>
      </w:r>
      <w:r w:rsidRPr="00301AE1">
        <w:rPr>
          <w:i/>
        </w:rPr>
        <w:t xml:space="preserve">Clethra </w:t>
      </w:r>
      <w:r>
        <w:t xml:space="preserve">has an infinitely high p/v value; faint sections in the bars of </w:t>
      </w:r>
      <w:r w:rsidRPr="00301AE1">
        <w:rPr>
          <w:i/>
        </w:rPr>
        <w:t xml:space="preserve">Lamanonia </w:t>
      </w:r>
      <w:r>
        <w:t xml:space="preserve">and </w:t>
      </w:r>
      <w:r w:rsidRPr="00301AE1">
        <w:rPr>
          <w:i/>
        </w:rPr>
        <w:t>Lithraea</w:t>
      </w:r>
      <w:r>
        <w:t xml:space="preserve"> reflect alternate calculations of their p/v values (see </w:t>
      </w:r>
      <w:r w:rsidRPr="001C1F44">
        <w:t>section 3.4</w:t>
      </w:r>
      <w:r>
        <w:t>).</w:t>
      </w:r>
      <w:r w:rsidRPr="0083145E" w:rsidDel="00A86576">
        <w:t xml:space="preserve"> </w:t>
      </w:r>
    </w:p>
    <w:p w14:paraId="676FAEFE" w14:textId="2909B8B1" w:rsidR="00C0064D" w:rsidRDefault="00CD32C0" w:rsidP="00257F24">
      <w:pPr>
        <w:widowControl w:val="0"/>
        <w:autoSpaceDE w:val="0"/>
        <w:autoSpaceDN w:val="0"/>
        <w:adjustRightInd w:val="0"/>
        <w:spacing w:line="480" w:lineRule="auto"/>
        <w:ind w:left="480" w:hanging="480"/>
        <w:rPr>
          <w:rFonts w:cstheme="minorHAnsi"/>
          <w:sz w:val="24"/>
          <w:szCs w:val="24"/>
        </w:rPr>
      </w:pPr>
      <w:r>
        <w:rPr>
          <w:rFonts w:cstheme="minorHAnsi"/>
          <w:noProof/>
          <w:sz w:val="24"/>
          <w:szCs w:val="24"/>
        </w:rPr>
        <w:drawing>
          <wp:inline distT="0" distB="0" distL="0" distR="0" wp14:anchorId="3619E81B" wp14:editId="21808223">
            <wp:extent cx="5257800" cy="525780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257800" cy="5257800"/>
                    </a:xfrm>
                    <a:prstGeom prst="rect">
                      <a:avLst/>
                    </a:prstGeom>
                  </pic:spPr>
                </pic:pic>
              </a:graphicData>
            </a:graphic>
          </wp:inline>
        </w:drawing>
      </w:r>
      <w:r w:rsidR="00C0064D">
        <w:rPr>
          <w:rFonts w:cstheme="minorHAnsi"/>
          <w:sz w:val="24"/>
          <w:szCs w:val="24"/>
        </w:rPr>
        <w:br w:type="page"/>
      </w:r>
    </w:p>
    <w:p w14:paraId="3DBB79C6" w14:textId="77777777" w:rsidR="00C0064D" w:rsidRPr="0083145E" w:rsidRDefault="00C0064D" w:rsidP="00C0064D">
      <w:pPr>
        <w:pStyle w:val="Mynormal"/>
      </w:pPr>
      <w:r>
        <w:lastRenderedPageBreak/>
        <w:t>Figure 7</w:t>
      </w:r>
      <w:r w:rsidRPr="0083145E">
        <w:t xml:space="preserve">: Pollen-vegetation abundance differentials (square-root transformed) for selected genera. </w:t>
      </w:r>
      <w:r>
        <w:t xml:space="preserve">Positive values denote plots where a taxon’s pollen was more abundant than its vegetation; negative values reflect vegetation being more abundant than pollen. </w:t>
      </w:r>
      <w:r w:rsidRPr="0083145E">
        <w:t>Blank cells denote plots where a taxon was absent from both pollen and vegetation data.</w:t>
      </w:r>
    </w:p>
    <w:p w14:paraId="3650D49F" w14:textId="0509DB2A" w:rsidR="00C0064D" w:rsidRPr="001C1F44" w:rsidRDefault="004333D3" w:rsidP="00C0064D">
      <w:pPr>
        <w:widowControl w:val="0"/>
        <w:autoSpaceDE w:val="0"/>
        <w:autoSpaceDN w:val="0"/>
        <w:adjustRightInd w:val="0"/>
        <w:spacing w:line="480" w:lineRule="auto"/>
        <w:ind w:left="480" w:hanging="480"/>
        <w:rPr>
          <w:rFonts w:cstheme="minorHAnsi"/>
          <w:sz w:val="24"/>
          <w:szCs w:val="24"/>
        </w:rPr>
      </w:pPr>
      <w:r>
        <w:rPr>
          <w:rFonts w:cstheme="minorHAnsi"/>
          <w:noProof/>
          <w:sz w:val="24"/>
          <w:szCs w:val="24"/>
        </w:rPr>
        <w:drawing>
          <wp:inline distT="0" distB="0" distL="0" distR="0" wp14:anchorId="66299CF1" wp14:editId="0B2F7970">
            <wp:extent cx="6192520" cy="6192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7.png"/>
                    <pic:cNvPicPr/>
                  </pic:nvPicPr>
                  <pic:blipFill>
                    <a:blip r:embed="rId16">
                      <a:extLst>
                        <a:ext uri="{28A0092B-C50C-407E-A947-70E740481C1C}">
                          <a14:useLocalDpi xmlns:a14="http://schemas.microsoft.com/office/drawing/2010/main" val="0"/>
                        </a:ext>
                      </a:extLst>
                    </a:blip>
                    <a:stretch>
                      <a:fillRect/>
                    </a:stretch>
                  </pic:blipFill>
                  <pic:spPr>
                    <a:xfrm>
                      <a:off x="0" y="0"/>
                      <a:ext cx="6192520" cy="6192520"/>
                    </a:xfrm>
                    <a:prstGeom prst="rect">
                      <a:avLst/>
                    </a:prstGeom>
                  </pic:spPr>
                </pic:pic>
              </a:graphicData>
            </a:graphic>
          </wp:inline>
        </w:drawing>
      </w:r>
    </w:p>
    <w:sectPr w:rsidR="00C0064D" w:rsidRPr="001C1F44" w:rsidSect="00135B68">
      <w:pgSz w:w="11906" w:h="16838"/>
      <w:pgMar w:top="1440" w:right="1077" w:bottom="1440" w:left="1077"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83493"/>
    <w:multiLevelType w:val="hybridMultilevel"/>
    <w:tmpl w:val="5AC8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B22CD"/>
    <w:multiLevelType w:val="hybridMultilevel"/>
    <w:tmpl w:val="7B60A9D8"/>
    <w:lvl w:ilvl="0" w:tplc="58E6CFDA">
      <w:start w:val="1"/>
      <w:numFmt w:val="bullet"/>
      <w:lvlText w:val=""/>
      <w:lvlJc w:val="left"/>
      <w:pPr>
        <w:ind w:left="720" w:hanging="360"/>
      </w:pPr>
      <w:rPr>
        <w:rFonts w:ascii="Symbol" w:hAnsi="Symbol" w:hint="default"/>
      </w:rPr>
    </w:lvl>
    <w:lvl w:ilvl="1" w:tplc="531CB3A4">
      <w:start w:val="1"/>
      <w:numFmt w:val="bullet"/>
      <w:lvlText w:val="o"/>
      <w:lvlJc w:val="left"/>
      <w:pPr>
        <w:ind w:left="1440" w:hanging="360"/>
      </w:pPr>
      <w:rPr>
        <w:rFonts w:ascii="Courier New" w:hAnsi="Courier New" w:hint="default"/>
      </w:rPr>
    </w:lvl>
    <w:lvl w:ilvl="2" w:tplc="33D2820E">
      <w:start w:val="1"/>
      <w:numFmt w:val="bullet"/>
      <w:lvlText w:val=""/>
      <w:lvlJc w:val="left"/>
      <w:pPr>
        <w:ind w:left="2160" w:hanging="360"/>
      </w:pPr>
      <w:rPr>
        <w:rFonts w:ascii="Wingdings" w:hAnsi="Wingdings" w:hint="default"/>
      </w:rPr>
    </w:lvl>
    <w:lvl w:ilvl="3" w:tplc="E9AAAB32">
      <w:start w:val="1"/>
      <w:numFmt w:val="bullet"/>
      <w:lvlText w:val=""/>
      <w:lvlJc w:val="left"/>
      <w:pPr>
        <w:ind w:left="2880" w:hanging="360"/>
      </w:pPr>
      <w:rPr>
        <w:rFonts w:ascii="Symbol" w:hAnsi="Symbol" w:hint="default"/>
      </w:rPr>
    </w:lvl>
    <w:lvl w:ilvl="4" w:tplc="3B2C842E">
      <w:start w:val="1"/>
      <w:numFmt w:val="bullet"/>
      <w:lvlText w:val="o"/>
      <w:lvlJc w:val="left"/>
      <w:pPr>
        <w:ind w:left="3600" w:hanging="360"/>
      </w:pPr>
      <w:rPr>
        <w:rFonts w:ascii="Courier New" w:hAnsi="Courier New" w:hint="default"/>
      </w:rPr>
    </w:lvl>
    <w:lvl w:ilvl="5" w:tplc="4A54EF2C">
      <w:start w:val="1"/>
      <w:numFmt w:val="bullet"/>
      <w:lvlText w:val=""/>
      <w:lvlJc w:val="left"/>
      <w:pPr>
        <w:ind w:left="4320" w:hanging="360"/>
      </w:pPr>
      <w:rPr>
        <w:rFonts w:ascii="Wingdings" w:hAnsi="Wingdings" w:hint="default"/>
      </w:rPr>
    </w:lvl>
    <w:lvl w:ilvl="6" w:tplc="2982BE30">
      <w:start w:val="1"/>
      <w:numFmt w:val="bullet"/>
      <w:lvlText w:val=""/>
      <w:lvlJc w:val="left"/>
      <w:pPr>
        <w:ind w:left="5040" w:hanging="360"/>
      </w:pPr>
      <w:rPr>
        <w:rFonts w:ascii="Symbol" w:hAnsi="Symbol" w:hint="default"/>
      </w:rPr>
    </w:lvl>
    <w:lvl w:ilvl="7" w:tplc="D7E06452">
      <w:start w:val="1"/>
      <w:numFmt w:val="bullet"/>
      <w:lvlText w:val="o"/>
      <w:lvlJc w:val="left"/>
      <w:pPr>
        <w:ind w:left="5760" w:hanging="360"/>
      </w:pPr>
      <w:rPr>
        <w:rFonts w:ascii="Courier New" w:hAnsi="Courier New" w:hint="default"/>
      </w:rPr>
    </w:lvl>
    <w:lvl w:ilvl="8" w:tplc="373675BA">
      <w:start w:val="1"/>
      <w:numFmt w:val="bullet"/>
      <w:lvlText w:val=""/>
      <w:lvlJc w:val="left"/>
      <w:pPr>
        <w:ind w:left="6480" w:hanging="360"/>
      </w:pPr>
      <w:rPr>
        <w:rFonts w:ascii="Wingdings" w:hAnsi="Wingdings" w:hint="default"/>
      </w:rPr>
    </w:lvl>
  </w:abstractNum>
  <w:abstractNum w:abstractNumId="2" w15:restartNumberingAfterBreak="0">
    <w:nsid w:val="077E168F"/>
    <w:multiLevelType w:val="hybridMultilevel"/>
    <w:tmpl w:val="2FD8B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60BAA"/>
    <w:multiLevelType w:val="hybridMultilevel"/>
    <w:tmpl w:val="5F2C9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7F20D4"/>
    <w:multiLevelType w:val="hybridMultilevel"/>
    <w:tmpl w:val="34EC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E78BB"/>
    <w:multiLevelType w:val="hybridMultilevel"/>
    <w:tmpl w:val="FB881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C000A9"/>
    <w:multiLevelType w:val="hybridMultilevel"/>
    <w:tmpl w:val="449683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D74B33"/>
    <w:multiLevelType w:val="hybridMultilevel"/>
    <w:tmpl w:val="57269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D611C"/>
    <w:multiLevelType w:val="hybridMultilevel"/>
    <w:tmpl w:val="3B3240FE"/>
    <w:lvl w:ilvl="0" w:tplc="B2223FA6">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0F3618"/>
    <w:multiLevelType w:val="hybridMultilevel"/>
    <w:tmpl w:val="07300DD4"/>
    <w:lvl w:ilvl="0" w:tplc="C1D22D6C">
      <w:start w:val="1"/>
      <w:numFmt w:val="bullet"/>
      <w:lvlText w:val=""/>
      <w:lvlJc w:val="left"/>
      <w:pPr>
        <w:ind w:left="720" w:hanging="360"/>
      </w:pPr>
      <w:rPr>
        <w:rFonts w:ascii="Symbol" w:hAnsi="Symbol" w:hint="default"/>
      </w:rPr>
    </w:lvl>
    <w:lvl w:ilvl="1" w:tplc="0BF4FBA2">
      <w:start w:val="1"/>
      <w:numFmt w:val="bullet"/>
      <w:lvlText w:val="o"/>
      <w:lvlJc w:val="left"/>
      <w:pPr>
        <w:ind w:left="1440" w:hanging="360"/>
      </w:pPr>
      <w:rPr>
        <w:rFonts w:ascii="Courier New" w:hAnsi="Courier New" w:hint="default"/>
      </w:rPr>
    </w:lvl>
    <w:lvl w:ilvl="2" w:tplc="165C3192">
      <w:start w:val="1"/>
      <w:numFmt w:val="bullet"/>
      <w:lvlText w:val=""/>
      <w:lvlJc w:val="left"/>
      <w:pPr>
        <w:ind w:left="2160" w:hanging="360"/>
      </w:pPr>
      <w:rPr>
        <w:rFonts w:ascii="Wingdings" w:hAnsi="Wingdings" w:hint="default"/>
      </w:rPr>
    </w:lvl>
    <w:lvl w:ilvl="3" w:tplc="281E6394">
      <w:start w:val="1"/>
      <w:numFmt w:val="bullet"/>
      <w:lvlText w:val=""/>
      <w:lvlJc w:val="left"/>
      <w:pPr>
        <w:ind w:left="2880" w:hanging="360"/>
      </w:pPr>
      <w:rPr>
        <w:rFonts w:ascii="Symbol" w:hAnsi="Symbol" w:hint="default"/>
      </w:rPr>
    </w:lvl>
    <w:lvl w:ilvl="4" w:tplc="800EFA40">
      <w:start w:val="1"/>
      <w:numFmt w:val="bullet"/>
      <w:lvlText w:val="o"/>
      <w:lvlJc w:val="left"/>
      <w:pPr>
        <w:ind w:left="3600" w:hanging="360"/>
      </w:pPr>
      <w:rPr>
        <w:rFonts w:ascii="Courier New" w:hAnsi="Courier New" w:hint="default"/>
      </w:rPr>
    </w:lvl>
    <w:lvl w:ilvl="5" w:tplc="01A8D0A4">
      <w:start w:val="1"/>
      <w:numFmt w:val="bullet"/>
      <w:lvlText w:val=""/>
      <w:lvlJc w:val="left"/>
      <w:pPr>
        <w:ind w:left="4320" w:hanging="360"/>
      </w:pPr>
      <w:rPr>
        <w:rFonts w:ascii="Wingdings" w:hAnsi="Wingdings" w:hint="default"/>
      </w:rPr>
    </w:lvl>
    <w:lvl w:ilvl="6" w:tplc="B34632EA">
      <w:start w:val="1"/>
      <w:numFmt w:val="bullet"/>
      <w:lvlText w:val=""/>
      <w:lvlJc w:val="left"/>
      <w:pPr>
        <w:ind w:left="5040" w:hanging="360"/>
      </w:pPr>
      <w:rPr>
        <w:rFonts w:ascii="Symbol" w:hAnsi="Symbol" w:hint="default"/>
      </w:rPr>
    </w:lvl>
    <w:lvl w:ilvl="7" w:tplc="B31A66EE">
      <w:start w:val="1"/>
      <w:numFmt w:val="bullet"/>
      <w:lvlText w:val="o"/>
      <w:lvlJc w:val="left"/>
      <w:pPr>
        <w:ind w:left="5760" w:hanging="360"/>
      </w:pPr>
      <w:rPr>
        <w:rFonts w:ascii="Courier New" w:hAnsi="Courier New" w:hint="default"/>
      </w:rPr>
    </w:lvl>
    <w:lvl w:ilvl="8" w:tplc="55842E70">
      <w:start w:val="1"/>
      <w:numFmt w:val="bullet"/>
      <w:lvlText w:val=""/>
      <w:lvlJc w:val="left"/>
      <w:pPr>
        <w:ind w:left="6480" w:hanging="360"/>
      </w:pPr>
      <w:rPr>
        <w:rFonts w:ascii="Wingdings" w:hAnsi="Wingdings" w:hint="default"/>
      </w:rPr>
    </w:lvl>
  </w:abstractNum>
  <w:abstractNum w:abstractNumId="10" w15:restartNumberingAfterBreak="0">
    <w:nsid w:val="68F12E82"/>
    <w:multiLevelType w:val="hybridMultilevel"/>
    <w:tmpl w:val="D0783B22"/>
    <w:lvl w:ilvl="0" w:tplc="182CB242">
      <w:start w:val="1"/>
      <w:numFmt w:val="bullet"/>
      <w:lvlText w:val=""/>
      <w:lvlJc w:val="left"/>
      <w:pPr>
        <w:ind w:left="720" w:hanging="360"/>
      </w:pPr>
      <w:rPr>
        <w:rFonts w:ascii="Symbol" w:hAnsi="Symbol" w:hint="default"/>
      </w:rPr>
    </w:lvl>
    <w:lvl w:ilvl="1" w:tplc="2C869BFE">
      <w:start w:val="1"/>
      <w:numFmt w:val="bullet"/>
      <w:lvlText w:val="o"/>
      <w:lvlJc w:val="left"/>
      <w:pPr>
        <w:ind w:left="1440" w:hanging="360"/>
      </w:pPr>
      <w:rPr>
        <w:rFonts w:ascii="Courier New" w:hAnsi="Courier New" w:hint="default"/>
      </w:rPr>
    </w:lvl>
    <w:lvl w:ilvl="2" w:tplc="C484A4DA">
      <w:start w:val="1"/>
      <w:numFmt w:val="bullet"/>
      <w:lvlText w:val=""/>
      <w:lvlJc w:val="left"/>
      <w:pPr>
        <w:ind w:left="2160" w:hanging="360"/>
      </w:pPr>
      <w:rPr>
        <w:rFonts w:ascii="Wingdings" w:hAnsi="Wingdings" w:hint="default"/>
      </w:rPr>
    </w:lvl>
    <w:lvl w:ilvl="3" w:tplc="B86479EC">
      <w:start w:val="1"/>
      <w:numFmt w:val="bullet"/>
      <w:lvlText w:val=""/>
      <w:lvlJc w:val="left"/>
      <w:pPr>
        <w:ind w:left="2880" w:hanging="360"/>
      </w:pPr>
      <w:rPr>
        <w:rFonts w:ascii="Symbol" w:hAnsi="Symbol" w:hint="default"/>
      </w:rPr>
    </w:lvl>
    <w:lvl w:ilvl="4" w:tplc="AFBAF04E">
      <w:start w:val="1"/>
      <w:numFmt w:val="bullet"/>
      <w:lvlText w:val="o"/>
      <w:lvlJc w:val="left"/>
      <w:pPr>
        <w:ind w:left="3600" w:hanging="360"/>
      </w:pPr>
      <w:rPr>
        <w:rFonts w:ascii="Courier New" w:hAnsi="Courier New" w:hint="default"/>
      </w:rPr>
    </w:lvl>
    <w:lvl w:ilvl="5" w:tplc="62E68A26">
      <w:start w:val="1"/>
      <w:numFmt w:val="bullet"/>
      <w:lvlText w:val=""/>
      <w:lvlJc w:val="left"/>
      <w:pPr>
        <w:ind w:left="4320" w:hanging="360"/>
      </w:pPr>
      <w:rPr>
        <w:rFonts w:ascii="Wingdings" w:hAnsi="Wingdings" w:hint="default"/>
      </w:rPr>
    </w:lvl>
    <w:lvl w:ilvl="6" w:tplc="3430959C">
      <w:start w:val="1"/>
      <w:numFmt w:val="bullet"/>
      <w:lvlText w:val=""/>
      <w:lvlJc w:val="left"/>
      <w:pPr>
        <w:ind w:left="5040" w:hanging="360"/>
      </w:pPr>
      <w:rPr>
        <w:rFonts w:ascii="Symbol" w:hAnsi="Symbol" w:hint="default"/>
      </w:rPr>
    </w:lvl>
    <w:lvl w:ilvl="7" w:tplc="F02672A8">
      <w:start w:val="1"/>
      <w:numFmt w:val="bullet"/>
      <w:lvlText w:val="o"/>
      <w:lvlJc w:val="left"/>
      <w:pPr>
        <w:ind w:left="5760" w:hanging="360"/>
      </w:pPr>
      <w:rPr>
        <w:rFonts w:ascii="Courier New" w:hAnsi="Courier New" w:hint="default"/>
      </w:rPr>
    </w:lvl>
    <w:lvl w:ilvl="8" w:tplc="399ED2E2">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0"/>
  </w:num>
  <w:num w:numId="4">
    <w:abstractNumId w:val="6"/>
  </w:num>
  <w:num w:numId="5">
    <w:abstractNumId w:val="0"/>
  </w:num>
  <w:num w:numId="6">
    <w:abstractNumId w:val="7"/>
  </w:num>
  <w:num w:numId="7">
    <w:abstractNumId w:val="8"/>
  </w:num>
  <w:num w:numId="8">
    <w:abstractNumId w:val="3"/>
  </w:num>
  <w:num w:numId="9">
    <w:abstractNumId w:val="4"/>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s-CL" w:vendorID="64" w:dllVersion="6" w:nlCheck="1" w:checkStyle="0"/>
  <w:activeWritingStyle w:appName="MSWord" w:lang="en-GB" w:vendorID="64" w:dllVersion="6" w:nlCheck="1" w:checkStyle="1"/>
  <w:activeWritingStyle w:appName="MSWord" w:lang="en-GB" w:vendorID="64" w:dllVersion="0" w:nlCheck="1" w:checkStyle="0"/>
  <w:activeWritingStyle w:appName="MSWord" w:lang="es-CL" w:vendorID="64" w:dllVersion="0" w:nlCheck="1" w:checkStyle="0"/>
  <w:activeWritingStyle w:appName="MSWord" w:lang="es-PY" w:vendorID="64" w:dllVersion="6" w:nlCheck="1" w:checkStyle="0"/>
  <w:activeWritingStyle w:appName="MSWord" w:lang="es-PY" w:vendorID="64" w:dllVersion="0" w:nlCheck="1" w:checkStyle="0"/>
  <w:activeWritingStyle w:appName="MSWord" w:lang="fr-FR" w:vendorID="64" w:dllVersion="6"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1NjQ1NDMzNzM1tDBR0lEKTi0uzszPAykwqgUAduFVOCwAAAA="/>
  </w:docVars>
  <w:rsids>
    <w:rsidRoot w:val="00DD170F"/>
    <w:rsid w:val="00000B6A"/>
    <w:rsid w:val="000028FC"/>
    <w:rsid w:val="00005772"/>
    <w:rsid w:val="00012E29"/>
    <w:rsid w:val="00014E8E"/>
    <w:rsid w:val="00015CA4"/>
    <w:rsid w:val="00016402"/>
    <w:rsid w:val="00016F21"/>
    <w:rsid w:val="00020F8D"/>
    <w:rsid w:val="00022911"/>
    <w:rsid w:val="0002396A"/>
    <w:rsid w:val="000248E6"/>
    <w:rsid w:val="00024B9C"/>
    <w:rsid w:val="000251EE"/>
    <w:rsid w:val="000327BB"/>
    <w:rsid w:val="00033053"/>
    <w:rsid w:val="000337A9"/>
    <w:rsid w:val="00035092"/>
    <w:rsid w:val="00035686"/>
    <w:rsid w:val="00036BA9"/>
    <w:rsid w:val="000370F3"/>
    <w:rsid w:val="00040BB0"/>
    <w:rsid w:val="00041061"/>
    <w:rsid w:val="000427AD"/>
    <w:rsid w:val="00043CA0"/>
    <w:rsid w:val="00050679"/>
    <w:rsid w:val="00055EAA"/>
    <w:rsid w:val="0006304A"/>
    <w:rsid w:val="000634F3"/>
    <w:rsid w:val="00065DF0"/>
    <w:rsid w:val="0006782C"/>
    <w:rsid w:val="00067B89"/>
    <w:rsid w:val="0007382C"/>
    <w:rsid w:val="000750AF"/>
    <w:rsid w:val="000754C8"/>
    <w:rsid w:val="00075822"/>
    <w:rsid w:val="00075E63"/>
    <w:rsid w:val="00075F48"/>
    <w:rsid w:val="00077E94"/>
    <w:rsid w:val="00080F28"/>
    <w:rsid w:val="00082F0E"/>
    <w:rsid w:val="00083AEA"/>
    <w:rsid w:val="00084E08"/>
    <w:rsid w:val="00087053"/>
    <w:rsid w:val="000878D5"/>
    <w:rsid w:val="000919D1"/>
    <w:rsid w:val="00091F30"/>
    <w:rsid w:val="00095A97"/>
    <w:rsid w:val="00095EDC"/>
    <w:rsid w:val="000A0BF6"/>
    <w:rsid w:val="000A1308"/>
    <w:rsid w:val="000A6121"/>
    <w:rsid w:val="000B1753"/>
    <w:rsid w:val="000B29C4"/>
    <w:rsid w:val="000B2A6B"/>
    <w:rsid w:val="000B2F6A"/>
    <w:rsid w:val="000B372E"/>
    <w:rsid w:val="000B4FDE"/>
    <w:rsid w:val="000B744F"/>
    <w:rsid w:val="000C142D"/>
    <w:rsid w:val="000C2774"/>
    <w:rsid w:val="000C5533"/>
    <w:rsid w:val="000C56B4"/>
    <w:rsid w:val="000D29AB"/>
    <w:rsid w:val="000D39C7"/>
    <w:rsid w:val="000D3D87"/>
    <w:rsid w:val="000D4D43"/>
    <w:rsid w:val="000D4D59"/>
    <w:rsid w:val="000D4DFD"/>
    <w:rsid w:val="000D527E"/>
    <w:rsid w:val="000D5B49"/>
    <w:rsid w:val="000E259B"/>
    <w:rsid w:val="000E616C"/>
    <w:rsid w:val="000E6AA9"/>
    <w:rsid w:val="000F050F"/>
    <w:rsid w:val="000F2CE1"/>
    <w:rsid w:val="000F3866"/>
    <w:rsid w:val="000F3C17"/>
    <w:rsid w:val="000F4649"/>
    <w:rsid w:val="000F5D94"/>
    <w:rsid w:val="000F5E6F"/>
    <w:rsid w:val="000F7BFF"/>
    <w:rsid w:val="001008FD"/>
    <w:rsid w:val="001016E9"/>
    <w:rsid w:val="001018B2"/>
    <w:rsid w:val="001018C2"/>
    <w:rsid w:val="00103892"/>
    <w:rsid w:val="001039A6"/>
    <w:rsid w:val="00107487"/>
    <w:rsid w:val="00107604"/>
    <w:rsid w:val="001076BC"/>
    <w:rsid w:val="00110EDB"/>
    <w:rsid w:val="001212CC"/>
    <w:rsid w:val="001225B9"/>
    <w:rsid w:val="001233A0"/>
    <w:rsid w:val="001248C3"/>
    <w:rsid w:val="00124CE7"/>
    <w:rsid w:val="001250E6"/>
    <w:rsid w:val="00126556"/>
    <w:rsid w:val="00130173"/>
    <w:rsid w:val="001304C7"/>
    <w:rsid w:val="00131FBA"/>
    <w:rsid w:val="001349A7"/>
    <w:rsid w:val="00135801"/>
    <w:rsid w:val="00135B68"/>
    <w:rsid w:val="00136B8E"/>
    <w:rsid w:val="00140621"/>
    <w:rsid w:val="00142497"/>
    <w:rsid w:val="00147816"/>
    <w:rsid w:val="001509CD"/>
    <w:rsid w:val="00152B1E"/>
    <w:rsid w:val="0015407B"/>
    <w:rsid w:val="001541A6"/>
    <w:rsid w:val="001545D2"/>
    <w:rsid w:val="00155786"/>
    <w:rsid w:val="001605E9"/>
    <w:rsid w:val="001607CF"/>
    <w:rsid w:val="00163134"/>
    <w:rsid w:val="00164707"/>
    <w:rsid w:val="001649A3"/>
    <w:rsid w:val="0016633E"/>
    <w:rsid w:val="00166ECD"/>
    <w:rsid w:val="001709D0"/>
    <w:rsid w:val="001715EB"/>
    <w:rsid w:val="001716B8"/>
    <w:rsid w:val="00175DDE"/>
    <w:rsid w:val="00176627"/>
    <w:rsid w:val="001770D6"/>
    <w:rsid w:val="0017712A"/>
    <w:rsid w:val="0017760F"/>
    <w:rsid w:val="00184CCF"/>
    <w:rsid w:val="0018586B"/>
    <w:rsid w:val="00185F78"/>
    <w:rsid w:val="00190D3B"/>
    <w:rsid w:val="001927E1"/>
    <w:rsid w:val="001A1184"/>
    <w:rsid w:val="001A1786"/>
    <w:rsid w:val="001A3695"/>
    <w:rsid w:val="001A3B49"/>
    <w:rsid w:val="001A422C"/>
    <w:rsid w:val="001A4F93"/>
    <w:rsid w:val="001A59AF"/>
    <w:rsid w:val="001A6ABC"/>
    <w:rsid w:val="001A7355"/>
    <w:rsid w:val="001A7AFA"/>
    <w:rsid w:val="001B021B"/>
    <w:rsid w:val="001B05BB"/>
    <w:rsid w:val="001B3194"/>
    <w:rsid w:val="001B4A15"/>
    <w:rsid w:val="001B582E"/>
    <w:rsid w:val="001B6D73"/>
    <w:rsid w:val="001B7F34"/>
    <w:rsid w:val="001C0142"/>
    <w:rsid w:val="001C1196"/>
    <w:rsid w:val="001C1F44"/>
    <w:rsid w:val="001C302E"/>
    <w:rsid w:val="001C35B3"/>
    <w:rsid w:val="001C36D0"/>
    <w:rsid w:val="001C3CC2"/>
    <w:rsid w:val="001C6F8D"/>
    <w:rsid w:val="001D035E"/>
    <w:rsid w:val="001D072D"/>
    <w:rsid w:val="001D0DAD"/>
    <w:rsid w:val="001D2563"/>
    <w:rsid w:val="001D294F"/>
    <w:rsid w:val="001D2A33"/>
    <w:rsid w:val="001D331E"/>
    <w:rsid w:val="001D3CF0"/>
    <w:rsid w:val="001D649B"/>
    <w:rsid w:val="001D64AF"/>
    <w:rsid w:val="001E17D6"/>
    <w:rsid w:val="001E5F14"/>
    <w:rsid w:val="001F07F1"/>
    <w:rsid w:val="001F265D"/>
    <w:rsid w:val="001F64AA"/>
    <w:rsid w:val="001F665B"/>
    <w:rsid w:val="0020063B"/>
    <w:rsid w:val="00200F37"/>
    <w:rsid w:val="002046DA"/>
    <w:rsid w:val="00206E81"/>
    <w:rsid w:val="00207E61"/>
    <w:rsid w:val="00207E9D"/>
    <w:rsid w:val="00211EFF"/>
    <w:rsid w:val="00212D62"/>
    <w:rsid w:val="002145E6"/>
    <w:rsid w:val="00214E64"/>
    <w:rsid w:val="00215F49"/>
    <w:rsid w:val="00222F79"/>
    <w:rsid w:val="00223D02"/>
    <w:rsid w:val="00225F5A"/>
    <w:rsid w:val="0022780D"/>
    <w:rsid w:val="00232521"/>
    <w:rsid w:val="0023389F"/>
    <w:rsid w:val="00234213"/>
    <w:rsid w:val="0023456F"/>
    <w:rsid w:val="00235AD6"/>
    <w:rsid w:val="00235E4B"/>
    <w:rsid w:val="002361A1"/>
    <w:rsid w:val="00240FBB"/>
    <w:rsid w:val="00242DF5"/>
    <w:rsid w:val="00244348"/>
    <w:rsid w:val="002446C2"/>
    <w:rsid w:val="002449E0"/>
    <w:rsid w:val="00245FC9"/>
    <w:rsid w:val="0024739F"/>
    <w:rsid w:val="00250AD4"/>
    <w:rsid w:val="0025139D"/>
    <w:rsid w:val="002514A3"/>
    <w:rsid w:val="002531AA"/>
    <w:rsid w:val="00255D89"/>
    <w:rsid w:val="00256A05"/>
    <w:rsid w:val="002570E5"/>
    <w:rsid w:val="00257F24"/>
    <w:rsid w:val="002613B7"/>
    <w:rsid w:val="00262A96"/>
    <w:rsid w:val="002651FF"/>
    <w:rsid w:val="002674C3"/>
    <w:rsid w:val="0027144E"/>
    <w:rsid w:val="00273C7D"/>
    <w:rsid w:val="00275581"/>
    <w:rsid w:val="00277394"/>
    <w:rsid w:val="002805E6"/>
    <w:rsid w:val="00280C59"/>
    <w:rsid w:val="00281AAD"/>
    <w:rsid w:val="00282470"/>
    <w:rsid w:val="00282A0B"/>
    <w:rsid w:val="00282CB9"/>
    <w:rsid w:val="0028330F"/>
    <w:rsid w:val="00284F9C"/>
    <w:rsid w:val="00286A57"/>
    <w:rsid w:val="0028785A"/>
    <w:rsid w:val="00291999"/>
    <w:rsid w:val="0029235D"/>
    <w:rsid w:val="00295F89"/>
    <w:rsid w:val="002A32A4"/>
    <w:rsid w:val="002A40A7"/>
    <w:rsid w:val="002A6D83"/>
    <w:rsid w:val="002B36BB"/>
    <w:rsid w:val="002B370C"/>
    <w:rsid w:val="002B3E49"/>
    <w:rsid w:val="002B422A"/>
    <w:rsid w:val="002B5243"/>
    <w:rsid w:val="002B618A"/>
    <w:rsid w:val="002B676D"/>
    <w:rsid w:val="002B6A60"/>
    <w:rsid w:val="002C0C20"/>
    <w:rsid w:val="002C0D2B"/>
    <w:rsid w:val="002C4289"/>
    <w:rsid w:val="002C58CD"/>
    <w:rsid w:val="002C6F75"/>
    <w:rsid w:val="002C7877"/>
    <w:rsid w:val="002D42F6"/>
    <w:rsid w:val="002D4D97"/>
    <w:rsid w:val="002D69E8"/>
    <w:rsid w:val="002D7016"/>
    <w:rsid w:val="002D7515"/>
    <w:rsid w:val="002E0708"/>
    <w:rsid w:val="002E38E2"/>
    <w:rsid w:val="002E42FF"/>
    <w:rsid w:val="002E43D0"/>
    <w:rsid w:val="002E76E3"/>
    <w:rsid w:val="002F2F98"/>
    <w:rsid w:val="002F421B"/>
    <w:rsid w:val="002F43B5"/>
    <w:rsid w:val="003016E1"/>
    <w:rsid w:val="00301AD1"/>
    <w:rsid w:val="00301AE1"/>
    <w:rsid w:val="00302264"/>
    <w:rsid w:val="003049C6"/>
    <w:rsid w:val="00304BFF"/>
    <w:rsid w:val="0030777B"/>
    <w:rsid w:val="00310D6B"/>
    <w:rsid w:val="00313445"/>
    <w:rsid w:val="00313589"/>
    <w:rsid w:val="0031504D"/>
    <w:rsid w:val="00315D79"/>
    <w:rsid w:val="00316C3B"/>
    <w:rsid w:val="00320B00"/>
    <w:rsid w:val="00321725"/>
    <w:rsid w:val="00321A2F"/>
    <w:rsid w:val="003233BC"/>
    <w:rsid w:val="003235A1"/>
    <w:rsid w:val="003250DD"/>
    <w:rsid w:val="003261E3"/>
    <w:rsid w:val="00330773"/>
    <w:rsid w:val="003311DB"/>
    <w:rsid w:val="0033321A"/>
    <w:rsid w:val="003371DB"/>
    <w:rsid w:val="003420C5"/>
    <w:rsid w:val="003424DD"/>
    <w:rsid w:val="00344B7B"/>
    <w:rsid w:val="00345CED"/>
    <w:rsid w:val="00345E73"/>
    <w:rsid w:val="0034671C"/>
    <w:rsid w:val="00347ED3"/>
    <w:rsid w:val="00352B4A"/>
    <w:rsid w:val="00352E80"/>
    <w:rsid w:val="00352E97"/>
    <w:rsid w:val="00357696"/>
    <w:rsid w:val="00363EC7"/>
    <w:rsid w:val="00366F72"/>
    <w:rsid w:val="003671A2"/>
    <w:rsid w:val="0037055B"/>
    <w:rsid w:val="00371EC4"/>
    <w:rsid w:val="00372047"/>
    <w:rsid w:val="00372793"/>
    <w:rsid w:val="00372B33"/>
    <w:rsid w:val="003733C0"/>
    <w:rsid w:val="00373807"/>
    <w:rsid w:val="003740B1"/>
    <w:rsid w:val="0037580D"/>
    <w:rsid w:val="00375BAE"/>
    <w:rsid w:val="003765B8"/>
    <w:rsid w:val="00377FB5"/>
    <w:rsid w:val="003833AD"/>
    <w:rsid w:val="00384676"/>
    <w:rsid w:val="00384C5D"/>
    <w:rsid w:val="0038519C"/>
    <w:rsid w:val="00387FD7"/>
    <w:rsid w:val="003902E2"/>
    <w:rsid w:val="003906DC"/>
    <w:rsid w:val="0039182D"/>
    <w:rsid w:val="00392335"/>
    <w:rsid w:val="00393053"/>
    <w:rsid w:val="003938D2"/>
    <w:rsid w:val="003944C1"/>
    <w:rsid w:val="00394DC6"/>
    <w:rsid w:val="00396055"/>
    <w:rsid w:val="00396181"/>
    <w:rsid w:val="003A017B"/>
    <w:rsid w:val="003A0CD8"/>
    <w:rsid w:val="003A0E88"/>
    <w:rsid w:val="003A2592"/>
    <w:rsid w:val="003A2EEB"/>
    <w:rsid w:val="003A6D98"/>
    <w:rsid w:val="003B103A"/>
    <w:rsid w:val="003B1BB0"/>
    <w:rsid w:val="003B39BA"/>
    <w:rsid w:val="003C1A78"/>
    <w:rsid w:val="003C1A9D"/>
    <w:rsid w:val="003D52C1"/>
    <w:rsid w:val="003E0A46"/>
    <w:rsid w:val="003E0CA9"/>
    <w:rsid w:val="003E148A"/>
    <w:rsid w:val="003E2828"/>
    <w:rsid w:val="003E3AF5"/>
    <w:rsid w:val="003E3C03"/>
    <w:rsid w:val="003E7764"/>
    <w:rsid w:val="003F1EDE"/>
    <w:rsid w:val="003F2648"/>
    <w:rsid w:val="003F3B08"/>
    <w:rsid w:val="003F6671"/>
    <w:rsid w:val="003F66FF"/>
    <w:rsid w:val="003F68CF"/>
    <w:rsid w:val="00400CC4"/>
    <w:rsid w:val="004034F3"/>
    <w:rsid w:val="004036D2"/>
    <w:rsid w:val="004049D3"/>
    <w:rsid w:val="00404E32"/>
    <w:rsid w:val="004068CE"/>
    <w:rsid w:val="00412E77"/>
    <w:rsid w:val="00424220"/>
    <w:rsid w:val="00425258"/>
    <w:rsid w:val="00425619"/>
    <w:rsid w:val="00426C40"/>
    <w:rsid w:val="004333D3"/>
    <w:rsid w:val="0043393E"/>
    <w:rsid w:val="00433F02"/>
    <w:rsid w:val="00433F64"/>
    <w:rsid w:val="00434654"/>
    <w:rsid w:val="0043487F"/>
    <w:rsid w:val="0043616F"/>
    <w:rsid w:val="00437978"/>
    <w:rsid w:val="004407AB"/>
    <w:rsid w:val="0044414B"/>
    <w:rsid w:val="0044441E"/>
    <w:rsid w:val="00444473"/>
    <w:rsid w:val="0044602A"/>
    <w:rsid w:val="00446109"/>
    <w:rsid w:val="00446301"/>
    <w:rsid w:val="0045017E"/>
    <w:rsid w:val="00450D5D"/>
    <w:rsid w:val="0045261E"/>
    <w:rsid w:val="00452F9B"/>
    <w:rsid w:val="00453434"/>
    <w:rsid w:val="0045547D"/>
    <w:rsid w:val="0045629B"/>
    <w:rsid w:val="004577B4"/>
    <w:rsid w:val="00457DE0"/>
    <w:rsid w:val="0046041C"/>
    <w:rsid w:val="004613E1"/>
    <w:rsid w:val="00461771"/>
    <w:rsid w:val="00461B69"/>
    <w:rsid w:val="00466034"/>
    <w:rsid w:val="004664C8"/>
    <w:rsid w:val="004669D0"/>
    <w:rsid w:val="00470C6A"/>
    <w:rsid w:val="00470F53"/>
    <w:rsid w:val="004715E6"/>
    <w:rsid w:val="00472D7A"/>
    <w:rsid w:val="00472E4F"/>
    <w:rsid w:val="00472F65"/>
    <w:rsid w:val="004741BC"/>
    <w:rsid w:val="004754AE"/>
    <w:rsid w:val="0047708A"/>
    <w:rsid w:val="00482887"/>
    <w:rsid w:val="00484171"/>
    <w:rsid w:val="00490512"/>
    <w:rsid w:val="0049342C"/>
    <w:rsid w:val="00495EC7"/>
    <w:rsid w:val="0049683D"/>
    <w:rsid w:val="00496B7E"/>
    <w:rsid w:val="004A1CDD"/>
    <w:rsid w:val="004A7A0D"/>
    <w:rsid w:val="004B1803"/>
    <w:rsid w:val="004B2018"/>
    <w:rsid w:val="004B3114"/>
    <w:rsid w:val="004B34C7"/>
    <w:rsid w:val="004B45F0"/>
    <w:rsid w:val="004B6500"/>
    <w:rsid w:val="004B6541"/>
    <w:rsid w:val="004B780A"/>
    <w:rsid w:val="004C17AB"/>
    <w:rsid w:val="004C3F89"/>
    <w:rsid w:val="004C4948"/>
    <w:rsid w:val="004C4DEA"/>
    <w:rsid w:val="004C62F0"/>
    <w:rsid w:val="004C73D3"/>
    <w:rsid w:val="004C7D70"/>
    <w:rsid w:val="004D2DB9"/>
    <w:rsid w:val="004D2E19"/>
    <w:rsid w:val="004D4153"/>
    <w:rsid w:val="004D4A20"/>
    <w:rsid w:val="004D4F7C"/>
    <w:rsid w:val="004D7041"/>
    <w:rsid w:val="004D7346"/>
    <w:rsid w:val="004E12FB"/>
    <w:rsid w:val="004E1832"/>
    <w:rsid w:val="004E57EA"/>
    <w:rsid w:val="004E6BB4"/>
    <w:rsid w:val="004E7BE3"/>
    <w:rsid w:val="004F09F2"/>
    <w:rsid w:val="004F16B3"/>
    <w:rsid w:val="004F189B"/>
    <w:rsid w:val="004F31DC"/>
    <w:rsid w:val="004F4229"/>
    <w:rsid w:val="004F6178"/>
    <w:rsid w:val="004F671A"/>
    <w:rsid w:val="004F7971"/>
    <w:rsid w:val="005008A8"/>
    <w:rsid w:val="00503A00"/>
    <w:rsid w:val="00504BE0"/>
    <w:rsid w:val="00504E0B"/>
    <w:rsid w:val="005062FA"/>
    <w:rsid w:val="005066C5"/>
    <w:rsid w:val="00507001"/>
    <w:rsid w:val="00507DD0"/>
    <w:rsid w:val="00510309"/>
    <w:rsid w:val="00510541"/>
    <w:rsid w:val="005122C3"/>
    <w:rsid w:val="00512BE2"/>
    <w:rsid w:val="00513330"/>
    <w:rsid w:val="0051428E"/>
    <w:rsid w:val="00515979"/>
    <w:rsid w:val="005159CE"/>
    <w:rsid w:val="0051728F"/>
    <w:rsid w:val="00517E01"/>
    <w:rsid w:val="00517EAA"/>
    <w:rsid w:val="0052059A"/>
    <w:rsid w:val="005216C9"/>
    <w:rsid w:val="00523100"/>
    <w:rsid w:val="0052526A"/>
    <w:rsid w:val="00527FD5"/>
    <w:rsid w:val="00530708"/>
    <w:rsid w:val="00531E41"/>
    <w:rsid w:val="00536443"/>
    <w:rsid w:val="00536A9C"/>
    <w:rsid w:val="0053755C"/>
    <w:rsid w:val="00540BDB"/>
    <w:rsid w:val="00544FDD"/>
    <w:rsid w:val="0054552C"/>
    <w:rsid w:val="00546B69"/>
    <w:rsid w:val="00547B38"/>
    <w:rsid w:val="00550C4C"/>
    <w:rsid w:val="005538E8"/>
    <w:rsid w:val="005549A2"/>
    <w:rsid w:val="00554D9F"/>
    <w:rsid w:val="00557C22"/>
    <w:rsid w:val="00561165"/>
    <w:rsid w:val="00562527"/>
    <w:rsid w:val="00566798"/>
    <w:rsid w:val="005703E1"/>
    <w:rsid w:val="00571264"/>
    <w:rsid w:val="00571565"/>
    <w:rsid w:val="00571915"/>
    <w:rsid w:val="00571B4A"/>
    <w:rsid w:val="00571C18"/>
    <w:rsid w:val="005740DD"/>
    <w:rsid w:val="0057411F"/>
    <w:rsid w:val="00574CE3"/>
    <w:rsid w:val="00577B51"/>
    <w:rsid w:val="00577BE8"/>
    <w:rsid w:val="00580164"/>
    <w:rsid w:val="00581017"/>
    <w:rsid w:val="005816C5"/>
    <w:rsid w:val="00583CAB"/>
    <w:rsid w:val="00584244"/>
    <w:rsid w:val="005842EF"/>
    <w:rsid w:val="00591F8F"/>
    <w:rsid w:val="00592389"/>
    <w:rsid w:val="005928F2"/>
    <w:rsid w:val="00593959"/>
    <w:rsid w:val="005943B7"/>
    <w:rsid w:val="00596AB4"/>
    <w:rsid w:val="005A09B7"/>
    <w:rsid w:val="005A3217"/>
    <w:rsid w:val="005A4773"/>
    <w:rsid w:val="005A5544"/>
    <w:rsid w:val="005A6245"/>
    <w:rsid w:val="005A6BB3"/>
    <w:rsid w:val="005A7160"/>
    <w:rsid w:val="005A7989"/>
    <w:rsid w:val="005B0578"/>
    <w:rsid w:val="005B1E18"/>
    <w:rsid w:val="005B50AD"/>
    <w:rsid w:val="005B5123"/>
    <w:rsid w:val="005B61F9"/>
    <w:rsid w:val="005C04BB"/>
    <w:rsid w:val="005C1C3C"/>
    <w:rsid w:val="005C1C6C"/>
    <w:rsid w:val="005C2792"/>
    <w:rsid w:val="005C2795"/>
    <w:rsid w:val="005C3833"/>
    <w:rsid w:val="005C65EB"/>
    <w:rsid w:val="005C7B4D"/>
    <w:rsid w:val="005D019F"/>
    <w:rsid w:val="005D05B2"/>
    <w:rsid w:val="005D0DA7"/>
    <w:rsid w:val="005D1226"/>
    <w:rsid w:val="005D20DE"/>
    <w:rsid w:val="005D2569"/>
    <w:rsid w:val="005D2BE6"/>
    <w:rsid w:val="005D735D"/>
    <w:rsid w:val="005E0579"/>
    <w:rsid w:val="005E0A75"/>
    <w:rsid w:val="005E7F56"/>
    <w:rsid w:val="005F2661"/>
    <w:rsid w:val="005F2C8F"/>
    <w:rsid w:val="00601731"/>
    <w:rsid w:val="00601B99"/>
    <w:rsid w:val="00603984"/>
    <w:rsid w:val="00603DF0"/>
    <w:rsid w:val="00604530"/>
    <w:rsid w:val="006050D4"/>
    <w:rsid w:val="00605BCF"/>
    <w:rsid w:val="006064AB"/>
    <w:rsid w:val="006127EE"/>
    <w:rsid w:val="00613D55"/>
    <w:rsid w:val="00615570"/>
    <w:rsid w:val="006160EF"/>
    <w:rsid w:val="00616139"/>
    <w:rsid w:val="006168A6"/>
    <w:rsid w:val="006169F9"/>
    <w:rsid w:val="0061705D"/>
    <w:rsid w:val="006201A5"/>
    <w:rsid w:val="006214C8"/>
    <w:rsid w:val="00621ADD"/>
    <w:rsid w:val="00621B6B"/>
    <w:rsid w:val="006222CE"/>
    <w:rsid w:val="00623B7E"/>
    <w:rsid w:val="00623BC6"/>
    <w:rsid w:val="00624E2E"/>
    <w:rsid w:val="0062765F"/>
    <w:rsid w:val="0063152A"/>
    <w:rsid w:val="006341CE"/>
    <w:rsid w:val="00636AA6"/>
    <w:rsid w:val="00641652"/>
    <w:rsid w:val="0064323A"/>
    <w:rsid w:val="00643F51"/>
    <w:rsid w:val="00645C3D"/>
    <w:rsid w:val="00647CE7"/>
    <w:rsid w:val="00651956"/>
    <w:rsid w:val="00651B7D"/>
    <w:rsid w:val="006532AD"/>
    <w:rsid w:val="006536A4"/>
    <w:rsid w:val="00653A96"/>
    <w:rsid w:val="0065478D"/>
    <w:rsid w:val="00656025"/>
    <w:rsid w:val="00656EF2"/>
    <w:rsid w:val="00660EAC"/>
    <w:rsid w:val="00663BD4"/>
    <w:rsid w:val="00664276"/>
    <w:rsid w:val="00671264"/>
    <w:rsid w:val="00672EAC"/>
    <w:rsid w:val="006739A7"/>
    <w:rsid w:val="006767FB"/>
    <w:rsid w:val="0067788C"/>
    <w:rsid w:val="00681C1B"/>
    <w:rsid w:val="00682F5E"/>
    <w:rsid w:val="00686054"/>
    <w:rsid w:val="00686FFC"/>
    <w:rsid w:val="00690E7C"/>
    <w:rsid w:val="00692A00"/>
    <w:rsid w:val="00696EA8"/>
    <w:rsid w:val="00696EC2"/>
    <w:rsid w:val="006A3052"/>
    <w:rsid w:val="006A3236"/>
    <w:rsid w:val="006A4334"/>
    <w:rsid w:val="006A43DA"/>
    <w:rsid w:val="006A45FC"/>
    <w:rsid w:val="006A63D8"/>
    <w:rsid w:val="006A7FAD"/>
    <w:rsid w:val="006B0C89"/>
    <w:rsid w:val="006B0DDD"/>
    <w:rsid w:val="006B235D"/>
    <w:rsid w:val="006B6106"/>
    <w:rsid w:val="006C2878"/>
    <w:rsid w:val="006C3176"/>
    <w:rsid w:val="006C39B1"/>
    <w:rsid w:val="006C4935"/>
    <w:rsid w:val="006C5C7D"/>
    <w:rsid w:val="006C6338"/>
    <w:rsid w:val="006C6A19"/>
    <w:rsid w:val="006C7F5D"/>
    <w:rsid w:val="006D09DA"/>
    <w:rsid w:val="006D1657"/>
    <w:rsid w:val="006D38DF"/>
    <w:rsid w:val="006D4F1E"/>
    <w:rsid w:val="006D5FCB"/>
    <w:rsid w:val="006D6487"/>
    <w:rsid w:val="006E03C2"/>
    <w:rsid w:val="006E1079"/>
    <w:rsid w:val="006E3AF8"/>
    <w:rsid w:val="006E5868"/>
    <w:rsid w:val="006E610F"/>
    <w:rsid w:val="006F0811"/>
    <w:rsid w:val="006F26B4"/>
    <w:rsid w:val="006F3801"/>
    <w:rsid w:val="00700545"/>
    <w:rsid w:val="0070086A"/>
    <w:rsid w:val="0070103C"/>
    <w:rsid w:val="00702118"/>
    <w:rsid w:val="007040B5"/>
    <w:rsid w:val="00705506"/>
    <w:rsid w:val="00706EB6"/>
    <w:rsid w:val="0071037A"/>
    <w:rsid w:val="007107AD"/>
    <w:rsid w:val="0071121D"/>
    <w:rsid w:val="00711630"/>
    <w:rsid w:val="007123FE"/>
    <w:rsid w:val="007144CF"/>
    <w:rsid w:val="00714539"/>
    <w:rsid w:val="00714C6C"/>
    <w:rsid w:val="00714D9D"/>
    <w:rsid w:val="00715EE4"/>
    <w:rsid w:val="007166E0"/>
    <w:rsid w:val="00716B4B"/>
    <w:rsid w:val="0072730D"/>
    <w:rsid w:val="007312FD"/>
    <w:rsid w:val="00732245"/>
    <w:rsid w:val="00732673"/>
    <w:rsid w:val="007343E2"/>
    <w:rsid w:val="00736CDB"/>
    <w:rsid w:val="0074186F"/>
    <w:rsid w:val="007446BA"/>
    <w:rsid w:val="00752C5B"/>
    <w:rsid w:val="0075399C"/>
    <w:rsid w:val="00754F0E"/>
    <w:rsid w:val="00755458"/>
    <w:rsid w:val="00760562"/>
    <w:rsid w:val="00761436"/>
    <w:rsid w:val="007637A4"/>
    <w:rsid w:val="00765158"/>
    <w:rsid w:val="0077126C"/>
    <w:rsid w:val="007718E4"/>
    <w:rsid w:val="0077381D"/>
    <w:rsid w:val="007738DB"/>
    <w:rsid w:val="0077503F"/>
    <w:rsid w:val="00775F8D"/>
    <w:rsid w:val="00776F9B"/>
    <w:rsid w:val="00777E82"/>
    <w:rsid w:val="0078083D"/>
    <w:rsid w:val="007823D7"/>
    <w:rsid w:val="00782F87"/>
    <w:rsid w:val="00784403"/>
    <w:rsid w:val="00786DDB"/>
    <w:rsid w:val="00787939"/>
    <w:rsid w:val="0079127B"/>
    <w:rsid w:val="00791E7F"/>
    <w:rsid w:val="00792112"/>
    <w:rsid w:val="00793463"/>
    <w:rsid w:val="00794F31"/>
    <w:rsid w:val="007A008B"/>
    <w:rsid w:val="007A102A"/>
    <w:rsid w:val="007A15E8"/>
    <w:rsid w:val="007A23D3"/>
    <w:rsid w:val="007A289D"/>
    <w:rsid w:val="007A45F3"/>
    <w:rsid w:val="007A4C57"/>
    <w:rsid w:val="007A71C4"/>
    <w:rsid w:val="007A75A7"/>
    <w:rsid w:val="007B0D17"/>
    <w:rsid w:val="007B14FC"/>
    <w:rsid w:val="007B1CEC"/>
    <w:rsid w:val="007B24FF"/>
    <w:rsid w:val="007B3458"/>
    <w:rsid w:val="007B38FE"/>
    <w:rsid w:val="007B4074"/>
    <w:rsid w:val="007B7661"/>
    <w:rsid w:val="007C18E8"/>
    <w:rsid w:val="007C4A82"/>
    <w:rsid w:val="007C6118"/>
    <w:rsid w:val="007C65F3"/>
    <w:rsid w:val="007D2DB3"/>
    <w:rsid w:val="007D3814"/>
    <w:rsid w:val="007D3E4D"/>
    <w:rsid w:val="007D44A2"/>
    <w:rsid w:val="007D516E"/>
    <w:rsid w:val="007D5F1E"/>
    <w:rsid w:val="007D6115"/>
    <w:rsid w:val="007D6F19"/>
    <w:rsid w:val="007E044C"/>
    <w:rsid w:val="007E0853"/>
    <w:rsid w:val="007E0E00"/>
    <w:rsid w:val="007E11A1"/>
    <w:rsid w:val="007E16A9"/>
    <w:rsid w:val="007E20E8"/>
    <w:rsid w:val="007E2E35"/>
    <w:rsid w:val="007E3729"/>
    <w:rsid w:val="007E3868"/>
    <w:rsid w:val="007E38A1"/>
    <w:rsid w:val="007F0644"/>
    <w:rsid w:val="007F1FCB"/>
    <w:rsid w:val="007F2E0E"/>
    <w:rsid w:val="007F52DB"/>
    <w:rsid w:val="007F58B9"/>
    <w:rsid w:val="007F73EF"/>
    <w:rsid w:val="0080153B"/>
    <w:rsid w:val="008026FF"/>
    <w:rsid w:val="008056D9"/>
    <w:rsid w:val="00807393"/>
    <w:rsid w:val="008103F9"/>
    <w:rsid w:val="00810B72"/>
    <w:rsid w:val="00811DFE"/>
    <w:rsid w:val="00813224"/>
    <w:rsid w:val="00813B14"/>
    <w:rsid w:val="00813B5F"/>
    <w:rsid w:val="00813BF9"/>
    <w:rsid w:val="00814503"/>
    <w:rsid w:val="00814A7A"/>
    <w:rsid w:val="0081547E"/>
    <w:rsid w:val="00816C05"/>
    <w:rsid w:val="00816C15"/>
    <w:rsid w:val="0081712A"/>
    <w:rsid w:val="00817876"/>
    <w:rsid w:val="00817A96"/>
    <w:rsid w:val="0082270F"/>
    <w:rsid w:val="00824B7E"/>
    <w:rsid w:val="00824F7B"/>
    <w:rsid w:val="00825C6F"/>
    <w:rsid w:val="0082681E"/>
    <w:rsid w:val="00826EE5"/>
    <w:rsid w:val="0083145E"/>
    <w:rsid w:val="00831DBB"/>
    <w:rsid w:val="00832027"/>
    <w:rsid w:val="008405CB"/>
    <w:rsid w:val="00844A3C"/>
    <w:rsid w:val="008524F5"/>
    <w:rsid w:val="00853109"/>
    <w:rsid w:val="0085317A"/>
    <w:rsid w:val="0085455A"/>
    <w:rsid w:val="00854A8C"/>
    <w:rsid w:val="008557F5"/>
    <w:rsid w:val="00855C7E"/>
    <w:rsid w:val="008573B8"/>
    <w:rsid w:val="0085785E"/>
    <w:rsid w:val="00860760"/>
    <w:rsid w:val="008615F6"/>
    <w:rsid w:val="00866CA0"/>
    <w:rsid w:val="008746EF"/>
    <w:rsid w:val="00876BD6"/>
    <w:rsid w:val="00881DE0"/>
    <w:rsid w:val="00881EAB"/>
    <w:rsid w:val="00883DC7"/>
    <w:rsid w:val="00883F0D"/>
    <w:rsid w:val="0088508D"/>
    <w:rsid w:val="00891D74"/>
    <w:rsid w:val="00892475"/>
    <w:rsid w:val="00892812"/>
    <w:rsid w:val="00893AB7"/>
    <w:rsid w:val="00893E4C"/>
    <w:rsid w:val="00894949"/>
    <w:rsid w:val="008962E7"/>
    <w:rsid w:val="00896BCB"/>
    <w:rsid w:val="008A04A0"/>
    <w:rsid w:val="008A1ACB"/>
    <w:rsid w:val="008A440E"/>
    <w:rsid w:val="008A5AAF"/>
    <w:rsid w:val="008A5E0D"/>
    <w:rsid w:val="008A657B"/>
    <w:rsid w:val="008B0570"/>
    <w:rsid w:val="008B29EC"/>
    <w:rsid w:val="008B52BE"/>
    <w:rsid w:val="008B5C9D"/>
    <w:rsid w:val="008C042A"/>
    <w:rsid w:val="008C1FC6"/>
    <w:rsid w:val="008C2003"/>
    <w:rsid w:val="008C253B"/>
    <w:rsid w:val="008C431F"/>
    <w:rsid w:val="008C5EB6"/>
    <w:rsid w:val="008C671C"/>
    <w:rsid w:val="008C6B24"/>
    <w:rsid w:val="008C754B"/>
    <w:rsid w:val="008C7E50"/>
    <w:rsid w:val="008C7FBE"/>
    <w:rsid w:val="008D0B22"/>
    <w:rsid w:val="008D45FA"/>
    <w:rsid w:val="008D4CA6"/>
    <w:rsid w:val="008D56C3"/>
    <w:rsid w:val="008D5EF0"/>
    <w:rsid w:val="008D76E2"/>
    <w:rsid w:val="008D7A2C"/>
    <w:rsid w:val="008E0A26"/>
    <w:rsid w:val="008E1E62"/>
    <w:rsid w:val="008E225A"/>
    <w:rsid w:val="008E66E0"/>
    <w:rsid w:val="008F360E"/>
    <w:rsid w:val="008F69C7"/>
    <w:rsid w:val="008F6DBF"/>
    <w:rsid w:val="009014A6"/>
    <w:rsid w:val="00902115"/>
    <w:rsid w:val="00902D6A"/>
    <w:rsid w:val="009033B4"/>
    <w:rsid w:val="009060F2"/>
    <w:rsid w:val="00910A5E"/>
    <w:rsid w:val="00910F68"/>
    <w:rsid w:val="00912925"/>
    <w:rsid w:val="00913887"/>
    <w:rsid w:val="009140D1"/>
    <w:rsid w:val="00914BAC"/>
    <w:rsid w:val="009177FC"/>
    <w:rsid w:val="00920D96"/>
    <w:rsid w:val="00921919"/>
    <w:rsid w:val="0092241C"/>
    <w:rsid w:val="00922571"/>
    <w:rsid w:val="00923355"/>
    <w:rsid w:val="009246FF"/>
    <w:rsid w:val="009258BA"/>
    <w:rsid w:val="009259EC"/>
    <w:rsid w:val="00927D1A"/>
    <w:rsid w:val="009302BB"/>
    <w:rsid w:val="009302DB"/>
    <w:rsid w:val="00936699"/>
    <w:rsid w:val="00936C39"/>
    <w:rsid w:val="009403BB"/>
    <w:rsid w:val="009416CC"/>
    <w:rsid w:val="00942E35"/>
    <w:rsid w:val="00944C15"/>
    <w:rsid w:val="00944C8F"/>
    <w:rsid w:val="0095135A"/>
    <w:rsid w:val="0095268D"/>
    <w:rsid w:val="00952CE4"/>
    <w:rsid w:val="00954D5D"/>
    <w:rsid w:val="00954ECA"/>
    <w:rsid w:val="00955C00"/>
    <w:rsid w:val="00956C79"/>
    <w:rsid w:val="009614EE"/>
    <w:rsid w:val="00962391"/>
    <w:rsid w:val="00962DF4"/>
    <w:rsid w:val="0096323E"/>
    <w:rsid w:val="009657C3"/>
    <w:rsid w:val="00967404"/>
    <w:rsid w:val="00967897"/>
    <w:rsid w:val="0096797A"/>
    <w:rsid w:val="0097058E"/>
    <w:rsid w:val="00971F21"/>
    <w:rsid w:val="00972935"/>
    <w:rsid w:val="00974E25"/>
    <w:rsid w:val="00975BB8"/>
    <w:rsid w:val="00980113"/>
    <w:rsid w:val="00980E1E"/>
    <w:rsid w:val="00980FB0"/>
    <w:rsid w:val="009815D0"/>
    <w:rsid w:val="00981DCB"/>
    <w:rsid w:val="00984DD9"/>
    <w:rsid w:val="0098729B"/>
    <w:rsid w:val="009909A4"/>
    <w:rsid w:val="00992612"/>
    <w:rsid w:val="00992927"/>
    <w:rsid w:val="00995468"/>
    <w:rsid w:val="00997334"/>
    <w:rsid w:val="009A06CE"/>
    <w:rsid w:val="009A18EB"/>
    <w:rsid w:val="009A40EC"/>
    <w:rsid w:val="009A54CD"/>
    <w:rsid w:val="009B0179"/>
    <w:rsid w:val="009B03F0"/>
    <w:rsid w:val="009B232E"/>
    <w:rsid w:val="009B2A3D"/>
    <w:rsid w:val="009B3397"/>
    <w:rsid w:val="009B6E68"/>
    <w:rsid w:val="009B7021"/>
    <w:rsid w:val="009B75CB"/>
    <w:rsid w:val="009C0639"/>
    <w:rsid w:val="009C1F50"/>
    <w:rsid w:val="009C4A42"/>
    <w:rsid w:val="009C5C8A"/>
    <w:rsid w:val="009C65E8"/>
    <w:rsid w:val="009D1E7B"/>
    <w:rsid w:val="009D4E9B"/>
    <w:rsid w:val="009D5110"/>
    <w:rsid w:val="009D5EDF"/>
    <w:rsid w:val="009D6610"/>
    <w:rsid w:val="009D76EE"/>
    <w:rsid w:val="009E0314"/>
    <w:rsid w:val="009E0A6C"/>
    <w:rsid w:val="009E0D49"/>
    <w:rsid w:val="009E17CF"/>
    <w:rsid w:val="009E2520"/>
    <w:rsid w:val="009E2A3A"/>
    <w:rsid w:val="009E32C2"/>
    <w:rsid w:val="009E3B01"/>
    <w:rsid w:val="009F02E4"/>
    <w:rsid w:val="009F07B0"/>
    <w:rsid w:val="009F095E"/>
    <w:rsid w:val="009F0B3C"/>
    <w:rsid w:val="009F147C"/>
    <w:rsid w:val="009F198D"/>
    <w:rsid w:val="009F5A3B"/>
    <w:rsid w:val="009F5F68"/>
    <w:rsid w:val="009F6019"/>
    <w:rsid w:val="009F6956"/>
    <w:rsid w:val="00A01481"/>
    <w:rsid w:val="00A01F70"/>
    <w:rsid w:val="00A03F02"/>
    <w:rsid w:val="00A04D34"/>
    <w:rsid w:val="00A05922"/>
    <w:rsid w:val="00A06642"/>
    <w:rsid w:val="00A078A9"/>
    <w:rsid w:val="00A12CC2"/>
    <w:rsid w:val="00A1394F"/>
    <w:rsid w:val="00A146D1"/>
    <w:rsid w:val="00A14F43"/>
    <w:rsid w:val="00A16694"/>
    <w:rsid w:val="00A17DF2"/>
    <w:rsid w:val="00A2237A"/>
    <w:rsid w:val="00A240FF"/>
    <w:rsid w:val="00A2648B"/>
    <w:rsid w:val="00A266B9"/>
    <w:rsid w:val="00A277AA"/>
    <w:rsid w:val="00A31D2B"/>
    <w:rsid w:val="00A31E5F"/>
    <w:rsid w:val="00A334E3"/>
    <w:rsid w:val="00A35CBD"/>
    <w:rsid w:val="00A36323"/>
    <w:rsid w:val="00A37017"/>
    <w:rsid w:val="00A415EB"/>
    <w:rsid w:val="00A41E98"/>
    <w:rsid w:val="00A464C1"/>
    <w:rsid w:val="00A46BC6"/>
    <w:rsid w:val="00A470B2"/>
    <w:rsid w:val="00A4759F"/>
    <w:rsid w:val="00A50114"/>
    <w:rsid w:val="00A52CFC"/>
    <w:rsid w:val="00A538D0"/>
    <w:rsid w:val="00A53E9D"/>
    <w:rsid w:val="00A543DD"/>
    <w:rsid w:val="00A5500A"/>
    <w:rsid w:val="00A551A1"/>
    <w:rsid w:val="00A55E76"/>
    <w:rsid w:val="00A57D64"/>
    <w:rsid w:val="00A60FC1"/>
    <w:rsid w:val="00A61FAE"/>
    <w:rsid w:val="00A6473D"/>
    <w:rsid w:val="00A64C64"/>
    <w:rsid w:val="00A6666D"/>
    <w:rsid w:val="00A66CDA"/>
    <w:rsid w:val="00A6787D"/>
    <w:rsid w:val="00A70A70"/>
    <w:rsid w:val="00A70C01"/>
    <w:rsid w:val="00A711E4"/>
    <w:rsid w:val="00A71B21"/>
    <w:rsid w:val="00A7235E"/>
    <w:rsid w:val="00A72E7B"/>
    <w:rsid w:val="00A7361B"/>
    <w:rsid w:val="00A75633"/>
    <w:rsid w:val="00A7681E"/>
    <w:rsid w:val="00A7719B"/>
    <w:rsid w:val="00A84001"/>
    <w:rsid w:val="00A863B6"/>
    <w:rsid w:val="00A86576"/>
    <w:rsid w:val="00A90168"/>
    <w:rsid w:val="00A914C2"/>
    <w:rsid w:val="00A91FE4"/>
    <w:rsid w:val="00A93069"/>
    <w:rsid w:val="00A967D9"/>
    <w:rsid w:val="00A96D5A"/>
    <w:rsid w:val="00A97369"/>
    <w:rsid w:val="00A9757C"/>
    <w:rsid w:val="00AA1442"/>
    <w:rsid w:val="00AA2030"/>
    <w:rsid w:val="00AA38A1"/>
    <w:rsid w:val="00AA3EAF"/>
    <w:rsid w:val="00AA41BF"/>
    <w:rsid w:val="00AA6983"/>
    <w:rsid w:val="00AA6BD9"/>
    <w:rsid w:val="00AB0660"/>
    <w:rsid w:val="00AB0BF0"/>
    <w:rsid w:val="00AB1ABC"/>
    <w:rsid w:val="00AB1AD7"/>
    <w:rsid w:val="00AB1F85"/>
    <w:rsid w:val="00AB2FE0"/>
    <w:rsid w:val="00AB407D"/>
    <w:rsid w:val="00AB4440"/>
    <w:rsid w:val="00AB672F"/>
    <w:rsid w:val="00AC0551"/>
    <w:rsid w:val="00AC1887"/>
    <w:rsid w:val="00AC19ED"/>
    <w:rsid w:val="00AC28FB"/>
    <w:rsid w:val="00AC38DA"/>
    <w:rsid w:val="00AC3F41"/>
    <w:rsid w:val="00AC5C19"/>
    <w:rsid w:val="00AC616F"/>
    <w:rsid w:val="00AC72E8"/>
    <w:rsid w:val="00AC73A9"/>
    <w:rsid w:val="00AC7753"/>
    <w:rsid w:val="00AD0828"/>
    <w:rsid w:val="00AD087F"/>
    <w:rsid w:val="00AD264D"/>
    <w:rsid w:val="00AD5F7D"/>
    <w:rsid w:val="00AD6A12"/>
    <w:rsid w:val="00AE2250"/>
    <w:rsid w:val="00AE3B1C"/>
    <w:rsid w:val="00AE4A3D"/>
    <w:rsid w:val="00AE4CF9"/>
    <w:rsid w:val="00AE7447"/>
    <w:rsid w:val="00AF0872"/>
    <w:rsid w:val="00AF0FE0"/>
    <w:rsid w:val="00AF1EEC"/>
    <w:rsid w:val="00AF393F"/>
    <w:rsid w:val="00AF3D80"/>
    <w:rsid w:val="00AF4EAD"/>
    <w:rsid w:val="00B00AAF"/>
    <w:rsid w:val="00B01FC8"/>
    <w:rsid w:val="00B027DB"/>
    <w:rsid w:val="00B0282D"/>
    <w:rsid w:val="00B058F3"/>
    <w:rsid w:val="00B062CE"/>
    <w:rsid w:val="00B06E36"/>
    <w:rsid w:val="00B06E3F"/>
    <w:rsid w:val="00B07C44"/>
    <w:rsid w:val="00B07F91"/>
    <w:rsid w:val="00B10A09"/>
    <w:rsid w:val="00B10A69"/>
    <w:rsid w:val="00B12D1A"/>
    <w:rsid w:val="00B14406"/>
    <w:rsid w:val="00B174C8"/>
    <w:rsid w:val="00B179CA"/>
    <w:rsid w:val="00B22286"/>
    <w:rsid w:val="00B23C7E"/>
    <w:rsid w:val="00B24943"/>
    <w:rsid w:val="00B27CD8"/>
    <w:rsid w:val="00B3046B"/>
    <w:rsid w:val="00B30EC8"/>
    <w:rsid w:val="00B33B98"/>
    <w:rsid w:val="00B348CB"/>
    <w:rsid w:val="00B34DCC"/>
    <w:rsid w:val="00B36286"/>
    <w:rsid w:val="00B364D6"/>
    <w:rsid w:val="00B36AB6"/>
    <w:rsid w:val="00B418F6"/>
    <w:rsid w:val="00B41BC1"/>
    <w:rsid w:val="00B4238E"/>
    <w:rsid w:val="00B429CA"/>
    <w:rsid w:val="00B43108"/>
    <w:rsid w:val="00B452EE"/>
    <w:rsid w:val="00B45599"/>
    <w:rsid w:val="00B46562"/>
    <w:rsid w:val="00B57749"/>
    <w:rsid w:val="00B60846"/>
    <w:rsid w:val="00B63942"/>
    <w:rsid w:val="00B647B1"/>
    <w:rsid w:val="00B662A7"/>
    <w:rsid w:val="00B701AF"/>
    <w:rsid w:val="00B76528"/>
    <w:rsid w:val="00B76DF2"/>
    <w:rsid w:val="00B77D8D"/>
    <w:rsid w:val="00B80414"/>
    <w:rsid w:val="00B809D0"/>
    <w:rsid w:val="00B81ADD"/>
    <w:rsid w:val="00B82022"/>
    <w:rsid w:val="00B85358"/>
    <w:rsid w:val="00B915B4"/>
    <w:rsid w:val="00B91D23"/>
    <w:rsid w:val="00B94724"/>
    <w:rsid w:val="00B9592E"/>
    <w:rsid w:val="00B96D38"/>
    <w:rsid w:val="00B9734C"/>
    <w:rsid w:val="00B97E14"/>
    <w:rsid w:val="00BA014C"/>
    <w:rsid w:val="00BA1815"/>
    <w:rsid w:val="00BA2635"/>
    <w:rsid w:val="00BA2AEA"/>
    <w:rsid w:val="00BA3A38"/>
    <w:rsid w:val="00BA66EE"/>
    <w:rsid w:val="00BB0593"/>
    <w:rsid w:val="00BB15A0"/>
    <w:rsid w:val="00BB4A47"/>
    <w:rsid w:val="00BB5514"/>
    <w:rsid w:val="00BB5A92"/>
    <w:rsid w:val="00BC048A"/>
    <w:rsid w:val="00BC0DC1"/>
    <w:rsid w:val="00BC389A"/>
    <w:rsid w:val="00BC7795"/>
    <w:rsid w:val="00BC79E5"/>
    <w:rsid w:val="00BD0305"/>
    <w:rsid w:val="00BD0D76"/>
    <w:rsid w:val="00BD58F6"/>
    <w:rsid w:val="00BD6328"/>
    <w:rsid w:val="00BD68E1"/>
    <w:rsid w:val="00BE0014"/>
    <w:rsid w:val="00BE0D48"/>
    <w:rsid w:val="00BE14D9"/>
    <w:rsid w:val="00BE163E"/>
    <w:rsid w:val="00BE5E82"/>
    <w:rsid w:val="00BE65D7"/>
    <w:rsid w:val="00BF0B04"/>
    <w:rsid w:val="00BF29D8"/>
    <w:rsid w:val="00BF2B9D"/>
    <w:rsid w:val="00BF45C8"/>
    <w:rsid w:val="00BF4EB5"/>
    <w:rsid w:val="00BF4FD6"/>
    <w:rsid w:val="00BF6982"/>
    <w:rsid w:val="00C00030"/>
    <w:rsid w:val="00C0064D"/>
    <w:rsid w:val="00C04C87"/>
    <w:rsid w:val="00C05338"/>
    <w:rsid w:val="00C07107"/>
    <w:rsid w:val="00C123AD"/>
    <w:rsid w:val="00C1330A"/>
    <w:rsid w:val="00C14919"/>
    <w:rsid w:val="00C157F4"/>
    <w:rsid w:val="00C15FD9"/>
    <w:rsid w:val="00C17125"/>
    <w:rsid w:val="00C1754C"/>
    <w:rsid w:val="00C17AF0"/>
    <w:rsid w:val="00C17FD8"/>
    <w:rsid w:val="00C208AB"/>
    <w:rsid w:val="00C21518"/>
    <w:rsid w:val="00C21798"/>
    <w:rsid w:val="00C23039"/>
    <w:rsid w:val="00C24366"/>
    <w:rsid w:val="00C25553"/>
    <w:rsid w:val="00C27877"/>
    <w:rsid w:val="00C3272E"/>
    <w:rsid w:val="00C333A5"/>
    <w:rsid w:val="00C33CF3"/>
    <w:rsid w:val="00C33DAD"/>
    <w:rsid w:val="00C34672"/>
    <w:rsid w:val="00C36F2F"/>
    <w:rsid w:val="00C37191"/>
    <w:rsid w:val="00C40E93"/>
    <w:rsid w:val="00C42D77"/>
    <w:rsid w:val="00C4416F"/>
    <w:rsid w:val="00C463EE"/>
    <w:rsid w:val="00C52622"/>
    <w:rsid w:val="00C568D6"/>
    <w:rsid w:val="00C605F3"/>
    <w:rsid w:val="00C62BDA"/>
    <w:rsid w:val="00C64C1C"/>
    <w:rsid w:val="00C65C93"/>
    <w:rsid w:val="00C70796"/>
    <w:rsid w:val="00C71F1C"/>
    <w:rsid w:val="00C741A0"/>
    <w:rsid w:val="00C75291"/>
    <w:rsid w:val="00C75855"/>
    <w:rsid w:val="00C76AF9"/>
    <w:rsid w:val="00C76F5C"/>
    <w:rsid w:val="00C8063D"/>
    <w:rsid w:val="00C84740"/>
    <w:rsid w:val="00C9043C"/>
    <w:rsid w:val="00C905BB"/>
    <w:rsid w:val="00C91C1F"/>
    <w:rsid w:val="00C92D24"/>
    <w:rsid w:val="00C932D5"/>
    <w:rsid w:val="00C941A7"/>
    <w:rsid w:val="00C9592F"/>
    <w:rsid w:val="00CA0B20"/>
    <w:rsid w:val="00CA13C6"/>
    <w:rsid w:val="00CA2CB3"/>
    <w:rsid w:val="00CA53FF"/>
    <w:rsid w:val="00CA607F"/>
    <w:rsid w:val="00CB179E"/>
    <w:rsid w:val="00CB28B3"/>
    <w:rsid w:val="00CB6151"/>
    <w:rsid w:val="00CC1939"/>
    <w:rsid w:val="00CC2712"/>
    <w:rsid w:val="00CC2E19"/>
    <w:rsid w:val="00CC4673"/>
    <w:rsid w:val="00CC6EF6"/>
    <w:rsid w:val="00CC75D4"/>
    <w:rsid w:val="00CD05DF"/>
    <w:rsid w:val="00CD32C0"/>
    <w:rsid w:val="00CD42E2"/>
    <w:rsid w:val="00CD4360"/>
    <w:rsid w:val="00CD44AF"/>
    <w:rsid w:val="00CD5605"/>
    <w:rsid w:val="00CD65F9"/>
    <w:rsid w:val="00CD6B31"/>
    <w:rsid w:val="00CD6E7B"/>
    <w:rsid w:val="00CD7AA9"/>
    <w:rsid w:val="00CE0472"/>
    <w:rsid w:val="00CE0DFE"/>
    <w:rsid w:val="00CE0F29"/>
    <w:rsid w:val="00CE153A"/>
    <w:rsid w:val="00CE59B9"/>
    <w:rsid w:val="00CE7915"/>
    <w:rsid w:val="00CF502B"/>
    <w:rsid w:val="00CF7D80"/>
    <w:rsid w:val="00D0099C"/>
    <w:rsid w:val="00D0181D"/>
    <w:rsid w:val="00D03A36"/>
    <w:rsid w:val="00D03C3E"/>
    <w:rsid w:val="00D04A1B"/>
    <w:rsid w:val="00D126D0"/>
    <w:rsid w:val="00D12C1B"/>
    <w:rsid w:val="00D13092"/>
    <w:rsid w:val="00D13356"/>
    <w:rsid w:val="00D15180"/>
    <w:rsid w:val="00D153C4"/>
    <w:rsid w:val="00D17A9E"/>
    <w:rsid w:val="00D2035B"/>
    <w:rsid w:val="00D24190"/>
    <w:rsid w:val="00D274BE"/>
    <w:rsid w:val="00D30276"/>
    <w:rsid w:val="00D348C8"/>
    <w:rsid w:val="00D34A84"/>
    <w:rsid w:val="00D37014"/>
    <w:rsid w:val="00D41395"/>
    <w:rsid w:val="00D41D2B"/>
    <w:rsid w:val="00D44020"/>
    <w:rsid w:val="00D46E9C"/>
    <w:rsid w:val="00D470FC"/>
    <w:rsid w:val="00D47371"/>
    <w:rsid w:val="00D52600"/>
    <w:rsid w:val="00D555C4"/>
    <w:rsid w:val="00D56A99"/>
    <w:rsid w:val="00D601B8"/>
    <w:rsid w:val="00D62DEB"/>
    <w:rsid w:val="00D64242"/>
    <w:rsid w:val="00D64DF6"/>
    <w:rsid w:val="00D658DD"/>
    <w:rsid w:val="00D70218"/>
    <w:rsid w:val="00D72065"/>
    <w:rsid w:val="00D7318A"/>
    <w:rsid w:val="00D76E21"/>
    <w:rsid w:val="00D774AE"/>
    <w:rsid w:val="00D7794C"/>
    <w:rsid w:val="00D823E7"/>
    <w:rsid w:val="00D823EB"/>
    <w:rsid w:val="00D83131"/>
    <w:rsid w:val="00D83A1A"/>
    <w:rsid w:val="00D83A92"/>
    <w:rsid w:val="00D85A21"/>
    <w:rsid w:val="00D87CF7"/>
    <w:rsid w:val="00D912F9"/>
    <w:rsid w:val="00D91752"/>
    <w:rsid w:val="00D94B87"/>
    <w:rsid w:val="00D94D02"/>
    <w:rsid w:val="00D94ED4"/>
    <w:rsid w:val="00D94FB1"/>
    <w:rsid w:val="00DA008B"/>
    <w:rsid w:val="00DA0329"/>
    <w:rsid w:val="00DA247C"/>
    <w:rsid w:val="00DA471B"/>
    <w:rsid w:val="00DA4DB9"/>
    <w:rsid w:val="00DA6AD4"/>
    <w:rsid w:val="00DB349B"/>
    <w:rsid w:val="00DB4C1C"/>
    <w:rsid w:val="00DC0DDD"/>
    <w:rsid w:val="00DC35A2"/>
    <w:rsid w:val="00DC3B3D"/>
    <w:rsid w:val="00DC427A"/>
    <w:rsid w:val="00DC50AD"/>
    <w:rsid w:val="00DC7D67"/>
    <w:rsid w:val="00DD0FD8"/>
    <w:rsid w:val="00DD170F"/>
    <w:rsid w:val="00DD363F"/>
    <w:rsid w:val="00DD5BBD"/>
    <w:rsid w:val="00DE0876"/>
    <w:rsid w:val="00DE0C4D"/>
    <w:rsid w:val="00DE1BBE"/>
    <w:rsid w:val="00DE1C9B"/>
    <w:rsid w:val="00DE330F"/>
    <w:rsid w:val="00DE3DC1"/>
    <w:rsid w:val="00DE5336"/>
    <w:rsid w:val="00DE59EA"/>
    <w:rsid w:val="00DE6866"/>
    <w:rsid w:val="00DF1C88"/>
    <w:rsid w:val="00DF1E66"/>
    <w:rsid w:val="00DF2C17"/>
    <w:rsid w:val="00DF6C0E"/>
    <w:rsid w:val="00DF77CC"/>
    <w:rsid w:val="00E013A3"/>
    <w:rsid w:val="00E014C4"/>
    <w:rsid w:val="00E03311"/>
    <w:rsid w:val="00E0369E"/>
    <w:rsid w:val="00E068D9"/>
    <w:rsid w:val="00E12353"/>
    <w:rsid w:val="00E1241A"/>
    <w:rsid w:val="00E12966"/>
    <w:rsid w:val="00E15B33"/>
    <w:rsid w:val="00E15B3E"/>
    <w:rsid w:val="00E162E5"/>
    <w:rsid w:val="00E2078C"/>
    <w:rsid w:val="00E211DC"/>
    <w:rsid w:val="00E2171A"/>
    <w:rsid w:val="00E21B7C"/>
    <w:rsid w:val="00E22099"/>
    <w:rsid w:val="00E221DD"/>
    <w:rsid w:val="00E23CE8"/>
    <w:rsid w:val="00E24B26"/>
    <w:rsid w:val="00E277D6"/>
    <w:rsid w:val="00E3182F"/>
    <w:rsid w:val="00E336A0"/>
    <w:rsid w:val="00E3377B"/>
    <w:rsid w:val="00E379C8"/>
    <w:rsid w:val="00E45599"/>
    <w:rsid w:val="00E477D6"/>
    <w:rsid w:val="00E532B3"/>
    <w:rsid w:val="00E53F25"/>
    <w:rsid w:val="00E55879"/>
    <w:rsid w:val="00E56EC6"/>
    <w:rsid w:val="00E56ED4"/>
    <w:rsid w:val="00E577EA"/>
    <w:rsid w:val="00E60460"/>
    <w:rsid w:val="00E60E82"/>
    <w:rsid w:val="00E61368"/>
    <w:rsid w:val="00E62944"/>
    <w:rsid w:val="00E64209"/>
    <w:rsid w:val="00E646EC"/>
    <w:rsid w:val="00E649BB"/>
    <w:rsid w:val="00E6777A"/>
    <w:rsid w:val="00E731C9"/>
    <w:rsid w:val="00E7484F"/>
    <w:rsid w:val="00E807BC"/>
    <w:rsid w:val="00E81A48"/>
    <w:rsid w:val="00E81AF2"/>
    <w:rsid w:val="00E81B7C"/>
    <w:rsid w:val="00E8219D"/>
    <w:rsid w:val="00E82B18"/>
    <w:rsid w:val="00E82B9E"/>
    <w:rsid w:val="00E83542"/>
    <w:rsid w:val="00E83691"/>
    <w:rsid w:val="00E84709"/>
    <w:rsid w:val="00E84E16"/>
    <w:rsid w:val="00E864FF"/>
    <w:rsid w:val="00E8684B"/>
    <w:rsid w:val="00E92026"/>
    <w:rsid w:val="00E9233D"/>
    <w:rsid w:val="00E928C5"/>
    <w:rsid w:val="00E92A5D"/>
    <w:rsid w:val="00E93842"/>
    <w:rsid w:val="00E95544"/>
    <w:rsid w:val="00E9587D"/>
    <w:rsid w:val="00E95A54"/>
    <w:rsid w:val="00E95F49"/>
    <w:rsid w:val="00E9601C"/>
    <w:rsid w:val="00EA02A2"/>
    <w:rsid w:val="00EA0F14"/>
    <w:rsid w:val="00EA191C"/>
    <w:rsid w:val="00EA201E"/>
    <w:rsid w:val="00EA270B"/>
    <w:rsid w:val="00EA2AA7"/>
    <w:rsid w:val="00EA2AE6"/>
    <w:rsid w:val="00EA2C41"/>
    <w:rsid w:val="00EA4F08"/>
    <w:rsid w:val="00EA508B"/>
    <w:rsid w:val="00EA5A32"/>
    <w:rsid w:val="00EA5B68"/>
    <w:rsid w:val="00EA5C7C"/>
    <w:rsid w:val="00EA5CDE"/>
    <w:rsid w:val="00EB1B9B"/>
    <w:rsid w:val="00EB35A6"/>
    <w:rsid w:val="00EB4322"/>
    <w:rsid w:val="00EB644C"/>
    <w:rsid w:val="00EB69D3"/>
    <w:rsid w:val="00EB7781"/>
    <w:rsid w:val="00EC1375"/>
    <w:rsid w:val="00EC407E"/>
    <w:rsid w:val="00EC4162"/>
    <w:rsid w:val="00EC53E0"/>
    <w:rsid w:val="00EC55EE"/>
    <w:rsid w:val="00EC617C"/>
    <w:rsid w:val="00EC6B01"/>
    <w:rsid w:val="00EC7885"/>
    <w:rsid w:val="00ED019A"/>
    <w:rsid w:val="00ED057D"/>
    <w:rsid w:val="00ED0C0E"/>
    <w:rsid w:val="00ED19F9"/>
    <w:rsid w:val="00ED2181"/>
    <w:rsid w:val="00ED288D"/>
    <w:rsid w:val="00ED2FF8"/>
    <w:rsid w:val="00ED3EEE"/>
    <w:rsid w:val="00ED5275"/>
    <w:rsid w:val="00ED5BA4"/>
    <w:rsid w:val="00EE011A"/>
    <w:rsid w:val="00EE2D36"/>
    <w:rsid w:val="00EE36C1"/>
    <w:rsid w:val="00EE4B17"/>
    <w:rsid w:val="00EE5958"/>
    <w:rsid w:val="00EF2EBD"/>
    <w:rsid w:val="00EF5115"/>
    <w:rsid w:val="00EF7A5E"/>
    <w:rsid w:val="00F006A3"/>
    <w:rsid w:val="00F006E8"/>
    <w:rsid w:val="00F00C99"/>
    <w:rsid w:val="00F02492"/>
    <w:rsid w:val="00F0249F"/>
    <w:rsid w:val="00F024ED"/>
    <w:rsid w:val="00F045F1"/>
    <w:rsid w:val="00F048D8"/>
    <w:rsid w:val="00F04AF1"/>
    <w:rsid w:val="00F05E14"/>
    <w:rsid w:val="00F115FF"/>
    <w:rsid w:val="00F16A4D"/>
    <w:rsid w:val="00F16D73"/>
    <w:rsid w:val="00F16DA8"/>
    <w:rsid w:val="00F17317"/>
    <w:rsid w:val="00F178D6"/>
    <w:rsid w:val="00F17F56"/>
    <w:rsid w:val="00F20527"/>
    <w:rsid w:val="00F21912"/>
    <w:rsid w:val="00F224C2"/>
    <w:rsid w:val="00F24A3E"/>
    <w:rsid w:val="00F25582"/>
    <w:rsid w:val="00F25B71"/>
    <w:rsid w:val="00F25C42"/>
    <w:rsid w:val="00F2727C"/>
    <w:rsid w:val="00F27B06"/>
    <w:rsid w:val="00F33FCB"/>
    <w:rsid w:val="00F35ED0"/>
    <w:rsid w:val="00F410BC"/>
    <w:rsid w:val="00F42EF8"/>
    <w:rsid w:val="00F43527"/>
    <w:rsid w:val="00F44D21"/>
    <w:rsid w:val="00F45A78"/>
    <w:rsid w:val="00F473A4"/>
    <w:rsid w:val="00F518F5"/>
    <w:rsid w:val="00F523BF"/>
    <w:rsid w:val="00F532FA"/>
    <w:rsid w:val="00F542A7"/>
    <w:rsid w:val="00F54A08"/>
    <w:rsid w:val="00F5556B"/>
    <w:rsid w:val="00F55B90"/>
    <w:rsid w:val="00F57B89"/>
    <w:rsid w:val="00F57C4B"/>
    <w:rsid w:val="00F613E8"/>
    <w:rsid w:val="00F6165E"/>
    <w:rsid w:val="00F62BD9"/>
    <w:rsid w:val="00F645CE"/>
    <w:rsid w:val="00F66489"/>
    <w:rsid w:val="00F666F5"/>
    <w:rsid w:val="00F67AE0"/>
    <w:rsid w:val="00F70B92"/>
    <w:rsid w:val="00F70EBD"/>
    <w:rsid w:val="00F71C45"/>
    <w:rsid w:val="00F723C2"/>
    <w:rsid w:val="00F74DE5"/>
    <w:rsid w:val="00F860DB"/>
    <w:rsid w:val="00F908CF"/>
    <w:rsid w:val="00F92ACE"/>
    <w:rsid w:val="00F93524"/>
    <w:rsid w:val="00FA0011"/>
    <w:rsid w:val="00FA1543"/>
    <w:rsid w:val="00FA2618"/>
    <w:rsid w:val="00FA2F2F"/>
    <w:rsid w:val="00FA3136"/>
    <w:rsid w:val="00FA5254"/>
    <w:rsid w:val="00FA70FE"/>
    <w:rsid w:val="00FB0809"/>
    <w:rsid w:val="00FB08A3"/>
    <w:rsid w:val="00FB18E7"/>
    <w:rsid w:val="00FB22CA"/>
    <w:rsid w:val="00FB375B"/>
    <w:rsid w:val="00FB3CEA"/>
    <w:rsid w:val="00FB40B0"/>
    <w:rsid w:val="00FB476B"/>
    <w:rsid w:val="00FB68CE"/>
    <w:rsid w:val="00FB6A63"/>
    <w:rsid w:val="00FB6F8D"/>
    <w:rsid w:val="00FB71D5"/>
    <w:rsid w:val="00FB7D5F"/>
    <w:rsid w:val="00FC442C"/>
    <w:rsid w:val="00FD0163"/>
    <w:rsid w:val="00FD09B9"/>
    <w:rsid w:val="00FD1EDB"/>
    <w:rsid w:val="00FD344D"/>
    <w:rsid w:val="00FD6A04"/>
    <w:rsid w:val="00FD6EBF"/>
    <w:rsid w:val="00FE042E"/>
    <w:rsid w:val="00FE0D39"/>
    <w:rsid w:val="00FE2492"/>
    <w:rsid w:val="00FE2600"/>
    <w:rsid w:val="00FE3684"/>
    <w:rsid w:val="00FE58F4"/>
    <w:rsid w:val="00FE7B73"/>
    <w:rsid w:val="00FE7E7F"/>
    <w:rsid w:val="00FF03E2"/>
    <w:rsid w:val="00FF158F"/>
    <w:rsid w:val="00FF17ED"/>
    <w:rsid w:val="00FF1948"/>
    <w:rsid w:val="00FF3980"/>
    <w:rsid w:val="00FF4E2A"/>
    <w:rsid w:val="00FF5A94"/>
    <w:rsid w:val="00FF6297"/>
    <w:rsid w:val="00FF6BC4"/>
    <w:rsid w:val="00FF7C1F"/>
    <w:rsid w:val="588CF9D5"/>
    <w:rsid w:val="79F458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DA8C4"/>
  <w15:chartTrackingRefBased/>
  <w15:docId w15:val="{7B1AF9CB-5EA3-47FE-B84F-886434D1C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65B"/>
  </w:style>
  <w:style w:type="paragraph" w:styleId="Heading1">
    <w:name w:val="heading 1"/>
    <w:basedOn w:val="Normal"/>
    <w:next w:val="Normal"/>
    <w:link w:val="Heading1Char"/>
    <w:uiPriority w:val="9"/>
    <w:qFormat/>
    <w:rsid w:val="00DD17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66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D39C7"/>
    <w:pPr>
      <w:keepNext/>
      <w:keepLines/>
      <w:widowControl w:val="0"/>
      <w:spacing w:before="40" w:after="0" w:line="276" w:lineRule="auto"/>
      <w:outlineLvl w:val="2"/>
    </w:pPr>
    <w:rPr>
      <w:rFonts w:asciiTheme="majorHAnsi" w:eastAsiaTheme="majorEastAsia" w:hAnsiTheme="majorHAnsi" w:cstheme="majorBidi"/>
      <w:color w:val="1F4D78"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normal">
    <w:name w:val="My normal"/>
    <w:basedOn w:val="Normal"/>
    <w:next w:val="Normal"/>
    <w:link w:val="MynormalChar"/>
    <w:qFormat/>
    <w:rsid w:val="003A0E88"/>
    <w:pPr>
      <w:widowControl w:val="0"/>
      <w:spacing w:after="120" w:line="480" w:lineRule="auto"/>
    </w:pPr>
    <w:rPr>
      <w:rFonts w:ascii="Calibri" w:eastAsia="Calibri" w:hAnsi="Calibri" w:cs="Calibri"/>
      <w:color w:val="000000"/>
      <w:sz w:val="24"/>
      <w:lang w:eastAsia="en-GB"/>
    </w:rPr>
  </w:style>
  <w:style w:type="character" w:customStyle="1" w:styleId="MynormalChar">
    <w:name w:val="My normal Char"/>
    <w:basedOn w:val="DefaultParagraphFont"/>
    <w:link w:val="Mynormal"/>
    <w:rsid w:val="003A0E88"/>
    <w:rPr>
      <w:rFonts w:ascii="Calibri" w:eastAsia="Calibri" w:hAnsi="Calibri" w:cs="Calibri"/>
      <w:color w:val="000000"/>
      <w:sz w:val="24"/>
      <w:lang w:eastAsia="en-GB"/>
    </w:rPr>
  </w:style>
  <w:style w:type="paragraph" w:styleId="CommentText">
    <w:name w:val="annotation text"/>
    <w:basedOn w:val="Normal"/>
    <w:link w:val="CommentTextChar"/>
    <w:uiPriority w:val="99"/>
    <w:unhideWhenUsed/>
    <w:rsid w:val="00DD170F"/>
    <w:pPr>
      <w:widowControl w:val="0"/>
      <w:spacing w:after="0" w:line="240" w:lineRule="auto"/>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rsid w:val="00DD170F"/>
    <w:rPr>
      <w:rFonts w:ascii="Calibri" w:eastAsia="Calibri" w:hAnsi="Calibri" w:cs="Calibri"/>
      <w:color w:val="000000"/>
      <w:sz w:val="20"/>
      <w:szCs w:val="20"/>
      <w:lang w:eastAsia="en-GB"/>
    </w:rPr>
  </w:style>
  <w:style w:type="character" w:styleId="CommentReference">
    <w:name w:val="annotation reference"/>
    <w:basedOn w:val="DefaultParagraphFont"/>
    <w:uiPriority w:val="99"/>
    <w:semiHidden/>
    <w:unhideWhenUsed/>
    <w:rsid w:val="00DD170F"/>
    <w:rPr>
      <w:sz w:val="16"/>
      <w:szCs w:val="16"/>
    </w:rPr>
  </w:style>
  <w:style w:type="paragraph" w:styleId="Title">
    <w:name w:val="Title"/>
    <w:basedOn w:val="Normal"/>
    <w:next w:val="Normal"/>
    <w:link w:val="TitleChar"/>
    <w:uiPriority w:val="10"/>
    <w:qFormat/>
    <w:rsid w:val="00DD170F"/>
    <w:pPr>
      <w:widowControl w:val="0"/>
      <w:spacing w:after="0" w:line="240" w:lineRule="auto"/>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DD170F"/>
    <w:rPr>
      <w:rFonts w:asciiTheme="majorHAnsi" w:eastAsiaTheme="majorEastAsia" w:hAnsiTheme="majorHAnsi" w:cstheme="majorBidi"/>
      <w:spacing w:val="-10"/>
      <w:kern w:val="28"/>
      <w:sz w:val="56"/>
      <w:szCs w:val="56"/>
      <w:lang w:eastAsia="en-GB"/>
    </w:rPr>
  </w:style>
  <w:style w:type="paragraph" w:styleId="BalloonText">
    <w:name w:val="Balloon Text"/>
    <w:basedOn w:val="Normal"/>
    <w:link w:val="BalloonTextChar"/>
    <w:uiPriority w:val="99"/>
    <w:semiHidden/>
    <w:unhideWhenUsed/>
    <w:rsid w:val="00DD17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70F"/>
    <w:rPr>
      <w:rFonts w:ascii="Segoe UI" w:hAnsi="Segoe UI" w:cs="Segoe UI"/>
      <w:sz w:val="18"/>
      <w:szCs w:val="18"/>
    </w:rPr>
  </w:style>
  <w:style w:type="character" w:customStyle="1" w:styleId="Heading1Char">
    <w:name w:val="Heading 1 Char"/>
    <w:basedOn w:val="DefaultParagraphFont"/>
    <w:link w:val="Heading1"/>
    <w:uiPriority w:val="9"/>
    <w:rsid w:val="00DD170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F665B"/>
    <w:rPr>
      <w:rFonts w:asciiTheme="majorHAnsi" w:eastAsiaTheme="majorEastAsia" w:hAnsiTheme="majorHAnsi" w:cstheme="majorBidi"/>
      <w:color w:val="2E74B5" w:themeColor="accent1" w:themeShade="BF"/>
      <w:sz w:val="26"/>
      <w:szCs w:val="26"/>
    </w:rPr>
  </w:style>
  <w:style w:type="paragraph" w:styleId="CommentSubject">
    <w:name w:val="annotation subject"/>
    <w:basedOn w:val="CommentText"/>
    <w:next w:val="CommentText"/>
    <w:link w:val="CommentSubjectChar"/>
    <w:uiPriority w:val="99"/>
    <w:semiHidden/>
    <w:unhideWhenUsed/>
    <w:rsid w:val="001B7F34"/>
    <w:pPr>
      <w:widowControl/>
      <w:spacing w:after="160"/>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1B7F34"/>
    <w:rPr>
      <w:rFonts w:ascii="Calibri" w:eastAsia="Calibri" w:hAnsi="Calibri" w:cs="Calibri"/>
      <w:b/>
      <w:bCs/>
      <w:color w:val="000000"/>
      <w:sz w:val="20"/>
      <w:szCs w:val="20"/>
      <w:lang w:eastAsia="en-GB"/>
    </w:rPr>
  </w:style>
  <w:style w:type="character" w:customStyle="1" w:styleId="Heading3Char">
    <w:name w:val="Heading 3 Char"/>
    <w:basedOn w:val="DefaultParagraphFont"/>
    <w:link w:val="Heading3"/>
    <w:uiPriority w:val="9"/>
    <w:rsid w:val="000D39C7"/>
    <w:rPr>
      <w:rFonts w:asciiTheme="majorHAnsi" w:eastAsiaTheme="majorEastAsia" w:hAnsiTheme="majorHAnsi" w:cstheme="majorBidi"/>
      <w:color w:val="1F4D78" w:themeColor="accent1" w:themeShade="7F"/>
      <w:sz w:val="24"/>
      <w:szCs w:val="24"/>
      <w:lang w:eastAsia="en-GB"/>
    </w:rPr>
  </w:style>
  <w:style w:type="paragraph" w:styleId="Caption">
    <w:name w:val="caption"/>
    <w:basedOn w:val="Normal"/>
    <w:next w:val="Normal"/>
    <w:uiPriority w:val="35"/>
    <w:unhideWhenUsed/>
    <w:qFormat/>
    <w:rsid w:val="000D39C7"/>
    <w:pPr>
      <w:spacing w:after="200" w:line="240" w:lineRule="auto"/>
    </w:pPr>
    <w:rPr>
      <w:i/>
      <w:iCs/>
      <w:color w:val="44546A" w:themeColor="text2"/>
      <w:sz w:val="18"/>
      <w:szCs w:val="18"/>
    </w:rPr>
  </w:style>
  <w:style w:type="paragraph" w:styleId="ListParagraph">
    <w:name w:val="List Paragraph"/>
    <w:basedOn w:val="Normal"/>
    <w:uiPriority w:val="34"/>
    <w:qFormat/>
    <w:rsid w:val="000D39C7"/>
    <w:pPr>
      <w:ind w:left="720"/>
      <w:contextualSpacing/>
    </w:pPr>
  </w:style>
  <w:style w:type="table" w:styleId="TableGrid">
    <w:name w:val="Table Grid"/>
    <w:basedOn w:val="TableNormal"/>
    <w:uiPriority w:val="39"/>
    <w:rsid w:val="000D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39B1"/>
    <w:pPr>
      <w:spacing w:after="0" w:line="240" w:lineRule="auto"/>
    </w:pPr>
  </w:style>
  <w:style w:type="character" w:styleId="LineNumber">
    <w:name w:val="line number"/>
    <w:basedOn w:val="DefaultParagraphFont"/>
    <w:uiPriority w:val="99"/>
    <w:semiHidden/>
    <w:unhideWhenUsed/>
    <w:rsid w:val="004F4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020551">
      <w:bodyDiv w:val="1"/>
      <w:marLeft w:val="0"/>
      <w:marRight w:val="0"/>
      <w:marTop w:val="0"/>
      <w:marBottom w:val="0"/>
      <w:divBdr>
        <w:top w:val="none" w:sz="0" w:space="0" w:color="auto"/>
        <w:left w:val="none" w:sz="0" w:space="0" w:color="auto"/>
        <w:bottom w:val="none" w:sz="0" w:space="0" w:color="auto"/>
        <w:right w:val="none" w:sz="0" w:space="0" w:color="auto"/>
      </w:divBdr>
    </w:div>
    <w:div w:id="484979142">
      <w:bodyDiv w:val="1"/>
      <w:marLeft w:val="0"/>
      <w:marRight w:val="0"/>
      <w:marTop w:val="0"/>
      <w:marBottom w:val="0"/>
      <w:divBdr>
        <w:top w:val="none" w:sz="0" w:space="0" w:color="auto"/>
        <w:left w:val="none" w:sz="0" w:space="0" w:color="auto"/>
        <w:bottom w:val="none" w:sz="0" w:space="0" w:color="auto"/>
        <w:right w:val="none" w:sz="0" w:space="0" w:color="auto"/>
      </w:divBdr>
    </w:div>
    <w:div w:id="718742941">
      <w:bodyDiv w:val="1"/>
      <w:marLeft w:val="0"/>
      <w:marRight w:val="0"/>
      <w:marTop w:val="0"/>
      <w:marBottom w:val="0"/>
      <w:divBdr>
        <w:top w:val="none" w:sz="0" w:space="0" w:color="auto"/>
        <w:left w:val="none" w:sz="0" w:space="0" w:color="auto"/>
        <w:bottom w:val="none" w:sz="0" w:space="0" w:color="auto"/>
        <w:right w:val="none" w:sz="0" w:space="0" w:color="auto"/>
      </w:divBdr>
    </w:div>
    <w:div w:id="803041972">
      <w:bodyDiv w:val="1"/>
      <w:marLeft w:val="0"/>
      <w:marRight w:val="0"/>
      <w:marTop w:val="0"/>
      <w:marBottom w:val="0"/>
      <w:divBdr>
        <w:top w:val="none" w:sz="0" w:space="0" w:color="auto"/>
        <w:left w:val="none" w:sz="0" w:space="0" w:color="auto"/>
        <w:bottom w:val="none" w:sz="0" w:space="0" w:color="auto"/>
        <w:right w:val="none" w:sz="0" w:space="0" w:color="auto"/>
      </w:divBdr>
    </w:div>
    <w:div w:id="907811768">
      <w:bodyDiv w:val="1"/>
      <w:marLeft w:val="0"/>
      <w:marRight w:val="0"/>
      <w:marTop w:val="0"/>
      <w:marBottom w:val="0"/>
      <w:divBdr>
        <w:top w:val="none" w:sz="0" w:space="0" w:color="auto"/>
        <w:left w:val="none" w:sz="0" w:space="0" w:color="auto"/>
        <w:bottom w:val="none" w:sz="0" w:space="0" w:color="auto"/>
        <w:right w:val="none" w:sz="0" w:space="0" w:color="auto"/>
      </w:divBdr>
    </w:div>
    <w:div w:id="1060252327">
      <w:bodyDiv w:val="1"/>
      <w:marLeft w:val="0"/>
      <w:marRight w:val="0"/>
      <w:marTop w:val="0"/>
      <w:marBottom w:val="0"/>
      <w:divBdr>
        <w:top w:val="none" w:sz="0" w:space="0" w:color="auto"/>
        <w:left w:val="none" w:sz="0" w:space="0" w:color="auto"/>
        <w:bottom w:val="none" w:sz="0" w:space="0" w:color="auto"/>
        <w:right w:val="none" w:sz="0" w:space="0" w:color="auto"/>
      </w:divBdr>
      <w:divsChild>
        <w:div w:id="245841322">
          <w:marLeft w:val="0"/>
          <w:marRight w:val="0"/>
          <w:marTop w:val="0"/>
          <w:marBottom w:val="0"/>
          <w:divBdr>
            <w:top w:val="none" w:sz="0" w:space="0" w:color="auto"/>
            <w:left w:val="none" w:sz="0" w:space="0" w:color="auto"/>
            <w:bottom w:val="none" w:sz="0" w:space="0" w:color="auto"/>
            <w:right w:val="none" w:sz="0" w:space="0" w:color="auto"/>
          </w:divBdr>
          <w:divsChild>
            <w:div w:id="15576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2109">
      <w:bodyDiv w:val="1"/>
      <w:marLeft w:val="0"/>
      <w:marRight w:val="0"/>
      <w:marTop w:val="0"/>
      <w:marBottom w:val="0"/>
      <w:divBdr>
        <w:top w:val="none" w:sz="0" w:space="0" w:color="auto"/>
        <w:left w:val="none" w:sz="0" w:space="0" w:color="auto"/>
        <w:bottom w:val="none" w:sz="0" w:space="0" w:color="auto"/>
        <w:right w:val="none" w:sz="0" w:space="0" w:color="auto"/>
      </w:divBdr>
    </w:div>
    <w:div w:id="1519388216">
      <w:bodyDiv w:val="1"/>
      <w:marLeft w:val="0"/>
      <w:marRight w:val="0"/>
      <w:marTop w:val="0"/>
      <w:marBottom w:val="0"/>
      <w:divBdr>
        <w:top w:val="none" w:sz="0" w:space="0" w:color="auto"/>
        <w:left w:val="none" w:sz="0" w:space="0" w:color="auto"/>
        <w:bottom w:val="none" w:sz="0" w:space="0" w:color="auto"/>
        <w:right w:val="none" w:sz="0" w:space="0" w:color="auto"/>
      </w:divBdr>
    </w:div>
    <w:div w:id="1575240280">
      <w:bodyDiv w:val="1"/>
      <w:marLeft w:val="0"/>
      <w:marRight w:val="0"/>
      <w:marTop w:val="0"/>
      <w:marBottom w:val="0"/>
      <w:divBdr>
        <w:top w:val="none" w:sz="0" w:space="0" w:color="auto"/>
        <w:left w:val="none" w:sz="0" w:space="0" w:color="auto"/>
        <w:bottom w:val="none" w:sz="0" w:space="0" w:color="auto"/>
        <w:right w:val="none" w:sz="0" w:space="0" w:color="auto"/>
      </w:divBdr>
    </w:div>
    <w:div w:id="2061246884">
      <w:bodyDiv w:val="1"/>
      <w:marLeft w:val="0"/>
      <w:marRight w:val="0"/>
      <w:marTop w:val="0"/>
      <w:marBottom w:val="0"/>
      <w:divBdr>
        <w:top w:val="none" w:sz="0" w:space="0" w:color="auto"/>
        <w:left w:val="none" w:sz="0" w:space="0" w:color="auto"/>
        <w:bottom w:val="none" w:sz="0" w:space="0" w:color="auto"/>
        <w:right w:val="none" w:sz="0" w:space="0" w:color="auto"/>
      </w:divBdr>
    </w:div>
    <w:div w:id="208733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image" Target="media/image7.svg"/><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828CC8F99F4647B866DC080C333B74" ma:contentTypeVersion="13" ma:contentTypeDescription="Create a new document." ma:contentTypeScope="" ma:versionID="18915cc7a3d8de2f829c3f1230e9a2e5">
  <xsd:schema xmlns:xsd="http://www.w3.org/2001/XMLSchema" xmlns:xs="http://www.w3.org/2001/XMLSchema" xmlns:p="http://schemas.microsoft.com/office/2006/metadata/properties" xmlns:ns3="e47909c1-e75f-4d38-bbf1-d1b3047f3d70" xmlns:ns4="7d9f1007-3b47-499e-9ce6-4159275f3fb0" targetNamespace="http://schemas.microsoft.com/office/2006/metadata/properties" ma:root="true" ma:fieldsID="73cf50786b1127fc21c0274186f4d44a" ns3:_="" ns4:_="">
    <xsd:import namespace="e47909c1-e75f-4d38-bbf1-d1b3047f3d70"/>
    <xsd:import namespace="7d9f1007-3b47-499e-9ce6-4159275f3fb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7909c1-e75f-4d38-bbf1-d1b3047f3d7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9f1007-3b47-499e-9ce6-4159275f3fb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34883D-0F75-41E6-B79E-5C8E20EDF3AF}">
  <ds:schemaRefs>
    <ds:schemaRef ds:uri="http://schemas.openxmlformats.org/officeDocument/2006/bibliography"/>
  </ds:schemaRefs>
</ds:datastoreItem>
</file>

<file path=customXml/itemProps2.xml><?xml version="1.0" encoding="utf-8"?>
<ds:datastoreItem xmlns:ds="http://schemas.openxmlformats.org/officeDocument/2006/customXml" ds:itemID="{AB383A99-224A-47A5-AD90-3967BE009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7909c1-e75f-4d38-bbf1-d1b3047f3d70"/>
    <ds:schemaRef ds:uri="7d9f1007-3b47-499e-9ce6-4159275f3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0448F-5E24-449B-A366-BBAC83EC218B}">
  <ds:schemaRefs>
    <ds:schemaRef ds:uri="http://schemas.microsoft.com/sharepoint/v3/contenttype/forms"/>
  </ds:schemaRefs>
</ds:datastoreItem>
</file>

<file path=customXml/itemProps4.xml><?xml version="1.0" encoding="utf-8"?>
<ds:datastoreItem xmlns:ds="http://schemas.openxmlformats.org/officeDocument/2006/customXml" ds:itemID="{5EC1989F-38D2-418B-B06C-5CE8958B4F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115969</Words>
  <Characters>661028</Characters>
  <Application>Microsoft Office Word</Application>
  <DocSecurity>4</DocSecurity>
  <Lines>5508</Lines>
  <Paragraphs>1550</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775447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Wilson</dc:creator>
  <cp:keywords/>
  <dc:description/>
  <cp:lastModifiedBy>Oliver Wilson</cp:lastModifiedBy>
  <cp:revision>2</cp:revision>
  <cp:lastPrinted>2019-03-22T09:52:00Z</cp:lastPrinted>
  <dcterms:created xsi:type="dcterms:W3CDTF">2020-06-25T00:36:00Z</dcterms:created>
  <dcterms:modified xsi:type="dcterms:W3CDTF">2020-06-25T00:36:00Z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49970096-b2af-3f79-a658-997794cd126f</vt:lpwstr>
  </property>
  <property fmtid="{D5CDD505-2E9C-101B-9397-08002B2CF9AE}" pid="4" name="Mendeley Citation Style_1">
    <vt:lpwstr>http://www.zotero.org/styles/review-of-palaeobotany-and-palynology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http://www.zotero.org/styles/review-of-palaeobotany-and-palynology</vt:lpwstr>
  </property>
  <property fmtid="{D5CDD505-2E9C-101B-9397-08002B2CF9AE}" pid="24" name="Mendeley Recent Style Name 9_1">
    <vt:lpwstr>Review of Palaeobotany and Palynology</vt:lpwstr>
  </property>
  <property fmtid="{D5CDD505-2E9C-101B-9397-08002B2CF9AE}" pid="25" name="ContentTypeId">
    <vt:lpwstr>0x01010053828CC8F99F4647B866DC080C333B74</vt:lpwstr>
  </property>
</Properties>
</file>