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8801E0" w14:textId="62D2C02C" w:rsidR="001B103E" w:rsidRDefault="0079182E" w:rsidP="00F74804">
      <w:pPr>
        <w:pStyle w:val="Title"/>
        <w:spacing w:line="360" w:lineRule="auto"/>
      </w:pPr>
      <w:r>
        <w:t>Floristic</w:t>
      </w:r>
      <w:r w:rsidR="00182EC5">
        <w:t xml:space="preserve"> change in</w:t>
      </w:r>
      <w:r w:rsidR="00F474B6">
        <w:t xml:space="preserve"> </w:t>
      </w:r>
      <w:r w:rsidR="001B103E">
        <w:t xml:space="preserve">Brazil’s southern Atlantic </w:t>
      </w:r>
      <w:r w:rsidR="00DE6E5F">
        <w:t xml:space="preserve">Forest </w:t>
      </w:r>
      <w:r w:rsidR="00AC3880">
        <w:t>Biodiversity Hotspot:</w:t>
      </w:r>
      <w:r w:rsidR="00F474B6">
        <w:t xml:space="preserve"> from the Last Glacial Maximum to the late</w:t>
      </w:r>
      <w:r w:rsidR="00FD0462">
        <w:t xml:space="preserve"> </w:t>
      </w:r>
      <w:r w:rsidR="00F474B6">
        <w:t>21</w:t>
      </w:r>
      <w:r w:rsidR="00F474B6" w:rsidRPr="00F474B6">
        <w:rPr>
          <w:vertAlign w:val="superscript"/>
        </w:rPr>
        <w:t>st</w:t>
      </w:r>
      <w:r w:rsidR="00F474B6">
        <w:t xml:space="preserve"> Century</w:t>
      </w:r>
    </w:p>
    <w:p w14:paraId="14690A07" w14:textId="76623208" w:rsidR="004E65CB" w:rsidRDefault="004E65CB" w:rsidP="00F74804">
      <w:pPr>
        <w:pStyle w:val="Heading1"/>
        <w:spacing w:line="360" w:lineRule="auto"/>
      </w:pPr>
      <w:r>
        <w:t>Authors</w:t>
      </w:r>
    </w:p>
    <w:p w14:paraId="1E8CCABF" w14:textId="19A4DFE9" w:rsidR="00CA5A26" w:rsidRPr="00CA5A26" w:rsidRDefault="004E65CB" w:rsidP="00F74804">
      <w:pPr>
        <w:spacing w:line="360" w:lineRule="auto"/>
        <w:rPr>
          <w:vertAlign w:val="superscript"/>
        </w:rPr>
      </w:pPr>
      <w:r w:rsidRPr="00CA5A26">
        <w:t xml:space="preserve">Oliver J. </w:t>
      </w:r>
      <w:proofErr w:type="spellStart"/>
      <w:r w:rsidRPr="00CA5A26">
        <w:t>Wilson</w:t>
      </w:r>
      <w:r w:rsidR="00CA5A26">
        <w:rPr>
          <w:vertAlign w:val="superscript"/>
        </w:rPr>
        <w:t>a</w:t>
      </w:r>
      <w:proofErr w:type="spellEnd"/>
      <w:r w:rsidR="00CA5A26">
        <w:t>*, Francis E. Mayle</w:t>
      </w:r>
      <w:r w:rsidR="00CA5A26">
        <w:rPr>
          <w:vertAlign w:val="superscript"/>
        </w:rPr>
        <w:t>a</w:t>
      </w:r>
      <w:r w:rsidR="00CA5A26">
        <w:t xml:space="preserve">, Richard J. </w:t>
      </w:r>
      <w:proofErr w:type="spellStart"/>
      <w:proofErr w:type="gramStart"/>
      <w:r w:rsidR="00CA5A26">
        <w:t>Walters</w:t>
      </w:r>
      <w:r w:rsidR="00CA5A26">
        <w:rPr>
          <w:vertAlign w:val="superscript"/>
        </w:rPr>
        <w:t>b,c</w:t>
      </w:r>
      <w:proofErr w:type="spellEnd"/>
      <w:proofErr w:type="gramEnd"/>
      <w:r w:rsidR="00CA5A26">
        <w:t xml:space="preserve">, Débora V. </w:t>
      </w:r>
      <w:proofErr w:type="spellStart"/>
      <w:r w:rsidR="00CA5A26">
        <w:t>Lingner</w:t>
      </w:r>
      <w:r w:rsidR="00CA5A26">
        <w:rPr>
          <w:vertAlign w:val="superscript"/>
        </w:rPr>
        <w:t>d</w:t>
      </w:r>
      <w:proofErr w:type="spellEnd"/>
      <w:r w:rsidR="00CA5A26">
        <w:t xml:space="preserve">, Alexander C. </w:t>
      </w:r>
      <w:proofErr w:type="spellStart"/>
      <w:r w:rsidR="00CA5A26">
        <w:t>Vibrans</w:t>
      </w:r>
      <w:r w:rsidR="00CA5A26">
        <w:rPr>
          <w:vertAlign w:val="superscript"/>
        </w:rPr>
        <w:t>d</w:t>
      </w:r>
      <w:proofErr w:type="spellEnd"/>
    </w:p>
    <w:p w14:paraId="53A36647" w14:textId="4BF611B8" w:rsidR="00CA5A26" w:rsidRDefault="00CA5A26" w:rsidP="00F74804">
      <w:pPr>
        <w:spacing w:line="360" w:lineRule="auto"/>
      </w:pPr>
      <w:r>
        <w:t>* C</w:t>
      </w:r>
      <w:r w:rsidRPr="00CA5A26">
        <w:t>orresponding author</w:t>
      </w:r>
      <w:r>
        <w:t xml:space="preserve"> </w:t>
      </w:r>
    </w:p>
    <w:p w14:paraId="6B8EC4B3" w14:textId="231C7CA2" w:rsidR="00CA5A26" w:rsidRDefault="00CA5A26" w:rsidP="00F74804">
      <w:pPr>
        <w:spacing w:line="360" w:lineRule="auto"/>
      </w:pPr>
      <w:r>
        <w:rPr>
          <w:vertAlign w:val="superscript"/>
        </w:rPr>
        <w:t>a</w:t>
      </w:r>
      <w:r w:rsidRPr="00E8600E">
        <w:t xml:space="preserve"> </w:t>
      </w:r>
      <w:r>
        <w:t xml:space="preserve">School of Archaeology, Geography and Environmental Science, University of Reading, UK. </w:t>
      </w:r>
      <w:r w:rsidR="00E8600E">
        <w:t xml:space="preserve">University of Reading, </w:t>
      </w:r>
      <w:r>
        <w:t>Wager Building, Pepper Lane, Whiteknights, Reading, RG6 6EJ, UK.</w:t>
      </w:r>
    </w:p>
    <w:p w14:paraId="01F8DEC9" w14:textId="0561B669" w:rsidR="009C4017" w:rsidRDefault="00CA5A26" w:rsidP="00F74804">
      <w:pPr>
        <w:spacing w:line="360" w:lineRule="auto"/>
      </w:pPr>
      <w:r>
        <w:rPr>
          <w:vertAlign w:val="superscript"/>
        </w:rPr>
        <w:t>b</w:t>
      </w:r>
      <w:r>
        <w:t xml:space="preserve"> School of Biological Sciences, University of Reading, UK. </w:t>
      </w:r>
      <w:r w:rsidR="00E8600E">
        <w:t xml:space="preserve">University of Reading, </w:t>
      </w:r>
      <w:r>
        <w:t>Health and Life Sciences Building</w:t>
      </w:r>
      <w:r w:rsidR="009C4017">
        <w:t xml:space="preserve">, </w:t>
      </w:r>
      <w:r>
        <w:t>Whiteknights</w:t>
      </w:r>
      <w:r w:rsidR="009C4017">
        <w:t xml:space="preserve">, </w:t>
      </w:r>
      <w:r>
        <w:t>Reading</w:t>
      </w:r>
      <w:r w:rsidR="009C4017">
        <w:t xml:space="preserve">, </w:t>
      </w:r>
      <w:r>
        <w:t>RG6 6EX</w:t>
      </w:r>
      <w:r w:rsidR="009C4017">
        <w:t>, UK.</w:t>
      </w:r>
    </w:p>
    <w:p w14:paraId="64AE0CAE" w14:textId="013BD11B" w:rsidR="009C4017" w:rsidRDefault="009C4017" w:rsidP="00F74804">
      <w:pPr>
        <w:spacing w:line="360" w:lineRule="auto"/>
      </w:pPr>
      <w:r>
        <w:rPr>
          <w:vertAlign w:val="superscript"/>
        </w:rPr>
        <w:t>c</w:t>
      </w:r>
      <w:r>
        <w:t xml:space="preserve"> Department of Biology, Lund University, Sweden. </w:t>
      </w:r>
      <w:proofErr w:type="spellStart"/>
      <w:r w:rsidRPr="009C4017">
        <w:t>Ekologihuset</w:t>
      </w:r>
      <w:proofErr w:type="spellEnd"/>
      <w:r w:rsidRPr="009C4017">
        <w:t xml:space="preserve">, </w:t>
      </w:r>
      <w:proofErr w:type="spellStart"/>
      <w:r w:rsidRPr="009C4017">
        <w:t>Sölvegatan</w:t>
      </w:r>
      <w:proofErr w:type="spellEnd"/>
      <w:r w:rsidRPr="009C4017">
        <w:t xml:space="preserve"> 37, 223 62 Lund</w:t>
      </w:r>
      <w:r>
        <w:t>, Sweden.</w:t>
      </w:r>
    </w:p>
    <w:p w14:paraId="6ED1A0AB" w14:textId="031EDB07" w:rsidR="009C4017" w:rsidRDefault="009C4017" w:rsidP="00F74804">
      <w:pPr>
        <w:spacing w:line="360" w:lineRule="auto"/>
      </w:pPr>
      <w:r>
        <w:rPr>
          <w:vertAlign w:val="superscript"/>
        </w:rPr>
        <w:t>d</w:t>
      </w:r>
      <w:r>
        <w:t xml:space="preserve"> </w:t>
      </w:r>
      <w:r w:rsidRPr="009C4017">
        <w:t xml:space="preserve">Department of Forest Engineering, </w:t>
      </w:r>
      <w:proofErr w:type="spellStart"/>
      <w:r w:rsidRPr="009C4017">
        <w:t>Universidade</w:t>
      </w:r>
      <w:proofErr w:type="spellEnd"/>
      <w:r w:rsidRPr="009C4017">
        <w:t xml:space="preserve"> Regional de Blumenau, Brazil</w:t>
      </w:r>
      <w:r>
        <w:t xml:space="preserve">. </w:t>
      </w:r>
      <w:proofErr w:type="spellStart"/>
      <w:r w:rsidR="00E8600E">
        <w:t>Fundação</w:t>
      </w:r>
      <w:proofErr w:type="spellEnd"/>
      <w:r w:rsidR="00E8600E">
        <w:t xml:space="preserve"> </w:t>
      </w:r>
      <w:proofErr w:type="spellStart"/>
      <w:r w:rsidR="00E8600E">
        <w:t>Universidade</w:t>
      </w:r>
      <w:proofErr w:type="spellEnd"/>
      <w:r w:rsidR="00E8600E">
        <w:t xml:space="preserve"> Regional de Blumenau, </w:t>
      </w:r>
      <w:proofErr w:type="spellStart"/>
      <w:r w:rsidR="00E8600E">
        <w:t>Departamento</w:t>
      </w:r>
      <w:proofErr w:type="spellEnd"/>
      <w:r w:rsidR="00E8600E">
        <w:t xml:space="preserve"> de </w:t>
      </w:r>
      <w:proofErr w:type="spellStart"/>
      <w:r w:rsidR="00E8600E">
        <w:t>Engenharia</w:t>
      </w:r>
      <w:proofErr w:type="spellEnd"/>
      <w:r w:rsidR="00E8600E">
        <w:t xml:space="preserve"> Florestal, Rua São Paulo, 3250 </w:t>
      </w:r>
      <w:proofErr w:type="spellStart"/>
      <w:r w:rsidR="00E8600E">
        <w:t>Itoupava</w:t>
      </w:r>
      <w:proofErr w:type="spellEnd"/>
      <w:r w:rsidR="00E8600E">
        <w:t xml:space="preserve"> Seca, 89030000 - Blumenau, Santa Catarina, </w:t>
      </w:r>
      <w:proofErr w:type="spellStart"/>
      <w:r w:rsidR="00E8600E">
        <w:t>Brasil</w:t>
      </w:r>
      <w:proofErr w:type="spellEnd"/>
      <w:r w:rsidR="00E8600E">
        <w:t>.</w:t>
      </w:r>
    </w:p>
    <w:p w14:paraId="51C54E32" w14:textId="203EAA4E" w:rsidR="00E8600E" w:rsidRDefault="00E8600E" w:rsidP="00F74804">
      <w:pPr>
        <w:spacing w:line="360" w:lineRule="auto"/>
      </w:pPr>
      <w:r>
        <w:t>Email addresses:</w:t>
      </w:r>
    </w:p>
    <w:p w14:paraId="1F1848F5" w14:textId="68B4131C" w:rsidR="00E8600E" w:rsidRDefault="00E8600E" w:rsidP="00F74804">
      <w:pPr>
        <w:spacing w:line="360" w:lineRule="auto"/>
      </w:pPr>
      <w:r>
        <w:t xml:space="preserve">OJW: </w:t>
      </w:r>
      <w:hyperlink r:id="rId9" w:history="1">
        <w:r w:rsidRPr="00880320">
          <w:rPr>
            <w:rStyle w:val="Hyperlink"/>
          </w:rPr>
          <w:t>o.j.wilson@reading.ac.uk</w:t>
        </w:r>
      </w:hyperlink>
    </w:p>
    <w:p w14:paraId="3B528591" w14:textId="5B6C96DE" w:rsidR="00E8600E" w:rsidRPr="00A82061" w:rsidRDefault="00E8600E" w:rsidP="00F74804">
      <w:pPr>
        <w:spacing w:line="360" w:lineRule="auto"/>
        <w:rPr>
          <w:lang w:val="sv-SE"/>
        </w:rPr>
      </w:pPr>
      <w:r w:rsidRPr="00A82061">
        <w:rPr>
          <w:lang w:val="sv-SE"/>
        </w:rPr>
        <w:t xml:space="preserve">FEM: </w:t>
      </w:r>
      <w:r w:rsidR="005C1764">
        <w:fldChar w:fldCharType="begin"/>
      </w:r>
      <w:r w:rsidR="005C1764">
        <w:instrText xml:space="preserve"> HYPERLINK "mailto:f.mayle@reading.ac.uk" </w:instrText>
      </w:r>
      <w:r w:rsidR="005C1764">
        <w:fldChar w:fldCharType="separate"/>
      </w:r>
      <w:r w:rsidRPr="00A82061">
        <w:rPr>
          <w:rStyle w:val="Hyperlink"/>
          <w:lang w:val="sv-SE"/>
        </w:rPr>
        <w:t>f.mayle@reading.ac.uk</w:t>
      </w:r>
      <w:r w:rsidR="005C1764">
        <w:rPr>
          <w:rStyle w:val="Hyperlink"/>
          <w:lang w:val="sv-SE"/>
        </w:rPr>
        <w:fldChar w:fldCharType="end"/>
      </w:r>
    </w:p>
    <w:p w14:paraId="30D08FEC" w14:textId="6A4C0DCB" w:rsidR="00E8600E" w:rsidRPr="00A82061" w:rsidRDefault="00E8600E" w:rsidP="00F74804">
      <w:pPr>
        <w:spacing w:line="360" w:lineRule="auto"/>
        <w:rPr>
          <w:lang w:val="sv-SE"/>
        </w:rPr>
      </w:pPr>
      <w:r w:rsidRPr="00A82061">
        <w:rPr>
          <w:lang w:val="sv-SE"/>
        </w:rPr>
        <w:t xml:space="preserve">RJW: </w:t>
      </w:r>
      <w:r w:rsidR="005C1764">
        <w:fldChar w:fldCharType="begin"/>
      </w:r>
      <w:r w:rsidR="005C1764">
        <w:instrText xml:space="preserve"> HYPERLINK "mailto:richard.walters@biol.lu.se" </w:instrText>
      </w:r>
      <w:r w:rsidR="005C1764">
        <w:fldChar w:fldCharType="separate"/>
      </w:r>
      <w:r w:rsidRPr="00A82061">
        <w:rPr>
          <w:rStyle w:val="Hyperlink"/>
          <w:lang w:val="sv-SE"/>
        </w:rPr>
        <w:t>richard.walters@biol.lu.se</w:t>
      </w:r>
      <w:r w:rsidR="005C1764">
        <w:rPr>
          <w:rStyle w:val="Hyperlink"/>
          <w:lang w:val="sv-SE"/>
        </w:rPr>
        <w:fldChar w:fldCharType="end"/>
      </w:r>
    </w:p>
    <w:p w14:paraId="5861FB00" w14:textId="2687C384" w:rsidR="00E8600E" w:rsidRDefault="00E8600E" w:rsidP="00F74804">
      <w:pPr>
        <w:spacing w:line="360" w:lineRule="auto"/>
      </w:pPr>
      <w:r>
        <w:t xml:space="preserve">DVL: </w:t>
      </w:r>
      <w:hyperlink r:id="rId10" w:history="1">
        <w:r w:rsidRPr="00880320">
          <w:rPr>
            <w:rStyle w:val="Hyperlink"/>
          </w:rPr>
          <w:t>dlingner@furb.br</w:t>
        </w:r>
      </w:hyperlink>
      <w:r>
        <w:t xml:space="preserve"> </w:t>
      </w:r>
    </w:p>
    <w:p w14:paraId="73C2705C" w14:textId="7E9BCC72" w:rsidR="00E8600E" w:rsidRPr="009C4017" w:rsidRDefault="00E8600E" w:rsidP="00F74804">
      <w:pPr>
        <w:spacing w:line="360" w:lineRule="auto"/>
      </w:pPr>
      <w:r>
        <w:t xml:space="preserve">ACV: </w:t>
      </w:r>
      <w:hyperlink r:id="rId11" w:history="1">
        <w:r w:rsidRPr="00880320">
          <w:rPr>
            <w:rStyle w:val="Hyperlink"/>
          </w:rPr>
          <w:t>acv@furb.br</w:t>
        </w:r>
      </w:hyperlink>
      <w:r>
        <w:t xml:space="preserve"> </w:t>
      </w:r>
    </w:p>
    <w:p w14:paraId="67383A7E" w14:textId="2E941639" w:rsidR="00E8600E" w:rsidRDefault="00E8600E" w:rsidP="00F74804">
      <w:pPr>
        <w:pStyle w:val="Heading1"/>
        <w:spacing w:line="360" w:lineRule="auto"/>
      </w:pPr>
      <w:r>
        <w:lastRenderedPageBreak/>
        <w:t>Highlights</w:t>
      </w:r>
    </w:p>
    <w:p w14:paraId="02255DFB" w14:textId="0B19DE0C" w:rsidR="00FD0F85" w:rsidRDefault="00D04FD4" w:rsidP="00FD0F85">
      <w:pPr>
        <w:pStyle w:val="ListParagraph"/>
        <w:numPr>
          <w:ilvl w:val="0"/>
          <w:numId w:val="6"/>
        </w:numPr>
        <w:spacing w:line="360" w:lineRule="auto"/>
      </w:pPr>
      <w:r>
        <w:t>Combining m</w:t>
      </w:r>
      <w:r w:rsidR="00D71BB0">
        <w:t>odels and proxy data yield</w:t>
      </w:r>
      <w:r>
        <w:t>s</w:t>
      </w:r>
      <w:r w:rsidR="00D71BB0">
        <w:t xml:space="preserve"> n</w:t>
      </w:r>
      <w:r w:rsidR="009F7D86">
        <w:t>ovel insights into past floristic changes</w:t>
      </w:r>
    </w:p>
    <w:p w14:paraId="278F4E10" w14:textId="7C5EA3DC" w:rsidR="00B85275" w:rsidRDefault="007C1120" w:rsidP="00FD0F85">
      <w:pPr>
        <w:pStyle w:val="ListParagraph"/>
        <w:numPr>
          <w:ilvl w:val="0"/>
          <w:numId w:val="6"/>
        </w:numPr>
        <w:spacing w:line="360" w:lineRule="auto"/>
      </w:pPr>
      <w:r>
        <w:t xml:space="preserve">21,000 years of climate-driven species turnover drove frequent community </w:t>
      </w:r>
      <w:proofErr w:type="gramStart"/>
      <w:r>
        <w:t>change</w:t>
      </w:r>
      <w:proofErr w:type="gramEnd"/>
    </w:p>
    <w:p w14:paraId="2D839445" w14:textId="065D316D" w:rsidR="00FD0F85" w:rsidRDefault="00963057" w:rsidP="00FD0F85">
      <w:pPr>
        <w:pStyle w:val="ListParagraph"/>
        <w:numPr>
          <w:ilvl w:val="0"/>
          <w:numId w:val="6"/>
        </w:numPr>
        <w:spacing w:line="360" w:lineRule="auto"/>
      </w:pPr>
      <w:proofErr w:type="gramStart"/>
      <w:r>
        <w:t>E</w:t>
      </w:r>
      <w:r w:rsidR="002C27BD">
        <w:t>arly</w:t>
      </w:r>
      <w:r w:rsidR="009A1E64">
        <w:t>-</w:t>
      </w:r>
      <w:r w:rsidR="002C27BD">
        <w:t>Holocene</w:t>
      </w:r>
      <w:proofErr w:type="gramEnd"/>
      <w:r w:rsidR="002C27BD">
        <w:t xml:space="preserve"> n</w:t>
      </w:r>
      <w:r w:rsidR="003236EB">
        <w:t xml:space="preserve">o-analogue </w:t>
      </w:r>
      <w:r w:rsidR="00BF1DED">
        <w:t>assemblages</w:t>
      </w:r>
      <w:r w:rsidR="009634B6">
        <w:t xml:space="preserve"> </w:t>
      </w:r>
      <w:r>
        <w:t xml:space="preserve">found </w:t>
      </w:r>
      <w:r w:rsidR="009634B6">
        <w:t xml:space="preserve">in plateau areas </w:t>
      </w:r>
      <w:r w:rsidR="00DC31EF">
        <w:t>away from</w:t>
      </w:r>
      <w:r w:rsidR="009634B6">
        <w:t xml:space="preserve"> proxy </w:t>
      </w:r>
      <w:r w:rsidR="00DC31EF">
        <w:t>sites</w:t>
      </w:r>
    </w:p>
    <w:p w14:paraId="774790C7" w14:textId="1E181F74" w:rsidR="00FD0F85" w:rsidRDefault="008036A0" w:rsidP="00FD0F85">
      <w:pPr>
        <w:pStyle w:val="ListParagraph"/>
        <w:numPr>
          <w:ilvl w:val="0"/>
          <w:numId w:val="6"/>
        </w:numPr>
        <w:spacing w:line="360" w:lineRule="auto"/>
      </w:pPr>
      <w:r>
        <w:t xml:space="preserve">Non-climatic factors </w:t>
      </w:r>
      <w:r w:rsidR="00275696">
        <w:t xml:space="preserve">were most likely </w:t>
      </w:r>
      <w:r w:rsidR="009F4C78">
        <w:t>drivers</w:t>
      </w:r>
      <w:r w:rsidR="00275696">
        <w:t xml:space="preserve"> of</w:t>
      </w:r>
      <w:r>
        <w:t xml:space="preserve"> </w:t>
      </w:r>
      <w:r w:rsidR="00280055">
        <w:t xml:space="preserve">LGM </w:t>
      </w:r>
      <w:r>
        <w:t xml:space="preserve">forest-grassland </w:t>
      </w:r>
      <w:proofErr w:type="gramStart"/>
      <w:r w:rsidR="00F827EB">
        <w:t>structure</w:t>
      </w:r>
      <w:proofErr w:type="gramEnd"/>
    </w:p>
    <w:p w14:paraId="3C8B88DB" w14:textId="373CA852" w:rsidR="00FD0F85" w:rsidRPr="00FD0F85" w:rsidRDefault="009F38B4" w:rsidP="00FD0F85">
      <w:pPr>
        <w:pStyle w:val="ListParagraph"/>
        <w:numPr>
          <w:ilvl w:val="0"/>
          <w:numId w:val="6"/>
        </w:numPr>
        <w:spacing w:line="360" w:lineRule="auto"/>
      </w:pPr>
      <w:r>
        <w:t xml:space="preserve">By the 2070s, </w:t>
      </w:r>
      <w:r w:rsidR="00EF385C">
        <w:t xml:space="preserve">S. Brazil </w:t>
      </w:r>
      <w:r>
        <w:t xml:space="preserve">could </w:t>
      </w:r>
      <w:r w:rsidR="00EF385C">
        <w:t>se</w:t>
      </w:r>
      <w:r>
        <w:t xml:space="preserve">e more </w:t>
      </w:r>
      <w:r w:rsidR="00602449">
        <w:t xml:space="preserve">floristic change than any </w:t>
      </w:r>
      <w:r w:rsidR="00EF385C">
        <w:t>time</w:t>
      </w:r>
      <w:r w:rsidR="00602449">
        <w:t xml:space="preserve"> since the </w:t>
      </w:r>
      <w:proofErr w:type="gramStart"/>
      <w:r w:rsidR="00EF385C">
        <w:t>LGM</w:t>
      </w:r>
      <w:proofErr w:type="gramEnd"/>
    </w:p>
    <w:p w14:paraId="3E5749AF" w14:textId="2CE5AB7F" w:rsidR="004E65CB" w:rsidRDefault="004E65CB" w:rsidP="00F74804">
      <w:pPr>
        <w:pStyle w:val="Heading1"/>
        <w:spacing w:line="360" w:lineRule="auto"/>
      </w:pPr>
      <w:r>
        <w:t>Abstract</w:t>
      </w:r>
    </w:p>
    <w:p w14:paraId="01F0FBF6" w14:textId="2AC0289F" w:rsidR="00B10C12" w:rsidRPr="00803D66" w:rsidRDefault="002F74BC" w:rsidP="00EC03A5">
      <w:pPr>
        <w:spacing w:line="360" w:lineRule="auto"/>
      </w:pPr>
      <w:r>
        <w:t xml:space="preserve">Brazil’s Atlantic Forest biome is </w:t>
      </w:r>
      <w:r w:rsidR="002F6FD6">
        <w:t xml:space="preserve">one of the world’s </w:t>
      </w:r>
      <w:r w:rsidR="00671DD4">
        <w:t xml:space="preserve">biodiversity </w:t>
      </w:r>
      <w:r>
        <w:t>hotspot</w:t>
      </w:r>
      <w:r w:rsidR="00671DD4">
        <w:t xml:space="preserve">s, </w:t>
      </w:r>
      <w:r>
        <w:t xml:space="preserve">whose </w:t>
      </w:r>
      <w:r w:rsidR="00EC03A5">
        <w:t>heterogeneous ecosystems are threatened by habitat loss</w:t>
      </w:r>
      <w:r w:rsidR="000F034A">
        <w:t xml:space="preserve"> and</w:t>
      </w:r>
      <w:r w:rsidR="00940E40">
        <w:t xml:space="preserve"> </w:t>
      </w:r>
      <w:r w:rsidR="00EC03A5">
        <w:t>climate change.</w:t>
      </w:r>
      <w:r w:rsidR="0009402D">
        <w:t xml:space="preserve"> </w:t>
      </w:r>
      <w:r w:rsidR="00E64DF2">
        <w:t xml:space="preserve">Palaeoecological research </w:t>
      </w:r>
      <w:r w:rsidR="005550F2">
        <w:t xml:space="preserve">can </w:t>
      </w:r>
      <w:r w:rsidR="00E64DF2">
        <w:t>provide essential context</w:t>
      </w:r>
      <w:r w:rsidR="00E44A9C">
        <w:t xml:space="preserve"> for </w:t>
      </w:r>
      <w:r w:rsidR="00DF3980">
        <w:t>the impacts of anthropogenic climate change in the 21</w:t>
      </w:r>
      <w:r w:rsidR="00DF3980" w:rsidRPr="00DF3980">
        <w:rPr>
          <w:vertAlign w:val="superscript"/>
        </w:rPr>
        <w:t>st</w:t>
      </w:r>
      <w:r w:rsidR="00DF3980">
        <w:t xml:space="preserve"> Century and beyond</w:t>
      </w:r>
      <w:r w:rsidR="00E64DF2">
        <w:t xml:space="preserve">, </w:t>
      </w:r>
      <w:r w:rsidR="00A01CCB">
        <w:t xml:space="preserve">but </w:t>
      </w:r>
      <w:r w:rsidR="00B058E4">
        <w:t xml:space="preserve">existing studies have notable limitations in the insights they can provide: </w:t>
      </w:r>
      <w:r w:rsidR="00124451">
        <w:t xml:space="preserve">vegetation </w:t>
      </w:r>
      <w:r w:rsidR="00A01CCB">
        <w:t xml:space="preserve">proxy data </w:t>
      </w:r>
      <w:r w:rsidR="00E870F2">
        <w:t>are</w:t>
      </w:r>
      <w:r w:rsidR="00B058E4">
        <w:t xml:space="preserve"> spatially and temporally </w:t>
      </w:r>
      <w:r w:rsidR="002D3D58">
        <w:t xml:space="preserve">skewed </w:t>
      </w:r>
      <w:r w:rsidR="00122260">
        <w:t xml:space="preserve">with </w:t>
      </w:r>
      <w:r w:rsidR="002C026F">
        <w:t xml:space="preserve">inconsistent </w:t>
      </w:r>
      <w:r w:rsidR="00B058E4">
        <w:t>taxonomic</w:t>
      </w:r>
      <w:r w:rsidR="00122260">
        <w:t xml:space="preserve"> resolution</w:t>
      </w:r>
      <w:r w:rsidR="00F86333">
        <w:t>;</w:t>
      </w:r>
      <w:r w:rsidR="00B058E4">
        <w:t xml:space="preserve"> </w:t>
      </w:r>
      <w:r w:rsidR="00A01CCB">
        <w:t xml:space="preserve">existing modelling studies </w:t>
      </w:r>
      <w:r w:rsidR="003E552E">
        <w:t xml:space="preserve">typically </w:t>
      </w:r>
      <w:r w:rsidR="00435C54">
        <w:t xml:space="preserve">overlook </w:t>
      </w:r>
      <w:r w:rsidR="002D3D58">
        <w:t xml:space="preserve">individualistic </w:t>
      </w:r>
      <w:r w:rsidR="00435C54">
        <w:t xml:space="preserve">species-level </w:t>
      </w:r>
      <w:r w:rsidR="002D3D58">
        <w:t>responses</w:t>
      </w:r>
      <w:r w:rsidR="00F86333">
        <w:t xml:space="preserve">, </w:t>
      </w:r>
      <w:r w:rsidR="00E870F2">
        <w:t xml:space="preserve">are limited in temporal </w:t>
      </w:r>
      <w:r w:rsidR="008726AF">
        <w:t>coverage</w:t>
      </w:r>
      <w:r w:rsidR="00CA1315">
        <w:t xml:space="preserve">, </w:t>
      </w:r>
      <w:r w:rsidR="00122260">
        <w:t>and lack close integration with</w:t>
      </w:r>
      <w:r w:rsidR="00F86333">
        <w:t xml:space="preserve"> </w:t>
      </w:r>
      <w:r w:rsidR="00CA1315">
        <w:t xml:space="preserve">empirical </w:t>
      </w:r>
      <w:r w:rsidR="00F86333">
        <w:t>palaeoecological data</w:t>
      </w:r>
      <w:r w:rsidR="00A01CCB">
        <w:t xml:space="preserve">. </w:t>
      </w:r>
      <w:r w:rsidR="006F3B44">
        <w:t xml:space="preserve">Here, we </w:t>
      </w:r>
      <w:r w:rsidR="00C20354">
        <w:t>investigate the impact of major climate change</w:t>
      </w:r>
      <w:r w:rsidR="00A52B66">
        <w:t>s</w:t>
      </w:r>
      <w:r w:rsidR="00C20354">
        <w:t xml:space="preserve"> upon </w:t>
      </w:r>
      <w:r w:rsidR="003459A1">
        <w:t xml:space="preserve">the </w:t>
      </w:r>
      <w:r w:rsidR="00AF7436">
        <w:t xml:space="preserve">species-level </w:t>
      </w:r>
      <w:r w:rsidR="003459A1">
        <w:t>floristic composition of</w:t>
      </w:r>
      <w:r w:rsidR="00C20354">
        <w:t xml:space="preserve"> </w:t>
      </w:r>
      <w:r w:rsidR="00253A68">
        <w:t xml:space="preserve">southern </w:t>
      </w:r>
      <w:r w:rsidR="00C20354">
        <w:t>Brazil’s Atlantic Forest, from the Last Glacial Maximum (LGM) to the late 21</w:t>
      </w:r>
      <w:r w:rsidR="00C20354" w:rsidRPr="000E45BB">
        <w:rPr>
          <w:vertAlign w:val="superscript"/>
        </w:rPr>
        <w:t>st</w:t>
      </w:r>
      <w:r w:rsidR="00C20354">
        <w:t xml:space="preserve"> century</w:t>
      </w:r>
      <w:r w:rsidR="00253A68">
        <w:t xml:space="preserve">, </w:t>
      </w:r>
      <w:r w:rsidR="003459A1">
        <w:t xml:space="preserve">by </w:t>
      </w:r>
      <w:r w:rsidR="00F162E9">
        <w:t>model</w:t>
      </w:r>
      <w:r w:rsidR="003459A1">
        <w:t>ling</w:t>
      </w:r>
      <w:r w:rsidR="00F162E9">
        <w:t xml:space="preserve"> the distributions of 30 key species </w:t>
      </w:r>
      <w:r w:rsidR="003459A1">
        <w:t>at seven time slices since the LGM and compar</w:t>
      </w:r>
      <w:r w:rsidR="004E1082">
        <w:t>ing</w:t>
      </w:r>
      <w:r w:rsidR="003459A1">
        <w:t xml:space="preserve"> the</w:t>
      </w:r>
      <w:r w:rsidR="0002661F">
        <w:t xml:space="preserve"> assemblages they form</w:t>
      </w:r>
      <w:r w:rsidR="003459A1">
        <w:t xml:space="preserve"> </w:t>
      </w:r>
      <w:r w:rsidR="00C20354">
        <w:t>with</w:t>
      </w:r>
      <w:r w:rsidR="00F0300B">
        <w:t xml:space="preserve"> an unprecedented dataset of palaeoecological </w:t>
      </w:r>
      <w:r w:rsidR="002965E4">
        <w:t xml:space="preserve">proxy </w:t>
      </w:r>
      <w:r w:rsidR="00E870F2">
        <w:t>data</w:t>
      </w:r>
      <w:r w:rsidR="00F0300B">
        <w:t>.</w:t>
      </w:r>
      <w:r w:rsidR="00FA798C">
        <w:t xml:space="preserve"> We find </w:t>
      </w:r>
      <w:r w:rsidR="0050219F">
        <w:t xml:space="preserve">notable compositional changes </w:t>
      </w:r>
      <w:r w:rsidR="00311907">
        <w:t xml:space="preserve">through time </w:t>
      </w:r>
      <w:r w:rsidR="0050219F">
        <w:t>across our stud</w:t>
      </w:r>
      <w:r w:rsidR="00311907">
        <w:t>y</w:t>
      </w:r>
      <w:r w:rsidR="0050219F">
        <w:t xml:space="preserve"> area</w:t>
      </w:r>
      <w:r w:rsidR="003459A1">
        <w:t>,</w:t>
      </w:r>
      <w:r w:rsidR="0050219F">
        <w:t xml:space="preserve"> </w:t>
      </w:r>
      <w:r w:rsidR="003459A1">
        <w:t>especially</w:t>
      </w:r>
      <w:r w:rsidR="00DB35F0">
        <w:t xml:space="preserve"> during the early Holocene,</w:t>
      </w:r>
      <w:r w:rsidR="00987A21">
        <w:t xml:space="preserve"> </w:t>
      </w:r>
      <w:r w:rsidR="003459A1">
        <w:t>which was characterised by</w:t>
      </w:r>
      <w:r w:rsidR="00987A21">
        <w:t xml:space="preserve"> </w:t>
      </w:r>
      <w:r w:rsidR="00AA1406">
        <w:t xml:space="preserve">extensive </w:t>
      </w:r>
      <w:r w:rsidR="00987A21">
        <w:t xml:space="preserve">no-analogue </w:t>
      </w:r>
      <w:r w:rsidR="003459A1">
        <w:t>plant communities</w:t>
      </w:r>
      <w:r w:rsidR="00DB35F0">
        <w:t xml:space="preserve">. </w:t>
      </w:r>
      <w:r w:rsidR="00D93016">
        <w:t xml:space="preserve">Aspects of these </w:t>
      </w:r>
      <w:r w:rsidR="003459A1">
        <w:t xml:space="preserve">modelled </w:t>
      </w:r>
      <w:r w:rsidR="00D93016">
        <w:t xml:space="preserve">floristic changes are captured in proxy </w:t>
      </w:r>
      <w:proofErr w:type="gramStart"/>
      <w:r w:rsidR="00D93016">
        <w:t>records</w:t>
      </w:r>
      <w:proofErr w:type="gramEnd"/>
      <w:r w:rsidR="00D93016">
        <w:t xml:space="preserve"> but </w:t>
      </w:r>
      <w:r w:rsidR="00AB6252">
        <w:t xml:space="preserve">many </w:t>
      </w:r>
      <w:r w:rsidR="000F5028">
        <w:t>occur</w:t>
      </w:r>
      <w:r w:rsidR="00AB6252">
        <w:t xml:space="preserve"> in data-sparse regions, </w:t>
      </w:r>
      <w:r w:rsidR="00FC1F6E">
        <w:t xml:space="preserve">highlighting </w:t>
      </w:r>
      <w:r w:rsidR="00D244B9">
        <w:t xml:space="preserve">geographic </w:t>
      </w:r>
      <w:r w:rsidR="000A3637">
        <w:t>foci</w:t>
      </w:r>
      <w:r w:rsidR="00311907">
        <w:t xml:space="preserve"> for </w:t>
      </w:r>
      <w:r w:rsidR="00C20354">
        <w:t>future</w:t>
      </w:r>
      <w:r w:rsidR="00D244B9">
        <w:t xml:space="preserve"> palaeoecological</w:t>
      </w:r>
      <w:r w:rsidR="00311907">
        <w:t xml:space="preserve"> investigation to test these </w:t>
      </w:r>
      <w:r w:rsidR="00D244B9">
        <w:t xml:space="preserve">model </w:t>
      </w:r>
      <w:r w:rsidR="00311907">
        <w:t xml:space="preserve">predictions. </w:t>
      </w:r>
      <w:r w:rsidR="002978A1">
        <w:t xml:space="preserve">Our findings </w:t>
      </w:r>
      <w:r w:rsidR="003459A1">
        <w:t>highlight the individualistic responses of Atlantic Forest plant species to climate change and help resolve long-standing</w:t>
      </w:r>
      <w:r w:rsidR="002978A1">
        <w:t xml:space="preserve"> palaeoecological questions</w:t>
      </w:r>
      <w:r w:rsidR="00E67488">
        <w:t xml:space="preserve"> </w:t>
      </w:r>
      <w:r w:rsidR="00EE2495">
        <w:t>–</w:t>
      </w:r>
      <w:r w:rsidR="002978A1">
        <w:t xml:space="preserve"> </w:t>
      </w:r>
      <w:r w:rsidR="007D290A">
        <w:t>explaining</w:t>
      </w:r>
      <w:r w:rsidR="002978A1">
        <w:t xml:space="preserve"> </w:t>
      </w:r>
      <w:r w:rsidR="0075510F">
        <w:t>the dominance of highland</w:t>
      </w:r>
      <w:r w:rsidR="00554E32">
        <w:t xml:space="preserve"> grassland</w:t>
      </w:r>
      <w:r w:rsidR="00106F65">
        <w:t>s</w:t>
      </w:r>
      <w:r w:rsidR="00554E32">
        <w:t xml:space="preserve"> at the Last Glacial Maximum (</w:t>
      </w:r>
      <w:r w:rsidR="008B3A99">
        <w:t>likely</w:t>
      </w:r>
      <w:r w:rsidR="00803D66">
        <w:t xml:space="preserve"> </w:t>
      </w:r>
      <w:r w:rsidR="0075510F">
        <w:t xml:space="preserve">due to </w:t>
      </w:r>
      <w:r w:rsidR="00803D66">
        <w:t>low atmospheric CO</w:t>
      </w:r>
      <w:r w:rsidR="00803D66">
        <w:rPr>
          <w:vertAlign w:val="subscript"/>
        </w:rPr>
        <w:t>2</w:t>
      </w:r>
      <w:r w:rsidR="00803D66" w:rsidRPr="00803D66">
        <w:t xml:space="preserve"> </w:t>
      </w:r>
      <w:r w:rsidR="00803D66">
        <w:t>concentrations)</w:t>
      </w:r>
      <w:r w:rsidR="007F1EB1">
        <w:t>, clarifying</w:t>
      </w:r>
      <w:r w:rsidR="008B3A99">
        <w:t xml:space="preserve"> the</w:t>
      </w:r>
      <w:r w:rsidR="00E14FC3">
        <w:t xml:space="preserve"> LGM</w:t>
      </w:r>
      <w:r w:rsidR="008B3A99">
        <w:t xml:space="preserve"> extent of </w:t>
      </w:r>
      <w:r w:rsidR="00E14FC3">
        <w:t xml:space="preserve">coastal </w:t>
      </w:r>
      <w:r w:rsidR="008B3A99">
        <w:t xml:space="preserve">tropical forest </w:t>
      </w:r>
      <w:r w:rsidR="00E14FC3">
        <w:t xml:space="preserve">(probably in </w:t>
      </w:r>
      <w:r w:rsidR="00026191">
        <w:t xml:space="preserve">a grassland </w:t>
      </w:r>
      <w:r w:rsidR="007F1EB1">
        <w:t xml:space="preserve">matrix </w:t>
      </w:r>
      <w:r w:rsidR="00026191">
        <w:t>on exposed continental shelf)</w:t>
      </w:r>
      <w:r w:rsidR="007F1EB1">
        <w:t xml:space="preserve">, </w:t>
      </w:r>
      <w:r w:rsidR="009D08B3">
        <w:t xml:space="preserve">and explaining </w:t>
      </w:r>
      <w:r w:rsidR="00CB7B7A">
        <w:t xml:space="preserve">the </w:t>
      </w:r>
      <w:r w:rsidR="00F73F4E">
        <w:t>origins</w:t>
      </w:r>
      <w:r w:rsidR="00CB7B7A">
        <w:t xml:space="preserve"> of </w:t>
      </w:r>
      <w:r w:rsidR="009D08B3" w:rsidRPr="00674932">
        <w:rPr>
          <w:i/>
          <w:iCs/>
        </w:rPr>
        <w:t xml:space="preserve">Araucaria </w:t>
      </w:r>
      <w:r w:rsidR="00674932" w:rsidRPr="00674932">
        <w:rPr>
          <w:i/>
          <w:iCs/>
        </w:rPr>
        <w:t>angustifolia’s</w:t>
      </w:r>
      <w:r w:rsidR="009D08B3">
        <w:t xml:space="preserve"> western populations</w:t>
      </w:r>
      <w:r w:rsidR="00CB7B7A">
        <w:t xml:space="preserve"> (from </w:t>
      </w:r>
      <w:r w:rsidR="00372D99">
        <w:t xml:space="preserve">climatic </w:t>
      </w:r>
      <w:r w:rsidR="00CB7B7A">
        <w:t>(micro-)refugia rather than human</w:t>
      </w:r>
      <w:r w:rsidR="00D244B9">
        <w:t>-mediated</w:t>
      </w:r>
      <w:r w:rsidR="00CB7B7A">
        <w:t xml:space="preserve"> dispersal)</w:t>
      </w:r>
      <w:r w:rsidR="00026191">
        <w:t>.</w:t>
      </w:r>
      <w:r w:rsidR="006D16E4">
        <w:t xml:space="preserve"> </w:t>
      </w:r>
      <w:r w:rsidR="00AA1378">
        <w:t>O</w:t>
      </w:r>
      <w:r w:rsidR="006D16E4">
        <w:t>ur results</w:t>
      </w:r>
      <w:r w:rsidR="00AA1378">
        <w:t xml:space="preserve"> also</w:t>
      </w:r>
      <w:r w:rsidR="006D16E4">
        <w:t xml:space="preserve"> set the 21</w:t>
      </w:r>
      <w:r w:rsidR="006D16E4" w:rsidRPr="006D16E4">
        <w:rPr>
          <w:vertAlign w:val="superscript"/>
        </w:rPr>
        <w:t>st</w:t>
      </w:r>
      <w:r w:rsidR="006D16E4">
        <w:t xml:space="preserve"> Century’s impending </w:t>
      </w:r>
      <w:r w:rsidR="0053546F">
        <w:t xml:space="preserve">climate and vegetation </w:t>
      </w:r>
      <w:r w:rsidR="006D16E4">
        <w:t xml:space="preserve">changes in </w:t>
      </w:r>
      <w:r w:rsidR="00372D99">
        <w:t xml:space="preserve">a </w:t>
      </w:r>
      <w:r w:rsidR="006D16E4">
        <w:t>21,000</w:t>
      </w:r>
      <w:r w:rsidR="00372D99">
        <w:t>-</w:t>
      </w:r>
      <w:r w:rsidR="006D16E4">
        <w:t xml:space="preserve">year </w:t>
      </w:r>
      <w:r w:rsidR="00372D99">
        <w:t>temporal</w:t>
      </w:r>
      <w:r w:rsidR="006D16E4">
        <w:t xml:space="preserve"> context, </w:t>
      </w:r>
      <w:r w:rsidR="00372D99">
        <w:t>revealing</w:t>
      </w:r>
      <w:r w:rsidR="006D16E4">
        <w:t xml:space="preserve"> that</w:t>
      </w:r>
      <w:r w:rsidR="00E21044">
        <w:t>, under a high emissions</w:t>
      </w:r>
      <w:r w:rsidR="006D16E4">
        <w:t xml:space="preserve"> </w:t>
      </w:r>
      <w:r w:rsidR="00E21044">
        <w:t>scenario,</w:t>
      </w:r>
      <w:r w:rsidR="0079584A">
        <w:t xml:space="preserve"> </w:t>
      </w:r>
      <w:r w:rsidR="00B96534">
        <w:t>more than 100,000</w:t>
      </w:r>
      <w:r w:rsidR="00ED75E4">
        <w:t xml:space="preserve"> </w:t>
      </w:r>
      <w:r w:rsidR="00B96534">
        <w:t>km</w:t>
      </w:r>
      <w:r w:rsidR="00B96534">
        <w:rPr>
          <w:vertAlign w:val="superscript"/>
        </w:rPr>
        <w:t>2</w:t>
      </w:r>
      <w:r w:rsidR="0079584A">
        <w:t xml:space="preserve"> of the southern Atlantic Forest will experience more</w:t>
      </w:r>
      <w:r w:rsidR="00625348">
        <w:t xml:space="preserve"> </w:t>
      </w:r>
      <w:r w:rsidR="0079584A">
        <w:t>climat</w:t>
      </w:r>
      <w:r w:rsidR="00AA1378">
        <w:t>e-driven</w:t>
      </w:r>
      <w:r w:rsidR="0079584A">
        <w:t xml:space="preserve"> floristic change in the coming decades than </w:t>
      </w:r>
      <w:r w:rsidR="00C630C5">
        <w:t>it has</w:t>
      </w:r>
      <w:r w:rsidR="0079584A">
        <w:t xml:space="preserve"> in the last</w:t>
      </w:r>
      <w:r w:rsidR="00E57824">
        <w:t xml:space="preserve"> 21 millennia</w:t>
      </w:r>
      <w:r w:rsidR="00B216A7">
        <w:t xml:space="preserve">. </w:t>
      </w:r>
    </w:p>
    <w:p w14:paraId="013DC80A" w14:textId="538D49D3" w:rsidR="004E65CB" w:rsidRDefault="004E65CB" w:rsidP="00F74804">
      <w:pPr>
        <w:pStyle w:val="Heading1"/>
        <w:spacing w:line="360" w:lineRule="auto"/>
      </w:pPr>
      <w:r>
        <w:lastRenderedPageBreak/>
        <w:t>Key words</w:t>
      </w:r>
    </w:p>
    <w:p w14:paraId="6572170D" w14:textId="29B05BDB" w:rsidR="00F94885" w:rsidRPr="00F94885" w:rsidRDefault="009A6BCD" w:rsidP="00F94885">
      <w:r>
        <w:t>Late Q</w:t>
      </w:r>
      <w:r w:rsidR="00FC0F1C">
        <w:t>uaternary;</w:t>
      </w:r>
      <w:r w:rsidR="00AA1378">
        <w:t xml:space="preserve"> </w:t>
      </w:r>
      <w:r w:rsidR="00FC0F1C">
        <w:t>Presen</w:t>
      </w:r>
      <w:r w:rsidR="005C6C7F">
        <w:t>t</w:t>
      </w:r>
      <w:r w:rsidR="00FC0F1C">
        <w:t xml:space="preserve">; Anthropocene; </w:t>
      </w:r>
      <w:r w:rsidR="004E7014">
        <w:t>Palaeo</w:t>
      </w:r>
      <w:r>
        <w:t>ecolog</w:t>
      </w:r>
      <w:r w:rsidR="004E7014">
        <w:t xml:space="preserve">y; </w:t>
      </w:r>
      <w:r w:rsidR="00FD0462">
        <w:t xml:space="preserve">Conservation; </w:t>
      </w:r>
      <w:r w:rsidR="00E131B0">
        <w:t>South America; Vegetation dynamics</w:t>
      </w:r>
      <w:r w:rsidR="00AA1378">
        <w:t>; Atlantic Forest</w:t>
      </w:r>
      <w:r w:rsidR="00D244B9">
        <w:t xml:space="preserve">; </w:t>
      </w:r>
      <w:r w:rsidR="0088379D">
        <w:t>Biodiversity Hotspot; C</w:t>
      </w:r>
      <w:r w:rsidR="00D244B9">
        <w:t>limate change.</w:t>
      </w:r>
    </w:p>
    <w:p w14:paraId="791FCAD1" w14:textId="7FBE7915" w:rsidR="00E8600E" w:rsidRDefault="00E8600E" w:rsidP="00F74804">
      <w:pPr>
        <w:pStyle w:val="Heading1"/>
        <w:spacing w:line="360" w:lineRule="auto"/>
      </w:pPr>
      <w:r>
        <w:t>Abbreviations</w:t>
      </w:r>
    </w:p>
    <w:p w14:paraId="493809F9" w14:textId="1E5B7A59" w:rsidR="00E8600E" w:rsidRDefault="00E8600E" w:rsidP="00F74804">
      <w:pPr>
        <w:spacing w:line="360" w:lineRule="auto"/>
      </w:pPr>
      <w:r>
        <w:t>SDM: species distribution model</w:t>
      </w:r>
    </w:p>
    <w:p w14:paraId="1728247D" w14:textId="75B6C6E9" w:rsidR="00E8600E" w:rsidRDefault="00E8600E" w:rsidP="00F74804">
      <w:pPr>
        <w:spacing w:line="360" w:lineRule="auto"/>
      </w:pPr>
      <w:r>
        <w:t>ARF: Atlantic rainforest</w:t>
      </w:r>
    </w:p>
    <w:p w14:paraId="0614CD7D" w14:textId="58E395E5" w:rsidR="00E8600E" w:rsidRDefault="00E8600E" w:rsidP="00F74804">
      <w:pPr>
        <w:spacing w:line="360" w:lineRule="auto"/>
      </w:pPr>
      <w:r>
        <w:t>AMF: Araucaria mixed forest</w:t>
      </w:r>
    </w:p>
    <w:p w14:paraId="091A6556" w14:textId="7061D004" w:rsidR="00E8600E" w:rsidRDefault="00E8600E" w:rsidP="00F74804">
      <w:pPr>
        <w:spacing w:line="360" w:lineRule="auto"/>
      </w:pPr>
      <w:r>
        <w:t>SDF: seasonally deciduous forest</w:t>
      </w:r>
    </w:p>
    <w:p w14:paraId="73762D2D" w14:textId="22D4AE12" w:rsidR="00722704" w:rsidRPr="00E8600E" w:rsidRDefault="00722704" w:rsidP="00F74804">
      <w:pPr>
        <w:spacing w:line="360" w:lineRule="auto"/>
      </w:pPr>
      <w:r>
        <w:t>LGM: Last Glacial Maximum</w:t>
      </w:r>
    </w:p>
    <w:p w14:paraId="5A9E6799" w14:textId="25E9604C" w:rsidR="00971E4F" w:rsidRDefault="001B103E" w:rsidP="00F74804">
      <w:pPr>
        <w:pStyle w:val="Heading1"/>
        <w:numPr>
          <w:ilvl w:val="0"/>
          <w:numId w:val="5"/>
        </w:numPr>
        <w:spacing w:line="360" w:lineRule="auto"/>
      </w:pPr>
      <w:r>
        <w:t>Introduction</w:t>
      </w:r>
    </w:p>
    <w:p w14:paraId="340A6D1B" w14:textId="1DDD325F" w:rsidR="00981343" w:rsidRDefault="001B103E" w:rsidP="00907AA0">
      <w:pPr>
        <w:spacing w:line="360" w:lineRule="auto"/>
      </w:pPr>
      <w:r>
        <w:t>Brazil’s Atlantic Forest biome is a global biodiversity hotspot</w:t>
      </w:r>
      <w:r w:rsidR="008651A4">
        <w:t xml:space="preserve">: around one in every fifty species of vascular plants and non-fish vertebrates on Earth is endemic to this </w:t>
      </w:r>
      <w:r w:rsidR="00A83808">
        <w:t>heterogeneous mix of ecosystems</w:t>
      </w:r>
      <w:r w:rsidR="008651A4">
        <w:t>, which stretches</w:t>
      </w:r>
      <w:r w:rsidR="00867BCF">
        <w:t xml:space="preserve"> over </w:t>
      </w:r>
      <w:r w:rsidR="00A83808">
        <w:t>3</w:t>
      </w:r>
      <w:r w:rsidR="002B2A60">
        <w:t>,0</w:t>
      </w:r>
      <w:r w:rsidR="00A83808">
        <w:t>00</w:t>
      </w:r>
      <w:r w:rsidR="00D244B9">
        <w:t xml:space="preserve"> </w:t>
      </w:r>
      <w:r w:rsidR="00A83808">
        <w:t xml:space="preserve">km </w:t>
      </w:r>
      <w:r w:rsidR="00B31895">
        <w:t>along</w:t>
      </w:r>
      <w:r w:rsidR="00A83808">
        <w:t xml:space="preserve"> </w:t>
      </w:r>
      <w:r w:rsidR="00CA4B07">
        <w:t>the country’s</w:t>
      </w:r>
      <w:r w:rsidR="00A83808">
        <w:t xml:space="preserve"> coast and </w:t>
      </w:r>
      <w:r w:rsidR="00CA4B07">
        <w:t>inland as far as Argentina and Paraguay</w:t>
      </w:r>
      <w:r w:rsidR="00D06D58">
        <w:t xml:space="preserve"> </w:t>
      </w:r>
      <w:r w:rsidR="00CA4B07">
        <w:fldChar w:fldCharType="begin" w:fldLock="1"/>
      </w:r>
      <w:r w:rsidR="007F330C">
        <w:instrText>ADDIN CSL_CITATION {"citationItems":[{"id":"ITEM-1","itemData":{"DOI":"10.1038/35002501","ISBN":"0028-0836","ISSN":"00280836","PMID":"10706275","abstract":"Conservationists are far from able to assist all species under threat, if only for lack of funding. This places a premium on priorities: how can we support the most species at the least cost? One way is to identify 'biodiversity hotspots' where exceptional concentrations of endemic species are undergoing exceptional loss of habitat. As many as 44% of all species of vascular plants and 35% of all species in four vertebrate groups are confined to 25 hotspots comprising only 1.4% of the land surface of the Earth. This opens the way for a 'silver bullet' strategy on the part of conservation planners, focusing on these hotspots in proportion to their share of the world's species at risk.","author":[{"dropping-particle":"","family":"Myers","given":"Norman","non-dropping-particle":"","parse-names":false,"suffix":""},{"dropping-particle":"","family":"Mittermeier","given":"Russell A.","non-dropping-particle":"","parse-names":false,"suffix":""},{"dropping-particle":"","family":"Mittermeier","given":"Cristina G","non-dropping-particle":"","parse-names":false,"suffix":""},{"dropping-particle":"","family":"Fonseca","given":"Gustavo A. B.","non-dropping-particle":"da","parse-names":false,"suffix":""},{"dropping-particle":"","family":"Kent","given":"Jennifer","non-dropping-particle":"","parse-names":false,"suffix":""}],"container-title":"Nature","id":"ITEM-1","issue":"6772","issued":{"date-parts":[["2000"]]},"page":"853-858","title":"Biodiversity hotspots for conservation priorities","type":"article-journal","volume":"403"},"uris":["http://www.mendeley.com/documents/?uuid=8f568cde-fb59-39ff-9625-62864fa4b456"]},{"id":"ITEM-2","itemData":{"DOI":"10.1111/j.1744-7429.2000.tb00619.x","ISBN":"0006-3606","ISSN":"0006-3606","abstract":"The tree flora of southeastern Brazilian Atlantic forests was investigated according to two main aspects: (a) the variations in floristic composition of both rain and semi-deciduous forests were analyzed in terms of geographic and climatic variables by performing multivariate analyses on 125 existing floristic checklists; and (b) the links of both rain and semi- deciduous forests to Amazonian forests and Cerrados (woody savanna) were assessed. All analyses were performed at the species, genus, and family levels. The information obtained for the 125 forest areas was organized into an environmental database containing geographic and climatic records, and a floristic database containing binary presence records for 2532 species, 520 genera, and 106 families. Canonical correspondence analyses (CCA) were utilized to assess the relationship between geographic and climatic variables, and tree flora composition. Venn diagrams and cluster analyses were used to assess the floristic links to Amazonian forests and Cerrados. The following patterns were detected at all three taxonomic levels: (a) the differentiation between rain and semi-deciduous forests is floristically consistent and strongly correlated with rainfall regime, although transitions may be abrupt to gradual; (b) a north–south differentiation exists for both rain and semi-deciduous forests, probably caused by variations in both temperature and rainfall regime; (c) The flora of semi- deciduous forests also changes with increasing distance from the ocean and the associated increasing rainfall seasonality; and (d) elevation and associated temperatures are strongly correlated with the internal differentiation of both rain and semi-deciduous forests. To a considerable extent, the tree flora of semi-deciduous forests is a subset of the rain forest flora, probably extracting species that are able to cope with a longer dry season. There is greater floristic similarity at the species level between Atlantic rain and semi-deciduous forests than between any of these and either Amazonian rain forests or Cerrados. Nevertheless, semi-deciduous forests and Cerrados show stronger links, particularly at the generic and familial levels. Therefore, there is little floristic ground for viewing Atlantic rain forests as being closer to their Amazonian counterparts than to the adjacent semi-deciduous forests. The most appropriate view of rain and semi- deciduous forests in southeastern Brazil is that of a continuum in tree spe…","author":[{"dropping-particle":"","family":"Oliveira‐Filho","given":"Ary T.","non-dropping-particle":"","parse-names":false,"suffix":""},{"dropping-particle":"","family":"Fontes","given":"Marco Aurelio L.","non-dropping-particle":"","parse-names":false,"suffix":""}],"container-title":"Biotropica","id":"ITEM-2","issue":"2","issued":{"date-parts":[["2000"]]},"note":"Examining the floristic definition and climatic controls on Atlantic forest sl. There's a gradient between semi-deciduous and rain forest, with N-S gradients for both. Rainfall seasonality and distance from the ocean affects sdf composition, and elevation and temperature affect both forest types. The paper gives a definition of Atlantic forest sensu lato that includes Araucaria forest.","page":"793-810","title":"Patterns of Floristic Differentiation among Atlantic Forests in Southeastern Brazil and the Influence of Climate","type":"article-journal","volume":"32"},"uris":["http://www.mendeley.com/documents/?uuid=c62f1d54-8fd7-492b-a951-29063256b00d"]},{"id":"ITEM-3","itemData":{"DOI":"10.1111/ddi.12581","ISSN":"14724642","abstract":"Aim\n\nWe aimed to assess the contribution of marginal habitats to the tree species richness of the Mata Atlântica (Atlantic Forest) biodiversity hotspot. In addition, we aimed to determine which environmental factors drive the occurrence and distribution of these marginal habitats.\n\n\nLocation\n\nThe whole extension of the South American Atlantic Forest Domain plus forest intrusions into the neighbouring Cerrado and Pampa Domains, which comprises rain forests (“core” habitat) and five marginal habitats, namely high elevation forests, rock outcrop dwarf-forests, riverine forests, semideciduous forests and restinga (coastal white-sand woodlands).\n\n\nMethods\n\nWe compiled a dataset containing 366,875 occurrence records of 4,431 tree species from 1,753 site-checklists, which were a priori classified into 10 main vegetation types. We then performed ordination analyses of the species-by-site matrix to assess the floristic consistency of this classification. In order to assess the relative contribution of environmental predictors to the community turnover, we produced models using 26 climate and substrate-related variables as environmental predictors.\n\n\nResults\n\nOrdination diagrams supported the floristic segregation of vegetation types, with those considered as marginal habitats placed at the extremes of ordination axes. These marginal habitats are associated with the harshest extremes of five limiting factors: temperature seasonality (high elevation and subtropical riverine forests), flammability (rock outcrop dwarf-forests), high salinity (restinga), water deficit severity (semideciduous forests) and waterlogged soils (tropical riverine forests). Importantly, 45% of all species endemic to the Atlantic Domain only occur in marginal habitats.\n\n\nMain conclusions\n\nOur results showed the key role of the poorly protected marginal habitats in contributing to the high species richness of the Atlantic Domain. Various types of environmental harshness operate as environmental filters determining the distribution of the Atlantic Domain habitats. Our findings also stressed the importance of fire, a previously neglected environmental factor.","author":[{"dropping-particle":"","family":"Neves","given":"Danilo M.","non-dropping-particle":"","parse-names":false,"suffix":""},{"dropping-particle":"","family":"Dexter","given":"Kyle G.","non-dropping-particle":"","parse-names":false,"suffix":""},{"dropping-particle":"","family":"Pennington","given":"R. Toby","non-dropping-particle":"","parse-names":false,"suffix":""},{"dropping-particle":"","family":"Valente","given":"Arthur S.M.","non-dropping-particle":"","parse-names":false,"suffix":""},{"dropping-particle":"","family":"Bueno","given":"Marcelo L.","non-dropping-particle":"","parse-names":false,"suffix":""},{"dropping-particle":"V.","family":"Eisenlohr","given":"Pedro","non-dropping-particle":"","parse-names":false,"suffix":""},{"dropping-particle":"","family":"Fontes","given":"Marco A.L.","non-dropping-particle":"","parse-names":false,"suffix":""},{"dropping-particle":"","family":"Miranda","given":"Pedro L.S.","non-dropping-particle":"","parse-names":false,"suffix":""},{"dropping-particle":"","family":"Moreira","given":"Suzana N.","non-dropping-particle":"","parse-names":false,"suffix":""},{"dropping-particle":"","family":"Rezende","given":"Vanessa L.","non-dropping-particle":"","parse-names":false,"suffix":""},{"dropping-particle":"","family":"Saiter","given":"Felipe Z.","non-dropping-particle":"","parse-names":false,"suffix":""},{"dropping-particle":"","family":"Oliveira-Filho","given":"Ary T.","non-dropping-particle":"","parse-names":false,"suffix":""}],"container-title":"Diversity and Distributions","id":"ITEM-3","issue":"8","issued":{"date-parts":[["2017"]]},"note":"MOF is a marginal habitat in the Atlantic Domain (v broadly defined). It's linked to cold (because high altitude) conditions and long distance from the equator. Also higher temperature seasonality. According to this study it has 6% endemics and is 17% protected","page":"898-909","title":"Dissecting a biodiversity hotspot: The importance of environmentally marginal habitats in the Atlantic Forest Domain of South America","type":"article-journal","volume":"23"},"uris":["http://www.mendeley.com/documents/?uuid=0ae4494c-d6d5-4d85-8d68-f26bf4dd3ed2"]},{"id":"ITEM-4","itemData":{"DOI":"10.1016/j.biocon.2009.02.021","ISBN":"0006-3207","ISSN":"00063207","PMID":"25246403","abstract":"The neotropical Atlantic Forest supports one of the highest degrees of species richness and rates of endemism on the planet, but has also undergone a huge forest loss. However, there exists no broad-scale information about the spatial distribution of its remnants that could guide conservation actions, especially when systematic biodiversity data are not available. In this context, our objectives were to quantify how much of the forest still remains, and analyze its spatial distribution. We considered the entire Brazilian Atlantic Forest, and eight sub-regions, defined according to species distribution. The results revealed a serious situation: more than 80% of the fragments are &lt;50 ha, almost half the remaining forest is &lt;100 m from its edges, the average distance between fragments is large (1440 m), and nature reserves protect only 9% of the remaining forest and 1% of the original forest. On the other hand, our estimates of existing Atlantic Forest cover were higher than previous ones (7-8%), ranging from 11.4% to 16%. The differences among estimates are mainly related to our inclusion of intermediate secondary forests and small fragments (&lt;100 ha), which correspond to approximately 32-40% of what remains. We suggest some guidelines for conservation: (i) large mature forest fragments should be a conservation priority; (ii) smaller fragments can be managed in order to maintain functionally linked mosaics; (iii) the matrix surrounding fragments should be managed so as to minimize edge effects and improve connectivity; and (iv) restoration actions should be taken, particularly in certain key areas. The clear differences in the amount remaining and its spatial distribution within each sub-region must be considered when planning for biodiversity conservation. ?? 2009 Elsevier Ltd. All rights reserved.","author":[{"dropping-particle":"","family":"Ribeiro","given":"Milton Cezar","non-dropping-particle":"","parse-names":false,"suffix":""},{"dropping-particle":"","family":"Metzger","given":"Jean Paul","non-dropping-particle":"","parse-names":false,"suffix":""},{"dropping-particle":"","family":"Martensen","given":"Alexandre Camargo","non-dropping-particle":"","parse-names":false,"suffix":""},{"dropping-particle":"","family":"Ponzoni","given":"Flávio Jorge","non-dropping-particle":"","parse-names":false,"suffix":""},{"dropping-particle":"","family":"Hirota","given":"Márcia Makiko","non-dropping-particle":"","parse-names":false,"suffix":""}],"container-title":"Biological Conservation","id":"ITEM-4","issue":"6","issued":{"date-parts":[["2009"]]},"note":"Paper that looks at the state of the different types of forest in the Atlantic forest biome. The biome is separated into different biogeographic subregions (Araucaria among them), and the proportion of these BSRs that are now forested is calculated. \n\nOverall 11.73% of the Atlantic forest region is still forested; it's 12.6% of the Araucaria BSR. However, the authors conclude that 88.27% of the original vegetation has been lost, but this presumes all of the BSRs would naturally be 100% forested. This isn't true for ARF-CAM mosaics.\n\nOther interesting numbers about the extent of protection for the forest (3.1% of remaining forest in Araucaria BSR) and general fragmentation/interconnectivity of the forest biome","page":"1141-1153","title":"The Brazilian Atlantic Forest: How much is left, and how is the remaining forest distributed? Implications for conservation","type":"article-journal","volume":"142"},"uris":["http://www.mendeley.com/documents/?uuid=3bb32b32-c235-36b5-80ce-464fa840afc8"]}],"mendeley":{"formattedCitation":"(Myers et al., 2000; Neves et al., 2017; Oliveira‐Filho and Fontes, 2000; Ribeiro et al., 2009)","plainTextFormattedCitation":"(Myers et al., 2000; Neves et al., 2017; Oliveira‐Filho and Fontes, 2000; Ribeiro et al., 2009)","previouslyFormattedCitation":"(Myers et al., 2000; Neves et al., 2017; Oliveira‐Filho and Fontes, 2000; Ribeiro et al., 2009)"},"properties":{"noteIndex":0},"schema":"https://github.com/citation-style-language/schema/raw/master/csl-citation.json"}</w:instrText>
      </w:r>
      <w:r w:rsidR="00CA4B07">
        <w:fldChar w:fldCharType="separate"/>
      </w:r>
      <w:r w:rsidR="005944BB" w:rsidRPr="005944BB">
        <w:rPr>
          <w:noProof/>
        </w:rPr>
        <w:t>(Myers et al., 2000; Neves et al., 2017; Oliveira‐Filho and Fontes, 2000; Ribeiro et al., 2009)</w:t>
      </w:r>
      <w:r w:rsidR="00CA4B07">
        <w:fldChar w:fldCharType="end"/>
      </w:r>
      <w:r w:rsidR="00CA4B07">
        <w:t>.</w:t>
      </w:r>
      <w:r w:rsidR="00A83808">
        <w:t xml:space="preserve"> </w:t>
      </w:r>
      <w:r w:rsidR="00F62A04">
        <w:t>Th</w:t>
      </w:r>
      <w:r w:rsidR="00372D99">
        <w:t>is</w:t>
      </w:r>
      <w:r w:rsidR="00F62A04">
        <w:t xml:space="preserve"> biome</w:t>
      </w:r>
      <w:r w:rsidR="00AF4ACC">
        <w:t xml:space="preserve"> is gravely threatened by intense historical and ongoing habitat loss</w:t>
      </w:r>
      <w:r w:rsidR="004C5199">
        <w:t xml:space="preserve">, which </w:t>
      </w:r>
      <w:r w:rsidR="001D4025">
        <w:t xml:space="preserve">has </w:t>
      </w:r>
      <w:r w:rsidR="00F94687">
        <w:t>already removed 84-89% of its natural vegetation</w:t>
      </w:r>
      <w:r w:rsidR="00AF4ACC">
        <w:t xml:space="preserve"> </w:t>
      </w:r>
      <w:r w:rsidR="00AF4ACC">
        <w:fldChar w:fldCharType="begin" w:fldLock="1"/>
      </w:r>
      <w:r w:rsidR="00B34ED6">
        <w:instrText>ADDIN CSL_CITATION {"citationItems":[{"id":"ITEM-1","itemData":{"DOI":"10.1016/j.biocon.2009.02.021","ISBN":"0006-3207","ISSN":"00063207","PMID":"25246403","abstract":"The neotropical Atlantic Forest supports one of the highest degrees of species richness and rates of endemism on the planet, but has also undergone a huge forest loss. However, there exists no broad-scale information about the spatial distribution of its remnants that could guide conservation actions, especially when systematic biodiversity data are not available. In this context, our objectives were to quantify how much of the forest still remains, and analyze its spatial distribution. We considered the entire Brazilian Atlantic Forest, and eight sub-regions, defined according to species distribution. The results revealed a serious situation: more than 80% of the fragments are &lt;50 ha, almost half the remaining forest is &lt;100 m from its edges, the average distance between fragments is large (1440 m), and nature reserves protect only 9% of the remaining forest and 1% of the original forest. On the other hand, our estimates of existing Atlantic Forest cover were higher than previous ones (7-8%), ranging from 11.4% to 16%. The differences among estimates are mainly related to our inclusion of intermediate secondary forests and small fragments (&lt;100 ha), which correspond to approximately 32-40% of what remains. We suggest some guidelines for conservation: (i) large mature forest fragments should be a conservation priority; (ii) smaller fragments can be managed in order to maintain functionally linked mosaics; (iii) the matrix surrounding fragments should be managed so as to minimize edge effects and improve connectivity; and (iv) restoration actions should be taken, particularly in certain key areas. The clear differences in the amount remaining and its spatial distribution within each sub-region must be considered when planning for biodiversity conservation. ?? 2009 Elsevier Ltd. All rights reserved.","author":[{"dropping-particle":"","family":"Ribeiro","given":"Milton Cezar","non-dropping-particle":"","parse-names":false,"suffix":""},{"dropping-particle":"","family":"Metzger","given":"Jean Paul","non-dropping-particle":"","parse-names":false,"suffix":""},{"dropping-particle":"","family":"Martensen","given":"Alexandre Camargo","non-dropping-particle":"","parse-names":false,"suffix":""},{"dropping-particle":"","family":"Ponzoni","given":"Flávio Jorge","non-dropping-particle":"","parse-names":false,"suffix":""},{"dropping-particle":"","family":"Hirota","given":"Márcia Makiko","non-dropping-particle":"","parse-names":false,"suffix":""}],"container-title":"Biological Conservation","id":"ITEM-1","issue":"6","issued":{"date-parts":[["2009"]]},"note":"Paper that looks at the state of the different types of forest in the Atlantic forest biome. The biome is separated into different biogeographic subregions (Araucaria among them), and the proportion of these BSRs that are now forested is calculated. \n\nOverall 11.73% of the Atlantic forest region is still forested; it's 12.6% of the Araucaria BSR. However, the authors conclude that 88.27% of the original vegetation has been lost, but this presumes all of the BSRs would naturally be 100% forested. This isn't true for ARF-CAM mosaics.\n\nOther interesting numbers about the extent of protection for the forest (3.1% of remaining forest in Araucaria BSR) and general fragmentation/interconnectivity of the forest biome","page":"1141-1153","title":"The Brazilian Atlantic Forest: How much is left, and how is the remaining forest distributed? Implications for conservation","type":"article-journal","volume":"142"},"uris":["http://www.mendeley.com/documents/?uuid=3bb32b32-c235-36b5-80ce-464fa840afc8"]},{"id":"ITEM-2","itemData":{"DOI":"10.1111/conl.12623","ISSN":"1755-263X","abstract":"Forests of the Americas and the Caribbean are undergoing rapid change as human populations increase and land use intensifies. We applied the IUCN Red List of Ecosystems (RLE) criteria and simple cost-efficiency analyses to provide the first regional perspective on patterns of relative risk integrated across multiple threats. Based on six indicators of ecosystem distribution and function, we find that 80% of the forest types and 85% of the current forest area is potentially threatened based on RLE criteria. Twelve forest types are Critically Endangered due to past or projected future deforestation, and Tropical Dry Forests and Woodland have highest threat scores. To efficiently reduce risks to forest ecosystems at national levels, scenario analyses show that countries would need to combine large forest protection measures with focused actions, tailored to their sociopolitical context, to help restore ecological functions in a selection of threatened forest types. K E Y W O R D S conservation actions, conservation goals, cost-efficiency analysis, ecosystem collapse, ecosystem risk assessment, forest management and conservation, IUCN Red List of ecosystems, threat score, temperate forest, tropical forest This is an open access article under the terms of the Creative Commons Attribution License, which permits use, distribution and reproduction in any medium, provided the original work is properly cited.","author":[{"dropping-particle":"","family":"Ferrer‐Paris","given":"José Rafael","non-dropping-particle":"","parse-names":false,"suffix":""},{"dropping-particle":"","family":"Zager","given":"Irene","non-dropping-particle":"","parse-names":false,"suffix":""},{"dropping-particle":"","family":"Keith","given":"David A","non-dropping-particle":"","parse-names":false,"suffix":""},{"dropping-particle":"","family":"Oliveira‐Miranda","given":"María A.","non-dropping-particle":"","parse-names":false,"suffix":""},{"dropping-particle":"","family":"Rodríguez","given":"Jon Paul","non-dropping-particle":"","parse-names":false,"suffix":""},{"dropping-particle":"","family":"Josse","given":"Carmen","non-dropping-particle":"","parse-names":false,"suffix":""},{"dropping-particle":"","family":"González‐Gil","given":"Mario","non-dropping-particle":"","parse-names":false,"suffix":""},{"dropping-particle":"","family":"Miller","given":"Rebecca M","non-dropping-particle":"","parse-names":false,"suffix":""},{"dropping-particle":"","family":"Zambrana‐Torrelio","given":"Carlos","non-dropping-particle":"","parse-names":false,"suffix":""},{"dropping-particle":"","family":"Barrow","given":"Edmund","non-dropping-particle":"","parse-names":false,"suffix":""}],"container-title":"Conservation Letters","id":"ITEM-2","issue":"2","issued":{"date-parts":[["2019","3","15"]]},"note":"Applies IUCN Red List of Ecosystem criteria to forest macrogroups of the Americas. Macrogroup names are kind of weird, but see note for sources. Key thing: SDF is CR, and MOF and DOF are EN. Interesting things about the categories that threaten each; see notes or annotated SI Eexcel file in Cores and Data folder.\nFrom IUCN RLE website: CR = &amp;gt;=50% probability of ecosystem collapse within 50 years; EN = &amp;gt;= 20%","page":"e12623","title":"An ecosystem risk assessment of temperate and tropical forests of the Americas with an outlook on future conservation strategies","type":"article-journal","volume":"12"},"uris":["http://www.mendeley.com/documents/?uuid=ac3e0968-7a1a-35d6-8281-29cc7edffc9a"]}],"mendeley":{"formattedCitation":"(Ferrer‐Paris et al., 2019; Ribeiro et al., 2009)","plainTextFormattedCitation":"(Ferrer‐Paris et al., 2019; Ribeiro et al., 2009)","previouslyFormattedCitation":"(Ferrer‐Paris et al., 2019; Ribeiro et al., 2009)"},"properties":{"noteIndex":0},"schema":"https://github.com/citation-style-language/schema/raw/master/csl-citation.json"}</w:instrText>
      </w:r>
      <w:r w:rsidR="00AF4ACC">
        <w:fldChar w:fldCharType="separate"/>
      </w:r>
      <w:r w:rsidR="00E07FB0" w:rsidRPr="00E07FB0">
        <w:rPr>
          <w:noProof/>
        </w:rPr>
        <w:t>(Ferrer‐Paris et al., 2019; Ribeiro et al., 2009)</w:t>
      </w:r>
      <w:r w:rsidR="00AF4ACC">
        <w:fldChar w:fldCharType="end"/>
      </w:r>
      <w:r w:rsidR="00C310AB">
        <w:t xml:space="preserve">, </w:t>
      </w:r>
      <w:r w:rsidR="00AF4ACC">
        <w:t xml:space="preserve">impending anthropogenic climate change </w:t>
      </w:r>
      <w:r w:rsidR="00AF4ACC">
        <w:fldChar w:fldCharType="begin" w:fldLock="1"/>
      </w:r>
      <w:r w:rsidR="007F330C">
        <w:instrText>ADDIN CSL_CITATION {"citationItems":[{"id":"ITEM-1","itemData":{"DOI":"10.1590/S1519-69842010000400002","ISBN":"1519-6984","ISSN":"1519-6984","PMID":"21085776","abstract":"After 500 years of exploitation and destruction, the Brazilian Atlantic Forest has been reduced to less the 8% of its original cover, and climate change may pose a new threat to the remnants of this biodiversity hotspot. In this study we used modelling techniques to determine present and future geographical distribution of 38 species of trees that are typical of the Brazilian Atlantic Forest (Mata Atlântica), considering two global warming scenarios. The optimistic scenario, based in a 0.5% increase in the concentration of CO2 in the atmosphere, predicts an increase of up to 2 °C in the Earth's average temperature; in the pessimistic scenario, based on a 1% increase in the concentration of CO2 in the atmosphere, temperature increase may reach 4 °C. Using these parameters, the occurrence points of the studied species registered in literature, the Genetic Algorithm for Rule-set Predictions/GARP and Maximum entropy modeling of species geographic distributions/MaxEnt we developed models of present and future possible occurrence of each species, considering Earth's mean temperature by 2050 with the optimistic and the pessimistic scenarios of CO2 emission. The results obtained show an alarming reduction in the area of possible occurrence of the species studied, as well as a shift towards southern areas of Brazil. Using GARP, on average, in the optimistic scenario this reduction is of 25% while in the pessimistic scenario it reaches 50%, and the species that will suffer the worst reduction in their possible area of occurrence are: Euterpe edulis, Mollinedia schottiana, Virola bicuhyba, Inga sessilis and Vochysia magnifica. Using MaxEnt, on average, in the optimistic scenario the reduction will be of 20% while in the pessimistic scenario it reaches 30%, and the species that will suffer the worst reduction are: Hyeronima alchorneoides, Schefflera angustissima, Andira fraxinifolia and the species of Myrtaceae studied.","author":[{"dropping-particle":"","family":"Colombo","given":"A F","non-dropping-particle":"","parse-names":false,"suffix":""},{"dropping-particle":"","family":"Joly","given":"C A","non-dropping-particle":"","parse-names":false,"suffix":""}],"container-title":"Brazilian Journal of Biology","id":"ITEM-1","issue":"3 Suppl","issued":{"date-parts":[["2010"]]},"page":"697-708","title":"Brazilian Atlantic Forest lato sensu: the most ancient Brazilian forest, and a biodiversity hotspot, is highly threatened by climate change.","type":"article-journal","volume":"70"},"uris":["http://www.mendeley.com/documents/?uuid=f4269910-09c8-3a18-b19c-8c8e5db145ff"]},{"id":"ITEM-2","itemData":{"DOI":"10.1080/17550874.2019.1618408","ISSN":"1755-0874","abstract":"Background: Araucaria forests are mountain ecosystems that might have expanded in the late Holocene, however past distributions remain uncertain. If current distribution reflects climatic conditions, past and future distributions may be projected using climate models. Aims: To contribute to the understanding of past and future distribution of Araucaria forests as a function of climate, we hypothesised that (1) they have increased their geographic distribution since the Last Glacial Maximum (LGM) until the present; and (2) would contract under predicted future climates. Methods: We modelled the spatial distributions of Araucaria forests under current, past and future climatic scenarios. Ecological niche models of 12 indicator species were developed using ensemble modelling. Results: The greatest extent of distribution of Araucaria forests appeared to have occurred during the LGM, after which a continuous retraction followed until the present. Our models suggested that Araucaria forests would experience an even greater retraction in the future. Conclusion: Araucaria forests could have covered larger areas during the LGM than suggested by earlier palynological studies, because climate was suitable for their distribution. The degree of loss of modelled distribution area since the LGM until today indicate these forests are likely to continue to shrink under projected future climatic changes.","author":[{"dropping-particle":"","family":"Bergamin","given":"Rodrigo Scarton","non-dropping-particle":"","parse-names":false,"suffix":""},{"dropping-particle":"","family":"Debastiani","given":"Vanderlei","non-dropping-particle":"","parse-names":false,"suffix":""},{"dropping-particle":"","family":"Joner","given":"Daiany C.","non-dropping-particle":"","parse-names":false,"suffix":""},{"dropping-particle":"","family":"Lemes","given":"Priscila","non-dropping-particle":"","parse-names":false,"suffix":""},{"dropping-particle":"","family":"Guimarães","given":"Taís","non-dropping-particle":"","parse-names":false,"suffix":""},{"dropping-particle":"","family":"Loyola","given":"Rafael D.","non-dropping-particle":"","parse-names":false,"suffix":""},{"dropping-particle":"","family":"Müller","given":"Sandra C.","non-dropping-particle":"","parse-names":false,"suffix":""}],"container-title":"Plant Ecology &amp; Diversity","id":"ITEM-2","issue":"2","issued":{"date-parts":[["2019","3","4"]]},"note":"Models 12 MOF indicator species at the LGM, MH, present and 2070 (RCP 2.5 and 8.5). Predicts widest extent at LGM, markedly decreased by the MH, and slightly decreased again to the present. (Matches with expansions of cerrado and SDF modelled in other studies.) Retractions mainly in N and W, where palaeo records are few; stable in the E. Big declines expected to future. Species tended to respond in unison (possibly a side effect of using indicator species).","page":"115-126","publisher":"Taylor and Francis Ltd.","title":"Loss of suitable climatic areas for Araucaria forests over time","type":"article-journal","volume":"12"},"uris":["http://www.mendeley.com/documents/?uuid=34ad3c79-a6b8-35e2-970b-6ff82fbce254"]}],"mendeley":{"formattedCitation":"(Bergamin et al., 2019; Colombo and Joly, 2010)","plainTextFormattedCitation":"(Bergamin et al., 2019; Colombo and Joly, 2010)","previouslyFormattedCitation":"(Bergamin et al., 2019; Colombo and Joly, 2010)"},"properties":{"noteIndex":0},"schema":"https://github.com/citation-style-language/schema/raw/master/csl-citation.json"}</w:instrText>
      </w:r>
      <w:r w:rsidR="00AF4ACC">
        <w:fldChar w:fldCharType="separate"/>
      </w:r>
      <w:r w:rsidR="005944BB" w:rsidRPr="005944BB">
        <w:rPr>
          <w:noProof/>
        </w:rPr>
        <w:t>(Bergamin et al., 2019; Colombo and Joly, 2010)</w:t>
      </w:r>
      <w:r w:rsidR="00AF4ACC">
        <w:fldChar w:fldCharType="end"/>
      </w:r>
      <w:r w:rsidR="00C310AB">
        <w:t>, and the intersection of the two</w:t>
      </w:r>
      <w:r w:rsidR="00F74C3B">
        <w:t>, which may cause a quarter of the Atlantic Forest’s endemic species to be lost</w:t>
      </w:r>
      <w:r w:rsidR="00C310AB">
        <w:t xml:space="preserve"> </w:t>
      </w:r>
      <w:r w:rsidR="00C310AB">
        <w:fldChar w:fldCharType="begin" w:fldLock="1"/>
      </w:r>
      <w:r w:rsidR="00E24822">
        <w:instrText>ADDIN CSL_CITATION {"citationItems":[{"id":"ITEM-1","itemData":{"DOI":"10.1111/gcb.14755","ISSN":"1354-1013","author":[{"dropping-particle":"","family":"Wilson","given":"Oliver J.","non-dropping-particle":"","parse-names":false,"suffix":""},{"dropping-particle":"","family":"Walters","given":"Richard J.","non-dropping-particle":"","parse-names":false,"suffix":""},{"dropping-particle":"","family":"Mayle","given":"Francis E.","non-dropping-particle":"","parse-names":false,"suffix":""},{"dropping-particle":"V.","family":"Lingner","given":"Débora","non-dropping-particle":"","parse-names":false,"suffix":""},{"dropping-particle":"","family":"Vibrans","given":"Alexander C.","non-dropping-particle":"","parse-names":false,"suffix":""}],"container-title":"Global Change Biology","id":"ITEM-1","issue":"12","issued":{"date-parts":[["2019","12","10"]]},"note":"169cm core covering nearly 40.000 years analysed. Finds mostly campos (with some Myrtaceae, though they could be campos spp) from 40,000 - early Holocene, with rise in Atlantic forest from lower levels from about 10,000 BP to 3,300 BP. There's a bit of Araucaria forest 40,000 - 18,000 BP, but it disappears until about 10,000 BP, when it's still fairly rare. There's a big increase of Atlantic forest pollen between 3300 BP and present, and a decent increase of Araucaria forest too (though Aa is only up to 4% max).\n\nThere's a much later Araucaria forest expansion than in other cores. Maybe due to location, maybe because this area wasn't a glacial refugium, but maybe also because of people..?\n\nThe core is chiefly used to interpret climate as it's the only long-term core around other than Cambara do Sul. Also worth bearing in mind that this is quite a lot closer to the coast than most of the other studies I've looked at.","page":"4339-4351","title":"Cold spot microrefugia hold the key to survival for Brazil's Critically Endangered Araucaria tree","type":"article-journal","volume":"25"},"uris":["http://www.mendeley.com/documents/?uuid=0c1389e8-ae73-3b22-b5bb-44dd34667df5"]},{"id":"ITEM-2","itemData":{"DOI":"10.1111/ddi.13116","ISSN":"14724642","abstract":"Aim: We combine phylogenetic and point locality data from selected lineages of the Atlantic Forest flora and fauna to compare spatial patterns of biodiversity sustained by the current configuration of forest remnants to a scenario of complete forest preservation. We then ask the question \"how much biodiversity is likely lost, already\"? Specifically, we assess how habitat loss likely impacted the climatic spaces occupied by the local species, the inferred composition of local communities and the spatial distribution of phylogenetic diversity and endemism. Location: Atlantic Forest, Brazil. Methods: Using carefully curated point localities, phylogenetic data and parameterized models of species distributions, we generate maps of phylogenetic diversity, phylogenetic endemism and phylogenetic turnover for the entire Atlantic Forest. We map patterns of clade-specific diversity under complete preservation of forest and then incorporate present-day deforestation patterns to provide a more realistic scenario. Results: Instead of a singular pattern, three different reoccurring syndromes described the flora and fauna of the Atlantic Forest. These patterns emerged irrespectively of clade age and life history traits. General turnover patterns were highly consistent with previous analyses of species composition and panbiogeographical studies. Deforestation has altered the availability of climatic spaces in the Atlantic Forest, its biological communities and the distribution of evolutionary lineages in space. However, approximately 60% of the pre-Columbian climatic space persists in forest remnants, and today's biological communities are estimated to be 45% similar to pre-deforestation times. Main conclusions: The Atlantic Forest has been reduced to 8% of its once largely continuous range. However, the disproportionately large amounts of climate, community and lineage diversity that persist in remnants provide hope and support for conservation efforts that combine species occurrence and phylogenetic data. Inclusion of evolutionary thinking into strategic approaches to restoring Brazilian ecosystems could further conservation effectiveness by incorporating the adaptive potential of local assemblages in the face of further environmental shifts.","author":[{"dropping-particle":"","family":"Brown","given":"Jason L.","non-dropping-particle":"","parse-names":false,"suffix":""},{"dropping-particle":"","family":"Paz","given":"Andrea","non-dropping-particle":"","parse-names":false,"suffix":""},{"dropping-particle":"","family":"Reginato","given":"Marcelo","non-dropping-particle":"","parse-names":false,"suffix":""},{"dropping-particle":"","family":"Renata","given":"Cecilia Amaro","non-dropping-particle":"","parse-names":false,"suffix":""},{"dropping-particle":"","family":"Assis","given":"Claydson","non-dropping-particle":"","parse-names":false,"suffix":""},{"dropping-particle":"","family":"Lyra","given":"Mariana","non-dropping-particle":"","parse-names":false,"suffix":""},{"dropping-particle":"","family":"Caddah","given":"Mayara K.","non-dropping-particle":"","parse-names":false,"suffix":""},{"dropping-particle":"","family":"Aguirre-Santoro","given":"Julian","non-dropping-particle":"","parse-names":false,"suffix":""},{"dropping-particle":"","family":"d’Horta","given":"Fernando","non-dropping-particle":"","parse-names":false,"suffix":""},{"dropping-particle":"","family":"Raposo do Amaral","given":"Fabio","non-dropping-particle":"","parse-names":false,"suffix":""},{"dropping-particle":"","family":"Goldenberg","given":"Renato","non-dropping-particle":"","parse-names":false,"suffix":""},{"dropping-particle":"","family":"Lucas Silva-Brandão","given":"Karina","non-dropping-particle":"","parse-names":false,"suffix":""},{"dropping-particle":"","family":"Freitas","given":"André Victor Lucci","non-dropping-particle":"","parse-names":false,"suffix":""},{"dropping-particle":"","family":"Rodrigues","given":"Miguel T.","non-dropping-particle":"","parse-names":false,"suffix":""},{"dropping-particle":"","family":"Michelangeli","given":"Fabian A.","non-dropping-particle":"","parse-names":false,"suffix":""},{"dropping-particle":"","family":"Miyaki","given":"Cristina Y.","non-dropping-particle":"","parse-names":false,"suffix":""},{"dropping-particle":"","family":"Carnaval","given":"Ana C.","non-dropping-particle":"","parse-names":false,"suffix":""}],"container-title":"Diversity and Distributions","id":"ITEM-2","issue":"9","issued":{"date-parts":[["2020"]]},"page":"1160-1176","title":"Seeing the forest through many trees: Multi-taxon patterns of phylogenetic diversity in the Atlantic Forest hotspot","type":"article-journal","volume":"26"},"uris":["http://www.mendeley.com/documents/?uuid=80bcfa90-3a81-4194-a688-08cb43073d68"]},{"id":"ITEM-3","itemData":{"DOI":"10.1111/geb.12228","ISSN":"1466822X","abstract":"Aim: Global changes are predicted to have severe consequences for biodiversity; 34 biodiversity hotspots have become international priorities for conservation, with important efforts allocated to their preservation, but the potential effects of global changes on hotspots have so far received relatively little attention. We investigate whether hotspots are quantitatively and qualitatively threatened to the same order of magnitude by the combined effects of global changes. Location: Worldwide, in 34 biodiversity hotspots. Methods: We quantify (1) the exposure of hotspots to climate change, by estimating the novelty of future climates and the disappearance of extant climates using climate dissimilarity analyses, (2) each hotspot's vulnerability to land modification and degradation by quantifying changes in land-cover variables over the entire habitat, and (3) the future suitability of distribution ranges of '100 of the world's worst invasive alien species', by characterizing the combined effects of climate and land-use changes on the future distribution ranges of these species. Results: Our findings show that hotspots may experience an average loss of 31% of their area under analogue climate, with some hotspots more affected than others (e.g. Polynesia-Micronesia). The greatest climate change was projected in low-latitude hotspots. The hotspots were on average suitable for 17% of the considered invasive species. Hotspots that are mainly islands or groups of islands were disproportionally suitable for a high number of invasive species both currently and in the future. We also showed that hotspots will increase their area of pasture in the future. Finally, combining the three threats, we identified the Atlantic forest, Cape Floristic Region and Polynesia-Micronesia as particularly vulnerable to global changes. Main conclusions: Given our estimates of hotspot vulnerability to changes, close monitoring is now required to evaluate the biodiversity responses to future changes and to test our projections against observations.","author":[{"dropping-particle":"","family":"Bellard","given":"Céline","non-dropping-particle":"","parse-names":false,"suffix":""},{"dropping-particle":"","family":"Leclerc","given":"Camille","non-dropping-particle":"","parse-names":false,"suffix":""},{"dropping-particle":"","family":"Leroy","given":"Boris","non-dropping-particle":"","parse-names":false,"suffix":""},{"dropping-particle":"","family":"Bakkenes","given":"Michel","non-dropping-particle":"","parse-names":false,"suffix":""},{"dropping-particle":"","family":"Veloz","given":"Samuel","non-dropping-particle":"","parse-names":false,"suffix":""},{"dropping-particle":"","family":"Thuiller","given":"Wilfried","non-dropping-particle":"","parse-names":false,"suffix":""},{"dropping-particle":"","family":"Courchamp","given":"Franck","non-dropping-particle":"","parse-names":false,"suffix":""}],"container-title":"Global Ecology and Biogeography","id":"ITEM-3","issue":"12","issued":{"date-parts":[["2014","12","1"]]},"note":"Looks at the threat to biodiversity hotspots by 2080 from climate change, land use change and invasive species. Useful information in the SI for breakdown by hotspot. Incorporating these and its number of endemic plant spp, the Atlantic Forest is the world's most threatened hotspot. Its southern region is more vulnerable to invasive spp than the rest, though the future actually doesn't look as bad as the present. Under the A1B scenario (reasonably pessimistic), 28-29% (ca 2500) of the Atlantic Forest's 8732 endemic species (plants, mammals, birds, reptiles, amphibians, freshwater fish).","page":"1376-1386","publisher":"Blackwell Publishing Ltd","title":"Vulnerability of biodiversity hotspots to global change","type":"article-journal","volume":"23"},"uris":["http://www.mendeley.com/documents/?uuid=1b139930-f75b-33ba-bd76-6b5743b9712f"]}],"mendeley":{"formattedCitation":"(Bellard et al., 2014; Brown et al., 2020; Wilson et al., 2019)","plainTextFormattedCitation":"(Bellard et al., 2014; Brown et al., 2020; Wilson et al., 2019)","previouslyFormattedCitation":"(Bellard et al., 2014; Brown et al., 2020; Wilson et al., 2019)"},"properties":{"noteIndex":0},"schema":"https://github.com/citation-style-language/schema/raw/master/csl-citation.json"}</w:instrText>
      </w:r>
      <w:r w:rsidR="00C310AB">
        <w:fldChar w:fldCharType="separate"/>
      </w:r>
      <w:r w:rsidR="00F74C3B" w:rsidRPr="00F74C3B">
        <w:rPr>
          <w:noProof/>
        </w:rPr>
        <w:t>(Bellard et al., 2014; Brown et al., 2020; Wilson et al., 2019)</w:t>
      </w:r>
      <w:r w:rsidR="00C310AB">
        <w:fldChar w:fldCharType="end"/>
      </w:r>
      <w:r w:rsidR="00AF4ACC">
        <w:t>.</w:t>
      </w:r>
      <w:r w:rsidR="00E215FD">
        <w:t xml:space="preserve"> </w:t>
      </w:r>
    </w:p>
    <w:p w14:paraId="1E011E31" w14:textId="2C866C79" w:rsidR="00907AA0" w:rsidRDefault="00AF4ACC" w:rsidP="00907AA0">
      <w:pPr>
        <w:spacing w:line="360" w:lineRule="auto"/>
      </w:pPr>
      <w:r>
        <w:t>These threats are particularly acute a</w:t>
      </w:r>
      <w:r w:rsidR="00627FA0">
        <w:t>round</w:t>
      </w:r>
      <w:r>
        <w:t xml:space="preserve"> the </w:t>
      </w:r>
      <w:r w:rsidR="00F62A04">
        <w:t>Atlantic Forest’s</w:t>
      </w:r>
      <w:r>
        <w:t xml:space="preserve"> </w:t>
      </w:r>
      <w:r w:rsidR="002B2A60">
        <w:t xml:space="preserve">subtropical </w:t>
      </w:r>
      <w:r>
        <w:t>southern</w:t>
      </w:r>
      <w:r w:rsidR="00627FA0">
        <w:t xml:space="preserve"> limits</w:t>
      </w:r>
      <w:r w:rsidR="00907AA0">
        <w:t xml:space="preserve"> – </w:t>
      </w:r>
      <w:r w:rsidR="00F0790E">
        <w:t>arguably the most heterogeneous part of the biome</w:t>
      </w:r>
      <w:r w:rsidR="003B0149">
        <w:t xml:space="preserve"> </w:t>
      </w:r>
      <w:r w:rsidR="003B0149">
        <w:fldChar w:fldCharType="begin" w:fldLock="1"/>
      </w:r>
      <w:r w:rsidR="00237402">
        <w:instrText>ADDIN CSL_CITATION {"citationItems":[{"id":"ITEM-1","itemData":{"DOI":"10.1093/jpe/rtt058","ISBN":"2850","ISSN":"1752993X","abstract":"AimsWe analyse here the variations in species composition and richness and the geographic ranges of the tree species occurring in South American subtropical Atlantic and Pampean forests. Our goals were to assess (i) the floristic consistency of usual classifications based on vegetation physiognomy, climate and elevation; (ii) the leading role of temperature-related variables on the variations in species composition and richness; (iii) the predominance of species with tropical-subtropical ranges, possibly as a result of forest expansion over grasslands after the Last Glacial Maximum (LGM); (iv) the restriction of most subtropical endemics to stressful habitats as a possible result of past forest refuges during the LGM. MethodsThe region was defined by the Tropic of Capricorn to the north, the Rio de la Plata to the south, the Atlantic shoreline to the east and the catchment areas of the upper Parana and Uruguay Rivers to the west. Multivariate analyses, multiple regression modelling and variance partition analyses were performed on a database containing 63 994 occurrence records of 1555 tree species in 491 forest sites and 48 environmental variables. All species were also classified according to their known geographic range. Important FindingsA main differentiation in species composition and richness was observed between the eastern windward coastlands (rain and cloud forests) and western leeward hinterlands (Araucaria and semi-deciduous forests). Pre-defined forest types on both sides were consistent with variations in tree species composition, which were significantly related to both environmental variables and spatial proximity, with extremes of low temperature playing a chief role. Tree species richness declined substantially towards the south and also from rain to seasonal forests and towards the highland summits and sandy shores. Species richness was significantly correlated with both minimum temperature and actual evapotranspiration. About 91% of the subtropical flora is shared with the much richer tropical flora, probably extracting species that can cope with frost outbreaks. The 145 subtropical endemics were not concentrated in harsher habitats.","author":[{"dropping-particle":"","family":"Oliveira-Filho","given":"Ary T","non-dropping-particle":"","parse-names":false,"suffix":""},{"dropping-particle":"","family":"Budke","given":"Jean C","non-dropping-particle":"","parse-names":false,"suffix":""},{"dropping-particle":"","family":"Jarenkow","given":"Jo??o A","non-dropping-particle":"","parse-names":false,"suffix":""},{"dropping-particle":"V","family":"Eisenlohr","given":"Pedro","non-dropping-particle":"","parse-names":false,"suffix":""},{"dropping-particle":"","family":"Neves","given":"Danilo R M","non-dropping-particle":"","parse-names":false,"suffix":""}],"container-title":"Journal of Plant Ecology","id":"ITEM-1","issue":"3","issued":{"date-parts":[["2014","6","1"]]},"note":"Read this in a bit of a bitty fashion, but it's a big floristic study of the subtropical Atlantic Forest. There's an interesting fine classification of MOF, and stuff on how it's a continuum based on conditions (and what conditions segregates it from other forest types). It's also a kind of seasonal forest (like SDF), just with Aa. Lots of things in the discussion about the post-LGM development of the forests, some of which seem to contradict the general (?extrapolated) pollen story and might work favourably with my modelling","page":"242-260","title":"Delving into the variations in tree species composition and richness across South American subtropical Atlantic and Pampean forests","type":"article-journal","volume":"8"},"uris":["http://www.mendeley.com/documents/?uuid=d6a6382c-dd4b-3323-9d5e-12afd40294e2"]}],"mendeley":{"formattedCitation":"(Oliveira-Filho et al., 2014)","plainTextFormattedCitation":"(Oliveira-Filho et al., 2014)","previouslyFormattedCitation":"(Oliveira-Filho et al., 2014)"},"properties":{"noteIndex":0},"schema":"https://github.com/citation-style-language/schema/raw/master/csl-citation.json"}</w:instrText>
      </w:r>
      <w:r w:rsidR="003B0149">
        <w:fldChar w:fldCharType="separate"/>
      </w:r>
      <w:r w:rsidR="003B0149" w:rsidRPr="003B0149">
        <w:rPr>
          <w:noProof/>
        </w:rPr>
        <w:t>(Oliveira-Filho et al., 2014)</w:t>
      </w:r>
      <w:r w:rsidR="003B0149">
        <w:fldChar w:fldCharType="end"/>
      </w:r>
      <w:r w:rsidR="00B94EB3">
        <w:t>, comprising</w:t>
      </w:r>
      <w:r w:rsidR="00951101">
        <w:t xml:space="preserve"> </w:t>
      </w:r>
      <w:r w:rsidR="005F6117">
        <w:t xml:space="preserve">Atlantic </w:t>
      </w:r>
      <w:r w:rsidR="003E2432">
        <w:t>R</w:t>
      </w:r>
      <w:r w:rsidR="005F6117">
        <w:t xml:space="preserve">ainforest </w:t>
      </w:r>
      <w:proofErr w:type="spellStart"/>
      <w:r w:rsidR="005F6117">
        <w:rPr>
          <w:i/>
          <w:iCs/>
        </w:rPr>
        <w:t>sensu</w:t>
      </w:r>
      <w:proofErr w:type="spellEnd"/>
      <w:r w:rsidR="005F6117">
        <w:rPr>
          <w:i/>
          <w:iCs/>
        </w:rPr>
        <w:t xml:space="preserve"> </w:t>
      </w:r>
      <w:proofErr w:type="spellStart"/>
      <w:r w:rsidR="005F6117">
        <w:rPr>
          <w:i/>
          <w:iCs/>
        </w:rPr>
        <w:t>stricto</w:t>
      </w:r>
      <w:proofErr w:type="spellEnd"/>
      <w:r w:rsidR="002F394A" w:rsidRPr="002F394A">
        <w:t xml:space="preserve"> </w:t>
      </w:r>
      <w:r w:rsidR="00353E50">
        <w:t>(</w:t>
      </w:r>
      <w:r w:rsidR="00043D31">
        <w:t xml:space="preserve">ARF, </w:t>
      </w:r>
      <w:r w:rsidR="002F394A" w:rsidRPr="002F394A">
        <w:t>also known as</w:t>
      </w:r>
      <w:r w:rsidR="002F394A">
        <w:t xml:space="preserve"> </w:t>
      </w:r>
      <w:r w:rsidR="00857530">
        <w:t>Dense Ombrophilous Forest)</w:t>
      </w:r>
      <w:r w:rsidR="00E1414D">
        <w:t xml:space="preserve"> along the coast</w:t>
      </w:r>
      <w:r w:rsidR="00857530">
        <w:t xml:space="preserve">, </w:t>
      </w:r>
      <w:r w:rsidR="002F394A">
        <w:t xml:space="preserve">Araucaria </w:t>
      </w:r>
      <w:r w:rsidR="003E2432">
        <w:t>M</w:t>
      </w:r>
      <w:r w:rsidR="002F394A">
        <w:t xml:space="preserve">ixed </w:t>
      </w:r>
      <w:r w:rsidR="003E2432">
        <w:t>F</w:t>
      </w:r>
      <w:r w:rsidR="002F394A">
        <w:t xml:space="preserve">orest </w:t>
      </w:r>
      <w:r w:rsidR="003E2432">
        <w:t>(</w:t>
      </w:r>
      <w:r w:rsidR="00043D31">
        <w:t xml:space="preserve">AMF, </w:t>
      </w:r>
      <w:r w:rsidR="003E2432">
        <w:t xml:space="preserve">also known as </w:t>
      </w:r>
      <w:r w:rsidR="00857530">
        <w:t>Mixed Ombrophilous Forest)</w:t>
      </w:r>
      <w:r w:rsidR="00E1414D">
        <w:t xml:space="preserve"> and</w:t>
      </w:r>
      <w:r w:rsidR="00857530">
        <w:t xml:space="preserve"> Campos</w:t>
      </w:r>
      <w:r w:rsidR="00B728F3">
        <w:t xml:space="preserve"> grasslands</w:t>
      </w:r>
      <w:r w:rsidR="00E1414D">
        <w:t xml:space="preserve"> on the highland plateau</w:t>
      </w:r>
      <w:r w:rsidR="00857530">
        <w:t xml:space="preserve">, Cloud </w:t>
      </w:r>
      <w:r w:rsidR="00E1414D">
        <w:t>F</w:t>
      </w:r>
      <w:r w:rsidR="00857530">
        <w:t>orest</w:t>
      </w:r>
      <w:r w:rsidR="00E1414D">
        <w:t xml:space="preserve"> at </w:t>
      </w:r>
      <w:r w:rsidR="00AB7D78">
        <w:t>the very</w:t>
      </w:r>
      <w:r w:rsidR="008670A6">
        <w:t xml:space="preserve"> highest elevations</w:t>
      </w:r>
      <w:r w:rsidR="00857530">
        <w:t>, and Seasonally Deciduous Forest</w:t>
      </w:r>
      <w:r w:rsidR="00043D31">
        <w:t xml:space="preserve"> (SDF)</w:t>
      </w:r>
      <w:r w:rsidR="008670A6">
        <w:t xml:space="preserve"> in the west</w:t>
      </w:r>
      <w:r w:rsidR="00FA6D9D">
        <w:t xml:space="preserve"> </w:t>
      </w:r>
      <w:r w:rsidR="00FA6D9D" w:rsidRPr="00C310AB">
        <w:t>(Fig.1</w:t>
      </w:r>
      <w:r w:rsidR="008670A6" w:rsidRPr="00C310AB">
        <w:t xml:space="preserve">, </w:t>
      </w:r>
      <w:r w:rsidR="00C310AB" w:rsidRPr="00C310AB">
        <w:t>section 2.2</w:t>
      </w:r>
      <w:r w:rsidR="00FA6D9D" w:rsidRPr="00C310AB">
        <w:t>)</w:t>
      </w:r>
      <w:r w:rsidR="009D0342">
        <w:t xml:space="preserve"> </w:t>
      </w:r>
      <w:r w:rsidR="009D0342">
        <w:fldChar w:fldCharType="begin" w:fldLock="1"/>
      </w:r>
      <w:r w:rsidR="007F330C">
        <w:instrText>ADDIN CSL_CITATION {"citationItems":[{"id":"ITEM-1","itemData":{"ISBN":"978-85-240-4272-0","author":[{"dropping-particle":"","family":"IBGE","given":"Instituto Brasileiro de Geografia e Estatística","non-dropping-particle":"","parse-names":false,"suffix":""}],"container-title":"Manuais Técnicos em Geociências","id":"ITEM-1","issued":{"date-parts":[["2012"]]},"number-of-pages":"271","publisher-place":"Rio de Janeiro","title":"Manual Técnico da Vegetação Brasileira","type":"report","volume":"1"},"uris":["http://www.mendeley.com/documents/?uuid=a6c14f80-dd2e-4c01-a58e-3e8b818498ef"]},{"id":"ITEM-2","itemData":{"DOI":"10.1111/j.1744-7429.2000.tb00619.x","ISBN":"0006-3606","ISSN":"0006-3606","abstract":"The tree flora of southeastern Brazilian Atlantic forests was investigated according to two main aspects: (a) the variations in floristic composition of both rain and semi-deciduous forests were analyzed in terms of geographic and climatic variables by performing multivariate analyses on 125 existing floristic checklists; and (b) the links of both rain and semi- deciduous forests to Amazonian forests and Cerrados (woody savanna) were assessed. All analyses were performed at the species, genus, and family levels. The information obtained for the 125 forest areas was organized into an environmental database containing geographic and climatic records, and a floristic database containing binary presence records for 2532 species, 520 genera, and 106 families. Canonical correspondence analyses (CCA) were utilized to assess the relationship between geographic and climatic variables, and tree flora composition. Venn diagrams and cluster analyses were used to assess the floristic links to Amazonian forests and Cerrados. The following patterns were detected at all three taxonomic levels: (a) the differentiation between rain and semi-deciduous forests is floristically consistent and strongly correlated with rainfall regime, although transitions may be abrupt to gradual; (b) a north–south differentiation exists for both rain and semi-deciduous forests, probably caused by variations in both temperature and rainfall regime; (c) The flora of semi- deciduous forests also changes with increasing distance from the ocean and the associated increasing rainfall seasonality; and (d) elevation and associated temperatures are strongly correlated with the internal differentiation of both rain and semi-deciduous forests. To a considerable extent, the tree flora of semi-deciduous forests is a subset of the rain forest flora, probably extracting species that are able to cope with a longer dry season. There is greater floristic similarity at the species level between Atlantic rain and semi-deciduous forests than between any of these and either Amazonian rain forests or Cerrados. Nevertheless, semi-deciduous forests and Cerrados show stronger links, particularly at the generic and familial levels. Therefore, there is little floristic ground for viewing Atlantic rain forests as being closer to their Amazonian counterparts than to the adjacent semi-deciduous forests. The most appropriate view of rain and semi- deciduous forests in southeastern Brazil is that of a continuum in tree spe…","author":[{"dropping-particle":"","family":"Oliveira‐Filho","given":"Ary T.","non-dropping-particle":"","parse-names":false,"suffix":""},{"dropping-particle":"","family":"Fontes","given":"Marco Aurelio L.","non-dropping-particle":"","parse-names":false,"suffix":""}],"container-title":"Biotropica","id":"ITEM-2","issue":"2","issued":{"date-parts":[["2000"]]},"note":"Examining the floristic definition and climatic controls on Atlantic forest sl. There's a gradient between semi-deciduous and rain forest, with N-S gradients for both. Rainfall seasonality and distance from the ocean affects sdf composition, and elevation and temperature affect both forest types. The paper gives a definition of Atlantic forest sensu lato that includes Araucaria forest.","page":"793-810","title":"Patterns of Floristic Differentiation among Atlantic Forests in Southeastern Brazil and the Influence of Climate","type":"article-journal","volume":"32"},"uris":["http://www.mendeley.com/documents/?uuid=c62f1d54-8fd7-492b-a951-29063256b00d"]}],"mendeley":{"formattedCitation":"(IBGE, 2012; Oliveira‐Filho and Fontes, 2000)","plainTextFormattedCitation":"(IBGE, 2012; Oliveira‐Filho and Fontes, 2000)","previouslyFormattedCitation":"(IBGE, 2012; Oliveira‐Filho and Fontes, 2000)"},"properties":{"noteIndex":0},"schema":"https://github.com/citation-style-language/schema/raw/master/csl-citation.json"}</w:instrText>
      </w:r>
      <w:r w:rsidR="009D0342">
        <w:fldChar w:fldCharType="separate"/>
      </w:r>
      <w:r w:rsidR="005944BB" w:rsidRPr="005944BB">
        <w:rPr>
          <w:noProof/>
        </w:rPr>
        <w:t>(IBGE, 2012; Oliveira‐Filho and Fontes, 2000)</w:t>
      </w:r>
      <w:r w:rsidR="009D0342">
        <w:fldChar w:fldCharType="end"/>
      </w:r>
      <w:r w:rsidR="00857530">
        <w:t xml:space="preserve">. </w:t>
      </w:r>
      <w:r w:rsidR="008520A5">
        <w:t xml:space="preserve">Each of these </w:t>
      </w:r>
      <w:r w:rsidR="00802C86">
        <w:t xml:space="preserve">distinct and diverse </w:t>
      </w:r>
      <w:r w:rsidR="008520A5">
        <w:t xml:space="preserve">ecosystems is </w:t>
      </w:r>
      <w:r w:rsidR="000E2D04">
        <w:t xml:space="preserve">already </w:t>
      </w:r>
      <w:r w:rsidR="008520A5">
        <w:t>under threat</w:t>
      </w:r>
      <w:r w:rsidR="002D20DF">
        <w:t xml:space="preserve"> from habitat conversion:</w:t>
      </w:r>
      <w:r w:rsidR="008520A5">
        <w:t xml:space="preserve"> </w:t>
      </w:r>
      <w:r w:rsidR="00043D31">
        <w:t>ARF</w:t>
      </w:r>
      <w:r w:rsidR="003E2432">
        <w:t xml:space="preserve"> and </w:t>
      </w:r>
      <w:r w:rsidR="00043D31">
        <w:t xml:space="preserve">AMF </w:t>
      </w:r>
      <w:r w:rsidR="008520A5">
        <w:t xml:space="preserve">are Endangered </w:t>
      </w:r>
      <w:r w:rsidR="00475F9A">
        <w:t xml:space="preserve">and </w:t>
      </w:r>
      <w:r w:rsidR="00043D31">
        <w:t>SDF</w:t>
      </w:r>
      <w:r w:rsidR="00475F9A">
        <w:t xml:space="preserve"> </w:t>
      </w:r>
      <w:r w:rsidR="00237402">
        <w:t xml:space="preserve">is </w:t>
      </w:r>
      <w:r w:rsidR="00475F9A">
        <w:t xml:space="preserve">Critically Endangered, with </w:t>
      </w:r>
      <w:r w:rsidR="002D20DF">
        <w:t xml:space="preserve">their risk of collapse within 50 years </w:t>
      </w:r>
      <w:r w:rsidR="00670E93">
        <w:t xml:space="preserve">estimated at </w:t>
      </w:r>
      <w:r w:rsidR="008520A5">
        <w:t>≥20%</w:t>
      </w:r>
      <w:r w:rsidR="00DA28EA">
        <w:t xml:space="preserve"> and ≥50% respectively</w:t>
      </w:r>
      <w:r w:rsidR="00642E20">
        <w:t xml:space="preserve"> </w:t>
      </w:r>
      <w:r w:rsidR="00642E20">
        <w:fldChar w:fldCharType="begin" w:fldLock="1"/>
      </w:r>
      <w:r w:rsidR="00A036BF">
        <w:instrText>ADDIN CSL_CITATION {"citationItems":[{"id":"ITEM-1","itemData":{"DOI":"10.1111/conl.12623","ISSN":"1755-263X","abstract":"Forests of the Americas and the Caribbean are undergoing rapid change as human populations increase and land use intensifies. We applied the IUCN Red List of Ecosystems (RLE) criteria and simple cost-efficiency analyses to provide the first regional perspective on patterns of relative risk integrated across multiple threats. Based on six indicators of ecosystem distribution and function, we find that 80% of the forest types and 85% of the current forest area is potentially threatened based on RLE criteria. Twelve forest types are Critically Endangered due to past or projected future deforestation, and Tropical Dry Forests and Woodland have highest threat scores. To efficiently reduce risks to forest ecosystems at national levels, scenario analyses show that countries would need to combine large forest protection measures with focused actions, tailored to their sociopolitical context, to help restore ecological functions in a selection of threatened forest types. K E Y W O R D S conservation actions, conservation goals, cost-efficiency analysis, ecosystem collapse, ecosystem risk assessment, forest management and conservation, IUCN Red List of ecosystems, threat score, temperate forest, tropical forest This is an open access article under the terms of the Creative Commons Attribution License, which permits use, distribution and reproduction in any medium, provided the original work is properly cited.","author":[{"dropping-particle":"","family":"Ferrer‐Paris","given":"José Rafael","non-dropping-particle":"","parse-names":false,"suffix":""},{"dropping-particle":"","family":"Zager","given":"Irene","non-dropping-particle":"","parse-names":false,"suffix":""},{"dropping-particle":"","family":"Keith","given":"David A","non-dropping-particle":"","parse-names":false,"suffix":""},{"dropping-particle":"","family":"Oliveira‐Miranda","given":"María A.","non-dropping-particle":"","parse-names":false,"suffix":""},{"dropping-particle":"","family":"Rodríguez","given":"Jon Paul","non-dropping-particle":"","parse-names":false,"suffix":""},{"dropping-particle":"","family":"Josse","given":"Carmen","non-dropping-particle":"","parse-names":false,"suffix":""},{"dropping-particle":"","family":"González‐Gil","given":"Mario","non-dropping-particle":"","parse-names":false,"suffix":""},{"dropping-particle":"","family":"Miller","given":"Rebecca M","non-dropping-particle":"","parse-names":false,"suffix":""},{"dropping-particle":"","family":"Zambrana‐Torrelio","given":"Carlos","non-dropping-particle":"","parse-names":false,"suffix":""},{"dropping-particle":"","family":"Barrow","given":"Edmund","non-dropping-particle":"","parse-names":false,"suffix":""}],"container-title":"Conservation Letters","id":"ITEM-1","issue":"2","issued":{"date-parts":[["2019","3","15"]]},"note":"Applies IUCN Red List of Ecosystem criteria to forest macrogroups of the Americas. Macrogroup names are kind of weird, but see note for sources. Key thing: SDF is CR, and MOF and DOF are EN. Interesting things about the categories that threaten each; see notes or annotated SI Eexcel file in Cores and Data folder.\nFrom IUCN RLE website: CR = &amp;gt;=50% probability of ecosystem collapse within 50 years; EN = &amp;gt;= 20%","page":"e12623","title":"An ecosystem risk assessment of temperate and tropical forests of the Americas with an outlook on future conservation strategies","type":"article-journal","volume":"12"},"uris":["http://www.mendeley.com/documents/?uuid=ac3e0968-7a1a-35d6-8281-29cc7edffc9a"]}],"mendeley":{"formattedCitation":"(Ferrer‐Paris et al., 2019)","plainTextFormattedCitation":"(Ferrer‐Paris et al., 2019)","previouslyFormattedCitation":"(Ferrer‐Paris et al., 2019)"},"properties":{"noteIndex":0},"schema":"https://github.com/citation-style-language/schema/raw/master/csl-citation.json"}</w:instrText>
      </w:r>
      <w:r w:rsidR="00642E20">
        <w:fldChar w:fldCharType="separate"/>
      </w:r>
      <w:r w:rsidR="00937D47" w:rsidRPr="00937D47">
        <w:rPr>
          <w:noProof/>
        </w:rPr>
        <w:t>(Ferrer‐Paris et al., 2019)</w:t>
      </w:r>
      <w:r w:rsidR="00642E20">
        <w:fldChar w:fldCharType="end"/>
      </w:r>
      <w:r w:rsidR="00DA28EA">
        <w:t xml:space="preserve">; </w:t>
      </w:r>
      <w:r w:rsidR="008520A5">
        <w:t xml:space="preserve">25% of Campos was lost </w:t>
      </w:r>
      <w:r w:rsidR="00BA6949">
        <w:t xml:space="preserve">between 1970 and 1996 </w:t>
      </w:r>
      <w:r w:rsidR="008520A5">
        <w:t xml:space="preserve">to timber plantations, agricultural expansion and inappropriate management </w:t>
      </w:r>
      <w:r w:rsidR="008520A5">
        <w:fldChar w:fldCharType="begin" w:fldLock="1"/>
      </w:r>
      <w:r w:rsidR="000C6BD5">
        <w:instrText>ADDIN CSL_CITATION {"citationItems":[{"id":"ITEM-1","itemData":{"DOI":"10.1016/j.ppees.2007.07.005","ISBN":"1433-8319","ISSN":"14338319","PMID":"621","abstract":"The South Brazilian grasslands occupy some 13.7 million ha and support very high levels of biodiversity. This paper reviews the current state of ecological knowledge on South Brazilian Campos and of threats and challenges associated with their conservation. The principal factors shaping grassland physiognomy and diversity are discussed, and information is presented on diversity of plant species; best estimates suggest that 3000-4000 phanerophytes occur in the South Brazilian grasslands. It is argued that, despite their high species richness, Campos vegetation is not adequately protected under current conservation policies. In the past three decades, approximately 25% of the grassland area has been lost due to land use changes, and this trend continues. However, representation of Campos grasslands in conservation units is extremely low (less than 0.5%), and the management in most of these is inadequate to preserve the grasslands, as grazing and fire are important factors for their persistence. In conclusion, the following urgent needs are identified: (1) to create more conservation units in different regions, including different grassland types throughout southern Brazil, (2) to develop proper management strategies where grasslands are subject to shrub encroachment and forest expansion, (3) to conduct research on biodiversity and ecological processes in the Campos region and (4) to raise public awareness of the value and vulnerability of this vegetation type. © 2007 Rübel Foundation, ETH Zürich.","author":[{"dropping-particle":"","family":"Overbeck","given":"Gerhard E.","non-dropping-particle":"","parse-names":false,"suffix":""},{"dropping-particle":"","family":"Müller","given":"Sandra C.","non-dropping-particle":"","parse-names":false,"suffix":""},{"dropping-particle":"","family":"Fidelis","given":"Alessandra","non-dropping-particle":"","parse-names":false,"suffix":""},{"dropping-particle":"","family":"Pfadenhauer","given":"Jörg","non-dropping-particle":"","parse-names":false,"suffix":""},{"dropping-particle":"","family":"Pillar","given":"Valério D.","non-dropping-particle":"","parse-names":false,"suffix":""},{"dropping-particle":"","family":"Blanco","given":"Carolina C.","non-dropping-particle":"","parse-names":false,"suffix":""},{"dropping-particle":"","family":"Boldrini","given":"Ilsi I.","non-dropping-particle":"","parse-names":false,"suffix":""},{"dropping-particle":"","family":"Both","given":"Rogerio","non-dropping-particle":"","parse-names":false,"suffix":""},{"dropping-particle":"","family":"Forneck","given":"Eduardo D.","non-dropping-particle":"","parse-names":false,"suffix":""}],"container-title":"Perspectives in Plant Ecology, Evolution and Systematics","id":"ITEM-1","issue":"2","issued":{"date-parts":[["2007"]]},"note":"A bit of a love song to the campos. Good descriptions of the species involved and of the biome itself (it's less clearly delimited than the ombrophilous forests, for instance), and some interesting things on its conservation. Basically, don't just think of it as not-forest, it's its own thing","page":"101-116","title":"Brazil's neglected biome: The South Brazilian Campos","type":"article-journal","volume":"9"},"uris":["http://www.mendeley.com/documents/?uuid=4445f582-7465-334d-acb3-bf9e7d5648a5"]}],"mendeley":{"formattedCitation":"(Overbeck et al., 2007)","plainTextFormattedCitation":"(Overbeck et al., 2007)","previouslyFormattedCitation":"(Overbeck et al., 2007)"},"properties":{"noteIndex":0},"schema":"https://github.com/citation-style-language/schema/raw/master/csl-citation.json"}</w:instrText>
      </w:r>
      <w:r w:rsidR="008520A5">
        <w:fldChar w:fldCharType="separate"/>
      </w:r>
      <w:r w:rsidR="000C6BD5" w:rsidRPr="000C6BD5">
        <w:rPr>
          <w:noProof/>
        </w:rPr>
        <w:t>(Overbeck et al., 2007)</w:t>
      </w:r>
      <w:r w:rsidR="008520A5">
        <w:fldChar w:fldCharType="end"/>
      </w:r>
      <w:r w:rsidR="008520A5">
        <w:t>.</w:t>
      </w:r>
      <w:r w:rsidR="003B6D44">
        <w:t xml:space="preserve"> Furthermore</w:t>
      </w:r>
      <w:r w:rsidR="00907AA0">
        <w:t>, these tropical and subtropical forests and natural grasslands hold significant populations of more cold-adapted taxa</w:t>
      </w:r>
      <w:r w:rsidR="003B6D44">
        <w:t>,</w:t>
      </w:r>
      <w:r w:rsidR="00907AA0">
        <w:t xml:space="preserve"> which are already range-constrained under the present </w:t>
      </w:r>
      <w:r w:rsidR="00907AA0">
        <w:lastRenderedPageBreak/>
        <w:t>interglacial climate</w:t>
      </w:r>
      <w:r w:rsidR="003B6D44">
        <w:t xml:space="preserve"> and </w:t>
      </w:r>
      <w:r w:rsidR="006D3625">
        <w:t>so</w:t>
      </w:r>
      <w:r w:rsidR="00830A64">
        <w:t xml:space="preserve"> a</w:t>
      </w:r>
      <w:r w:rsidR="00083430">
        <w:t>t elevated risk from anthropogenic climate change</w:t>
      </w:r>
      <w:r w:rsidR="00907AA0">
        <w:t xml:space="preserve"> </w:t>
      </w:r>
      <w:r w:rsidR="00907AA0">
        <w:fldChar w:fldCharType="begin" w:fldLock="1"/>
      </w:r>
      <w:r w:rsidR="00907AA0">
        <w:instrText>ADDIN CSL_CITATION {"citationItems":[{"id":"ITEM-1","itemData":{"DOI":"10.1098/rspb.2014.1461","ISSN":"0962-8452","abstract":"Phylogeographic endemism, the degree to which the history of recently evolved lineages is spatially restricted, reflects fundamental evolutionary processes such as cryptic divergence, adaptation and biological responses to environmental heterogeneity. Attempts to explain the extraordinary diversity of the tropics, which often includes deep phylogeographic structure, frequently invoke interactions of climate variability across space, time and topography. To evaluate historical versus contemporary drivers of phylogeo-graphic endemism in a tropical system, we analyse the effects of current and past climatic variation on the genetic diversity of 25 vertebrates in the Brazilian Atlantic rainforest. We identify two divergent bioclimatic domains within the forest and high turnover around the Rio Doce. Independent modelling of these domains demonstrates that endemism patterns are subject to different climatic drivers. Past climate dynamics, specifically areas of relative stability, predict phylogeographic endemism in the north. Conversely, contemporary climatic heterogeneity better explains endemism in the south. These results accord with recent speleothem and fossil pollen studies, suggesting that climatic variability through the last 250 kyr impacted the northern and the southern forests differently. Incorporating sub-regional differences in climate dynamics will enhance our ability to understand those processes shaping high phylogeographic and species endemism, in the Neotropics and beyond.","author":[{"dropping-particle":"","family":"Carnaval","given":"Ana Carolina","non-dropping-particle":"","parse-names":false,"suffix":""},{"dropping-particle":"","family":"Waltari","given":"Eric","non-dropping-particle":"","parse-names":false,"suffix":""},{"dropping-particle":"","family":"Rodrigues","given":"Miguel T","non-dropping-particle":"","parse-names":false,"suffix":""},{"dropping-particle":"","family":"Rosauer","given":"Dan","non-dropping-particle":"","parse-names":false,"suffix":""},{"dropping-particle":"","family":"VanDerWal","given":"J.","non-dropping-particle":"","parse-names":false,"suffix":""},{"dropping-particle":"","family":"Damasceno","given":"Roberta","non-dropping-particle":"","parse-names":false,"suffix":""},{"dropping-particle":"","family":"Prates","given":"Ivan","non-dropping-particle":"","parse-names":false,"suffix":""},{"dropping-particle":"","family":"Strangas","given":"Maria","non-dropping-particle":"","parse-names":false,"suffix":""},{"dropping-particle":"","family":"Spanos","given":"Zoe","non-dropping-particle":"","parse-names":false,"suffix":""},{"dropping-particle":"","family":"Rivera","given":"Danielle","non-dropping-particle":"","parse-names":false,"suffix":""},{"dropping-particle":"","family":"Pie","given":"Marcio R","non-dropping-particle":"","parse-names":false,"suffix":""},{"dropping-particle":"","family":"Firkowski","given":"Carina R","non-dropping-particle":"","parse-names":false,"suffix":""},{"dropping-particle":"","family":"Bornschein","given":"Marcos R","non-dropping-particle":"","parse-names":false,"suffix":""},{"dropping-particle":"","family":"Ribeiro","given":"Luiz F","non-dropping-particle":"","parse-names":false,"suffix":""},{"dropping-particle":"","family":"Moritz","given":"Craig","non-dropping-particle":"","parse-names":false,"suffix":""}],"container-title":"Proceedings of the Royal Society B: Biological Sciences","id":"ITEM-1","issue":"1792","issued":{"date-parts":[["2014","8","13"]]},"note":"Splits Atlantic Forest into two (north and south) based on general climate differentiation, and models the persistence of these generic forest types in high temporal resolution from the LIG (120ka) to present. Predicts quite a lot of forest persistence in the south, but current climate conditions do a better job of predicting current endemism patterns there (because they're cold-adapted and now is the difficult time).","page":"20141461-20141461","title":"Prediction of phylogeographic endemism in an environmentally complex biome","type":"article-journal","volume":"281"},"uris":["http://www.mendeley.com/documents/?uuid=3de57093-65d7-3894-8d34-1421c69686de"]},{"id":"ITEM-2","itemData":{"DOI":"10.1111/geb.12228","ISSN":"1466822X","abstract":"Aim: Global changes are predicted to have severe consequences for biodiversity; 34 biodiversity hotspots have become international priorities for conservation, with important efforts allocated to their preservation, but the potential effects of global changes on hotspots have so far received relatively little attention. We investigate whether hotspots are quantitatively and qualitatively threatened to the same order of magnitude by the combined effects of global changes. Location: Worldwide, in 34 biodiversity hotspots. Methods: We quantify (1) the exposure of hotspots to climate change, by estimating the novelty of future climates and the disappearance of extant climates using climate dissimilarity analyses, (2) each hotspot's vulnerability to land modification and degradation by quantifying changes in land-cover variables over the entire habitat, and (3) the future suitability of distribution ranges of '100 of the world's worst invasive alien species', by characterizing the combined effects of climate and land-use changes on the future distribution ranges of these species. Results: Our findings show that hotspots may experience an average loss of 31% of their area under analogue climate, with some hotspots more affected than others (e.g. Polynesia-Micronesia). The greatest climate change was projected in low-latitude hotspots. The hotspots were on average suitable for 17% of the considered invasive species. Hotspots that are mainly islands or groups of islands were disproportionally suitable for a high number of invasive species both currently and in the future. We also showed that hotspots will increase their area of pasture in the future. Finally, combining the three threats, we identified the Atlantic forest, Cape Floristic Region and Polynesia-Micronesia as particularly vulnerable to global changes. Main conclusions: Given our estimates of hotspot vulnerability to changes, close monitoring is now required to evaluate the biodiversity responses to future changes and to test our projections against observations.","author":[{"dropping-particle":"","family":"Bellard","given":"Céline","non-dropping-particle":"","parse-names":false,"suffix":""},{"dropping-particle":"","family":"Leclerc","given":"Camille","non-dropping-particle":"","parse-names":false,"suffix":""},{"dropping-particle":"","family":"Leroy","given":"Boris","non-dropping-particle":"","parse-names":false,"suffix":""},{"dropping-particle":"","family":"Bakkenes","given":"Michel","non-dropping-particle":"","parse-names":false,"suffix":""},{"dropping-particle":"","family":"Veloz","given":"Samuel","non-dropping-particle":"","parse-names":false,"suffix":""},{"dropping-particle":"","family":"Thuiller","given":"Wilfried","non-dropping-particle":"","parse-names":false,"suffix":""},{"dropping-particle":"","family":"Courchamp","given":"Franck","non-dropping-particle":"","parse-names":false,"suffix":""}],"container-title":"Global Ecology and Biogeography","id":"ITEM-2","issue":"12","issued":{"date-parts":[["2014","12","1"]]},"note":"Looks at the threat to biodiversity hotspots by 2080 from climate change, land use change and invasive species. Useful information in the SI for breakdown by hotspot. Incorporating these and its number of endemic plant spp, the Atlantic Forest is the world's most threatened hotspot. Its southern region is more vulnerable to invasive spp than the rest, though the future actually doesn't look as bad as the present. Under the A1B scenario (reasonably pessimistic), 28-29% (ca 2500) of the Atlantic Forest's 8732 endemic species (plants, mammals, birds, reptiles, amphibians, freshwater fish).","page":"1376-1386","publisher":"Blackwell Publishing Ltd","title":"Vulnerability of biodiversity hotspots to global change","type":"article-journal","volume":"23"},"uris":["http://www.mendeley.com/documents/?uuid=1b139930-f75b-33ba-bd76-6b5743b9712f"]},{"id":"ITEM-3","itemData":{"DOI":"10.1016/j.biocon.2009.02.021","ISBN":"0006-3207","ISSN":"00063207","PMID":"25246403","abstract":"The neotropical Atlantic Forest supports one of the highest degrees of species richness and rates of endemism on the planet, but has also undergone a huge forest loss. However, there exists no broad-scale information about the spatial distribution of its remnants that could guide conservation actions, especially when systematic biodiversity data are not available. In this context, our objectives were to quantify how much of the forest still remains, and analyze its spatial distribution. We considered the entire Brazilian Atlantic Forest, and eight sub-regions, defined according to species distribution. The results revealed a serious situation: more than 80% of the fragments are &lt;50 ha, almost half the remaining forest is &lt;100 m from its edges, the average distance between fragments is large (1440 m), and nature reserves protect only 9% of the remaining forest and 1% of the original forest. On the other hand, our estimates of existing Atlantic Forest cover were higher than previous ones (7-8%), ranging from 11.4% to 16%. The differences among estimates are mainly related to our inclusion of intermediate secondary forests and small fragments (&lt;100 ha), which correspond to approximately 32-40% of what remains. We suggest some guidelines for conservation: (i) large mature forest fragments should be a conservation priority; (ii) smaller fragments can be managed in order to maintain functionally linked mosaics; (iii) the matrix surrounding fragments should be managed so as to minimize edge effects and improve connectivity; and (iv) restoration actions should be taken, particularly in certain key areas. The clear differences in the amount remaining and its spatial distribution within each sub-region must be considered when planning for biodiversity conservation. ?? 2009 Elsevier Ltd. All rights reserved.","author":[{"dropping-particle":"","family":"Ribeiro","given":"Milton Cezar","non-dropping-particle":"","parse-names":false,"suffix":""},{"dropping-particle":"","family":"Metzger","given":"Jean Paul","non-dropping-particle":"","parse-names":false,"suffix":""},{"dropping-particle":"","family":"Martensen","given":"Alexandre Camargo","non-dropping-particle":"","parse-names":false,"suffix":""},{"dropping-particle":"","family":"Ponzoni","given":"Flávio Jorge","non-dropping-particle":"","parse-names":false,"suffix":""},{"dropping-particle":"","family":"Hirota","given":"Márcia Makiko","non-dropping-particle":"","parse-names":false,"suffix":""}],"container-title":"Biological Conservation","id":"ITEM-3","issue":"6","issued":{"date-parts":[["2009"]]},"note":"Paper that looks at the state of the different types of forest in the Atlantic forest biome. The biome is separated into different biogeographic subregions (Araucaria among them), and the proportion of these BSRs that are now forested is calculated. \n\nOverall 11.73% of the Atlantic forest region is still forested; it's 12.6% of the Araucaria BSR. However, the authors conclude that 88.27% of the original vegetation has been lost, but this presumes all of the BSRs would naturally be 100% forested. This isn't true for ARF-CAM mosaics.\n\nOther interesting numbers about the extent of protection for the forest (3.1% of remaining forest in Araucaria BSR) and general fragmentation/interconnectivity of the forest biome","page":"1141-1153","title":"The Brazilian Atlantic Forest: How much is left, and how is the remaining forest distributed? Implications for conservation","type":"article-journal","volume":"142"},"uris":["http://www.mendeley.com/documents/?uuid=3bb32b32-c235-36b5-80ce-464fa840afc8"]}],"mendeley":{"formattedCitation":"(Bellard et al., 2014; Carnaval et al., 2014; Ribeiro et al., 2009)","plainTextFormattedCitation":"(Bellard et al., 2014; Carnaval et al., 2014; Ribeiro et al., 2009)","previouslyFormattedCitation":"(Bellard et al., 2014; Carnaval et al., 2014; Ribeiro et al., 2009)"},"properties":{"noteIndex":0},"schema":"https://github.com/citation-style-language/schema/raw/master/csl-citation.json"}</w:instrText>
      </w:r>
      <w:r w:rsidR="00907AA0">
        <w:fldChar w:fldCharType="separate"/>
      </w:r>
      <w:r w:rsidR="00907AA0" w:rsidRPr="00DD3D25">
        <w:rPr>
          <w:noProof/>
        </w:rPr>
        <w:t>(Bellard et al., 2014; Carnaval et al., 2014; Ribeiro et al., 2009)</w:t>
      </w:r>
      <w:r w:rsidR="00907AA0">
        <w:fldChar w:fldCharType="end"/>
      </w:r>
      <w:r w:rsidR="00907AA0">
        <w:t xml:space="preserve">. </w:t>
      </w:r>
      <w:r w:rsidR="00C40AC6">
        <w:t xml:space="preserve">Understanding </w:t>
      </w:r>
      <w:r w:rsidR="00BC5C0C">
        <w:t xml:space="preserve">how these ecosystems and their component species will respond to </w:t>
      </w:r>
      <w:r w:rsidR="006D3625">
        <w:t>changing conditions over the coming decades is therefore a key research priority.</w:t>
      </w:r>
    </w:p>
    <w:p w14:paraId="4E141A44" w14:textId="73E17D59" w:rsidR="00A962DD" w:rsidRDefault="003A6171" w:rsidP="00F74804">
      <w:pPr>
        <w:spacing w:line="360" w:lineRule="auto"/>
      </w:pPr>
      <w:r>
        <w:rPr>
          <w:noProof/>
          <w:lang w:val="sv-SE" w:eastAsia="sv-SE"/>
        </w:rPr>
        <w:drawing>
          <wp:inline distT="0" distB="0" distL="0" distR="0" wp14:anchorId="2C92AEFA" wp14:editId="287CD425">
            <wp:extent cx="4096184" cy="5120230"/>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96184" cy="5120230"/>
                    </a:xfrm>
                    <a:prstGeom prst="rect">
                      <a:avLst/>
                    </a:prstGeom>
                  </pic:spPr>
                </pic:pic>
              </a:graphicData>
            </a:graphic>
          </wp:inline>
        </w:drawing>
      </w:r>
    </w:p>
    <w:p w14:paraId="4514A1F0" w14:textId="7A8D8C1C" w:rsidR="00A962DD" w:rsidRPr="009C5F72" w:rsidRDefault="00A962DD" w:rsidP="00F74804">
      <w:pPr>
        <w:spacing w:line="360" w:lineRule="auto"/>
        <w:rPr>
          <w:i/>
          <w:iCs/>
          <w:sz w:val="20"/>
          <w:szCs w:val="20"/>
        </w:rPr>
      </w:pPr>
      <w:r w:rsidRPr="00135482">
        <w:rPr>
          <w:i/>
          <w:iCs/>
          <w:sz w:val="20"/>
          <w:szCs w:val="20"/>
        </w:rPr>
        <w:t>Fig.</w:t>
      </w:r>
      <w:r w:rsidR="005A63B9">
        <w:rPr>
          <w:i/>
          <w:iCs/>
          <w:sz w:val="20"/>
          <w:szCs w:val="20"/>
        </w:rPr>
        <w:t xml:space="preserve"> </w:t>
      </w:r>
      <w:r w:rsidRPr="00135482">
        <w:rPr>
          <w:i/>
          <w:iCs/>
          <w:sz w:val="20"/>
          <w:szCs w:val="20"/>
        </w:rPr>
        <w:t>1</w:t>
      </w:r>
      <w:r w:rsidR="004C5352">
        <w:rPr>
          <w:i/>
          <w:iCs/>
          <w:sz w:val="20"/>
          <w:szCs w:val="20"/>
        </w:rPr>
        <w:t>:</w:t>
      </w:r>
      <w:r w:rsidR="001227D4" w:rsidRPr="009C5F72">
        <w:rPr>
          <w:i/>
          <w:iCs/>
          <w:sz w:val="20"/>
          <w:szCs w:val="20"/>
        </w:rPr>
        <w:t xml:space="preserve"> </w:t>
      </w:r>
      <w:r w:rsidR="00B95430">
        <w:rPr>
          <w:i/>
          <w:iCs/>
          <w:sz w:val="20"/>
          <w:szCs w:val="20"/>
        </w:rPr>
        <w:t>Brazil’s Atlantic Forest</w:t>
      </w:r>
      <w:r w:rsidR="00543501">
        <w:rPr>
          <w:i/>
          <w:iCs/>
          <w:sz w:val="20"/>
          <w:szCs w:val="20"/>
        </w:rPr>
        <w:t xml:space="preserve"> vegetation</w:t>
      </w:r>
      <w:r w:rsidR="00782895">
        <w:rPr>
          <w:i/>
          <w:iCs/>
          <w:sz w:val="20"/>
          <w:szCs w:val="20"/>
        </w:rPr>
        <w:t xml:space="preserve"> </w:t>
      </w:r>
      <w:r w:rsidR="005B6E82" w:rsidRPr="009C5F72">
        <w:rPr>
          <w:i/>
          <w:iCs/>
          <w:sz w:val="20"/>
          <w:szCs w:val="20"/>
        </w:rPr>
        <w:fldChar w:fldCharType="begin" w:fldLock="1"/>
      </w:r>
      <w:r w:rsidR="007C7638" w:rsidRPr="009C5F72">
        <w:rPr>
          <w:i/>
          <w:iCs/>
          <w:sz w:val="20"/>
          <w:szCs w:val="20"/>
        </w:rPr>
        <w:instrText>ADDIN CSL_CITATION {"citationItems":[{"id":"ITEM-1","itemData":{"ISBN":"978-85-240-4272-0","author":[{"dropping-particle":"","family":"IBGE","given":"Instituto Brasileiro de Geografia e Estatística","non-dropping-particle":"","parse-names":false,"suffix":""}],"container-title":"Manuais Técnicos em Geociências","id":"ITEM-1","issued":{"date-parts":[["2012"]]},"number-of-pages":"271","publisher-place":"Rio de Janeiro","title":"Manual Técnico da Vegetação Brasileira","type":"report","volume":"1"},"uris":["http://www.mendeley.com/documents/?uuid=a6c14f80-dd2e-4c01-a58e-3e8b818498ef"]}],"mendeley":{"formattedCitation":"(IBGE, 2012)","plainTextFormattedCitation":"(IBGE, 2012)","previouslyFormattedCitation":"(IBGE, 2012)"},"properties":{"noteIndex":0},"schema":"https://github.com/citation-style-language/schema/raw/master/csl-citation.json"}</w:instrText>
      </w:r>
      <w:r w:rsidR="005B6E82" w:rsidRPr="009C5F72">
        <w:rPr>
          <w:i/>
          <w:iCs/>
          <w:sz w:val="20"/>
          <w:szCs w:val="20"/>
        </w:rPr>
        <w:fldChar w:fldCharType="separate"/>
      </w:r>
      <w:r w:rsidR="00C44AC8" w:rsidRPr="009C5F72">
        <w:rPr>
          <w:i/>
          <w:iCs/>
          <w:noProof/>
          <w:sz w:val="20"/>
          <w:szCs w:val="20"/>
        </w:rPr>
        <w:t>(IBGE, 2012)</w:t>
      </w:r>
      <w:r w:rsidR="005B6E82" w:rsidRPr="009C5F72">
        <w:rPr>
          <w:i/>
          <w:iCs/>
          <w:sz w:val="20"/>
          <w:szCs w:val="20"/>
        </w:rPr>
        <w:fldChar w:fldCharType="end"/>
      </w:r>
      <w:r w:rsidR="001127A2">
        <w:rPr>
          <w:i/>
          <w:iCs/>
          <w:sz w:val="20"/>
          <w:szCs w:val="20"/>
        </w:rPr>
        <w:t xml:space="preserve"> and </w:t>
      </w:r>
      <w:r w:rsidR="00846A9E">
        <w:rPr>
          <w:i/>
          <w:iCs/>
          <w:sz w:val="20"/>
          <w:szCs w:val="20"/>
        </w:rPr>
        <w:t xml:space="preserve">its natural </w:t>
      </w:r>
      <w:r w:rsidR="001127A2">
        <w:rPr>
          <w:i/>
          <w:iCs/>
          <w:sz w:val="20"/>
          <w:szCs w:val="20"/>
        </w:rPr>
        <w:t>remnants</w:t>
      </w:r>
      <w:r w:rsidR="00AD538D">
        <w:rPr>
          <w:i/>
          <w:iCs/>
          <w:sz w:val="20"/>
          <w:szCs w:val="20"/>
        </w:rPr>
        <w:t xml:space="preserve"> in 2018</w:t>
      </w:r>
      <w:r w:rsidR="001127A2" w:rsidRPr="00D96C1C">
        <w:rPr>
          <w:i/>
          <w:iCs/>
          <w:sz w:val="20"/>
          <w:szCs w:val="20"/>
        </w:rPr>
        <w:t xml:space="preserve"> </w:t>
      </w:r>
      <w:r w:rsidR="00D96C1C" w:rsidRPr="00D96C1C">
        <w:rPr>
          <w:i/>
          <w:iCs/>
          <w:sz w:val="20"/>
          <w:szCs w:val="20"/>
        </w:rPr>
        <w:fldChar w:fldCharType="begin" w:fldLock="1"/>
      </w:r>
      <w:r w:rsidR="004F4F54">
        <w:rPr>
          <w:i/>
          <w:iCs/>
          <w:sz w:val="20"/>
          <w:szCs w:val="20"/>
        </w:rPr>
        <w:instrText>ADDIN CSL_CITATION {"citationItems":[{"id":"ITEM-1","itemData":{"DOI":"10.3390/rs12172735","ISSN":"2072-4292","abstract":"Brazil has a monitoring system to track annual forest conversion in the Amazon and most recently to monitor the Cerrado biome. However, there is still a gap of annual land use and land cover (LULC) information in all Brazilian biomes in the country. Existing countrywide efforts to map land use and land cover lack regularly updates and high spatial resolution time-series data to better understand historical land use and land cover dynamics, and the subsequent impacts in the country biomes. In this study, we described a novel approach and the results achieved by a multi-disciplinary network called MapBiomas to reconstruct annual land use and land cover information between 1985 and 2017 for Brazil, based on random forest applied to Landsat archive using Google Earth Engine. We mapped five major classes: forest, non-forest natural formation, farming, non-vegetated areas, and water. These classes were broken into two sub-classification levels leading to the most comprehensive and detailed mapping for the country at a 30 m pixel resolution. The average overall accuracy of the land use and land cover time-series, based on a stratified random sample of 75,000 pixel locations, was 89% ranging from 73 to 95% in the biomes. The 33 years of LULC change data series revealed that Brazil lost 71 Mha of natural vegetation, mostly to cattle ranching and agriculture activities. Pasture expanded by 46% from 1985 to 2017, and agriculture by 172%, mostly replacing old pasture fields. We also identified that 86 Mha of the converted native vegetation was undergoing some level of regrowth. Several applications of the MapBiomas dataset are underway, suggesting that reconstructing historical land use and land cover change maps is useful for advancing the science and to guide social, economic and environmental policy decision-making processes in Brazil.","author":[{"dropping-particle":"","family":"Souza","given":"Carlos M.","non-dropping-particle":"","parse-names":false,"suffix":""},{"dropping-particle":"","family":"Z. Shimbo","given":"Julia","non-dropping-particle":"","parse-names":false,"suffix":""},{"dropping-particle":"","family":"Rosa","given":"Marcos R.","non-dropping-particle":"","parse-names":false,"suffix":""},{"dropping-particle":"","family":"Parente","given":"Leandro L.","non-dropping-particle":"","parse-names":false,"suffix":""},{"dropping-particle":"","family":"A. Alencar","given":"Ane","non-dropping-particle":"","parse-names":false,"suffix":""},{"dropping-particle":"","family":"Rudorff","given":"Bernardo F. T.","non-dropping-particle":"","parse-names":false,"suffix":""},{"dropping-particle":"","family":"Hasenack","given":"Heinrich","non-dropping-particle":"","parse-names":false,"suffix":""},{"dropping-particle":"","family":"Matsumoto","given":"Marcelo","non-dropping-particle":"","parse-names":false,"suffix":""},{"dropping-particle":"","family":"G. Ferreira","given":"Laerte","non-dropping-particle":"","parse-names":false,"suffix":""},{"dropping-particle":"","family":"Souza-Filho","given":"Pedro W. M.","non-dropping-particle":"","parse-names":false,"suffix":""},{"dropping-particle":"","family":"Oliveira","given":"Sergio W.","non-dropping-particle":"de","parse-names":false,"suffix":""},{"dropping-particle":"","family":"Rocha","given":"Washington F.","non-dropping-particle":"","parse-names":false,"suffix":""},{"dropping-particle":"V.","family":"Fonseca","given":"Antônio","non-dropping-particle":"","parse-names":false,"suffix":""},{"dropping-particle":"","family":"Marques","given":"Camila B.","non-dropping-particle":"","parse-names":false,"suffix":""},{"dropping-particle":"","family":"Diniz","given":"Cesar G.","non-dropping-particle":"","parse-names":false,"suffix":""},{"dropping-particle":"","family":"Costa","given":"Diego","non-dropping-particle":"","parse-names":false,"suffix":""},{"dropping-particle":"","family":"Monteiro","given":"Dyeden","non-dropping-particle":"","parse-names":false,"suffix":""},{"dropping-particle":"","family":"Rosa","given":"Eduardo R.","non-dropping-particle":"","parse-names":false,"suffix":""},{"dropping-particle":"","family":"Vélez-Martin","given":"Eduardo","non-dropping-particle":"","parse-names":false,"suffix":""},{"dropping-particle":"","family":"Weber","given":"Eliseu J.","non-dropping-particle":"","parse-names":false,"suffix":""},{"dropping-particle":"","family":"Lenti","given":"Felipe E. B.","non-dropping-particle":"","parse-names":false,"suffix":""},{"dropping-particle":"","family":"Paternost","given":"Fernando F.","non-dropping-particle":"","parse-names":false,"suffix":""},{"dropping-particle":"","family":"Pareyn","given":"Frans G. C.","non-dropping-particle":"","parse-names":false,"suffix":""},{"dropping-particle":"V.","family":"Siqueira","given":"João","non-dropping-particle":"","parse-names":false,"suffix":""},{"dropping-particle":"","family":"Viera","given":"José L.","non-dropping-particle":"","parse-names":false,"suffix":""},{"dropping-particle":"","family":"Neto","given":"Luiz C. Ferreira","non-dropping-particle":"","parse-names":false,"suffix":""},{"dropping-particle":"","family":"Saraiva","given":"Marciano M.","non-dropping-particle":"","parse-names":false,"suffix":""},{"dropping-particle":"","family":"Sales","given":"Marcio H.","non-dropping-particle":"","parse-names":false,"suffix":""},{"dropping-particle":"","family":"Salgado","given":"Moises P. G.","non-dropping-particle":"","parse-names":false,"suffix":""},{"dropping-particle":"","family":"Vasconcelos","given":"Rodrigo","non-dropping-particle":"","parse-names":false,"suffix":""},{"dropping-particle":"","family":"Galano","given":"Soltan","non-dropping-particle":"","parse-names":false,"suffix":""},{"dropping-particle":"V.","family":"Mesquita","given":"Vinicius","non-dropping-particle":"","parse-names":false,"suffix":""},{"dropping-particle":"","family":"Azevedo","given":"Tasso","non-dropping-particle":"","parse-names":false,"suffix":""}],"container-title":"Remote Sensing","id":"ITEM-1","issue":"17","issued":{"date-parts":[["2020"]]},"note":"MapBiomas","page":"2735","title":"Reconstructing Three Decades of Land Use and Land Cover Changes in Brazilian Biomes with Landsat Archive and Earth Engine","type":"article-journal","volume":"12"},"prefix":"shaded;","uris":["http://www.mendeley.com/documents/?uuid=c7e5fa3a-28df-40fc-94d4-c8ebd05ae56c"]}],"mendeley":{"formattedCitation":"(shaded; Souza et al., 2020)","plainTextFormattedCitation":"(shaded; Souza et al., 2020)","previouslyFormattedCitation":"(shaded; Souza et al., 2020)"},"properties":{"noteIndex":0},"schema":"https://github.com/citation-style-language/schema/raw/master/csl-citation.json"}</w:instrText>
      </w:r>
      <w:r w:rsidR="00D96C1C" w:rsidRPr="00D96C1C">
        <w:rPr>
          <w:i/>
          <w:iCs/>
          <w:sz w:val="20"/>
          <w:szCs w:val="20"/>
        </w:rPr>
        <w:fldChar w:fldCharType="separate"/>
      </w:r>
      <w:r w:rsidR="00915A5C" w:rsidRPr="00915A5C">
        <w:rPr>
          <w:iCs/>
          <w:noProof/>
          <w:sz w:val="20"/>
          <w:szCs w:val="20"/>
        </w:rPr>
        <w:t>(shaded; Souza et al., 2020)</w:t>
      </w:r>
      <w:r w:rsidR="00D96C1C" w:rsidRPr="00D96C1C">
        <w:rPr>
          <w:i/>
          <w:iCs/>
          <w:sz w:val="20"/>
          <w:szCs w:val="20"/>
        </w:rPr>
        <w:fldChar w:fldCharType="end"/>
      </w:r>
      <w:r w:rsidR="004E3DBA">
        <w:rPr>
          <w:i/>
          <w:iCs/>
          <w:sz w:val="20"/>
          <w:szCs w:val="20"/>
        </w:rPr>
        <w:t xml:space="preserve">; </w:t>
      </w:r>
      <w:r w:rsidR="00241B54">
        <w:rPr>
          <w:i/>
          <w:iCs/>
          <w:sz w:val="20"/>
          <w:szCs w:val="20"/>
        </w:rPr>
        <w:t>ecosystems not prominent in our study area are not shown</w:t>
      </w:r>
      <w:r w:rsidR="001127A2">
        <w:rPr>
          <w:i/>
          <w:iCs/>
          <w:sz w:val="20"/>
          <w:szCs w:val="20"/>
        </w:rPr>
        <w:t xml:space="preserve"> in colour</w:t>
      </w:r>
      <w:r w:rsidR="007C7638" w:rsidRPr="009C5F72">
        <w:rPr>
          <w:i/>
          <w:iCs/>
          <w:sz w:val="20"/>
          <w:szCs w:val="20"/>
        </w:rPr>
        <w:t>.</w:t>
      </w:r>
    </w:p>
    <w:p w14:paraId="0DA1C851" w14:textId="1D09BA85" w:rsidR="009C0901" w:rsidRDefault="00943D76" w:rsidP="00F74804">
      <w:pPr>
        <w:spacing w:line="360" w:lineRule="auto"/>
      </w:pPr>
      <w:r>
        <w:t>One</w:t>
      </w:r>
      <w:r w:rsidR="00181625">
        <w:t xml:space="preserve"> key </w:t>
      </w:r>
      <w:r w:rsidR="00E40AA2">
        <w:t xml:space="preserve">approach </w:t>
      </w:r>
      <w:r w:rsidR="00181625">
        <w:t xml:space="preserve">for predicting </w:t>
      </w:r>
      <w:r w:rsidR="009E2601">
        <w:t>the</w:t>
      </w:r>
      <w:r w:rsidR="00181625">
        <w:t xml:space="preserve"> impact</w:t>
      </w:r>
      <w:r w:rsidR="00135482">
        <w:t>s</w:t>
      </w:r>
      <w:r w:rsidR="00181625">
        <w:t xml:space="preserve"> </w:t>
      </w:r>
      <w:r w:rsidR="009E2601">
        <w:t xml:space="preserve">of climate change </w:t>
      </w:r>
      <w:r w:rsidR="00181625">
        <w:t xml:space="preserve">is </w:t>
      </w:r>
      <w:r w:rsidR="001E640D">
        <w:t xml:space="preserve">to </w:t>
      </w:r>
      <w:r w:rsidR="00332369">
        <w:t>us</w:t>
      </w:r>
      <w:r w:rsidR="001E640D">
        <w:t>e</w:t>
      </w:r>
      <w:r w:rsidR="00181625">
        <w:t xml:space="preserve"> species distribution models (SDMs, also known as ecological niche models)</w:t>
      </w:r>
      <w:r w:rsidR="00135482">
        <w:t>.</w:t>
      </w:r>
      <w:r w:rsidR="00244358">
        <w:t xml:space="preserve"> </w:t>
      </w:r>
      <w:r w:rsidR="00135482">
        <w:t xml:space="preserve">However, </w:t>
      </w:r>
      <w:r w:rsidR="00244358">
        <w:t xml:space="preserve">significant uncertainties about the </w:t>
      </w:r>
      <w:r w:rsidR="006A5245">
        <w:t xml:space="preserve">planet’s </w:t>
      </w:r>
      <w:r w:rsidR="008D4E99">
        <w:t xml:space="preserve">longer-term </w:t>
      </w:r>
      <w:r w:rsidR="006A5245">
        <w:t xml:space="preserve">climate </w:t>
      </w:r>
      <w:r w:rsidR="00AC140C">
        <w:t>trajectory</w:t>
      </w:r>
      <w:r w:rsidR="006A5245">
        <w:t xml:space="preserve"> under anthropogenic forcing</w:t>
      </w:r>
      <w:r w:rsidR="00313BA6">
        <w:t xml:space="preserve">, as well as the </w:t>
      </w:r>
      <w:r w:rsidR="00986677">
        <w:t xml:space="preserve">spectre of </w:t>
      </w:r>
      <w:r w:rsidR="00313BA6">
        <w:t>i</w:t>
      </w:r>
      <w:r w:rsidR="002E7154">
        <w:t>n</w:t>
      </w:r>
      <w:r w:rsidR="00313BA6">
        <w:t>creas</w:t>
      </w:r>
      <w:r w:rsidR="00986677">
        <w:t>ing</w:t>
      </w:r>
      <w:r w:rsidR="00313BA6">
        <w:t xml:space="preserve"> climate novelty,</w:t>
      </w:r>
      <w:r w:rsidR="00AC140C">
        <w:t xml:space="preserve"> mean that </w:t>
      </w:r>
      <w:r w:rsidR="00C40AC6">
        <w:t>no SDM study can make precise</w:t>
      </w:r>
      <w:r w:rsidR="00AC140C">
        <w:t xml:space="preserve"> forecasts </w:t>
      </w:r>
      <w:r w:rsidR="00DB7802">
        <w:t xml:space="preserve">beyond the </w:t>
      </w:r>
      <w:r w:rsidR="004605D9">
        <w:t>current</w:t>
      </w:r>
      <w:r w:rsidR="00DB7802">
        <w:t xml:space="preserve"> </w:t>
      </w:r>
      <w:r w:rsidR="004605D9">
        <w:t>c</w:t>
      </w:r>
      <w:r w:rsidR="00DB7802">
        <w:t>entury</w:t>
      </w:r>
      <w:r w:rsidR="00050961">
        <w:t xml:space="preserve"> </w:t>
      </w:r>
      <w:r w:rsidR="0095145C">
        <w:fldChar w:fldCharType="begin" w:fldLock="1"/>
      </w:r>
      <w:r w:rsidR="007F330C">
        <w:instrText>ADDIN CSL_CITATION {"citationItems":[{"id":"ITEM-1","itemData":{"DOI":"10.1890/070037","ISSN":"1540-9295","abstract":"No-analog communities (communities that are compositionally unlike any found today) occurred frequently in the past and will develop in the greenhouse world of the future. The well documented no-analog plant communities of late-glacial North America are closely linked to \"novel\" climates also lacking modern analogs, characterized by high seasonality of temperature. In climate simulations for the Intergovernmental Panel on Climate Change A2 and B1 emission scenarios, novel climates arise by 2100 AD, primarily in tropical and subtropical regions. These future novel climates are wanner than any present climates globally, with spatially variable shifts in precipitation, and increase the risk of species reshuffling into future no-analog communities and other ecological surprises. Most ecological models are at least partially parameterized from modern observations and so may fail to accurately predict ecological responses to these novel climates. There is an urgent need to test the robustness of ecological models to climate conditions outside modern experience. © The Ecological Society of America.","author":[{"dropping-particle":"","family":"Williams","given":"John W.","non-dropping-particle":"","parse-names":false,"suffix":""},{"dropping-particle":"","family":"Jackson","given":"Stephen T.","non-dropping-particle":"","parse-names":false,"suffix":""}],"container-title":"Frontiers in Ecology and the Environment","id":"ITEM-1","issue":"9","issued":{"date-parts":[["2007","11","1"]]},"note":"Very quotable article summarising what no-analog communities are, how they arise (no-analog climates) in the past and where they're likely to come about in the future. Important implications for SDMs","page":"475-482","publisher":"Ecological Society of America","title":"Novel climates, no-analog communities, and ecological surprises","type":"article-journal","volume":"5"},"uris":["http://www.mendeley.com/documents/?uuid=4717bd4f-22d8-3b17-8c11-3120e437113d"]},{"id":"ITEM-2","itemData":{"DOI":"10.1111/gcb.14138","ISSN":"13541013","abstract":"Future climates are projected to be highly novel relative to recent climates. Climate novelty challenges models that correlate ecological patterns to climate variables and then use these relationships to forecast ecological responses to future climate change. Here, we quantify the magnitude and ecological significance of future climate novelty by comparing it to novel climates over the past 21,000 years in North America. We then use relationships between model performance and climate novelty derived from the fossil pollen record from eastern North America to estimate the expected decrease in predictive skill of ecological forecasting models as future climate novelty increases. We show that, in the high emissions scenario (RCP 8.5) and by late 21st century, future climate novelty is similar to or higher than peak levels of climate novelty over the last 21,000 years. The accuracy of ecological forecasting models is projected to decline steadily over the coming decades in response to increasing climate novelty, although models that incorporate co-occurrences among species may retain somewhat higher predictive skill. In addition to quantifying future climate novelty in the context of late Quaternary climate change, this work underscores the challenges of making reliable forecasts to an increasingly novel future, while highlighting the need to assess potential avenues for improvement , such as increased reliance on geological analogs for future novel climates and improving existing models by pooling data through time and incorporating assemblage level information.","author":[{"dropping-particle":"","family":"Fitzpatrick","given":"Matthew C","non-dropping-particle":"","parse-names":false,"suffix":""},{"dropping-particle":"","family":"Blois","given":"Jessica L","non-dropping-particle":"","parse-names":false,"suffix":""},{"dropping-particle":"","family":"Williams","given":"John W","non-dropping-particle":"","parse-names":false,"suffix":""},{"dropping-particle":"","family":"Nieto-Lugilde","given":"Diego","non-dropping-particle":"","parse-names":false,"suffix":""},{"dropping-particle":"","family":"Maguire","given":"Kaitlin C","non-dropping-particle":"","parse-names":false,"suffix":""},{"dropping-particle":"","family":"Lorenz","given":"David J","non-dropping-particle":"","parse-names":false,"suffix":""}],"container-title":"Global Change Biology","id":"ITEM-2","issue":"8","issued":{"date-parts":[["2018","8"]]},"page":"3575-3586","title":"How will climate novelty influence ecological forecasts? Using the Quaternary to assess future reliability","type":"article-journal","volume":"24"},"uris":["http://www.mendeley.com/documents/?uuid=0ef8245a-749d-3039-9ec1-600b99f50c2e"]}],"mendeley":{"formattedCitation":"(Fitzpatrick et al., 2018; Williams and Jackson, 2007)","plainTextFormattedCitation":"(Fitzpatrick et al., 2018; Williams and Jackson, 2007)","previouslyFormattedCitation":"(Fitzpatrick et al., 2018; Williams and Jackson, 2007)"},"properties":{"noteIndex":0},"schema":"https://github.com/citation-style-language/schema/raw/master/csl-citation.json"}</w:instrText>
      </w:r>
      <w:r w:rsidR="0095145C">
        <w:fldChar w:fldCharType="separate"/>
      </w:r>
      <w:r w:rsidR="005944BB" w:rsidRPr="005944BB">
        <w:rPr>
          <w:noProof/>
        </w:rPr>
        <w:t>(Fitzpatrick et al., 2018; Williams and Jackson, 2007)</w:t>
      </w:r>
      <w:r w:rsidR="0095145C">
        <w:fldChar w:fldCharType="end"/>
      </w:r>
      <w:r w:rsidR="00DB7802">
        <w:t>.</w:t>
      </w:r>
      <w:r w:rsidR="00313BA6">
        <w:t xml:space="preserve"> </w:t>
      </w:r>
      <w:r w:rsidR="00A55B0B">
        <w:t>P</w:t>
      </w:r>
      <w:r w:rsidR="00DB62D9">
        <w:t>alaeoecolog</w:t>
      </w:r>
      <w:r w:rsidR="00CB731F">
        <w:t>y</w:t>
      </w:r>
      <w:r w:rsidR="00A55B0B">
        <w:t xml:space="preserve"> is valuable in this context, illuminating vegetation responses to </w:t>
      </w:r>
      <w:r w:rsidR="00CB731F">
        <w:t xml:space="preserve">wide ranges of </w:t>
      </w:r>
      <w:r w:rsidR="00A55B0B">
        <w:t xml:space="preserve">past climates which may present useful analogues </w:t>
      </w:r>
      <w:r w:rsidR="00FE2929">
        <w:t>for</w:t>
      </w:r>
      <w:r w:rsidR="00A55B0B">
        <w:t xml:space="preserve"> future scenarios </w:t>
      </w:r>
      <w:r w:rsidR="009509C0">
        <w:fldChar w:fldCharType="begin" w:fldLock="1"/>
      </w:r>
      <w:r w:rsidR="007F330C">
        <w:instrText>ADDIN CSL_CITATION {"citationItems":[{"id":"ITEM-1","itemData":{"DOI":"10.1126/science.aah4787","ISSN":"0036-8075","PMID":"28183912","abstract":"Conservation of species and ecosystems is increasingly difficult because anthropogenic impacts are pervasive and accelerating. Under this rapid global change, maximizing conservation success requires a paradigm shift from maintaining ecosystems in idealized past states toward facilitating their adaptive and functional capacities, even as species ebb and flow individually. Developing effective strategies under this new paradigm will require deeper understanding of the long-term dynamics that govern ecosystem persistence and reconciliation of conflicts among approaches to conserving historical versus novel ecosystems. Integrating emerging information from conservation biology, paleobiology, and the Earth sciences is an important step forward on the path to success. Maintaining nature in all its aspects will also entail immediately addressing the overarching threats of growing human population, overconsumption, pollution, and climate change.","author":[{"dropping-particle":"","family":"Barnosky","given":"Anthony D","non-dropping-particle":"","parse-names":false,"suffix":""},{"dropping-particle":"","family":"Hadly","given":"Elizabeth A","non-dropping-particle":"","parse-names":false,"suffix":""},{"dropping-particle":"","family":"Gonzalez","given":"Patrick","non-dropping-particle":"","parse-names":false,"suffix":""},{"dropping-particle":"","family":"Head","given":"Jason","non-dropping-particle":"","parse-names":false,"suffix":""},{"dropping-particle":"","family":"Polly","given":"P David","non-dropping-particle":"","parse-names":false,"suffix":""},{"dropping-particle":"","family":"Lawing","given":"A Michelle","non-dropping-particle":"","parse-names":false,"suffix":""},{"dropping-particle":"","family":"Eronen","given":"Jussi T","non-dropping-particle":"","parse-names":false,"suffix":""},{"dropping-particle":"","family":"Ackerly","given":"David D","non-dropping-particle":"","parse-names":false,"suffix":""},{"dropping-particle":"","family":"Alex","given":"Ken","non-dropping-particle":"","parse-names":false,"suffix":""},{"dropping-particle":"","family":"Biber","given":"Eric","non-dropping-particle":"","parse-names":false,"suffix":""},{"dropping-particle":"","family":"Blois","given":"Jessica","non-dropping-particle":"","parse-names":false,"suffix":""},{"dropping-particle":"","family":"Brashares","given":"Justin","non-dropping-particle":"","parse-names":false,"suffix":""},{"dropping-particle":"","family":"Ceballos","given":"Gerardo","non-dropping-particle":"","parse-names":false,"suffix":""},{"dropping-particle":"","family":"Davis","given":"Edward","non-dropping-particle":"","parse-names":false,"suffix":""},{"dropping-particle":"","family":"Dietl","given":"Gregory P","non-dropping-particle":"","parse-names":false,"suffix":""},{"dropping-particle":"","family":"Dirzo","given":"Rodolfo","non-dropping-particle":"","parse-names":false,"suffix":""},{"dropping-particle":"","family":"Doremus","given":"Holly","non-dropping-particle":"","parse-names":false,"suffix":""},{"dropping-particle":"","family":"Fortelius","given":"Mikael","non-dropping-particle":"","parse-names":false,"suffix":""},{"dropping-particle":"","family":"Greene","given":"Harry W","non-dropping-particle":"","parse-names":false,"suffix":""},{"dropping-particle":"","family":"Hellmann","given":"Jessica","non-dropping-particle":"","parse-names":false,"suffix":""},{"dropping-particle":"","family":"Hickler","given":"Thomas","non-dropping-particle":"","parse-names":false,"suffix":""},{"dropping-particle":"","family":"Jackson","given":"Stephen T","non-dropping-particle":"","parse-names":false,"suffix":""},{"dropping-particle":"","family":"Kemp","given":"Melissa","non-dropping-particle":"","parse-names":false,"suffix":""},{"dropping-particle":"","family":"Koch","given":"Paul L","non-dropping-particle":"","parse-names":false,"suffix":""},{"dropping-particle":"","family":"Kremen","given":"Claire","non-dropping-particle":"","parse-names":false,"suffix":""},{"dropping-particle":"","family":"Lindsey","given":"Emily L","non-dropping-particle":"","parse-names":false,"suffix":""},{"dropping-particle":"","family":"Looy","given":"Cindy","non-dropping-particle":"","parse-names":false,"suffix":""},{"dropping-particle":"","family":"Marshall","given":"Charles R","non-dropping-particle":"","parse-names":false,"suffix":""},{"dropping-particle":"","family":"Mendenhall","given":"Chase","non-dropping-particle":"","parse-names":false,"suffix":""},{"dropping-particle":"","family":"Mulch","given":"Andreas","non-dropping-particle":"","parse-names":false,"suffix":""},{"dropping-particle":"","family":"Mychajliw","given":"Alexis M","non-dropping-particle":"","parse-names":false,"suffix":""},{"dropping-particle":"","family":"Nowak","given":"Carsten","non-dropping-particle":"","parse-names":false,"suffix":""},{"dropping-particle":"","family":"Ramakrishnan","given":"Uma","non-dropping-particle":"","parse-names":false,"suffix":""},{"dropping-particle":"","family":"Schnitzler","given":"Jan","non-dropping-particle":"","parse-names":false,"suffix":""},{"dropping-particle":"","family":"Shrestha","given":"Kashish","non-dropping-particle":"Das","parse-names":false,"suffix":""},{"dropping-particle":"","family":"Solari","given":"Katherine","non-dropping-particle":"","parse-names":false,"suffix":""},{"dropping-particle":"","family":"Stegner","given":"Lynn","non-dropping-particle":"","parse-names":false,"suffix":""},{"dropping-particle":"","family":"Stegner","given":"M Allison","non-dropping-particle":"","parse-names":false,"suffix":""},{"dropping-particle":"","family":"Stenseth","given":"Nils Chr","non-dropping-particle":"","parse-names":false,"suffix":""},{"dropping-particle":"","family":"Wake","given":"Marvalee H","non-dropping-particle":"","parse-names":false,"suffix":""},{"dropping-particle":"","family":"Zhang","given":"Zhibin","non-dropping-particle":"","parse-names":false,"suffix":""}],"container-title":"Science","id":"ITEM-1","issue":"6325","issued":{"date-parts":[["2017","2","10"]]},"page":"eaah4787","publisher":"American Association for the Advancement of Science","title":"Merging paleobiology with conservation biology to guide the future of terrestrial ecosystems","type":"article-journal","volume":"355"},"uris":["http://www.mendeley.com/documents/?uuid=586900e7-6d86-37a6-bba6-e073cfe06647"]},{"id":"ITEM-2","itemData":{"DOI":"10.1146/annurev-earth-040610-133349","ISSN":"0084-6597","abstract":"Humans now play a major role in altering Earth and its biota. Finding ways to ameliorate human impacts on biodiversity and to sustain and restore the ecosystem services on which we depend is a grand scientific and societal challenge. Conservation paleobiology is an emerging discipline that uses geohistorical data to meet these challenges by developing and testing mod-els of how biota respond to environmental stressors. Here we (a) describe how the discipline has already provided insights about biotic responses to key environmental stressors, (b) outline research aimed at disentangling the effects of multiple stressors, (c) provide examples of deliverables for managers and policy makers, and (d) identify methodological advances in geohistorical analysis that will foster the next major breakthroughs in conservation out-comes. We highlight cases for which exclusive reliance on observations of living biota may lead researchers to erroneous conclusions about the nature and magnitude of biotic change, vulnerability, and resilience.","author":[{"dropping-particle":"","family":"Dietl","given":"Gregory P","non-dropping-particle":"","parse-names":false,"suffix":""},{"dropping-particle":"","family":"Kidwell","given":"Susan M","non-dropping-particle":"","parse-names":false,"suffix":""},{"dropping-particle":"","family":"Brenner","given":"Mark","non-dropping-particle":"","parse-names":false,"suffix":""},{"dropping-particle":"","family":"Burney","given":"David A","non-dropping-particle":"","parse-names":false,"suffix":""},{"dropping-particle":"","family":"Flessa","given":"Karl W","non-dropping-particle":"","parse-names":false,"suffix":""},{"dropping-particle":"","family":"Jackson","given":"Stephen T","non-dropping-particle":"","parse-names":false,"suffix":""},{"dropping-particle":"","family":"Koch","given":"Paul L","non-dropping-particle":"","parse-names":false,"suffix":""}],"container-title":"Annual Review of Earth and Planetary Sciences","id":"ITEM-2","issue":"1","issued":{"date-parts":[["2015","5","30"]]},"page":"79-103","title":"Conservation Paleobiology: Leveraging Knowledge of the Past to Inform Conservation and Restoration","type":"article-journal","volume":"43"},"uris":["http://www.mendeley.com/documents/?uuid=53058efa-b701-3423-a712-45a76f595aad"]},{"id":"ITEM-3","itemData":{"DOI":"10.1146/annurev-arplant-042817-040405","ISSN":"1543-5008","abstract":"Human carbon use during the next century will lead to atmospheric car- bon dioxide concentrations ( pCO2) that have been unprecedented for the past 50–100+ million years according to fossil plant-based CO2 estimates. The paleobotanical record of plants offers key insights into vegetation re- sponses to past global change, including suitable analogs for Earth’s climatic future. Past global warming events have resulted in transient poleward mi- gration at rates that are equivalent to the lowest climate velocities required for current taxa to keep pace with climate change. Paleobiome reconstruc- tions suggest that the current tundra biome is the biome most threatened by global warming. The common occurrence of paleoforests at high polar latitudes when pCO2 was above 500 ppm suggests that the advance of woody shrub and tree taxa into tundra environmentsmaybe inevitable. Fossil pollen studies demonstrate the resilience of wet tropical forests to global change up to 700 ppm CO2, contrary to modeled predictions of the future. The paleobotanical record also demonstrates a high capacity for functional trait evolution as an additional strategy to migration and maintenance of a species’ climate envelope in response to global change.","author":[{"dropping-particle":"","family":"McElwain","given":"Jennifer C.","non-dropping-particle":"","parse-names":false,"suffix":""}],"container-title":"Annual Review of Plant Biology","id":"ITEM-3","issue":"1","issued":{"date-parts":[["2018","4","29"]]},"page":"761-787","title":"Paleobotany and Global Change: Important Lessons for Species to Biomes from Vegetation Responses to Past Global Change","type":"article-journal","volume":"69"},"uris":["http://www.mendeley.com/documents/?uuid=9fe0e24f-6323-3f01-9039-c6240cb1518e"]},{"id":"ITEM-4","itemData":{"DOI":"10.1073/pnas.1403664111","ISSN":"10916490","PMID":"25901314","abstract":"Community ecology and paleoecology are both concerned with the composition and structure of biotic assemblages but are largely disconnected. Community ecology focuses on existing species assemblages and recently has begun to integrate history (phylogeny and continental or intercontinental dispersal) to constrain community processes. This division has left a \"missing middle\": Ecological and environmental processes occurring on timescales from decades to millennia are not yet fully incorporated into community ecology. Quaternary paleoecology has a wealth of data documenting ecological dynamics at these timescales, and both fields can benefit from greater interaction and articulation. We discuss ecological insights revealed by Quaternary terrestrial records, suggest foundations for bridging between the disciplines, and identify topics where the disciplines can engage to mutual benefit.","author":[{"dropping-particle":"","family":"Jackson","given":"Stephen T.","non-dropping-particle":"","parse-names":false,"suffix":""},{"dropping-particle":"","family":"Blois","given":"Jessica L.","non-dropping-particle":"","parse-names":false,"suffix":""}],"container-title":"Proceedings of the National Academy of Sciences of the United States of America","id":"ITEM-4","issue":"16","issued":{"date-parts":[["2015"]]},"note":"Very interesting paper that links community ecology theory with palaeoecology to identify links between them. Useful in particular for the summaries of different explanations for community assembly: interaction (competition, facilitation etc), environmental (abiotic factors), and random (non-predictable, eg history, disturbance). The three are not mutually exclusive and interact with each other. Also several quotable phrases.","page":"4915-4921","title":"Community ecology in a changing environment: Perspectives from the Quaternary","type":"article-journal","volume":"112"},"uris":["http://www.mendeley.com/documents/?uuid=0ab1bc6d-4442-4aa2-b0be-aa50b5f83130"]}],"mendeley":{"formattedCitation":"(Barnosky et al., 2017; Dietl et al., 2015; Jackson and Blois, 2015; McElwain, 2018)","plainTextFormattedCitation":"(Barnosky et al., 2017; Dietl et al., 2015; Jackson and Blois, 2015; McElwain, 2018)","previouslyFormattedCitation":"(Barnosky et al., 2017; Dietl et al., 2015; Jackson and Blois, 2015; McElwain, 2018)"},"properties":{"noteIndex":0},"schema":"https://github.com/citation-style-language/schema/raw/master/csl-citation.json"}</w:instrText>
      </w:r>
      <w:r w:rsidR="009509C0">
        <w:fldChar w:fldCharType="separate"/>
      </w:r>
      <w:r w:rsidR="005944BB" w:rsidRPr="005944BB">
        <w:rPr>
          <w:noProof/>
        </w:rPr>
        <w:t xml:space="preserve">(Barnosky et al., 2017; Dietl et al., 2015; Jackson and Blois, 2015; </w:t>
      </w:r>
      <w:r w:rsidR="005944BB" w:rsidRPr="005944BB">
        <w:rPr>
          <w:noProof/>
        </w:rPr>
        <w:lastRenderedPageBreak/>
        <w:t>McElwain, 2018)</w:t>
      </w:r>
      <w:r w:rsidR="009509C0">
        <w:fldChar w:fldCharType="end"/>
      </w:r>
      <w:r w:rsidR="00AC3E64">
        <w:t>.</w:t>
      </w:r>
      <w:r w:rsidR="00016A3D">
        <w:t xml:space="preserve"> </w:t>
      </w:r>
      <w:r w:rsidR="00D00901">
        <w:t>These insights can come from palaeoecological proxies (</w:t>
      </w:r>
      <w:proofErr w:type="gramStart"/>
      <w:r w:rsidR="00032B8F">
        <w:t>e.g.</w:t>
      </w:r>
      <w:proofErr w:type="gramEnd"/>
      <w:r w:rsidR="00032B8F">
        <w:t xml:space="preserve"> </w:t>
      </w:r>
      <w:r w:rsidR="00D00901">
        <w:t>fossil pollen, soil carbon isotopes, phytoliths)</w:t>
      </w:r>
      <w:r w:rsidR="009D322F">
        <w:t xml:space="preserve"> and/or distribution modelling</w:t>
      </w:r>
      <w:r w:rsidR="002F0240">
        <w:t xml:space="preserve">. </w:t>
      </w:r>
      <w:r w:rsidR="00EA1861">
        <w:t>The</w:t>
      </w:r>
      <w:r w:rsidR="00F752CC">
        <w:t>se</w:t>
      </w:r>
      <w:r w:rsidR="00EA1861">
        <w:t xml:space="preserve"> approaches are complementary: p</w:t>
      </w:r>
      <w:r w:rsidR="002F0240">
        <w:t>roxy studies provide rich</w:t>
      </w:r>
      <w:r w:rsidR="00130656">
        <w:t xml:space="preserve">, empirical </w:t>
      </w:r>
      <w:r w:rsidR="00507798">
        <w:t>records</w:t>
      </w:r>
      <w:r w:rsidR="002F0240">
        <w:t xml:space="preserve"> </w:t>
      </w:r>
      <w:r w:rsidR="00130656">
        <w:t>on individual sites’ vegetation histories</w:t>
      </w:r>
      <w:r w:rsidR="00464EA3">
        <w:t xml:space="preserve">; </w:t>
      </w:r>
      <w:r w:rsidR="00EA1861">
        <w:t xml:space="preserve">SDMs can </w:t>
      </w:r>
      <w:r w:rsidR="00866B13">
        <w:t xml:space="preserve">provide </w:t>
      </w:r>
      <w:r w:rsidR="003268B9">
        <w:t xml:space="preserve">high spatial- and taxonomic-resolution </w:t>
      </w:r>
      <w:r w:rsidR="00866B13">
        <w:t>predictions for</w:t>
      </w:r>
      <w:r w:rsidR="00033DAE">
        <w:t xml:space="preserve"> times, taxa and places poorly covered by proxy data</w:t>
      </w:r>
      <w:r w:rsidR="008155F9">
        <w:t xml:space="preserve">; </w:t>
      </w:r>
      <w:r w:rsidR="00866B13">
        <w:t xml:space="preserve">integrating the two </w:t>
      </w:r>
      <w:r w:rsidR="00742F5D">
        <w:t xml:space="preserve">therefore </w:t>
      </w:r>
      <w:r w:rsidR="002E6A0D">
        <w:t xml:space="preserve">yields </w:t>
      </w:r>
      <w:r w:rsidR="000A0DFD">
        <w:t xml:space="preserve">highly </w:t>
      </w:r>
      <w:r w:rsidR="00742F5D">
        <w:t>detailed,</w:t>
      </w:r>
      <w:r w:rsidR="000A0DFD">
        <w:t xml:space="preserve"> generalisable,</w:t>
      </w:r>
      <w:r w:rsidR="00742F5D">
        <w:t xml:space="preserve"> ground-</w:t>
      </w:r>
      <w:proofErr w:type="spellStart"/>
      <w:r w:rsidR="00742F5D">
        <w:t>truthed</w:t>
      </w:r>
      <w:proofErr w:type="spellEnd"/>
      <w:r w:rsidR="00742F5D">
        <w:t xml:space="preserve"> insights</w:t>
      </w:r>
      <w:r w:rsidR="00E24822">
        <w:t xml:space="preserve"> </w:t>
      </w:r>
      <w:r w:rsidR="00742F5D">
        <w:t xml:space="preserve">into palaeoecological dynamics </w:t>
      </w:r>
      <w:r w:rsidR="00E24822">
        <w:fldChar w:fldCharType="begin" w:fldLock="1"/>
      </w:r>
      <w:r w:rsidR="00693A53">
        <w:instrText>ADDIN CSL_CITATION {"citationItems":[{"id":"ITEM-1","itemData":{"DOI":"10.1016/j.quascirev.2011.06.012","ISSN":"02773791","abstract":"Species distribution modeling (SDM: statistical and/or mechanistic approaches to the assessment of range determinants and prediction of species occurrence) offers new possibilities for estimating and studying past organism distributions. SDM complements fossil and genetic evidence by providing (i) quantitative and potentially high-resolution predictions of the past organism distributions, (ii) statistically formulated, testable ecological hypotheses regarding past distributions and communities, and (iii) statistical assessment of range determinants. In this article, we provide an overview of applications of SDM to paleobiology, outlining the methodology, reviewing SDM-based studies to paleobiology or at the interface of paleo- and neobiology, discussing assumptions and uncertainties as well as how to handle them, and providing a synthesis and outlook. Key methodological issues for SDM applications to paleobiology include predictor variables (types and properties; special emphasis is given to paleoclimate), model validation (particularly important given the emphasis on cross-temporal predictions in paleobiological applications), and the integration of SDM and genetics approaches. Over the last few years the number of studies using SDM to address paleobiology-related questions has increased considerably. While some of these studies only use SDM (23%), most combine them with genetically inferred patterns (49%), paleoecological records (22%), or both (6%). A large number of SDM-based studies have addressed the role of Pleistocene glacial refugia in biogeography and evolution, especially in Europe, but also in many other regions. SDM-based approaches are also beginning to contribute to a suite of other research questions, such as historical constraints on current distributions and diversity patterns, the end-Pleistocene megafaunal extinctions, past community assembly, human paleobiogeography, Holocene paleoecology, and even deep-time biogeography (notably, providing insights into biogeographic dynamics &gt;400 million years ago). We discuss important assumptions and uncertainties that affect the SDM approach to paleobiology - the equilibrium postulate, niche stability, changing atmospheric CO2 concentrations - as well as ways to address these (ensemble, functional SDM, and non-SDM ecoinformatics approaches). We conclude that the SDM approach offers important opportunities for advances in paleobiology by providing a quantitative ecological perspective, and hereb…","author":[{"dropping-particle":"","family":"Svenning","given":"Jens-Christian","non-dropping-particle":"","parse-names":false,"suffix":""},{"dropping-particle":"","family":"Fløjgaard","given":"Camilla","non-dropping-particle":"","parse-names":false,"suffix":""},{"dropping-particle":"","family":"Marske","given":"Katharine A.","non-dropping-particle":"","parse-names":false,"suffix":""},{"dropping-particle":"","family":"Nógues-Bravo","given":"David","non-dropping-particle":"","parse-names":false,"suffix":""},{"dropping-particle":"","family":"Normand","given":"Signe","non-dropping-particle":"","parse-names":false,"suffix":""}],"container-title":"Quaternary Science Reviews","id":"ITEM-1","issue":"21-22","issued":{"date-parts":[["2011","10","1"]]},"page":"2930-2947","publisher":"Pergamon","title":"Applications of species distribution modeling to paleobiology","type":"article-journal","volume":"30"},"uris":["http://www.mendeley.com/documents/?uuid=dc7d6126-6df6-38de-a46c-6fd4148fbbb2"]}],"mendeley":{"formattedCitation":"(Svenning et al., 2011)","plainTextFormattedCitation":"(Svenning et al., 2011)","previouslyFormattedCitation":"(Svenning et al., 2011)"},"properties":{"noteIndex":0},"schema":"https://github.com/citation-style-language/schema/raw/master/csl-citation.json"}</w:instrText>
      </w:r>
      <w:r w:rsidR="00E24822">
        <w:fldChar w:fldCharType="separate"/>
      </w:r>
      <w:r w:rsidR="00E24822" w:rsidRPr="00E24822">
        <w:rPr>
          <w:noProof/>
        </w:rPr>
        <w:t>(Svenning et al., 2011)</w:t>
      </w:r>
      <w:r w:rsidR="00E24822">
        <w:fldChar w:fldCharType="end"/>
      </w:r>
      <w:r w:rsidR="00E24822">
        <w:t>.</w:t>
      </w:r>
    </w:p>
    <w:p w14:paraId="275E033B" w14:textId="3BFC266A" w:rsidR="003D05CB" w:rsidRDefault="0050694A" w:rsidP="00F74804">
      <w:pPr>
        <w:spacing w:line="360" w:lineRule="auto"/>
      </w:pPr>
      <w:r>
        <w:t>S</w:t>
      </w:r>
      <w:r w:rsidR="008413D9">
        <w:t xml:space="preserve">outhern Brazil’s </w:t>
      </w:r>
      <w:r w:rsidR="009B2B94">
        <w:t>l</w:t>
      </w:r>
      <w:r w:rsidR="00703BD4">
        <w:t>ate</w:t>
      </w:r>
      <w:r w:rsidR="009B2B94">
        <w:t>-</w:t>
      </w:r>
      <w:r w:rsidR="00703BD4">
        <w:t>Quaternary vegetation history</w:t>
      </w:r>
      <w:r w:rsidR="008413D9">
        <w:t xml:space="preserve"> has been </w:t>
      </w:r>
      <w:r>
        <w:t xml:space="preserve">better </w:t>
      </w:r>
      <w:r w:rsidR="008413D9">
        <w:t>studied</w:t>
      </w:r>
      <w:r>
        <w:t xml:space="preserve"> than much of the </w:t>
      </w:r>
      <w:r w:rsidR="00703BD4">
        <w:t>N</w:t>
      </w:r>
      <w:r>
        <w:t>eotropics</w:t>
      </w:r>
      <w:r w:rsidR="00590F28">
        <w:t>, especially with fossil pollen and, to a lesser extent, soil carbon isotopes and phytoliths</w:t>
      </w:r>
      <w:r w:rsidR="00874A5B">
        <w:t xml:space="preserve"> </w:t>
      </w:r>
      <w:r w:rsidR="00874A5B">
        <w:fldChar w:fldCharType="begin" w:fldLock="1"/>
      </w:r>
      <w:r w:rsidR="007F330C">
        <w:instrText>ADDIN CSL_CITATION {"citationItems":[{"id":"ITEM-1","itemData":{"DOI":"10.1017/qua.2017.89","ISSN":"0033-5894","abstract":"A multi-proxy paleo-data synthesis of 110 sites is presented, exploring the impact of mid- to late Holocene precipitation changes upon vegetation across Southern Hemisphere tropical South America. We show that the most significant vegetation changes occurred in southwest Amazonia and southeast Brazil, regions reliant on precipitation derived from the South American summer monsoon (SASM). A drier mid-Holocene in these regions, linked to a weaker SASM, favored more open vegetation (savannah/grasslands) than present, while increased late-Holocene precipitation drove expansion of humid forests (e.g., evergreen tropical forest in southwest Amazonia, Araucaria forests in southeast Brazil). The tropical forests of central, western and eastern Amazonia remained largely intact throughout this 6000-year period. Northeastern Brazil’s climate is “antiphased” with the rest of tropical South America, but a lack of paleo-data limits our understanding of how vegetation responded to a wetter (drier) mid-(late) Holocene. From this paleo-data perspective, we conclude that ecotonal forests already close to their climatic thresholds are most vulnerable to predicted future drought, but the forest biome in the core of Amazonia is likely to be more resilient. Of greater concern are widespread deforestation and uncontrolled anthropogenic burning, which will decrease ecosystem resilience, making them more vulnerable than they might be without current anthropogenic pressures.","author":[{"dropping-particle":"","family":"Smith","given":"Richard J","non-dropping-particle":"","parse-names":false,"suffix":""},{"dropping-particle":"","family":"Mayle","given":"Francis E","non-dropping-particle":"","parse-names":false,"suffix":""}],"container-title":"Quaternary Research","id":"ITEM-1","issued":{"date-parts":[["2017"]]},"note":"Overview of palaeo sites and their records since 6ka. Uses authors' descriptions to define vegetation types, and for the most part uses original chronologies. Good descriptions of climate and its influence through time, and useful as a guide to the region's late-Holocene vegetation changes","page":"1-22","title":"Impact of mid- to late Holocene precipitation changes on vegetation across lowland tropical South America: a paleo-data synthesis","type":"article-journal","volume":"89"},"prefix":"synthesised in","uris":["http://www.mendeley.com/documents/?uuid=00863797-c004-39e6-8980-198be3cd12a9"]}],"mendeley":{"formattedCitation":"(synthesised in Smith and Mayle, 2017)","plainTextFormattedCitation":"(synthesised in Smith and Mayle, 2017)","previouslyFormattedCitation":"(synthesised in Smith and Mayle, 2017)"},"properties":{"noteIndex":0},"schema":"https://github.com/citation-style-language/schema/raw/master/csl-citation.json"}</w:instrText>
      </w:r>
      <w:r w:rsidR="00874A5B">
        <w:fldChar w:fldCharType="separate"/>
      </w:r>
      <w:r w:rsidR="005944BB" w:rsidRPr="005944BB">
        <w:rPr>
          <w:noProof/>
        </w:rPr>
        <w:t>(synthesised in Smith and Mayle, 2017)</w:t>
      </w:r>
      <w:r w:rsidR="00874A5B">
        <w:fldChar w:fldCharType="end"/>
      </w:r>
      <w:r w:rsidR="00590F28">
        <w:t>.</w:t>
      </w:r>
      <w:r w:rsidR="007054D0">
        <w:t xml:space="preserve"> There are limits, however, to the </w:t>
      </w:r>
      <w:r w:rsidR="00791B3D">
        <w:t xml:space="preserve">insights available from these proxies. </w:t>
      </w:r>
      <w:r w:rsidR="00A72618">
        <w:t xml:space="preserve">The overwhelming majority of studied sites </w:t>
      </w:r>
      <w:r w:rsidR="00B12797">
        <w:t>have small catchments</w:t>
      </w:r>
      <w:r w:rsidR="0065107A">
        <w:t xml:space="preserve"> </w:t>
      </w:r>
      <w:r w:rsidR="00A447EB">
        <w:t>recording local-scale vegetation</w:t>
      </w:r>
      <w:r w:rsidR="00A72618">
        <w:t xml:space="preserve"> </w:t>
      </w:r>
      <w:r w:rsidR="00A447EB">
        <w:t>changes</w:t>
      </w:r>
      <w:r w:rsidR="007F0F20">
        <w:t xml:space="preserve"> </w:t>
      </w:r>
      <w:r w:rsidR="007F0F20">
        <w:fldChar w:fldCharType="begin" w:fldLock="1"/>
      </w:r>
      <w:r w:rsidR="007F330C">
        <w:instrText>ADDIN CSL_CITATION {"citationItems":[{"id":"ITEM-1","itemData":{"DOI":"10.1017/qua.2017.89","ISSN":"0033-5894","abstract":"A multi-proxy paleo-data synthesis of 110 sites is presented, exploring the impact of mid- to late Holocene precipitation changes upon vegetation across Southern Hemisphere tropical South America. We show that the most significant vegetation changes occurred in southwest Amazonia and southeast Brazil, regions reliant on precipitation derived from the South American summer monsoon (SASM). A drier mid-Holocene in these regions, linked to a weaker SASM, favored more open vegetation (savannah/grasslands) than present, while increased late-Holocene precipitation drove expansion of humid forests (e.g., evergreen tropical forest in southwest Amazonia, Araucaria forests in southeast Brazil). The tropical forests of central, western and eastern Amazonia remained largely intact throughout this 6000-year period. Northeastern Brazil’s climate is “antiphased” with the rest of tropical South America, but a lack of paleo-data limits our understanding of how vegetation responded to a wetter (drier) mid-(late) Holocene. From this paleo-data perspective, we conclude that ecotonal forests already close to their climatic thresholds are most vulnerable to predicted future drought, but the forest biome in the core of Amazonia is likely to be more resilient. Of greater concern are widespread deforestation and uncontrolled anthropogenic burning, which will decrease ecosystem resilience, making them more vulnerable than they might be without current anthropogenic pressures.","author":[{"dropping-particle":"","family":"Smith","given":"Richard J","non-dropping-particle":"","parse-names":false,"suffix":""},{"dropping-particle":"","family":"Mayle","given":"Francis E","non-dropping-particle":"","parse-names":false,"suffix":""}],"container-title":"Quaternary Research","id":"ITEM-1","issued":{"date-parts":[["2017"]]},"note":"Overview of palaeo sites and their records since 6ka. Uses authors' descriptions to define vegetation types, and for the most part uses original chronologies. Good descriptions of climate and its influence through time, and useful as a guide to the region's late-Holocene vegetation changes","page":"1-22","title":"Impact of mid- to late Holocene precipitation changes on vegetation across lowland tropical South America: a paleo-data synthesis","type":"article-journal","volume":"89"},"uris":["http://www.mendeley.com/documents/?uuid=00863797-c004-39e6-8980-198be3cd12a9"]}],"mendeley":{"formattedCitation":"(Smith and Mayle, 2017)","plainTextFormattedCitation":"(Smith and Mayle, 2017)","previouslyFormattedCitation":"(Smith and Mayle, 2017)"},"properties":{"noteIndex":0},"schema":"https://github.com/citation-style-language/schema/raw/master/csl-citation.json"}</w:instrText>
      </w:r>
      <w:r w:rsidR="007F0F20">
        <w:fldChar w:fldCharType="separate"/>
      </w:r>
      <w:r w:rsidR="005944BB" w:rsidRPr="005944BB">
        <w:rPr>
          <w:noProof/>
        </w:rPr>
        <w:t>(Smith and Mayle, 2017)</w:t>
      </w:r>
      <w:r w:rsidR="007F0F20">
        <w:fldChar w:fldCharType="end"/>
      </w:r>
      <w:r w:rsidR="00BA08A8">
        <w:t>, and their</w:t>
      </w:r>
      <w:r w:rsidR="00B12797">
        <w:t xml:space="preserve"> </w:t>
      </w:r>
      <w:r w:rsidR="005E123E">
        <w:t>uneven</w:t>
      </w:r>
      <w:r w:rsidR="00BA08A8">
        <w:t xml:space="preserve"> spatial</w:t>
      </w:r>
      <w:r w:rsidR="00440DE3">
        <w:t xml:space="preserve"> distribut</w:t>
      </w:r>
      <w:r w:rsidR="00BA08A8">
        <w:t>ion</w:t>
      </w:r>
      <w:r w:rsidR="004D7E9E">
        <w:t xml:space="preserve"> (skewed towards</w:t>
      </w:r>
      <w:r w:rsidR="00AC0B61">
        <w:t xml:space="preserve"> </w:t>
      </w:r>
      <w:r w:rsidR="00440DE3">
        <w:t xml:space="preserve">the </w:t>
      </w:r>
      <w:r w:rsidR="008972D3">
        <w:t xml:space="preserve">plateau’s </w:t>
      </w:r>
      <w:r w:rsidR="00440DE3">
        <w:t xml:space="preserve">(south-)eastern </w:t>
      </w:r>
      <w:r w:rsidR="008972D3">
        <w:t>edge</w:t>
      </w:r>
      <w:r w:rsidR="00DA7FC5">
        <w:t>s</w:t>
      </w:r>
      <w:r w:rsidR="008972D3">
        <w:t xml:space="preserve"> </w:t>
      </w:r>
      <w:r w:rsidR="00DA7FC5">
        <w:t xml:space="preserve">and </w:t>
      </w:r>
      <w:r w:rsidR="00344BC6">
        <w:t xml:space="preserve">the </w:t>
      </w:r>
      <w:r w:rsidR="00AC0B61">
        <w:t xml:space="preserve">southern part of the </w:t>
      </w:r>
      <w:r w:rsidR="00344BC6">
        <w:t>coast</w:t>
      </w:r>
      <w:r w:rsidR="00741ACA">
        <w:t>al lowlands</w:t>
      </w:r>
      <w:r w:rsidR="004D7E9E">
        <w:t>) mean that</w:t>
      </w:r>
      <w:r w:rsidR="00344BC6">
        <w:t xml:space="preserve"> </w:t>
      </w:r>
      <w:r w:rsidR="005A1DEA">
        <w:t xml:space="preserve">large </w:t>
      </w:r>
      <w:r w:rsidR="00E25ED1">
        <w:t>parts</w:t>
      </w:r>
      <w:r w:rsidR="005A1DEA">
        <w:t xml:space="preserve"> of the </w:t>
      </w:r>
      <w:r w:rsidR="00E83F3B">
        <w:t>region</w:t>
      </w:r>
      <w:r w:rsidR="009B25E5">
        <w:t xml:space="preserve"> are unstudied</w:t>
      </w:r>
      <w:r w:rsidR="00D531BF">
        <w:t xml:space="preserve"> </w:t>
      </w:r>
      <w:r w:rsidR="00D531BF" w:rsidRPr="00135482">
        <w:t>(Fig.</w:t>
      </w:r>
      <w:r w:rsidR="00135482" w:rsidRPr="00135482">
        <w:t xml:space="preserve"> </w:t>
      </w:r>
      <w:r w:rsidR="005A63B9">
        <w:t>3</w:t>
      </w:r>
      <w:r w:rsidR="00D531BF" w:rsidRPr="00135482">
        <w:t>)</w:t>
      </w:r>
      <w:r w:rsidR="005A1DEA">
        <w:t xml:space="preserve">. </w:t>
      </w:r>
      <w:r w:rsidR="00A82854">
        <w:t>Temporal coverage is similarly uneven</w:t>
      </w:r>
      <w:r w:rsidR="00A131FD">
        <w:t>, with</w:t>
      </w:r>
      <w:r w:rsidR="0055271A">
        <w:t xml:space="preserve"> few sites </w:t>
      </w:r>
      <w:r w:rsidR="00563776">
        <w:t xml:space="preserve">providing continuous </w:t>
      </w:r>
      <w:r w:rsidR="009238AD">
        <w:t>records</w:t>
      </w:r>
      <w:r w:rsidR="00563776">
        <w:t xml:space="preserve"> from</w:t>
      </w:r>
      <w:r w:rsidR="0055271A">
        <w:t xml:space="preserve"> the Last Glacial Maximum</w:t>
      </w:r>
      <w:r w:rsidR="00CA6F5E">
        <w:t xml:space="preserve"> (LGM</w:t>
      </w:r>
      <w:r w:rsidR="009B25E5">
        <w:t>, ca. 21,000 years ago</w:t>
      </w:r>
      <w:r w:rsidR="00CA6F5E">
        <w:t>)</w:t>
      </w:r>
      <w:r w:rsidR="006C0F33">
        <w:t xml:space="preserve">. Finally, each </w:t>
      </w:r>
      <w:r w:rsidR="00F233C4">
        <w:t xml:space="preserve">proxy has significant limits on the </w:t>
      </w:r>
      <w:r w:rsidR="00136139">
        <w:t xml:space="preserve">taxonomic </w:t>
      </w:r>
      <w:r w:rsidR="005F242D">
        <w:t>resolution it can provide for vegetation reconstructions. Soil carbon isotope</w:t>
      </w:r>
      <w:r w:rsidR="00452F68">
        <w:t>s</w:t>
      </w:r>
      <w:r w:rsidR="005F242D">
        <w:t xml:space="preserve"> (δ¹³C) </w:t>
      </w:r>
      <w:r w:rsidR="00004511">
        <w:t xml:space="preserve">distinguish C4-dominated </w:t>
      </w:r>
      <w:r w:rsidR="004D383C">
        <w:t>(</w:t>
      </w:r>
      <w:r w:rsidR="000B57FC">
        <w:t xml:space="preserve">sub-tropical/tropical </w:t>
      </w:r>
      <w:r w:rsidR="004D383C">
        <w:t>grassland) and C3-dominated (generally, but not always, woody)</w:t>
      </w:r>
      <w:r w:rsidR="00420DEB">
        <w:t xml:space="preserve"> </w:t>
      </w:r>
      <w:r w:rsidR="0092195C">
        <w:t>vegetation</w:t>
      </w:r>
      <w:r w:rsidR="008905A2">
        <w:t xml:space="preserve"> </w:t>
      </w:r>
      <w:r w:rsidR="008905A2">
        <w:fldChar w:fldCharType="begin" w:fldLock="1"/>
      </w:r>
      <w:r w:rsidR="007F330C">
        <w:instrText>ADDIN CSL_CITATION {"citationItems":[{"id":"ITEM-1","itemData":{"DOI":"10.1016/j.geoderma.2007.06.005","ISBN":"0016-7061","ISSN":"00167061","PMID":"778","abstract":"The vegetation of the southern Brazilian highlands in Rio Grande do Sul State is a mosaic of grassland (C4) and deciduous forests (C3) with the conifer Araucaria angustifolia. It was uncertain, whether the grasslands represent relics of drier periods in the Holocene or if they are the result of deforestation in recent times. We analyzed plant tissues from gramineous and woody species, organic surface layers, as well as soil organic matter of 13 Andosols and Umbrisols in grassland, shrubland, pine plantations and Araucaria forest for stable carbon isotope ratios (δ13C) and 14C activity. The soil organic matter was separated into a free particulate organic matter (fPOM) and a heavy, organo-mineral fraction by density fractionation. All grassland soils have consistently ??13C values of - 18.7 to - 14.3??? typical for C4 grasses. In Araucaria forests and forest patches within grassland the δ13C values of both, the fPOM throughout the soil and the organic surface layers, are characteristic for the present below- and above-ground input from C3 trees. The C3- and C4-derived SOC stocks reflect expansion of Araucaria forest on grassland, which started after 1300??yr BP. The youngest forests are found at the forest border and in forest patches. Grassland soils lose their typically black colour from the top downwards after shrub encroachment or establishment of forest as indicated by increasing melanic indexes which are closely related to the δ13C values. The natural 13C depletion with depth in grassland soils counteracts the enrichment of 13C in the subsoils of present Araucaria forest. The results clearly indicate that current grasslands represent relics at least from the early and mid Holocene period (6000-8000??yr BP) and are not the result of recent deforestation.","author":[{"dropping-particle":"","family":"Dümig","given":"Alexander","non-dropping-particle":"","parse-names":false,"suffix":""},{"dropping-particle":"","family":"Schad","given":"Peter","non-dropping-particle":"","parse-names":false,"suffix":""},{"dropping-particle":"","family":"Rumpel","given":"Cornelia","non-dropping-particle":"","parse-names":false,"suffix":""},{"dropping-particle":"","family":"Dignac","given":"Marie France","non-dropping-particle":"","parse-names":false,"suffix":""},{"dropping-particle":"","family":"Kögel-Knabner","given":"Ingrid","non-dropping-particle":"","parse-names":false,"suffix":""}],"container-title":"Geoderma","id":"ITEM-1","issue":"1-2","issued":{"date-parts":[["2008"]]},"note":"Looks at soil carbon, carbon dating and soil colour changes (?) to see whether Araucaria forest or grassland was there first; agrees strongly with Behling 2001 - expansion of Araucaria forest over campos after 1300 (cal?) yr BP. Suggestions are made in the conclusions about climate and the ages of different forest blocks that could be the basis of a hypothesis re climate and people","page":"143-157","title":"Araucaria forest expansion on grassland in the southern Brazilian highlands as revealed by 14C and δ13C studies","type":"article-journal","volume":"145"},"uris":["http://www.mendeley.com/documents/?uuid=5e3493b9-8502-33ea-a9ad-898e8f2a4c5d"]},{"id":"ITEM-2","itemData":{"DOI":"10.1007/s10021-011-9486-y","ISBN":"1432-9840","ISSN":"14329840","abstract":"Recent studies have shown that tropical and subtropical forests expanded during the late Holocene, but rates and mechanisms of expansion are still unknown. Here, we investigate how a forest-grassland mosaic changed over the past 10,000 years at the southernmost limit of the Brazilian Atlantic forest. We used soil organic matter carbon isotopes (δ 13C and 14C) to quantify and date changes in vegetation, examining soil properties and leaf traits of tree species (nutrient content, δ 13C, δ 15N, and specific leaf area-SLA) to describe potential mechanisms of expansion. Our results show that after several millennia of stability, forests have been expanding over grasslands through continuous, but very slow, border dynamics and patch formation (&lt;100 m since ~4,000 YBP). This process of expansion coincided with past changes in climate, but biotic feedback mechanisms also appear to be important for the long-term persistence and expansion of forests. Soil fertility and microbial biomass match current rather than past vegetation distribution, increasing progressively across the gradient: grasslands &lt; isolated trees &lt; forest patches &lt; forests. Foliar δ 15N values of trees that are able to colonize the grassland are consistently lower across this vegetation gradient, suggesting an increasingly greater reliance on symbiotic nutrient uptake from grasslands to forests. No significant relationships were found between soil and leaf nutrients, but SLA explained variation in leaf N, P, and K (positive relationships) and in leaf δ 13C (negative relationship). These findings suggest that a tradeoff between tree growth and water use efficiency is an important regulator of forest-grassland dynamics in the study region. © 2011 Springer Science+Business Media, LLC.","author":[{"dropping-particle":"","family":"Silva","given":"Lucas C R","non-dropping-particle":"","parse-names":false,"suffix":""},{"dropping-particle":"","family":"Anand","given":"Madhur","non-dropping-particle":"","parse-names":false,"suffix":""}],"container-title":"Ecosystems","id":"ITEM-2","issue":"8","issued":{"date-parts":[["2011"]]},"note":"Interesting paper on expansion of ARF over 9,000 years. Good diagrams showing how and when the patches and forest areas expanded. Expansion speeds suggested, with implications for refugia and past humans mentioned. Thoughts in notes.","page":"1354-1371","title":"Mechanisms of Araucaria (Atlantic) Forest Expansion into Southern Brazilian Grasslands","type":"article-journal","volume":"14"},"uris":["http://www.mendeley.com/documents/?uuid=26302ea3-b67e-3725-bd0a-3f81476d906b"]}],"mendeley":{"formattedCitation":"(Dümig et al., 2008; Silva and Anand, 2011)","plainTextFormattedCitation":"(Dümig et al., 2008; Silva and Anand, 2011)","previouslyFormattedCitation":"(Dümig et al., 2008; Silva and Anand, 2011)"},"properties":{"noteIndex":0},"schema":"https://github.com/citation-style-language/schema/raw/master/csl-citation.json"}</w:instrText>
      </w:r>
      <w:r w:rsidR="008905A2">
        <w:fldChar w:fldCharType="separate"/>
      </w:r>
      <w:r w:rsidR="005944BB" w:rsidRPr="005944BB">
        <w:rPr>
          <w:noProof/>
        </w:rPr>
        <w:t>(Dümig et al., 2008; Silva and Anand, 2011)</w:t>
      </w:r>
      <w:r w:rsidR="008905A2">
        <w:fldChar w:fldCharType="end"/>
      </w:r>
      <w:r w:rsidR="009F7C18">
        <w:t>;</w:t>
      </w:r>
      <w:r w:rsidR="00EC7904">
        <w:t xml:space="preserve"> p</w:t>
      </w:r>
      <w:r w:rsidR="004E45D9">
        <w:t>hytoliths</w:t>
      </w:r>
      <w:r w:rsidR="002D1B0B">
        <w:t xml:space="preserve"> </w:t>
      </w:r>
      <w:r w:rsidR="0086605B">
        <w:t xml:space="preserve">can effectively </w:t>
      </w:r>
      <w:r w:rsidR="001B69A8">
        <w:t xml:space="preserve">differentiate </w:t>
      </w:r>
      <w:r w:rsidR="0086605B">
        <w:t>herbaceous or monocotyledonous taxa</w:t>
      </w:r>
      <w:r w:rsidR="004E44B4">
        <w:t>,</w:t>
      </w:r>
      <w:r w:rsidR="0086605B">
        <w:t xml:space="preserve"> and fossil </w:t>
      </w:r>
      <w:r w:rsidR="00143C7B">
        <w:t xml:space="preserve">pollen discriminates between </w:t>
      </w:r>
      <w:r w:rsidR="0086605B">
        <w:t>woody dicots</w:t>
      </w:r>
      <w:r w:rsidR="00EF7842">
        <w:t xml:space="preserve"> </w:t>
      </w:r>
      <w:r w:rsidR="00EF7842">
        <w:fldChar w:fldCharType="begin" w:fldLock="1"/>
      </w:r>
      <w:r w:rsidR="005363AA">
        <w:instrText>ADDIN CSL_CITATION {"citationItems":[{"id":"ITEM-1","itemData":{"DOI":"10.1177/0959683619862021","ISSN":"0959-6836","abstract":"Identification of ecosystem turnover in the palaeo-vegetation record is important for understanding the resilience of ecosystems to past environmental change. There is uncertainty over the ability of different types of palaeo-vegetation proxies to detect ecosystem turnover. The aim of this paper is to compare the sensitivity of two palaeo-vegetation proxies – pollen and phytoliths – to changes within and between three key tropical South American ecosystems: evergreen forest, dry forest and savannah. A quantitative approach is used to assess the sensitivity of these two proxies to vegetation changes, based on the variability of proxy assemblages from 1-ha ecological plots in ecotonal south-west Amazonia. This modern dataset of proxy variability within evergreen forest, dry forest and savannah plots is then used to define thresholds for proxy variability which differentiate floristic changes within an ecosystem from ecosystem turnover. These thresholds are applied to two palaeo-vegetation records from NE Bolivia. Our results show that pollen is more sensitive than phytoliths to changes within evergreen forest, but phytoliths are more sensitive than pollen to changes within dry forest. Both proxies were equally sensitive to changes within the savannahs. These are important considerations for palaeoecologists selecting proxies for the study of ecosystem turnover in the palaeo-record. Application of the thresholds to the palaeo-record demonstrated the utility of this quantitative approach for assessing the magnitude of vegetation change in the palaeo-record. This quantitative approach is therefore a useful tool to improve the identification of ecosystem turnover in the palaeo-record.","author":[{"dropping-particle":"","family":"Plumpton","given":"Heather","non-dropping-particle":"","parse-names":false,"suffix":""},{"dropping-particle":"","family":"Whitney","given":"Bronwen","non-dropping-particle":"","parse-names":false,"suffix":""},{"dropping-particle":"","family":"Mayle","given":"Francis","non-dropping-particle":"","parse-names":false,"suffix":""}],"container-title":"The Holocene","id":"ITEM-1","issue":"11","issued":{"date-parts":[["2019","11","12"]]},"page":"1720-1730","title":"Ecosystem turnover in palaeoecological records: The sensitivity of pollen and phytolith proxies to detecting vegetation change in southwestern Amazonia","type":"article-journal","volume":"29"},"uris":["http://www.mendeley.com/documents/?uuid=01e120ec-65d2-3bc9-b4c3-718085167331"]},{"id":"ITEM-2","itemData":{"DOI":"10.1016/j.revmic.2019.02.001","ISSN":"00351598","abstract":"The Earth has experienced large changes in global and regional climates over the past one million years. Understanding processes and feedbacks that control those past environmental changes is of great interest for better understanding the nature, direction and magnitude of current climate change, its effect on life, and on the physical, biological and chemical processes and ecosystem services important for human well-being. Microfossils from terrestrial plants – pollen, microcharcoal and phytoliths – preserved in terrestrial and marine sedimentary archives are particularly useful tools to document changes in vegetation, fire and land climate. They are well-preserved in a variety of depositional environments and provide quantitative reconstructions of past land cover and climate. Those microfossil data are widely available from public archives, and their spatial coverage includes almost all regions on Earth, including both high and low latitudes and altitudes. Here, we (i) review the laboratory procedures used to extract those microfossils from sediment for microscopic observations and the qualitative and quantitative information they provide, (ii) highlight the importance of regional and global databases for large-scale syntheses of environmental changes, and (iii) review the application of terrestrial plant microfossil records in palaeoclimatology and palaeoecology using key examples from specific regions and past periods.","author":[{"dropping-particle":"","family":"Daniau","given":"Anne-Laure","non-dropping-particle":"","parse-names":false,"suffix":""},{"dropping-particle":"","family":"Desprat","given":"Stéphanie","non-dropping-particle":"","parse-names":false,"suffix":""},{"dropping-particle":"","family":"Aleman","given":"Julie C.","non-dropping-particle":"","parse-names":false,"suffix":""},{"dropping-particle":"","family":"Bremond","given":"Laurent","non-dropping-particle":"","parse-names":false,"suffix":""},{"dropping-particle":"","family":"Davis","given":"Basil","non-dropping-particle":"","parse-names":false,"suffix":""},{"dropping-particle":"","family":"Fletcher","given":"William","non-dropping-particle":"","parse-names":false,"suffix":""},{"dropping-particle":"","family":"Marlon","given":"Jennifer R.","non-dropping-particle":"","parse-names":false,"suffix":""},{"dropping-particle":"","family":"Marquer","given":"Laurent","non-dropping-particle":"","parse-names":false,"suffix":""},{"dropping-particle":"","family":"Montade","given":"Vincent","non-dropping-particle":"","parse-names":false,"suffix":""},{"dropping-particle":"","family":"Morales-Molino","given":"César","non-dropping-particle":"","parse-names":false,"suffix":""},{"dropping-particle":"","family":"Naughton","given":"Filipa","non-dropping-particle":"","parse-names":false,"suffix":""},{"dropping-particle":"","family":"Rius","given":"Damien","non-dropping-particle":"","parse-names":false,"suffix":""},{"dropping-particle":"","family":"Urrego","given":"Dunia H.","non-dropping-particle":"","parse-names":false,"suffix":""}],"container-title":"Revue de Micropaléontologie","id":"ITEM-2","issued":{"date-parts":[["2019","6","21"]]},"page":"1-35","publisher":"Elsevier Masson","title":"Terrestrial plant microfossils in palaeoenvironmental studies, pollen, microcharcoal and phytolith. Towards a comprehensive understanding of vegetation, fire and climate changes over the past one million years","type":"article-journal","volume":"63"},"uris":["http://www.mendeley.com/documents/?uuid=779160c7-e413-31b9-a9d4-dd8ae14eaa58"]}],"mendeley":{"formattedCitation":"(Daniau et al., 2019; Plumpton et al., 2019)","plainTextFormattedCitation":"(Daniau et al., 2019; Plumpton et al., 2019)","previouslyFormattedCitation":"(Daniau et al., 2019; Plumpton et al., 2019)"},"properties":{"noteIndex":0},"schema":"https://github.com/citation-style-language/schema/raw/master/csl-citation.json"}</w:instrText>
      </w:r>
      <w:r w:rsidR="00EF7842">
        <w:fldChar w:fldCharType="separate"/>
      </w:r>
      <w:r w:rsidR="00585D24" w:rsidRPr="00585D24">
        <w:rPr>
          <w:noProof/>
        </w:rPr>
        <w:t>(Daniau et al., 2019; Plumpton et al., 2019)</w:t>
      </w:r>
      <w:r w:rsidR="00EF7842">
        <w:fldChar w:fldCharType="end"/>
      </w:r>
      <w:r w:rsidR="005B22D5">
        <w:t xml:space="preserve"> – </w:t>
      </w:r>
      <w:r w:rsidR="00B93EC9">
        <w:t>ye</w:t>
      </w:r>
      <w:r w:rsidR="004241B9">
        <w:t>t despite</w:t>
      </w:r>
      <w:r w:rsidR="00B5543B">
        <w:t xml:space="preserve"> </w:t>
      </w:r>
      <w:r w:rsidR="002F0240">
        <w:t xml:space="preserve">its higher </w:t>
      </w:r>
      <w:r w:rsidR="005830FC">
        <w:t>taxonomic resolution</w:t>
      </w:r>
      <w:r w:rsidR="005B22D5">
        <w:t>,</w:t>
      </w:r>
      <w:r w:rsidR="00B5543B">
        <w:t xml:space="preserve"> fossil pollen records under-represent or omit</w:t>
      </w:r>
      <w:r w:rsidR="005830FC">
        <w:t xml:space="preserve"> </w:t>
      </w:r>
      <w:r w:rsidR="000F7882">
        <w:t xml:space="preserve">significant parts of </w:t>
      </w:r>
      <w:r w:rsidR="00217775">
        <w:t>southern Brazil’s</w:t>
      </w:r>
      <w:r w:rsidR="000F7882">
        <w:t xml:space="preserve"> flora </w:t>
      </w:r>
      <w:r w:rsidR="00175B3F">
        <w:fldChar w:fldCharType="begin" w:fldLock="1"/>
      </w:r>
      <w:r w:rsidR="007F330C">
        <w:instrText>ADDIN CSL_CITATION {"citationItems":[{"id":"ITEM-1","itemData":{"DOI":"10.1016/j.revpalbo.2019.03.003","ISSN":"00346667","abstract":"Southern Brazil's highland Araucaria forest is ancient, diverse and unique, but its future is under significant threat from 20th Century habitat loss and 21st Century climate change. Paleoecological studies have revealed that it expanded rapidly over highland grasslands around 1000 years ago, but whether this expansion was caused by human land use or climate change has been a topic of considerable debate. Discriminating between these potential drivers has so far not been possible with fossil pollen, however, as the palynological representation of floristic and structural differences in Araucaria forest remains poorly understood. Here, we address this shortcoming using modern pollen rain from moss polsters and vegetation surveys in forest areas with minimal current human disturbance. We show that forest plots with evident structural differences lack consistent differences in their floristic composition and cannot be reliably distinguished by their pollen spectra. We quantify pollen–vegetation relationships for 27 key tree genera of Araucaria forest, showing that, despite significant intra-taxon variability, 22 of these are under-represented or absent in the pollen record. These palynologically under-represented and silent taxa include many of the forest's most ecologically important tree species, with only Araucaria, Lamanonia, Podocarpus, Myrsine and Clethra being more abundant in the pollen rain than vegetation. Our results suggest that subtle structural changes in Araucaria forest, as well as moderate to significant floristic changes, may not be clearly distinguished in fossil pollen records – an important limitation when attempting to identify past human and climatic impacts on Araucaria forest via pollen analysis.","author":[{"dropping-particle":"","family":"Cárdenas","given":"Macarena L.","non-dropping-particle":"","parse-names":false,"suffix":""},{"dropping-particle":"","family":"Wilson","given":"Oliver J.","non-dropping-particle":"","parse-names":false,"suffix":""},{"dropping-particle":"","family":"Schorn","given":"Lauri A.","non-dropping-particle":"","parse-names":false,"suffix":""},{"dropping-particle":"","family":"Mayle","given":"Francis E.","non-dropping-particle":"","parse-names":false,"suffix":""},{"dropping-particle":"","family":"Iriarte","given":"José","non-dropping-particle":"","parse-names":false,"suffix":""}],"container-title":"Review of Palaeobotany and Palynology","id":"ITEM-1","issued":{"date-parts":[["2019","6","1"]]},"page":"27-40","publisher":"Elsevier","title":"A quantitative study of modern pollen–vegetation relationships in southern Brazil's Araucaria forest","type":"article-journal","volume":"265"},"uris":["http://www.mendeley.com/documents/?uuid=b50fd978-9319-3e2d-8d5a-4fe356acc5cf"]},{"id":"ITEM-2","itemData":{"DOI":"10.1590/S1516-89132006000500013","ISSN":"15168913","abstract":"The relationship between the southern Brazilian tropical Atlantic lowland rain forest and modern pollen rain was studied by pollen traps. The study was carried out on a one hectare plot undisturbed rain forest of the reserve Volta Velha and two secondary forests, ± 50 and 7 years old. About 248 identified tree, shrub and herb species (excluding epiphytes) of 50 families were represented by 126 different pollen and spore types (including non-local taxa). The calculated average influx of pollen rain from the native Atlantic rain forest was 12465 pollen grains per cm2 and year. The influx from the ± 50 years old and from the 7 years old secondary forest was relatively low (4112 and 3667 grains per cm2 and year, respectively) compared to the undisturbed rain forest. The occurrence of pollen grains of herbs and fern spores were significantly higher in the secondary forests than in the undisturbed rain forest.","author":[{"dropping-particle":"","family":"Behling","given":"Hermann","non-dropping-particle":"","parse-names":false,"suffix":""},{"dropping-particle":"","family":"Negrelle","given":"Raquel R. B.","non-dropping-particle":"","parse-names":false,"suffix":""}],"container-title":"Brazilian Archives of Biology and Tecnology","id":"ITEM-2","issue":"July","issued":{"date-parts":[["2006","7"]]},"note":"Modern pollen rain analysed from Atlantic forest patches (undisturbed, old disturbance, recently disturbed). Differences between these could be seen (esp recently disturbed). Generally, common species were common in pollen, and vice versa, but some didn't fit the pattern. Worth considering when thinking about pollen-vegetation relationships","page":"631-642","publisher":"Tecpar","title":"Vegetation and pollen rain relationship from the tropical Atlantic rain forest in southern Brazil","type":"article-journal","volume":"49"},"uris":["http://www.mendeley.com/documents/?uuid=84a24132-e65f-3ba9-9da7-0f8215cf750a"]}],"mendeley":{"formattedCitation":"(Behling and Negrelle, 2006; Cárdenas et al., 2019)","plainTextFormattedCitation":"(Behling and Negrelle, 2006; Cárdenas et al., 2019)","previouslyFormattedCitation":"(Behling and Negrelle, 2006; Cárdenas et al., 2019)"},"properties":{"noteIndex":0},"schema":"https://github.com/citation-style-language/schema/raw/master/csl-citation.json"}</w:instrText>
      </w:r>
      <w:r w:rsidR="00175B3F">
        <w:fldChar w:fldCharType="separate"/>
      </w:r>
      <w:r w:rsidR="005944BB" w:rsidRPr="005944BB">
        <w:rPr>
          <w:noProof/>
        </w:rPr>
        <w:t>(Behling and Negrelle, 2006; Cárdenas et al., 2019)</w:t>
      </w:r>
      <w:r w:rsidR="00175B3F">
        <w:fldChar w:fldCharType="end"/>
      </w:r>
      <w:r w:rsidR="005B22D5">
        <w:t>, leaving their dynamics unrecorded</w:t>
      </w:r>
      <w:r w:rsidR="00D51FCE">
        <w:t>.</w:t>
      </w:r>
    </w:p>
    <w:p w14:paraId="287BDDA4" w14:textId="5FC9EA47" w:rsidR="00032CD9" w:rsidRDefault="0095744E" w:rsidP="00032CD9">
      <w:pPr>
        <w:spacing w:line="360" w:lineRule="auto"/>
      </w:pPr>
      <w:r>
        <w:t>Although</w:t>
      </w:r>
      <w:r w:rsidR="00F73474">
        <w:t xml:space="preserve"> </w:t>
      </w:r>
      <w:r>
        <w:t>p</w:t>
      </w:r>
      <w:r w:rsidR="008F2AFD">
        <w:t>rojecting SDMs to</w:t>
      </w:r>
      <w:r w:rsidR="0089220C">
        <w:t xml:space="preserve"> </w:t>
      </w:r>
      <w:r w:rsidR="002B601C">
        <w:t xml:space="preserve">past time slices </w:t>
      </w:r>
      <w:r w:rsidR="00F16DC4">
        <w:t>is a potentially powerful way to</w:t>
      </w:r>
      <w:r w:rsidR="002B601C">
        <w:t xml:space="preserve"> complement </w:t>
      </w:r>
      <w:r w:rsidR="001124B3">
        <w:t>these</w:t>
      </w:r>
      <w:r w:rsidR="000B57FC">
        <w:t xml:space="preserve"> </w:t>
      </w:r>
      <w:r w:rsidR="008F2AFD">
        <w:t>data</w:t>
      </w:r>
      <w:r w:rsidR="001124B3">
        <w:t>,</w:t>
      </w:r>
      <w:r w:rsidR="008F2AFD">
        <w:t xml:space="preserve"> </w:t>
      </w:r>
      <w:r w:rsidR="001124B3">
        <w:t>s</w:t>
      </w:r>
      <w:r w:rsidR="00D03A20">
        <w:t>tudies which have attempted this for the southern Atlantic Forest</w:t>
      </w:r>
      <w:r w:rsidR="004F1729">
        <w:t xml:space="preserve"> </w:t>
      </w:r>
      <w:r w:rsidR="000E1853">
        <w:t xml:space="preserve">generally </w:t>
      </w:r>
      <w:r w:rsidR="00C9257F">
        <w:t>share</w:t>
      </w:r>
      <w:r w:rsidR="006F14D6">
        <w:t xml:space="preserve"> </w:t>
      </w:r>
      <w:r w:rsidR="00C9257F">
        <w:t>limitations</w:t>
      </w:r>
      <w:r w:rsidR="004308E5">
        <w:t xml:space="preserve"> around </w:t>
      </w:r>
      <w:r w:rsidR="00CE47E5">
        <w:t xml:space="preserve">their </w:t>
      </w:r>
      <w:r w:rsidR="001422F6">
        <w:t xml:space="preserve">links to proxy records and their </w:t>
      </w:r>
      <w:r w:rsidR="004308E5">
        <w:t xml:space="preserve">taxonomic </w:t>
      </w:r>
      <w:r w:rsidR="00277978">
        <w:t xml:space="preserve">and temporal </w:t>
      </w:r>
      <w:r w:rsidR="004308E5">
        <w:t>coverage</w:t>
      </w:r>
      <w:r w:rsidR="00C9257F">
        <w:t>.</w:t>
      </w:r>
      <w:r w:rsidR="00032CD9" w:rsidRPr="00032CD9">
        <w:t xml:space="preserve"> </w:t>
      </w:r>
      <w:r w:rsidR="008266B2">
        <w:t>A</w:t>
      </w:r>
      <w:r w:rsidR="00712C26">
        <w:t xml:space="preserve"> relatively restricted subset of the available proxy data</w:t>
      </w:r>
      <w:r w:rsidR="008266B2">
        <w:t xml:space="preserve"> tends to be used</w:t>
      </w:r>
      <w:r w:rsidR="00712C26">
        <w:t xml:space="preserve">, with no study using </w:t>
      </w:r>
      <w:r w:rsidR="00EC07C7">
        <w:t>a denser dataset</w:t>
      </w:r>
      <w:r w:rsidR="00712C26">
        <w:t xml:space="preserve"> than Ledo &amp; Colli’s </w:t>
      </w:r>
      <w:r w:rsidR="00712C26">
        <w:fldChar w:fldCharType="begin" w:fldLock="1"/>
      </w:r>
      <w:r w:rsidR="00712C26">
        <w:instrText>ADDIN CSL_CITATION {"citationItems":[{"id":"ITEM-1","itemData":{"DOI":"10.1111/jbi.13049","ISBN":"03050270","ISSN":"13652699","PMID":"180060","abstract":"Aim To assess ancient biotic connections between the Amazon Forest (AmF) and the Atlantic Forest (AtF) based on environmental niche modelling (ENM), palaeobiological, and molecular evidence; to test Por (1992)'s hypothesis of the south-eastern—north-western (SE—NW) route as the most important route in terms of frequency and duration; to evaluate past climatic conditions associated with the routes. Location South America. Methods We generated random points in climate space of AmF and AtF and identified two major climatic groups in the shared environmental space (colder and warmer) with a K-means cluster analysis. We modelled each climatic group using eleven algorithms of ENM and selected the best model, projecting the results back to 120 ka. We used published data on South American palaeopalynology, speleothem and travertine chronology for model validation. We also accessed vertebrate molecular studies and extracted the split timing of lineages distributed both in the AmF and the AtF to test Por (1992)'s hypothesis in more ancient times. Results Palynological and speleothem studies supported the results of our ENM models, indicating expansion of cold-adapted species along the SE—NW and NE routes in the LGM. The SE—NW route was also supported in the LIG, however, involving warm-adapted species. Our results support Por (1992)'s hypothesis and suggest that the SE—NW was established more than once in the past, involving different plant communities each time, adapted to different temperature conditions. Vertebrate molecular studies also support Por (1992)'s hypothesis and suggest that the SE—NW route was established since the Andean uplift. Main Conclusions The SE—NW route is the most ancient connection route between the AmF and the AtF and probably was established since the Andean uplift and the formation of the South American monsoon system. This route was established many times in the past, alternating by the distribution expansion of cold-adapted and warm-adapted plant communities.","author":[{"dropping-particle":"","family":"Ledo","given":"Roger Maia Dias","non-dropping-particle":"","parse-names":false,"suffix":""},{"dropping-particle":"","family":"Colli","given":"Guarino Rinaldi","non-dropping-particle":"","parse-names":false,"suffix":""}],"container-title":"Journal of Biogeography","id":"ITEM-1","issue":"11","issued":{"date-parts":[["2017"]]},"note":"Study looking at past forest links between Amazon and Atlantic Forests. Finds the SE-NW link (S/SE Brazil to NW Amazonia) much more important than NE links (around Caatinga). Cold and wet conditions during the LGM allowed cold-adapted forest to bridge the gap around Paraguay, and warm and wet conditions at the LIG would have supported a different type of forest. Repeated connections under different conditions probably helped foster diverse linkages and shared taxa.\nRelevant to Paraguay plans.","page":"2551-2563","title":"The historical connections between the Amazon and the Atlantic Forest revisited","type":"article-journal","volume":"44"},"suppress-author":1,"uris":["http://www.mendeley.com/documents/?uuid=43eef122-4b59-4e1e-9f38-ca1f7a1b434e"]}],"mendeley":{"formattedCitation":"(2017)","plainTextFormattedCitation":"(2017)","previouslyFormattedCitation":"(2017)"},"properties":{"noteIndex":0},"schema":"https://github.com/citation-style-language/schema/raw/master/csl-citation.json"}</w:instrText>
      </w:r>
      <w:r w:rsidR="00712C26">
        <w:fldChar w:fldCharType="separate"/>
      </w:r>
      <w:r w:rsidR="00712C26" w:rsidRPr="00135482">
        <w:rPr>
          <w:noProof/>
        </w:rPr>
        <w:t>(2017)</w:t>
      </w:r>
      <w:r w:rsidR="00712C26">
        <w:fldChar w:fldCharType="end"/>
      </w:r>
      <w:r w:rsidR="00712C26">
        <w:t xml:space="preserve"> 56 sites across </w:t>
      </w:r>
      <w:r w:rsidR="00EC07C7">
        <w:t xml:space="preserve">all </w:t>
      </w:r>
      <w:r w:rsidR="00712C26">
        <w:t xml:space="preserve">Amazonia and the Atlantic Forest; Smith &amp; Mayle </w:t>
      </w:r>
      <w:r w:rsidR="00712C26">
        <w:fldChar w:fldCharType="begin" w:fldLock="1"/>
      </w:r>
      <w:r w:rsidR="00712C26">
        <w:instrText>ADDIN CSL_CITATION {"citationItems":[{"id":"ITEM-1","itemData":{"DOI":"10.1017/qua.2017.89","ISSN":"0033-5894","abstract":"A multi-proxy paleo-data synthesis of 110 sites is presented, exploring the impact of mid- to late Holocene precipitation changes upon vegetation across Southern Hemisphere tropical South America. We show that the most significant vegetation changes occurred in southwest Amazonia and southeast Brazil, regions reliant on precipitation derived from the South American summer monsoon (SASM). A drier mid-Holocene in these regions, linked to a weaker SASM, favored more open vegetation (savannah/grasslands) than present, while increased late-Holocene precipitation drove expansion of humid forests (e.g., evergreen tropical forest in southwest Amazonia, Araucaria forests in southeast Brazil). The tropical forests of central, western and eastern Amazonia remained largely intact throughout this 6000-year period. Northeastern Brazil’s climate is “antiphased” with the rest of tropical South America, but a lack of paleo-data limits our understanding of how vegetation responded to a wetter (drier) mid-(late) Holocene. From this paleo-data perspective, we conclude that ecotonal forests already close to their climatic thresholds are most vulnerable to predicted future drought, but the forest biome in the core of Amazonia is likely to be more resilient. Of greater concern are widespread deforestation and uncontrolled anthropogenic burning, which will decrease ecosystem resilience, making them more vulnerable than they might be without current anthropogenic pressures.","author":[{"dropping-particle":"","family":"Smith","given":"Richard J","non-dropping-particle":"","parse-names":false,"suffix":""},{"dropping-particle":"","family":"Mayle","given":"Francis E","non-dropping-particle":"","parse-names":false,"suffix":""}],"container-title":"Quaternary Research","id":"ITEM-1","issued":{"date-parts":[["2017"]]},"note":"Overview of palaeo sites and their records since 6ka. Uses authors' descriptions to define vegetation types, and for the most part uses original chronologies. Good descriptions of climate and its influence through time, and useful as a guide to the region's late-Holocene vegetation changes","page":"1-22","title":"Impact of mid- to late Holocene precipitation changes on vegetation across lowland tropical South America: a paleo-data synthesis","type":"article-journal","volume":"89"},"suppress-author":1,"uris":["http://www.mendeley.com/documents/?uuid=00863797-c004-39e6-8980-198be3cd12a9"]}],"mendeley":{"formattedCitation":"(2017)","plainTextFormattedCitation":"(2017)","previouslyFormattedCitation":"(2017)"},"properties":{"noteIndex":0},"schema":"https://github.com/citation-style-language/schema/raw/master/csl-citation.json"}</w:instrText>
      </w:r>
      <w:r w:rsidR="00712C26">
        <w:fldChar w:fldCharType="separate"/>
      </w:r>
      <w:r w:rsidR="00712C26" w:rsidRPr="006E1DFA">
        <w:rPr>
          <w:noProof/>
        </w:rPr>
        <w:t>(2017)</w:t>
      </w:r>
      <w:r w:rsidR="00712C26">
        <w:fldChar w:fldCharType="end"/>
      </w:r>
      <w:r w:rsidR="00712C26">
        <w:t xml:space="preserve"> identified 50 proxy sites in south-eastern Brazil alone. </w:t>
      </w:r>
      <w:r w:rsidR="00032CD9">
        <w:t xml:space="preserve">Many studies </w:t>
      </w:r>
      <w:r w:rsidR="004F1029">
        <w:t>also</w:t>
      </w:r>
      <w:r w:rsidR="00032CD9">
        <w:t xml:space="preserve"> examine only the LGM (21,000 BP) and mid-Holocene (6,000 BP), the time slices for which spatialised climate data are most widely available at ecologically meaningful resolution</w:t>
      </w:r>
      <w:r w:rsidR="00160CDE">
        <w:t>s</w:t>
      </w:r>
      <w:r w:rsidR="00032CD9">
        <w:t xml:space="preserve"> </w:t>
      </w:r>
      <w:r w:rsidR="00032CD9">
        <w:fldChar w:fldCharType="begin" w:fldLock="1"/>
      </w:r>
      <w:r w:rsidR="007F330C">
        <w:instrText>ADDIN CSL_CITATION {"citationItems":[{"id":"ITEM-1","itemData":{"DOI":"10.1111/j.1472-4642.2012.00944.x","ISBN":"13669516","ISSN":"13669516","abstract":"Aim: We aimed to assess the generality of existing models of late Quaternary biodiversity refugia in the Brazilian Atlantic forest by testing whether taxo- nomic identity and range descriptors influence the extent by which previously proposed models of forest (habitat) refugia successfully predict species’ inferred refugial areas. Location: Brazilian rain forest. Methods: We compiled and filtered records of 14 animal species that belong to distantly related groups (spiders, harvestmen, scorpions, amphibians, birds, liz- ards and mammals) and show distinct distribution patterns within the Atlantic rain forest. Using MAXENT, we generated three distribution models for each species under different climatic scenarios (current, 6000 and 21,000 years ago). Species-specific historically stable areas (refugia) were identified through the intersection of the three models. We then measured the amount of ‘inclusion’ of species-specific refugia within published forest refugia, and quantified ‘filling’ of the biome refugia by species-specific refugia. The influence of taxonomic distance between species and range descriptors were analysed. Results: Current distribution models generated for the 14 species had high accuracy (AUC &gt; 0.9). Inclusion and filling, two uncorrelated metrics, varied among species and were not influenced by taxonomic identity. Species range characteristics influenced forest model filling only, with higher values found in widely distributed species (i.e. occurring from Northeastern to Southeastern Brazil). Main conclusions: Species-specific and forest refugial areas are not necessarily the same. The power of forest refugial models to predict species-specific refugial area differs among species and may be influenced by range attributes. Species data suggests the existence of a large refugium in Southeast of Brazil, a result at odds with the currently available forest-wide models. The predictive power of forest refugial models is narrowed; we now better understand their applicability limits.","author":[{"dropping-particle":"","family":"Porto","given":"Tiago Jordão","non-dropping-particle":"","parse-names":false,"suffix":""},{"dropping-particle":"","family":"Carnaval","given":"Ana Carolina","non-dropping-particle":"","parse-names":false,"suffix":""},{"dropping-particle":"","family":"Rocha","given":"Pedro Luís Bernardo","non-dropping-particle":"da","parse-names":false,"suffix":""}],"container-title":"Diversity and Distributions","id":"ITEM-1","issue":"3","issued":{"date-parts":[["2013"]]},"page":"330-340","title":"Evaluating forest refugial models using species distribution models, model filling and inclusion: A case study with 14 Brazilian species","type":"article-journal","volume":"19"},"uris":["http://www.mendeley.com/documents/?uuid=94f1dfb6-b834-4dc6-860b-57ea2aa1c286"]},{"id":"ITEM-2","itemData":{"DOI":"10.1186/s12862-016-0779-9","ISSN":"1471-2148","abstract":"We studied the phylogeography and demographical history of Tabebuia serratifolia (Bignoniaceae) to understand the disjunct geographical distribution of South American seasonally dry tropical forests (SDTFs). We specifically tested if the multiple and isolated patches of SDTFs are current climatic relicts of a widespread and continuously distributed dry forest during the last glacial maximum (LGM), the so called South American dry forest refugia hypothesis, using ecological niche modelling (ENM) and statistical phylogeography. We sampled 235 individuals of T. serratifolia in 17 populations in Brazil and analysed the polymorphisms at three intergenic chloroplast regions and ITS nuclear ribosomal DNA. Coalescent analyses showed a demographical expansion at the last c. 130 ka (thousand years before present). Simulations and ENM also showed that the current spatial pattern of genetic diversity is most likely due to a scenario of range expansion and range shift towards the Amazon Basin during the colder and arid climatic conditions associated with the LGM, matching the expected for the South American dry forest refugia hypothesis, although contrasting to the Pleistocene Arc hypothesis. Populations in more stable areas or with higher suitability through time showed higher genetic diversity. Postglacial range shift towards the Southeast and Atlantic coast may have led to spatial genome assortment due to leading edge colonization as the species tracks suitable environments, leading to lower genetic diversity in populations at higher distance from the distribution centroid at 21 ka. Haplotype sharing or common ancestry among populations from Caatinga in Northeast Brazil, Atlantic Forest in Southeast and Cerrado biome and ENM evince the past connection among these biomes.","author":[{"dropping-particle":"","family":"Vitorino","given":"Luciana Cristina","non-dropping-particle":"","parse-names":false,"suffix":""},{"dropping-particle":"","family":"Lima-Ribeiro","given":"Matheus S.","non-dropping-particle":"","parse-names":false,"suffix":""},{"dropping-particle":"","family":"Terribile","given":"Levi Carina","non-dropping-particle":"","parse-names":false,"suffix":""},{"dropping-particle":"","family":"Collevatti","given":"Rosane G.","non-dropping-particle":"","parse-names":false,"suffix":""}],"container-title":"BMC Evolutionary Biology","id":"ITEM-2","issue":"1","issued":{"date-parts":[["2016","12","13"]]},"page":"213","publisher":"BioMed Central","title":"Demographical history and palaeodistribution modelling show range shift towards Amazon Basin for a Neotropical tree species in the LGM","type":"article-journal","volume":"16"},"uris":["http://www.mendeley.com/documents/?uuid=58c18bf3-a29e-3aed-946d-32440045355a"]},{"id":"ITEM-3","itemData":{"DOI":"10.1111/j.1365-2699.2007.01870.x","ISBN":"268","ISSN":"03050270","PMID":"3173025","abstract":"Aim We aim to propose validated, spatially explicit hypotheses for the late Quaternary distribution of the Brazilian Atlantic forest, and thereby provide a framework for integrating analyses of species and genetic diversity in the region. Location The Atlantic forest, stretching along the Brazilian coast. Methods We model the spatial range of the forest under three climatic scenarios (current climate, 6000 and 21,000 years ago) with BIOCLIM and MAXENT. Historically stable areas or refugia are identified as the set of grid cells for which forest presence is inferred in all models and time projections. To validate inferred refugia, we test whether our models are matched by the current distribution of the forest and by fossil pollen data. We then investigate whether the location of inferred forest refugia is consistent with current patterns of species endemism and existing phylogeographical data. Results Forest models agree with pollen records and predict a large area of historical forest stability in the central corridor (Bahia), as well as a smaller refuge (Pernambuco) along the Brazilian coast, matching current centres of endemism in multiple taxa and mtDNA diversity patterns in a subset of the species examined. Less historical stability is predicted in coastal areas south of the Doce river, which agrees with most phylogeographical studies in that region. Yet some widely distributed taxa show high endemism in the southern Atlantic forest. This may be due to limitations of the modelling approach, differences in ecology and dispersal capability, historical processes not contemplated by the current study or inadequacy of the available test data sets. Main conclusions Palaeoclimatic models predict the presence of historical forest refugia in the Atlantic rain forest and suggest spatial variation in persistence of forests through the Pleistocene, predicting patterns of biodiversity in several local taxa. The results point to the need for further studies to document genetic and species endemism in the relatively poorly known and highly impacted areas of Atlantic rain forests of north-eastern Brazil.","author":[{"dropping-particle":"","family":"Carnaval","given":"Ana Carolina","non-dropping-particle":"","parse-names":false,"suffix":""},{"dropping-particle":"","family":"Moritz","given":"Craig","non-dropping-particle":"","parse-names":false,"suffix":""}],"container-title":"Journal of Biogeography","id":"ITEM-3","issue":"7","issued":{"date-parts":[["2008"]]},"note":"Interesting, possibly seminal, paper using maxent and bioclim to model vegetation types in the LGM and mid-Holocene, contrasted against pollen data. For some reason the CdS and Volta Velha pollen records aren't used for the LGM, which is unfortunate. Some possible testable hypotheses for me (influence of topographic complexity, and whether the forests really did contract in S Brazil in the LGM). Genetic data back up predictions of long-term refugia in Bahia and further north","page":"1187-1201","title":"Historical climate modelling predicts patterns of current biodiversity in the Brazilian Atlantic forest","type":"article-journal","volume":"35"},"uris":["http://www.mendeley.com/documents/?uuid=17f3caaa-fbbe-49a0-b934-05839e4d1114"]},{"id":"ITEM-4","itemData":{"DOI":"10.1111/jbi.13049","ISBN":"03050270","ISSN":"13652699","PMID":"180060","abstract":"Aim To assess ancient biotic connections between the Amazon Forest (AmF) and the Atlantic Forest (AtF) based on environmental niche modelling (ENM), palaeobiological, and molecular evidence; to test Por (1992)'s hypothesis of the south-eastern—north-western (SE—NW) route as the most important route in terms of frequency and duration; to evaluate past climatic conditions associated with the routes. Location South America. Methods We generated random points in climate space of AmF and AtF and identified two major climatic groups in the shared environmental space (colder and warmer) with a K-means cluster analysis. We modelled each climatic group using eleven algorithms of ENM and selected the best model, projecting the results back to 120 ka. We used published data on South American palaeopalynology, speleothem and travertine chronology for model validation. We also accessed vertebrate molecular studies and extracted the split timing of lineages distributed both in the AmF and the AtF to test Por (1992)'s hypothesis in more ancient times. Results Palynological and speleothem studies supported the results of our ENM models, indicating expansion of cold-adapted species along the SE—NW and NE routes in the LGM. The SE—NW route was also supported in the LIG, however, involving warm-adapted species. Our results support Por (1992)'s hypothesis and suggest that the SE—NW was established more than once in the past, involving different plant communities each time, adapted to different temperature conditions. Vertebrate molecular studies also support Por (1992)'s hypothesis and suggest that the SE—NW route was established since the Andean uplift. Main Conclusions The SE—NW route is the most ancient connection route between the AmF and the AtF and probably was established since the Andean uplift and the formation of the South American monsoon system. This route was established many times in the past, alternating by the distribution expansion of cold-adapted and warm-adapted plant communities.","author":[{"dropping-particle":"","family":"Ledo","given":"Roger Maia Dias","non-dropping-particle":"","parse-names":false,"suffix":""},{"dropping-particle":"","family":"Colli","given":"Guarino Rinaldi","non-dropping-particle":"","parse-names":false,"suffix":""}],"container-title":"Journal of Biogeography","id":"ITEM-4","issue":"11","issued":{"date-parts":[["2017"]]},"note":"Study looking at past forest links between Amazon and Atlantic Forests. Finds the SE-NW link (S/SE Brazil to NW Amazonia) much more important than NE links (around Caatinga). Cold and wet conditions during the LGM allowed cold-adapted forest to bridge the gap around Paraguay, and warm and wet conditions at the LIG would have supported a different type of forest. Repeated connections under different conditions probably helped foster diverse linkages and shared taxa.\nRelevant to Paraguay plans.","page":"2551-2563","title":"The historical connections between the Amazon and the Atlantic Forest revisited","type":"article-journal","volume":"44"},"uris":["http://www.mendeley.com/documents/?uuid=43eef122-4b59-4e1e-9f38-ca1f7a1b434e"]},{"id":"ITEM-5","itemData":{"DOI":"10.1111/geb.12646","ISSN":"14668238","abstract":"Aim: The two main hypotheses about the Neotropical palaeovegetation, namely that of Ama- zonian refugia by Haffer and of the Pleistocene arc by Prado and Gibbs, are still constantly debated. We offer new insights on this debate using ecological niche modelling with combined climate–soil predictors to test both hypotheses, reconstruct the palaeovegetation of the Last Glacial Maximum (LGM; 21 ka) and Mid-Holocene (Mid-H; 6 ka) and indicate the configuration of refugia areas. Location: Brazil. Time period: Last 21 ka. Major taxa studied: Biomes. Methods: We modelled the environmental space of the 10 most representative biomes with the RandomForest classifier, using climate predictors from three atmospheric general circulation mod- els (CCSM4, MPI-ESM-P and MIROC-ESM) and soil predictors, the same for the different situations. Based on the consensus among the models, we reconstructed the palaeovegetation cover for LGM and Mid-H and used fossil pollen sites to validate the reconstructions in a direct comparison. Abstract Aim: The two main hypotheses about the Neotropical palaeovegetation, namely that of Ama- zonian refugia by Haffer and of the Pleistocene arc by Prado and Gibbs, are still constantly debated. We offer new insights on this debate using ecological niche modelling with combined climate–soil predictors to test both hypotheses, reconstruct the palaeovegetation of the Last Glacial Maximum (LGM; 21 ka) and Mid-Holocene (Mid-H; 6 ka) and indicate the configuration of refugia areas. Location: Brazil. Time period: Last 21 ka. Major taxa studied: Biomes. Methods: We modelled the environmental space of the 10 most representative biomes with the RandomForest classifier, using climate predictors from three atmospheric general circulation mod- els (CCSM4, MPI-ESM-P and MIROC-ESM) and soil predictors, the same for the different situations. Based on the consensus among the models, we reconstructed the palaeovegetation cover for LGM and Mid-H and used fossil pollen sites to validate the reconstructions in a direct comparison. Results: The climate in the past was cooler and wetter throughout most of the territory. The Ama- zon basin region was the most affected by climate change in the last 21 ka, with equatorial rain forest retracting to refugia areas, while the tropical rain forest (with climatic preferences similar to the Atlantic forest) expanded in the basin. In southern Brazil, the mixed forest (Araucaria forest) shifted to lower latitudes, while the gras…","author":[{"dropping-particle":"","family":"Arruda","given":"Daniel M.","non-dropping-particle":"","parse-names":false,"suffix":""},{"dropping-particle":"","family":"Schaefer","given":"Carlos E.G.R.","non-dropping-particle":"","parse-names":false,"suffix":""},{"dropping-particle":"","family":"Fonseca","given":"Rúbia S.","non-dropping-particle":"","parse-names":false,"suffix":""},{"dropping-particle":"","family":"Solar","given":"Ricardo R.C.","non-dropping-particle":"","parse-names":false,"suffix":""},{"dropping-particle":"","family":"Fernandes-Filho","given":"Elpídio I.","non-dropping-particle":"","parse-names":false,"suffix":""}],"container-title":"Global Ecology and Biogeography","id":"ITEM-5","issue":"August 2017","issued":{"date-parts":[["2017"]]},"note":"Models biomes in high resolution (1km) using 4 worldclim bioclim variables and 6 soil variables. Looks at LGM and MH. Interesting things about MOF and campos, and seems to agree more with Atlantic Forest hypothesis. Would be interesting to test this with species-centred models in S Brazil, with more explicit evaluation against fossil pollen, and changes in sea level modelled too","page":"47-56","title":"Vegetation cover of Brazil in the last 21 ka: New insights into the Amazonian refugia and Pleistocenic arc hypotheses","type":"article-journal"},"uris":["http://www.mendeley.com/documents/?uuid=1c764ef1-ded9-4832-89e6-a30d6484b1d2"]},{"id":"ITEM-6","itemData":{"DOI":"10.1080/17550874.2019.1618408","ISSN":"1755-0874","abstract":"Background: Araucaria forests are mountain ecosystems that might have expanded in the late Holocene, however past distributions remain uncertain. If current distribution reflects climatic conditions, past and future distributions may be projected using climate models. Aims: To contribute to the understanding of past and future distribution of Araucaria forests as a function of climate, we hypothesised that (1) they have increased their geographic distribution since the Last Glacial Maximum (LGM) until the present; and (2) would contract under predicted future climates. Methods: We modelled the spatial distributions of Araucaria forests under current, past and future climatic scenarios. Ecological niche models of 12 indicator species were developed using ensemble modelling. Results: The greatest extent of distribution of Araucaria forests appeared to have occurred during the LGM, after which a continuous retraction followed until the present. Our models suggested that Araucaria forests would experience an even greater retraction in the future. Conclusion: Araucaria forests could have covered larger areas during the LGM than suggested by earlier palynological studies, because climate was suitable for their distribution. The degree of loss of modelled distribution area since the LGM until today indicate these forests are likely to continue to shrink under projected future climatic changes.","author":[{"dropping-particle":"","family":"Bergamin","given":"Rodrigo Scarton","non-dropping-particle":"","parse-names":false,"suffix":""},{"dropping-particle":"","family":"Debastiani","given":"Vanderlei","non-dropping-particle":"","parse-names":false,"suffix":""},{"dropping-particle":"","family":"Joner","given":"Daiany C.","non-dropping-particle":"","parse-names":false,"suffix":""},{"dropping-particle":"","family":"Lemes","given":"Priscila","non-dropping-particle":"","parse-names":false,"suffix":""},{"dropping-particle":"","family":"Guimarães","given":"Taís","non-dropping-particle":"","parse-names":false,"suffix":""},{"dropping-particle":"","family":"Loyola","given":"Rafael D.","non-dropping-particle":"","parse-names":false,"suffix":""},{"dropping-particle":"","family":"Müller","given":"Sandra C.","non-dropping-particle":"","parse-names":false,"suffix":""}],"container-title":"Plant Ecology &amp; Diversity","id":"ITEM-6","issue":"2","issued":{"date-parts":[["2019","3","4"]]},"note":"Models 12 MOF indicator species at the LGM, MH, present and 2070 (RCP 2.5 and 8.5). Predicts widest extent at LGM, markedly decreased by the MH, and slightly decreased again to the present. (Matches with expansions of cerrado and SDF modelled in other studies.) Retractions mainly in N and W, where palaeo records are few; stable in the E. Big declines expected to future. Species tended to respond in unison (possibly a side effect of using indicator species).","page":"115-126","publisher":"Taylor and Francis Ltd.","title":"Loss of suitable climatic areas for Araucaria forests over time","type":"article-journal","volume":"12"},"uris":["http://www.mendeley.com/documents/?uuid=34ad3c79-a6b8-35e2-970b-6ff82fbce254"]}],"mendeley":{"formattedCitation":"(Arruda et al., 2017; Bergamin et al., 2019; Carnaval and Moritz, 2008; Ledo and Colli, 2017; Porto et al., 2013; Vitorino et al., 2016)","plainTextFormattedCitation":"(Arruda et al., 2017; Bergamin et al., 2019; Carnaval and Moritz, 2008; Ledo and Colli, 2017; Porto et al., 2013; Vitorino et al., 2016)","previouslyFormattedCitation":"(Arruda et al., 2017; Bergamin et al., 2019; Carnaval and Moritz, 2008; Ledo and Colli, 2017; Porto et al., 2013; Vitorino et al., 2016)"},"properties":{"noteIndex":0},"schema":"https://github.com/citation-style-language/schema/raw/master/csl-citation.json"}</w:instrText>
      </w:r>
      <w:r w:rsidR="00032CD9">
        <w:fldChar w:fldCharType="separate"/>
      </w:r>
      <w:r w:rsidR="005944BB" w:rsidRPr="005944BB">
        <w:rPr>
          <w:noProof/>
        </w:rPr>
        <w:t>(Arruda et al., 2017; Bergamin et al., 2019; Carnaval and Moritz, 2008; Ledo and Colli, 2017; Porto et al., 2013; Vitorino et al., 2016)</w:t>
      </w:r>
      <w:r w:rsidR="00032CD9">
        <w:fldChar w:fldCharType="end"/>
      </w:r>
      <w:r w:rsidR="00032CD9">
        <w:t xml:space="preserve">. Important as these periods are, southern Brazil’s ecosystems responded to a wide array of other conditions in the intervening millennia which may better illuminate present and potential future distributions or patterns of diversity </w:t>
      </w:r>
      <w:r w:rsidR="00032CD9">
        <w:fldChar w:fldCharType="begin" w:fldLock="1"/>
      </w:r>
      <w:r w:rsidR="007F330C">
        <w:instrText>ADDIN CSL_CITATION {"citationItems":[{"id":"ITEM-1","itemData":{"DOI":"10.1177/0959683618810406","ISSN":"14770911","abstract":"We provide a comprehensive analysis of the Holocene climate and vegetation changes over South America through numerical simulations. Holocene climate for several periods (8 ka, 6 ka, 4 ka, 2 ka, and present) were simulated by an atmospheric general circulation model, forced with orbital parameters, CO 2 concentrations, and sea surface temperature (SST), while the analysis of the biome distributions was made with a potential vegetation model (PVM). Compared with the present climate, our four simulated periods of the Holocene were characterized by reduced South Atlantic Convergence Zone intensity and weaker South American Monsoon System (SAMS). The model simulated conditions drier than present over most of South America and gradual strengthening of SAMS toward the present. The Northeast Brazil was wetter because of southward migration of the intertropical convergence zone (ITCZ). Moreover, SST conditions were the main forcing for the climate changes during the mid Holocene inducing larger austral summer southward ITCZ migration. PVM paleovegetation projections are shown to be consistent with paleodata proxies which suggest fluctuations between biomes, despite the fact that ages of dry/wet indicators are not synchronous over large areas of the Amazonian ecosystem. Holocene PVM simulations show distinct retreat in Amazonian forest biome in all four simulated periods. In 6 ka, present caatinga vegetation in Northeastern Brazil was replaced with savanna or dense shrubland. The simulations also suggest the existence of rainforest in western Amazonia and the expansion of savanna and seasonal forest in the eastern Amazon, with shifts in plant community compositions and fragmentation located mostly in ecotone regions. Moreover, our PVM results show that during the Holocene, the Amazonian tropical forest was smaller in area than today, although western Amazonia persisted as a tropical forest throughout the Holocene.","author":[{"dropping-particle":"","family":"Maksic","given":"Jelena","non-dropping-particle":"","parse-names":false,"suffix":""},{"dropping-particle":"","family":"Shimizu","given":"Marilia Harumi","non-dropping-particle":"","parse-names":false,"suffix":""},{"dropping-particle":"","family":"Oliveira","given":"Gilvan Sampaio","non-dropping-particle":"de","parse-names":false,"suffix":""},{"dropping-particle":"","family":"Venancio","given":"Igor Martins","non-dropping-particle":"","parse-names":false,"suffix":""},{"dropping-particle":"","family":"Cardoso","given":"Manoel","non-dropping-particle":"","parse-names":false,"suffix":""},{"dropping-particle":"","family":"Ferreira","given":"Felipe Alexandre","non-dropping-particle":"","parse-names":false,"suffix":""}],"container-title":"Holocene","id":"ITEM-1","issue":"2","issued":{"date-parts":[["2019","2","16"]]},"page":"287-299","publisher":"SAGE PublicationsSage UK: London, England","title":"Simulation of the Holocene climate over South America and impacts on the vegetation","type":"article-journal","volume":"29"},"uris":["http://www.mendeley.com/documents/?uuid=174dd882-a4bb-4be8-9a1c-47dc3e6f57d6"]},{"id":"ITEM-2","itemData":{"DOI":"10.1016/j.gca.2007.02.005","ISBN":"0016-7037","ISSN":"00167037","abstract":"Trace element ratios in the Bt2 stalagmite from Botuverá cave, Southern Brazil, are explored as a proxy for changes in the local rainfall recharge during the last 116 ky. BP Mg/Ca and Sr/Ca ratios, measured with an electron microprobe, are significantly positively correlated with one another throughout the entire record, and vary in a way that is very consistent with variations of δ18O in the same speleothem during the last glacial period. We suggest that prior calcite precipitation in the vadose zone of the cave system is the main factor affecting the incorporation of Mg and Sr into calcite of the stalagmite. This interpretation is supported by trace element correlation patterns and by results from a hydrochemistry study performed in a cave located in the same region and in a similar environmental setting. Therefore, we conclude that higher (lower) Mg/Ca and Sr/Ca values are associated with lower (higher) levels of recharge into the karstic aquifer, as such conditions lead to an increase (decrease) in the volume of calcite precipitated in the unsaturated zone above the cave during dry (wet) climate periods. Trace element variations point to generally dryer (wetter) conditions during lower (high) phases of summer insolation in the southern hemisphere. These periods coincide with decreased (increased) activity of the South American summer monsoon, as revealed by δ18O stalagmite records. In addition trace element variations show that rather wet conditions persisted throughout most of the last glacial period from approximately 70 to 17 ky BP. We suggest that during this period the glacial boundary conditions, especially ice volume buildup in the northern hemisphere, played an important role for monsoon rainfall intensification in the region. © 2007 Elsevier Ltd. All rights reserved.","author":[{"dropping-particle":"","family":"Cruz","given":"Francisco W.","non-dropping-particle":"","parse-names":false,"suffix":""},{"dropping-particle":"","family":"Burns","given":"Stephen J.","non-dropping-particle":"","parse-names":false,"suffix":""},{"dropping-particle":"","family":"Jercinovic","given":"Michael","non-dropping-particle":"","parse-names":false,"suffix":""},{"dropping-particle":"","family":"Karmann","given":"Ivo","non-dropping-particle":"","parse-names":false,"suffix":""},{"dropping-particle":"","family":"Sharp","given":"Warren D.","non-dropping-particle":"","parse-names":false,"suffix":""},{"dropping-particle":"","family":"Vuille","given":"Mathias","non-dropping-particle":"","parse-names":false,"suffix":""}],"container-title":"Geochimica et Cosmochimica Acta","id":"ITEM-2","issue":"9","issued":{"date-parts":[["2007","5"]]},"note":"A list of pleistocene animals found as fossils in RS; brief chat about climatic/vegetation conditions they'd have needed","page":"2250-2263","title":"Evidence of rainfall variations in Southern Brazil from trace element ratios (Mg/Ca and Sr/Ca) in a Late Pleistocene stalagmite","type":"article-journal","volume":"71"},"uris":["http://www.mendeley.com/documents/?uuid=7d93d300-2a32-40e6-a5ac-717987ad900f"]},{"id":"ITEM-3","itemData":{"DOI":"10.1038/nature03365","ISSN":"0028-0836","abstract":"During the last glacial period, large millennial-scale temperature oscillations—the 'Dansgaard/Oeschger' cycles—were the primary climate signal in Northern Hemisphere climate archives from the high latitudes to the tropics1, 2, 3, 4, 5, 6. But whether the influence of these abrupt climate changes extended to the tropical and subtropical Southern Hemisphere, where changes in insolation are thought to be the main direct forcing of climate, has remained unclear. Here we present a high-resolution oxygen isotope record of a U/Th-dated stalagmite from subtropical southern Brazil, covering the past 116,200 years. The oxygen isotope signature varies with shifts in the source region and amount of rainfall in the area, and hence records changes in atmospheric circulation and convective intensity over South America. We find that these variations in rainfall source and amount are primarily driven by summer solar radiation, which is controlled by the Earth's precessional cycle. The Dansgaard/Oeschger cycles can be detected in our record and therefore we confirm that they also affect the tropical hydrological cycle, but that in southern subtropical Brazil, millennial-scale climate changes are not as dominant as they are in the Northern Hemisphere","author":[{"dropping-particle":"","family":"Cruz","given":"Francisco W.","non-dropping-particle":"","parse-names":false,"suffix":""},{"dropping-particle":"","family":"Burns","given":"Stephen J.","non-dropping-particle":"","parse-names":false,"suffix":""},{"dropping-particle":"","family":"Karmann","given":"Ivo","non-dropping-particle":"","parse-names":false,"suffix":""},{"dropping-particle":"","family":"Sharp","given":"Warren D.","non-dropping-particle":"","parse-names":false,"suffix":""},{"dropping-particle":"","family":"Vuille","given":"Mathias","non-dropping-particle":"","parse-names":false,"suffix":""},{"dropping-particle":"","family":"Cardoso","given":"Andrea O.","non-dropping-particle":"","parse-names":false,"suffix":""},{"dropping-particle":"","family":"Ferrari","given":"José A.","non-dropping-particle":"","parse-names":false,"suffix":""},{"dropping-particle":"","family":"Silva Dias","given":"Pedro L.","non-dropping-particle":"","parse-names":false,"suffix":""},{"dropping-particle":"","family":"Viana","given":"Oduvaldo","non-dropping-particle":"","parse-names":false,"suffix":""}],"container-title":"Nature","id":"ITEM-3","issue":"7029","issued":{"date-parts":[["2005","3","3"]]},"note":"116,200 years of d18O from Bt2 speleothem. Rainfall was mainly driven by precessional cycle-driven insolation. Some info on current and palaeo climate drivers\n\nDansgaard/Oeschger cycles are important and rapid climate cycles from the last glacial period (similar things in the Holocene are called Bond events). In the northern hemisphere they involve rapid warming (maybe 8degC in 40 years) then gradual cooling.\nD/O cycles did occur in tropics and affect rainfall. However, summer insolation from wobbly orbits/axis is the main source of variation in rainfall amount and origin","page":"63-66","publisher":"Nature Publishing Group","title":"Insolation-driven changes in atmospheric circulation over the past 116,000 years in subtropical Brazil","type":"article-journal","volume":"434"},"uris":["http://www.mendeley.com/documents/?uuid=0241cd9b-53ba-365e-8e16-9bb90d047b08"]}],"mendeley":{"formattedCitation":"(Cruz et al., 2007, 2005; Maksic et al., 2019)","plainTextFormattedCitation":"(Cruz et al., 2007, 2005; Maksic et al., 2019)","previouslyFormattedCitation":"(Cruz et al., 2007, 2005; Maksic et al., 2019)"},"properties":{"noteIndex":0},"schema":"https://github.com/citation-style-language/schema/raw/master/csl-citation.json"}</w:instrText>
      </w:r>
      <w:r w:rsidR="00032CD9">
        <w:fldChar w:fldCharType="separate"/>
      </w:r>
      <w:r w:rsidR="005944BB" w:rsidRPr="005944BB">
        <w:rPr>
          <w:noProof/>
        </w:rPr>
        <w:t>(Cruz et al., 2007, 2005; Maksic et al., 2019)</w:t>
      </w:r>
      <w:r w:rsidR="00032CD9">
        <w:fldChar w:fldCharType="end"/>
      </w:r>
      <w:r w:rsidR="00032CD9">
        <w:t xml:space="preserve">. </w:t>
      </w:r>
    </w:p>
    <w:p w14:paraId="03E899E1" w14:textId="01DD74B0" w:rsidR="005038F3" w:rsidRDefault="005038F3" w:rsidP="00F74804">
      <w:pPr>
        <w:spacing w:line="360" w:lineRule="auto"/>
      </w:pPr>
      <w:r>
        <w:lastRenderedPageBreak/>
        <w:t>M</w:t>
      </w:r>
      <w:r w:rsidR="00EC07C7">
        <w:t>ost critically, m</w:t>
      </w:r>
      <w:r>
        <w:t xml:space="preserve">any </w:t>
      </w:r>
      <w:proofErr w:type="spellStart"/>
      <w:r>
        <w:t>palaeo</w:t>
      </w:r>
      <w:proofErr w:type="spellEnd"/>
      <w:r>
        <w:t xml:space="preserve">-modelling studies in the Atlantic Forest have examined the distributions of whole ecosystems or significant parts of the entire biome, treating them as </w:t>
      </w:r>
      <w:r w:rsidR="00F83E1F">
        <w:t xml:space="preserve">single </w:t>
      </w:r>
      <w:r>
        <w:t xml:space="preserve">units with uniform responses </w:t>
      </w:r>
      <w:r>
        <w:fldChar w:fldCharType="begin" w:fldLock="1"/>
      </w:r>
      <w:r w:rsidR="007F330C">
        <w:instrText>ADDIN CSL_CITATION {"citationItems":[{"id":"ITEM-1","itemData":{"DOI":"10.1111/geb.12694","ISBN":"4170","ISSN":"14668238","abstract":"Aim: The aim was to examine the links between past biome stability, vegetation dynamics and biodiversity patterns. Location: South America. Time period: Last 30,000 years. Major taxa studied: Plants. Methods: We classified South America into major biomes according to their dominant plant functional groups (grasses, trees and shrubs) and ran a random forest (RF) classification with data on current climate. We then fitted the algorithm to predict biome distributions for every 1,000 years back to 21,000 yr BP and estimated biome stability by counting how many times a change in climate was predicted to shift a grid cell from one biome to another. We compared our model-based stability map with empirical estimates from selected pollen records covering the past 30 kyr in terms of vegetation shifts, changes in species composition and time-lag of vegetation responses. Results: We found a strong correlation between our habitat stability map and regional vegetation dynamics. Four scenarios emerged according to the way forest distribution shifted during a climate change. Each scenario related to specific regional features of biome stability and diversity, allowing us to formulate specific predictions on how taxonomic, genetic and functional components of biodiversity might be impacted by modern climate change. Main conclusions: Our validated map of biome stability provides important baseline information for studying the impacts of past climate on biodiversity in South America. By focusing exclusively on climatic changes of manifested relevance (i.e., those resulting in significant habitat changes), it provides a novel perspective that complements previous datasets and allows scientists to explore new questions and hypotheses at the local, regional and continental scales.","author":[{"dropping-particle":"","family":"Costa","given":"Gabriel C.","non-dropping-particle":"","parse-names":false,"suffix":""},{"dropping-particle":"","family":"Hampe","given":"Arndt","non-dropping-particle":"","parse-names":false,"suffix":""},{"dropping-particle":"","family":"Ledru","given":"Marie Pierre","non-dropping-particle":"","parse-names":false,"suffix":""},{"dropping-particle":"","family":"Martinez","given":"Pablo A.","non-dropping-particle":"","parse-names":false,"suffix":""},{"dropping-particle":"","family":"Mazzochini","given":"Guilherme G.","non-dropping-particle":"","parse-names":false,"suffix":""},{"dropping-particle":"","family":"Shepard","given":"Donald B.","non-dropping-particle":"","parse-names":false,"suffix":""},{"dropping-particle":"","family":"Werneck","given":"Fernanda P.","non-dropping-particle":"","parse-names":false,"suffix":""},{"dropping-particle":"","family":"Moritz","given":"Craig","non-dropping-particle":"","parse-names":false,"suffix":""},{"dropping-particle":"","family":"Carnaval","given":"Ana Carolina","non-dropping-particle":"","parse-names":false,"suffix":""}],"container-title":"Global Ecology and Biogeography","id":"ITEM-1","issue":"August 2017","issued":{"date-parts":[["2017"]]},"note":"Uses RFs to model biomes (tropical rainforest, grassland etc - all Mata Atlantica ends up rainforest) from LGM at 1000yr intervals (HadCM3) with comparison to pollen records. Looks at biome stability through time. Large (unexpected?) refuge area in southern Brazil (SC, S PR) with only one shift from grassland to forest (but which might include Campos grasslands). Lots of interesting discussion about microrefugia and what you'd expect to see in different places in terms of genetic/taxonomic diversity etc. Use as springboard for higher taxonomic resolution modelling to see floristic changes through time - specifically investigating the stable zone.","page":"285-297","title":"Biome stability in South America over the last 30 kyr: Inferences from long-term vegetation dynamics and habitat modelling","type":"article-journal"},"uris":["http://www.mendeley.com/documents/?uuid=b7c29cbb-73a3-4cdf-807b-397f0068a642"]},{"id":"ITEM-2","itemData":{"DOI":"10.1111/j.1365-2699.2007.01870.x","ISBN":"268","ISSN":"03050270","PMID":"3173025","abstract":"Aim We aim to propose validated, spatially explicit hypotheses for the late Quaternary distribution of the Brazilian Atlantic forest, and thereby provide a framework for integrating analyses of species and genetic diversity in the region. Location The Atlantic forest, stretching along the Brazilian coast. Methods We model the spatial range of the forest under three climatic scenarios (current climate, 6000 and 21,000 years ago) with BIOCLIM and MAXENT. Historically stable areas or refugia are identified as the set of grid cells for which forest presence is inferred in all models and time projections. To validate inferred refugia, we test whether our models are matched by the current distribution of the forest and by fossil pollen data. We then investigate whether the location of inferred forest refugia is consistent with current patterns of species endemism and existing phylogeographical data. Results Forest models agree with pollen records and predict a large area of historical forest stability in the central corridor (Bahia), as well as a smaller refuge (Pernambuco) along the Brazilian coast, matching current centres of endemism in multiple taxa and mtDNA diversity patterns in a subset of the species examined. Less historical stability is predicted in coastal areas south of the Doce river, which agrees with most phylogeographical studies in that region. Yet some widely distributed taxa show high endemism in the southern Atlantic forest. This may be due to limitations of the modelling approach, differences in ecology and dispersal capability, historical processes not contemplated by the current study or inadequacy of the available test data sets. Main conclusions Palaeoclimatic models predict the presence of historical forest refugia in the Atlantic rain forest and suggest spatial variation in persistence of forests through the Pleistocene, predicting patterns of biodiversity in several local taxa. The results point to the need for further studies to document genetic and species endemism in the relatively poorly known and highly impacted areas of Atlantic rain forests of north-eastern Brazil.","author":[{"dropping-particle":"","family":"Carnaval","given":"Ana Carolina","non-dropping-particle":"","parse-names":false,"suffix":""},{"dropping-particle":"","family":"Moritz","given":"Craig","non-dropping-particle":"","parse-names":false,"suffix":""}],"container-title":"Journal of Biogeography","id":"ITEM-2","issue":"7","issued":{"date-parts":[["2008"]]},"note":"Interesting, possibly seminal, paper using maxent and bioclim to model vegetation types in the LGM and mid-Holocene, contrasted against pollen data. For some reason the CdS and Volta Velha pollen records aren't used for the LGM, which is unfortunate. Some possible testable hypotheses for me (influence of topographic complexity, and whether the forests really did contract in S Brazil in the LGM). Genetic data back up predictions of long-term refugia in Bahia and further north","page":"1187-1201","title":"Historical climate modelling predicts patterns of current biodiversity in the Brazilian Atlantic forest","type":"article-journal","volume":"35"},"uris":["http://www.mendeley.com/documents/?uuid=17f3caaa-fbbe-49a0-b934-05839e4d1114"]},{"id":"ITEM-3","itemData":{"DOI":"10.1111/jbi.13049","ISBN":"03050270","ISSN":"13652699","PMID":"180060","abstract":"Aim To assess ancient biotic connections between the Amazon Forest (AmF) and the Atlantic Forest (AtF) based on environmental niche modelling (ENM), palaeobiological, and molecular evidence; to test Por (1992)'s hypothesis of the south-eastern—north-western (SE—NW) route as the most important route in terms of frequency and duration; to evaluate past climatic conditions associated with the routes. Location South America. Methods We generated random points in climate space of AmF and AtF and identified two major climatic groups in the shared environmental space (colder and warmer) with a K-means cluster analysis. We modelled each climatic group using eleven algorithms of ENM and selected the best model, projecting the results back to 120 ka. We used published data on South American palaeopalynology, speleothem and travertine chronology for model validation. We also accessed vertebrate molecular studies and extracted the split timing of lineages distributed both in the AmF and the AtF to test Por (1992)'s hypothesis in more ancient times. Results Palynological and speleothem studies supported the results of our ENM models, indicating expansion of cold-adapted species along the SE—NW and NE routes in the LGM. The SE—NW route was also supported in the LIG, however, involving warm-adapted species. Our results support Por (1992)'s hypothesis and suggest that the SE—NW was established more than once in the past, involving different plant communities each time, adapted to different temperature conditions. Vertebrate molecular studies also support Por (1992)'s hypothesis and suggest that the SE—NW route was established since the Andean uplift. Main Conclusions The SE—NW route is the most ancient connection route between the AmF and the AtF and probably was established since the Andean uplift and the formation of the South American monsoon system. This route was established many times in the past, alternating by the distribution expansion of cold-adapted and warm-adapted plant communities.","author":[{"dropping-particle":"","family":"Ledo","given":"Roger Maia Dias","non-dropping-particle":"","parse-names":false,"suffix":""},{"dropping-particle":"","family":"Colli","given":"Guarino Rinaldi","non-dropping-particle":"","parse-names":false,"suffix":""}],"container-title":"Journal of Biogeography","id":"ITEM-3","issue":"11","issued":{"date-parts":[["2017"]]},"note":"Study looking at past forest links between Amazon and Atlantic Forests. Finds the SE-NW link (S/SE Brazil to NW Amazonia) much more important than NE links (around Caatinga). Cold and wet conditions during the LGM allowed cold-adapted forest to bridge the gap around Paraguay, and warm and wet conditions at the LIG would have supported a different type of forest. Repeated connections under different conditions probably helped foster diverse linkages and shared taxa.\nRelevant to Paraguay plans.","page":"2551-2563","title":"The historical connections between the Amazon and the Atlantic Forest revisited","type":"article-journal","volume":"44"},"uris":["http://www.mendeley.com/documents/?uuid=43eef122-4b59-4e1e-9f38-ca1f7a1b434e"]},{"id":"ITEM-4","itemData":{"DOI":"10.1111/geb.12646","ISSN":"14668238","abstract":"Aim: The two main hypotheses about the Neotropical palaeovegetation, namely that of Ama- zonian refugia by Haffer and of the Pleistocene arc by Prado and Gibbs, are still constantly debated. We offer new insights on this debate using ecological niche modelling with combined climate–soil predictors to test both hypotheses, reconstruct the palaeovegetation of the Last Glacial Maximum (LGM; 21 ka) and Mid-Holocene (Mid-H; 6 ka) and indicate the configuration of refugia areas. Location: Brazil. Time period: Last 21 ka. Major taxa studied: Biomes. Methods: We modelled the environmental space of the 10 most representative biomes with the RandomForest classifier, using climate predictors from three atmospheric general circulation mod- els (CCSM4, MPI-ESM-P and MIROC-ESM) and soil predictors, the same for the different situations. Based on the consensus among the models, we reconstructed the palaeovegetation cover for LGM and Mid-H and used fossil pollen sites to validate the reconstructions in a direct comparison. Abstract Aim: The two main hypotheses about the Neotropical palaeovegetation, namely that of Ama- zonian refugia by Haffer and of the Pleistocene arc by Prado and Gibbs, are still constantly debated. We offer new insights on this debate using ecological niche modelling with combined climate–soil predictors to test both hypotheses, reconstruct the palaeovegetation of the Last Glacial Maximum (LGM; 21 ka) and Mid-Holocene (Mid-H; 6 ka) and indicate the configuration of refugia areas. Location: Brazil. Time period: Last 21 ka. Major taxa studied: Biomes. Methods: We modelled the environmental space of the 10 most representative biomes with the RandomForest classifier, using climate predictors from three atmospheric general circulation mod- els (CCSM4, MPI-ESM-P and MIROC-ESM) and soil predictors, the same for the different situations. Based on the consensus among the models, we reconstructed the palaeovegetation cover for LGM and Mid-H and used fossil pollen sites to validate the reconstructions in a direct comparison. Results: The climate in the past was cooler and wetter throughout most of the territory. The Ama- zon basin region was the most affected by climate change in the last 21 ka, with equatorial rain forest retracting to refugia areas, while the tropical rain forest (with climatic preferences similar to the Atlantic forest) expanded in the basin. In southern Brazil, the mixed forest (Araucaria forest) shifted to lower latitudes, while the gras…","author":[{"dropping-particle":"","family":"Arruda","given":"Daniel M.","non-dropping-particle":"","parse-names":false,"suffix":""},{"dropping-particle":"","family":"Schaefer","given":"Carlos E.G.R.","non-dropping-particle":"","parse-names":false,"suffix":""},{"dropping-particle":"","family":"Fonseca","given":"Rúbia S.","non-dropping-particle":"","parse-names":false,"suffix":""},{"dropping-particle":"","family":"Solar","given":"Ricardo R.C.","non-dropping-particle":"","parse-names":false,"suffix":""},{"dropping-particle":"","family":"Fernandes-Filho","given":"Elpídio I.","non-dropping-particle":"","parse-names":false,"suffix":""}],"container-title":"Global Ecology and Biogeography","id":"ITEM-4","issue":"August 2017","issued":{"date-parts":[["2017"]]},"note":"Models biomes in high resolution (1km) using 4 worldclim bioclim variables and 6 soil variables. Looks at LGM and MH. Interesting things about MOF and campos, and seems to agree more with Atlantic Forest hypothesis. Would be interesting to test this with species-centred models in S Brazil, with more explicit evaluation against fossil pollen, and changes in sea level modelled too","page":"47-56","title":"Vegetation cover of Brazil in the last 21 ka: New insights into the Amazonian refugia and Pleistocenic arc hypotheses","type":"article-journal"},"uris":["http://www.mendeley.com/documents/?uuid=1c764ef1-ded9-4832-89e6-a30d6484b1d2"]},{"id":"ITEM-5","itemData":{"DOI":"10.1098/rspb.2014.1461","ISSN":"0962-8452","abstract":"Phylogeographic endemism, the degree to which the history of recently evolved lineages is spatially restricted, reflects fundamental evolutionary processes such as cryptic divergence, adaptation and biological responses to environmental heterogeneity. Attempts to explain the extraordinary diversity of the tropics, which often includes deep phylogeographic structure, frequently invoke interactions of climate variability across space, time and topography. To evaluate historical versus contemporary drivers of phylogeo-graphic endemism in a tropical system, we analyse the effects of current and past climatic variation on the genetic diversity of 25 vertebrates in the Brazilian Atlantic rainforest. We identify two divergent bioclimatic domains within the forest and high turnover around the Rio Doce. Independent modelling of these domains demonstrates that endemism patterns are subject to different climatic drivers. Past climate dynamics, specifically areas of relative stability, predict phylogeographic endemism in the north. Conversely, contemporary climatic heterogeneity better explains endemism in the south. These results accord with recent speleothem and fossil pollen studies, suggesting that climatic variability through the last 250 kyr impacted the northern and the southern forests differently. Incorporating sub-regional differences in climate dynamics will enhance our ability to understand those processes shaping high phylogeographic and species endemism, in the Neotropics and beyond.","author":[{"dropping-particle":"","family":"Carnaval","given":"Ana Carolina","non-dropping-particle":"","parse-names":false,"suffix":""},{"dropping-particle":"","family":"Waltari","given":"Eric","non-dropping-particle":"","parse-names":false,"suffix":""},{"dropping-particle":"","family":"Rodrigues","given":"Miguel T","non-dropping-particle":"","parse-names":false,"suffix":""},{"dropping-particle":"","family":"Rosauer","given":"Dan","non-dropping-particle":"","parse-names":false,"suffix":""},{"dropping-particle":"","family":"VanDerWal","given":"J.","non-dropping-particle":"","parse-names":false,"suffix":""},{"dropping-particle":"","family":"Damasceno","given":"Roberta","non-dropping-particle":"","parse-names":false,"suffix":""},{"dropping-particle":"","family":"Prates","given":"Ivan","non-dropping-particle":"","parse-names":false,"suffix":""},{"dropping-particle":"","family":"Strangas","given":"Maria","non-dropping-particle":"","parse-names":false,"suffix":""},{"dropping-particle":"","family":"Spanos","given":"Zoe","non-dropping-particle":"","parse-names":false,"suffix":""},{"dropping-particle":"","family":"Rivera","given":"Danielle","non-dropping-particle":"","parse-names":false,"suffix":""},{"dropping-particle":"","family":"Pie","given":"Marcio R","non-dropping-particle":"","parse-names":false,"suffix":""},{"dropping-particle":"","family":"Firkowski","given":"Carina R","non-dropping-particle":"","parse-names":false,"suffix":""},{"dropping-particle":"","family":"Bornschein","given":"Marcos R","non-dropping-particle":"","parse-names":false,"suffix":""},{"dropping-particle":"","family":"Ribeiro","given":"Luiz F","non-dropping-particle":"","parse-names":false,"suffix":""},{"dropping-particle":"","family":"Moritz","given":"Craig","non-dropping-particle":"","parse-names":false,"suffix":""}],"container-title":"Proceedings of the Royal Society B: Biological Sciences","id":"ITEM-5","issue":"1792","issued":{"date-parts":[["2014","8","13"]]},"note":"Splits Atlantic Forest into two (north and south) based on general climate differentiation, and models the persistence of these generic forest types in high temporal resolution from the LIG (120ka) to present. Predicts quite a lot of forest persistence in the south, but current climate conditions do a better job of predicting current endemism patterns there (because they're cold-adapted and now is the difficult time).","page":"20141461-20141461","title":"Prediction of phylogeographic endemism in an environmentally complex biome","type":"article-journal","volume":"281"},"uris":["http://www.mendeley.com/documents/?uuid=3de57093-65d7-3894-8d34-1421c69686de"]}],"mendeley":{"formattedCitation":"(Arruda et al., 2017; Carnaval et al., 2014; Carnaval and Moritz, 2008; Costa et al., 2017; Ledo and Colli, 2017)","plainTextFormattedCitation":"(Arruda et al., 2017; Carnaval et al., 2014; Carnaval and Moritz, 2008; Costa et al., 2017; Ledo and Colli, 2017)","previouslyFormattedCitation":"(Arruda et al., 2017; Carnaval et al., 2014; Carnaval and Moritz, 2008; Costa et al., 2017; Ledo and Colli, 2017)"},"properties":{"noteIndex":0},"schema":"https://github.com/citation-style-language/schema/raw/master/csl-citation.json"}</w:instrText>
      </w:r>
      <w:r>
        <w:fldChar w:fldCharType="separate"/>
      </w:r>
      <w:r w:rsidR="005944BB" w:rsidRPr="005944BB">
        <w:rPr>
          <w:noProof/>
        </w:rPr>
        <w:t>(Arruda et al., 2017; Carnaval et al., 2014; Carnaval and Moritz, 2008; Costa et al., 2017; Ledo and Colli, 2017)</w:t>
      </w:r>
      <w:r>
        <w:fldChar w:fldCharType="end"/>
      </w:r>
      <w:r>
        <w:t xml:space="preserve">. </w:t>
      </w:r>
      <w:r w:rsidR="002B17A8">
        <w:t xml:space="preserve">However, </w:t>
      </w:r>
      <w:r w:rsidR="001A49B3">
        <w:t>p</w:t>
      </w:r>
      <w:r>
        <w:t xml:space="preserve">alaeoecological </w:t>
      </w:r>
      <w:r w:rsidR="001A49B3">
        <w:t xml:space="preserve">data </w:t>
      </w:r>
      <w:r>
        <w:t>show</w:t>
      </w:r>
      <w:r w:rsidR="00135482">
        <w:t>s</w:t>
      </w:r>
      <w:r>
        <w:t xml:space="preserve"> that</w:t>
      </w:r>
      <w:r w:rsidR="0017385D">
        <w:t xml:space="preserve"> </w:t>
      </w:r>
      <w:r>
        <w:t>species respond individualistically to climate changes</w:t>
      </w:r>
      <w:r w:rsidR="00DF09EF">
        <w:t xml:space="preserve"> depending on their niche requirements</w:t>
      </w:r>
      <w:r w:rsidR="00AF2D0F">
        <w:t>,</w:t>
      </w:r>
      <w:r>
        <w:t xml:space="preserve"> which can lead to the formation of novel floristic assemblages without modern analogues </w:t>
      </w:r>
      <w:r>
        <w:fldChar w:fldCharType="begin" w:fldLock="1"/>
      </w:r>
      <w:r w:rsidR="007F330C">
        <w:instrText>ADDIN CSL_CITATION {"citationItems":[{"id":"ITEM-1","itemData":{"DOI":"10.1890/070037","ISSN":"1540-9295","abstract":"No-analog communities (communities that are compositionally unlike any found today) occurred frequently in the past and will develop in the greenhouse world of the future. The well documented no-analog plant communities of late-glacial North America are closely linked to \"novel\" climates also lacking modern analogs, characterized by high seasonality of temperature. In climate simulations for the Intergovernmental Panel on Climate Change A2 and B1 emission scenarios, novel climates arise by 2100 AD, primarily in tropical and subtropical regions. These future novel climates are wanner than any present climates globally, with spatially variable shifts in precipitation, and increase the risk of species reshuffling into future no-analog communities and other ecological surprises. Most ecological models are at least partially parameterized from modern observations and so may fail to accurately predict ecological responses to these novel climates. There is an urgent need to test the robustness of ecological models to climate conditions outside modern experience. © The Ecological Society of America.","author":[{"dropping-particle":"","family":"Williams","given":"John W.","non-dropping-particle":"","parse-names":false,"suffix":""},{"dropping-particle":"","family":"Jackson","given":"Stephen T.","non-dropping-particle":"","parse-names":false,"suffix":""}],"container-title":"Frontiers in Ecology and the Environment","id":"ITEM-1","issue":"9","issued":{"date-parts":[["2007","11","1"]]},"note":"Very quotable article summarising what no-analog communities are, how they arise (no-analog climates) in the past and where they're likely to come about in the future. Important implications for SDMs","page":"475-482","publisher":"Ecological Society of America","title":"Novel climates, no-analog communities, and ecological surprises","type":"article-journal","volume":"5"},"uris":["http://www.mendeley.com/documents/?uuid=4717bd4f-22d8-3b17-8c11-3120e437113d"]},{"id":"ITEM-2","itemData":{"DOI":"10.1098/rstb.2003.1434","ISSN":"0962-8436","abstract":"The aims of this paper are to review previously published palaeovegetation and independent palaeoclimatic datasets together with new results we present from dynamic vegetation model simulations and modern pollen rain studies to: (i) determine the responses of Amazonian ecosystems to changes in temperature, precipitation and atmospheric CO 2 concentrations that occurred since the Last Glacial Maximum (LGM), ca . 21 000 years ago; and (ii) use this long–term perspective to predict the likely vegetation responses to future climate change. Amazonia remained predominantly forested at the LGM, although the combination of reduced temperatures, precipitation and atmospheric CO 2 concentrations resulted in forests structurally and floristically quite different from those of today. Cold–adapted Andean taxa mixed with rainforest taxa in central areas, while dry forest species and lianas probably became important in the more seasonal southern Amazon forests and savannahs expanded at forest–savannah ecotones. Net primary productivity (NPP) and canopy density were significantly lower than today. Evergreen rainforest distribution and NPP increased during the glacial—Holocene transition owing to ameliorating climatic and CO 2 conditions. However, reduced precipitation in the Early–Mid–Holocene ( ca . 8000–3600 years ago) caused widespread, frequent fires in seasonal southern Amazonia, causing increased abundance of drought–tolerant dry forest taxa and savannahs in ecotonal areas. Rainforests expanded once more in the Late Holocene owing to increased precipitation caused by greater austral summer insolation, although some of this forest expansion (e.g. in parts of the Bolivian Beni) is clearly caused by palaeo Indian landscape modification. The plant communities that existed during the Early–Mid–Holocene may provide insights into the kinds of vegetation response expected from similar increases in temperature and aridity predicted for the twenty–first century. We infer that ecotonal areas near the margins of the Amazon Basin are liable to be most sensitive to future environmental change and should therefore be targeted with conservation strategies that allow ‘natural’ species movements and plant community re–assortments to occur.","author":[{"dropping-particle":"","family":"Mayle","given":"Francis E.","non-dropping-particle":"","parse-names":false,"suffix":""},{"dropping-particle":"","family":"Beerling","given":"David J.","non-dropping-particle":"","parse-names":false,"suffix":""},{"dropping-particle":"","family":"Gosling","given":"William D.","non-dropping-particle":"","parse-names":false,"suffix":""},{"dropping-particle":"","family":"Bush","given":"Mark B.","non-dropping-particle":"","parse-names":false,"suffix":""}],"container-title":"Philosophical Transactions of the Royal Society of London. Series B: Biological Sciences","editor":[{"dropping-particle":"","family":"Malhi","given":"Y.","non-dropping-particle":"","parse-names":false,"suffix":""},{"dropping-particle":"","family":"Phillips","given":"O. L.","non-dropping-particle":"","parse-names":false,"suffix":""}],"id":"ITEM-2","issue":"1443","issued":{"date-parts":[["2004","3","29"]]},"page":"499-514","title":"Responses of Amazonian ecosystems to climatic and atmospheric carbon dioxide changes since the last glacial maximum","type":"article-journal","volume":"359"},"uris":["http://www.mendeley.com/documents/?uuid=86b2b46e-21ad-3029-8287-bc156bc406e7"]},{"id":"ITEM-3","itemData":{"DOI":"10.1126/science.292.5517.673","ISSN":"00368075","abstract":"Tree taxa shifted latitude or elevation range in response to changes in Quaternary climate. Because many modern trees display adaptive differentiation in relation to latitude or elevation, it is likely that ancient trees were also so differentiated, with environmental sensitivities of populations throughout the range evolving in conjunction With migrations. Rapid climate changes challenge this process by imposing stronger selection and by distancing populations from environments to which they are adapted. The unprecedented rates of climate changes anticipated to occur in the future, coupled with land use changes that impede gene flow, can be expected to disrupt the interplay of adaptation and migration, likely affecting productivity and threatening the persistence of many species.","author":[{"dropping-particle":"","family":"Davis","given":"Margaret B","non-dropping-particle":"","parse-names":false,"suffix":""},{"dropping-particle":"","family":"Shaw","given":"Ruth G","non-dropping-particle":"","parse-names":false,"suffix":""}],"container-title":"Science","id":"ITEM-3","issue":"5517","issued":{"date-parts":[["2001"]]},"page":"673-679","publisher":"Smithsonian Institution Press","title":"Range shifts and adaptive responses to quaternary climate change","type":"article-journal","volume":"292"},"uris":["http://www.mendeley.com/documents/?uuid=7205fae2-788b-3813-909e-9b860f4ba796"]},{"id":"ITEM-4","itemData":{"DOI":"10.2307/2992086","ISSN":"00266493","abstract":"The temperate deciduous forest of North America is more diverse than the deciduous forest of western Europe. This difference has traditionally been explained by greater survival in North America of deciduous species during the Quaternary. More recent investigations have shown, however, that","author":[{"dropping-particle":"","family":"Davis","given":"Margaret B","non-dropping-particle":"","parse-names":false,"suffix":""}],"container-title":"Annals of the Missouri Botanical Garden","id":"ITEM-4","issue":"3","issued":{"date-parts":[["1983"]]},"page":"550","title":"Quaternary History of Deciduous Forests of Eastern North America and Europe","type":"article-journal","volume":"70"},"uris":["http://www.mendeley.com/documents/?uuid=4d0ce110-5c7f-35f6-a1fd-ed45e9941372"]}],"mendeley":{"formattedCitation":"(Davis, 1983; Davis and Shaw, 2001; Mayle et al., 2004; Williams and Jackson, 2007)","plainTextFormattedCitation":"(Davis, 1983; Davis and Shaw, 2001; Mayle et al., 2004; Williams and Jackson, 2007)","previouslyFormattedCitation":"(Davis, 1983; Davis and Shaw, 2001; Mayle et al., 2004; Williams and Jackson, 2007)"},"properties":{"noteIndex":0},"schema":"https://github.com/citation-style-language/schema/raw/master/csl-citation.json"}</w:instrText>
      </w:r>
      <w:r>
        <w:fldChar w:fldCharType="separate"/>
      </w:r>
      <w:r w:rsidR="005944BB" w:rsidRPr="005944BB">
        <w:rPr>
          <w:noProof/>
        </w:rPr>
        <w:t>(Davis, 1983; Davis and Shaw, 2001; Mayle et al., 2004; Williams and Jackson, 2007)</w:t>
      </w:r>
      <w:r>
        <w:fldChar w:fldCharType="end"/>
      </w:r>
      <w:r>
        <w:t xml:space="preserve">. </w:t>
      </w:r>
      <w:r w:rsidR="009B4594">
        <w:t xml:space="preserve">Although much </w:t>
      </w:r>
      <w:r w:rsidR="00E31511">
        <w:t xml:space="preserve">evidence </w:t>
      </w:r>
      <w:r w:rsidR="009B4594">
        <w:t>f</w:t>
      </w:r>
      <w:r w:rsidR="00E31511">
        <w:t>or</w:t>
      </w:r>
      <w:r w:rsidR="009B4594">
        <w:t xml:space="preserve"> this </w:t>
      </w:r>
      <w:r w:rsidR="00BE4C08">
        <w:t>comes from</w:t>
      </w:r>
      <w:r w:rsidR="009B4594">
        <w:t xml:space="preserve"> temperate</w:t>
      </w:r>
      <w:r w:rsidR="00BE4C08">
        <w:t xml:space="preserve"> regions</w:t>
      </w:r>
      <w:r w:rsidR="00693A53">
        <w:t xml:space="preserve"> </w:t>
      </w:r>
      <w:r w:rsidR="00693A53">
        <w:fldChar w:fldCharType="begin" w:fldLock="1"/>
      </w:r>
      <w:r w:rsidR="00DA3C8A">
        <w:instrText>ADDIN CSL_CITATION {"citationItems":[{"id":"ITEM-1","itemData":{"DOI":"10.1890/02-4045","ISSN":"00129615","abstract":"This paper integrates recent efforts to map the distribution of biomes for the late Quaternary with the detailed evidence that plant species have responded individualistically to climate change at millennial timescales. Using a fossil-pollen data set of over 700 sites, we review late-Quaternary vegetation history in northern and eastern North America across levels of ecological organization from individual taxa to biomes, and apply the insights gained from this review to critically examine the biome maps generated from the pollen data. Higher-order features of the vegetation (e.g., plant associations, physiognomy) emerge from individualistic responses of plant taxa to climate change, and different representations of vegetation history reveal different aspects of vegetation dynamics. Vegetation distribution and composition were relatively stable during full-glacial times (21 000-17 000 yr BP) [calendar years] and during the mid- to late Holocene (7000-500 yr BP), but changed rapidly during the late-glacial period and early Holocene (16 000-8 000 yr BP) and after 500 yr BR Shifts in plant taxon distributions were characterized by individualistic changes in population abundances and ranges and included large east-west shifts in distribution in addition to the northward redistribution of most taxa. Modern associations such as Fagus-Tsuga and Picea-Alnus-Betula date to the early Holocene, whereas other associations common to the late-glacial period (e.g., Picea-Cyperaceae-Fraxinus-Ostrya/ Carpinus) no longer exist. Biomes are dynamic entities that have changed in distribution, composition, and structure over time. The late-Pleistocene suite of biomes is distinct from those that grew during the Holocene. The pollen-based biome reconstructions are able to capture the major features of late-Quaternary vegetation but downplay the magnitude and variety of vegetational responses to climate change by (1) limiting apparent land-cover change to ecotones, (2) masking internal variations in biome composition, and (3) obscuring the range shifts and changes in abundance among individual taxa. The compositional and structural differences between full-glacial and recent biomes of the same type are similar to or greater than the spatial heterogeneity in the composition and structure of present-day biomes. This spatial and temporal heterogeneity allows biome maps to accommodate individualistic behavior among species but masks climatically important variations in taxonomic co…","author":[{"dropping-particle":"","family":"Williams","given":"John W.","non-dropping-particle":"","parse-names":false,"suffix":""},{"dropping-particle":"","family":"Shuman","given":"Bryan N.","non-dropping-particle":"","parse-names":false,"suffix":""},{"dropping-particle":"","family":"Webb","given":"Thompson","non-dropping-particle":"","parse-names":false,"suffix":""},{"dropping-particle":"","family":"Bartlein","given":"Patrick J.","non-dropping-particle":"","parse-names":false,"suffix":""},{"dropping-particle":"","family":"Leduc","given":"Phillip L.","non-dropping-particle":"","parse-names":false,"suffix":""}],"container-title":"Ecological Monographs","id":"ITEM-1","issue":"2","issued":{"date-parts":[["2004"]]},"note":"Really interesting paper that uses North American pollen data to look at various different scales of vegetation response from the LGM to European arrival (500 BP). Looks at individual taxa (which move individualistically but not entirely independently), taxon associations (which are quite dynamic and somewhat ephemeral), and biomes (which are less dynamic than associations - tend to show change at ecotones but omit internal compositional change). Interesting comments on all the things. Conclusion is a good overview, otherwise see notes/quotes and highlights.","page":"309-334","title":"Late-Quaternary vegetation dynamics in North America: Scaling from taxa to biomes","type":"article-journal","volume":"74"},"prefix":"e.g.","uris":["http://www.mendeley.com/documents/?uuid=7b79f0f6-d0c8-4ed0-a156-3ff7ad184ce0"]}],"mendeley":{"formattedCitation":"(e.g. Williams et al., 2004)","plainTextFormattedCitation":"(e.g. Williams et al., 2004)","previouslyFormattedCitation":"(e.g. Williams et al., 2004)"},"properties":{"noteIndex":0},"schema":"https://github.com/citation-style-language/schema/raw/master/csl-citation.json"}</w:instrText>
      </w:r>
      <w:r w:rsidR="00693A53">
        <w:fldChar w:fldCharType="separate"/>
      </w:r>
      <w:r w:rsidR="00693A53" w:rsidRPr="00693A53">
        <w:rPr>
          <w:noProof/>
        </w:rPr>
        <w:t>(e.g. Williams et al., 2004)</w:t>
      </w:r>
      <w:r w:rsidR="00693A53">
        <w:fldChar w:fldCharType="end"/>
      </w:r>
      <w:r w:rsidR="009B4594">
        <w:t xml:space="preserve">, </w:t>
      </w:r>
      <w:r w:rsidR="00AA11DF">
        <w:t xml:space="preserve">past </w:t>
      </w:r>
      <w:r w:rsidR="00281016">
        <w:t xml:space="preserve">novel or </w:t>
      </w:r>
      <w:r w:rsidR="009B4594">
        <w:t xml:space="preserve">no-analogue assemblages have been documented </w:t>
      </w:r>
      <w:r w:rsidR="00DD305D">
        <w:t>from</w:t>
      </w:r>
      <w:r w:rsidR="009B4594">
        <w:t xml:space="preserve"> Amazonia </w:t>
      </w:r>
      <w:r w:rsidR="00AA11DF">
        <w:t>to south-eastern Brazil</w:t>
      </w:r>
      <w:r w:rsidR="00135482">
        <w:t>, generally characterised by the co-occurrence of cold- and warm-adapted pollen taxa</w:t>
      </w:r>
      <w:r w:rsidR="00CC72F7">
        <w:t xml:space="preserve"> during </w:t>
      </w:r>
      <w:r w:rsidR="0024426D">
        <w:t xml:space="preserve">(late) </w:t>
      </w:r>
      <w:r w:rsidR="00CC72F7">
        <w:t>glacial times</w:t>
      </w:r>
      <w:r w:rsidR="00AA11DF">
        <w:t xml:space="preserve"> </w:t>
      </w:r>
      <w:r w:rsidR="00D3009A">
        <w:fldChar w:fldCharType="begin" w:fldLock="1"/>
      </w:r>
      <w:r w:rsidR="007F330C">
        <w:instrText>ADDIN CSL_CITATION {"citationItems":[{"id":"ITEM-1","itemData":{"DOI":"10.1016/j.palaeo.2004.07.031","ISSN":"00310182","abstract":"Data from the Hill of Six Lakes, in the northwestern Brazilian Amazon region, provide three records of paleoclimatic and vegetation change in lowland Amazonia that span the last 170,000 years. Three lakes, Verde, Pata and Drag??o, which occupy separate watersheds on the hill, provide the most detailed image yet obtained of ice-age conditions in lowland Amazonia. Well-dated sedimentary records for fossil palynological, charcoal, cation, and pigment, data are presented. The data indicate the continuous presence of mesic forest throughout the last ice age. Oscillations of lake level are recorded and the lowstands are attributed to reduced precipitation inputs to systems delicately balanced between water loss (leakage through the floor of the basin) and gain (precipitation). Gross stratigraphy, algal remains, and paleochemistry suggest that the stands of high and low lake level were cyclic, apparently correlating precessional orbital variation. Times of lake lowstand coincide with wet season (December-January-February, DJF) insolation minima. The strongest of eight lowstand cycles occurred ca. 35,000 to 27,000 cal BP. Even during lowstand episodes, pollen is well preserved and provides a clear signal of uninterrupted forest cover. The principal lowland elements are continuously present in the record, suggesting the long-term (Quaternary) availability of the lowland forest biome in this region. However, during the late Pleistocene the forest changed in composition with the expansion or invasion of montane floral elements creating communities of the mesic forest biome without modern analogs. While precipitation cycles were causing lake levels to rise and fall, the principal influence on vegetation appears to have been cooling. In the late Pleistocene, the population expansion of montane elements at lower elevations is consistent with a cooling of 4-5??C. ?? 2004 Elsevier B.V. All rights reserved.","author":[{"dropping-particle":"","family":"Bush","given":"M.B.","non-dropping-particle":"","parse-names":false,"suffix":""},{"dropping-particle":"","family":"Oliveira","given":"P.E.","non-dropping-particle":"De","parse-names":false,"suffix":""},{"dropping-particle":"","family":"Colinvaux","given":"Paul A.","non-dropping-particle":"","parse-names":false,"suffix":""},{"dropping-particle":"","family":"Miller","given":"M.C.","non-dropping-particle":"","parse-names":false,"suffix":""},{"dropping-particle":"","family":"Moreno","given":"J.E.","non-dropping-particle":"","parse-names":false,"suffix":""}],"container-title":"Palaeogeography, Palaeoclimatology, Palaeoecology","id":"ITEM-1","issue":"4","issued":{"date-parts":[["2004"]]},"page":"359-393","title":"Amazonian paleoecological histories: one hill, three watersheds","type":"article-journal","volume":"214"},"uris":["http://www.mendeley.com/documents/?uuid=6a6bb79e-7622-41f6-99e9-07d3066b44fe"]},{"id":"ITEM-2","itemData":{"abstract":"Brazil comprises about 50% of the South American continent including prominent ecosystems like the Amazon and the Atlantic rain forests, semideciduous forests, cerrado, Araucaria forests and campos (grasslands). Detailed palynological studies on new sediment cores located on a transect from southern to northern Brazil allow a regional reconstruction of late Quaternary vegetation and climate history. This paper presents an overview and a paleoclimatic synthesis based on 10 paleoecological records from Brazil. Several changes within different vegetation types and shifts of vegetation belts during glacial and Holocene times were found. Pollen records from the south Brazilian highlands demonstrate that campos vegetation extended from glacial to early Holocene times which was replaced by Araucaria forests only during the late Holocene. Records from the southeast Brazilian lowlands and highlands show a replacement of modern tropical semideciduous forests and cerrado vegetation by subtropical grasslands and gallery forests during the last glacial period, indicating a relatively dry climate with a longer annual dry season and a cold climate with frosts. Some areas of cerrado were replaced by semideciduous forests in southeastern Brazil only in the last millennium. During the early Holocene a longer annual dry season is found in southern and in southeastern Brazil. The latest Holocene period is the wettest since the Last Glacial Maximum for which the shortest dry season has bee inferred. Pollen records near the Amazon mouth indicate palaeovegetation of non analog composition and changes in Amazon rain forest during the late-glacial and early Holocene. Evidence of Podocarpus pollen indicates cooler conditions during the late-glacial.","author":[{"dropping-particle":"","family":"Behling","given":"Hermann","non-dropping-particle":"","parse-names":false,"suffix":""}],"container-title":"Review of Palaeobotany and Palynology","id":"ITEM-2","issue":"2","issued":{"date-parts":[["1998"]]},"note":"Summary of cores from across Brazil (including Amazonia) and vegetation changes.\n\nTL;DR, read the highlighted section of the abstract or italics below.\n\nSouthern Brazil. Pre-Holocene the lowlands were chilly-ish and subtropical, then got more tropical and moist into the Holocene. The highlands started off cold and dry; they got warmer into the Holocene (though still fairly dry) and then SC highlands got cooler and moister (and moister) towards the end; Parana also got much wetter. \nSE Brazil. Lowlands: for the first half of the Holocene they were dry (6 month dry season) and had little rain, apart from 1000yrs early on when it went a little bit wetter (with 4 month dry season). For the last 2800yrs the dry season has gone back to about 4 months and it's about as wet as it's been. The highlands went into the Holocene cold and pretty dry; they got warmer and even the plateau has got more moist in the last 3000yrs.\n\nPre-Holocene:\nSC lowland is subtropical, sometimes frosty. Atlantic forest. SC highland is cold and fairly dry. Lots of campos and occasional Araucaria forest taxa in moister valleys. Parana highland is dry and cold, very frosty, sometimes below -10 in winter. Lots of different campos, some Araucaria forest/rain forest trees in valleys. \n\nEarly/mid-Holocene:\nSC lowland becomes tropical (drier first, then moister, getting more so as it went on). Rain forest. SC highland becomes very warm and dry. Varied vegetation, mostly campos, expansion of Atlantic followed by Araucaria at highland-lowland transition. Parana highland gets warmer, tropical with no frost and moisture in valleys. Campos still in charge but changing, rain forest taxa more frequent, Araucaria still rare (too dry).\n\nLate Holocene:\nSC lowland stays tropical. Rain forest. SC highland is cooler and progressively moister than before. Expansion of Araucaria forest along rivers (c2900-1000yBP) then strongly into campos (c1000-0yBP) when climate was very moist. Parana highland gets more permanently wet and shorter dry season; wettest/no dry season after 1530yBP. Mostly grassland on heights (Araucaria inflitrating slowly)/tropical forest in valleys 2850yBP-1530yBP. After 1530yBP (when wettest), more Araucaria forest patches on highlands but still mostly campos-Araucaria mosaic","page":"143-156","title":"Late Quaternary vegetational and climatic changes in Brazil","type":"article-journal","volume":"99"},"uris":["http://www.mendeley.com/documents/?uuid=01617c73-3902-3525-8152-4d96e63b6f97"]},{"id":"ITEM-3","itemData":{"DOI":"10.1016/j.palaeo.2011.05.012","ISSN":"00310182","abstract":"a b s t r a c t We present a well-dated, high-resolution, ~ 45 kyr lake sediment record reflecting regional temperature and precipitation change in the continental interior of the Southern Hemisphere (SH) tropics of South America. The study site is Laguna La Gaiba (LLG), a large lake (95 km 2) hydrologically-linked to the Pantanal, an immense, seasonally-flooded basin and the world's largest tropical wetland (135,000 km 2). Lake-level changes at LLG are therefore reflective of regional precipitation. We infer past fluctuations in precipitation at this site through changes in: i) pollen-inferred extent of flood-tolerant forest; ii) relative abundance of terra firme humid tropical forest versus seasonally-dry tropical forest pollen types; and iii) proportions of deep-versus shallow-water diatoms. A probabilistic model, based on plant family and genus climatic optima, was used to generate quantitative estimates of past temperature from the fossil pollen data. Our temperature reconstruction demonstrates rising temperature (by 4 °C) at 19.5 kyr BP, synchronous with the onset of deglacial warming in the central Andes, strengthening the evidence that climatic warming in the SH tropics preceded deglacial warming in the Northern Hemisphere (NH) by at least 5 kyr. We provide unequivocal evidence that the climate at LLG was markedly drier during the last glacial period (45.0–12.2 kyr BP) than during the Holocene, contrasting with SH tropical Andean and Atlantic records that demonstrate a strengthening of the South American summer monsoon during the global Last Glacial Maximum (~21 kyr BP), in tune with the ~ 20 kyr precession orbital cycle. Holocene climate conditions occurred as early as 12.8– 12.2 kyr BP, when increased precipitation in the Pantanal catchment caused heightened flooding and rising lake levels in LLG. In contrast to this strong geographic variation in LGM precipitation across the continent, expansion of tropical dry forest between 10 and 3 kyr BP at LLG strengthens the body of evidence for widespread early–mid Holocene drought across tropical South America.","author":[{"dropping-particle":"","family":"Whitney","given":"Bronwen S","non-dropping-particle":"","parse-names":false,"suffix":""},{"dropping-particle":"","family":"Mayle","given":"Francis E","non-dropping-particle":"","parse-names":false,"suffix":""},{"dropping-particle":"","family":"Punyasena","given":"Surangi W","non-dropping-particle":"","parse-names":false,"suffix":""},{"dropping-particle":"","family":"Fitzpatrick","given":"Katharine A","non-dropping-particle":"","parse-names":false,"suffix":""},{"dropping-particle":"","family":"Burn","given":"Michael J","non-dropping-particle":"","parse-names":false,"suffix":""},{"dropping-particle":"","family":"Guillen","given":"René","non-dropping-particle":"","parse-names":false,"suffix":""},{"dropping-particle":"","family":"Chavez","given":"Ezequiel","non-dropping-particle":"","parse-names":false,"suffix":""},{"dropping-particle":"","family":"Mann","given":"David","non-dropping-particle":"","parse-names":false,"suffix":""},{"dropping-particle":"","family":"Pennington","given":"R Toby","non-dropping-particle":"","parse-names":false,"suffix":""},{"dropping-particle":"","family":"Metcalfe","given":"Sarah E","non-dropping-particle":"","parse-names":false,"suffix":""}],"container-title":"Palaeogeography, Palaeoclimatology, Palaeoecology","id":"ITEM-3","issue":"1-4","issued":{"date-parts":[["2011","7"]]},"page":"177-192","title":"A 45kyr palaeoclimate record from the lowland interior of tropical South America","type":"article-journal","volume":"307"},"uris":["http://www.mendeley.com/documents/?uuid=6699c12b-f3d1-3e05-ba37-17ecd3266bdc"]},{"id":"ITEM-4","itemData":{"DOI":"10.1016/S0277-3791(99)00059-1","ISSN":"02773791","abstract":"Plants respond to Pleistocene climatic change as species, not as associations or biomes. This has been demonstrated unequivocally by paleobotanical data for temperate latitudes. In the far richer vegetations of the tropics species populations also fluctuated independently in response to climatic forcing, from their longlasting glacial states to the patterns of brief interglacials like the present and back again. We use pollen data to reconstruct the vegetation of the Amazon basin in oxygen isotope stages 3 and 2 of the last glaciation in order to measure how the plant populations of the Amazon responded to the global warming at the onset of the Holocene. We find that plant communities of the neotropics vent copious pollen to lake sediments and that this pollen yields powerful signals for community composition. Three continuous sedimentary records reaching through oxygen isotope stage 2 are available from the Amazon lowlands, those from Carajas, Lake Pata and marine deposits off the mouth of the Amazon River. All three records yield pollen histories of remarkable constancy and stability. By comparing them with deposits of equal antiquity from the cerrado (savanna) of central Brazil, we show that most of the Amazon lowlands remained under forest throughout a glacial cycle. This forest was never fragmented by open vegetation as postulated by the refugia hypothesis. Instead the intact forest of glacial times included significant populations of plants that are now montane, suggesting that the global warming of the early Holocene resulted in the expulsion of heat intolerant plants from the lowland forest. Pollen data from the Amazonian flank of the Andes and from Pacific Panama provide evidence that populations of these heat intolerant plants survive the heat of interglacials in part by maintaining large populations at cooler montane altitudes. Our conclusion that the Amazon lowlands were forested in glacial times specifically refutes the hypothesis of Amazonian glacial aridity. Accordingly we examine the geomorphological evidence for glacial aridity and find it wanting. Of the three paleodune systems reported for tropical South America, that of NE Brazil was active in the Holocene as well as the Pleistocene. Parts of NE Brazil were actually moister than now in late-glacial times. Paleodunes in the Pantanal have never been seen on the ground, and those in the Orinoco Llanos are undated and may be of any age since the Tertiary. Arkosic sands in the Amazon fan …","author":[{"dropping-particle":"","family":"Colinvaux","given":"Paul A.","non-dropping-particle":"","parse-names":false,"suffix":""},{"dropping-particle":"","family":"Oliveira","given":"P. E.","non-dropping-particle":"De","parse-names":false,"suffix":""},{"dropping-particle":"","family":"Bush","given":"M. B.","non-dropping-particle":"","parse-names":false,"suffix":""}],"container-title":"Quaternary Science Reviews","id":"ITEM-4","issue":"1-5","issued":{"date-parts":[["2000"]]},"page":"141-169","title":"Amazonian and neotropical plant communities on glacial time-scales: The failure of the aridity and refuge hypotheses","type":"article-journal","volume":"19"},"uris":["http://www.mendeley.com/documents/?uuid=a4d6798d-0f9a-452d-b3cb-c15643dd1100"]},{"id":"ITEM-5","itemData":{"DOI":"10.1006/qres.1997.1908","ISSN":"00335894","abstract":"A long pollen record is derived from sediments of a lake dammed behind a low moraine of the last glaciation at 3°S latitude in the Ecuadorian Andes and is compared with a glacial age pollen record from the Amazon rainforest immediately below. Lake Surucucho (Llaviucu) lies at 3180 m on the Amazonian flank of the Andes and above the glacial age pollen record from San Juan Bosco at 970 m. The Surucucho pollen record is interpreted as showing treeless vegetation in glacial times, advance of treeline in late-glacial time, and Holocene development of modern Andean forests. Combining the Surucucho and San Juan Bosco records shows that Andean vegetation was affected by glacial cooling at all elevations. Vegetation did not move up and down slope as belts. Rather, plant associations were reformed as temperature-sensitive species found different centers of distribution with changing temperature. © 1997 University of Washington.","author":[{"dropping-particle":"","family":"Colinvaux","given":"Paul A.","non-dropping-particle":"","parse-names":false,"suffix":""},{"dropping-particle":"","family":"Bush","given":"Mark B.","non-dropping-particle":"","parse-names":false,"suffix":""},{"dropping-particle":"","family":"Steinitz-Kannan","given":"Miriam","non-dropping-particle":"","parse-names":false,"suffix":""},{"dropping-particle":"","family":"Miller","given":"Michael C.","non-dropping-particle":"","parse-names":false,"suffix":""}],"container-title":"Quaternary Research","id":"ITEM-5","issue":"1","issued":{"date-parts":[["1997"]]},"page":"69-78","title":"Glacial and Postglacial Pollen Records from the Ecuadorian Andes and Amazon","type":"article-journal","volume":"48"},"uris":["http://www.mendeley.com/documents/?uuid=166684ee-f26a-4a9b-833a-c91c1f9fff6f"]},{"id":"ITEM-6","itemData":{"DOI":"10.1016/j.yqres.2011.10.009","ISSN":"00335894","abstract":"New pollen, micro-charcoal, sediment and mineral analyses of a radiocarbon-dated sediment core from the Serra Sul dos Carajás (southeast Amazonia) indicate changes between drier and wetter climatic conditions during the past 25,000. yr, reflected by fire events, expansion of savanna vegetation and no-analog Amazonian forest communities. A cool and dry last glacial maximum (LGM) and late glacial were followed by a wet phase in the early Holocene lasting for ca. 1200. yr, when tropical forest occurred under stable humid conditions. Subsequently, an increasingly warm, seasonal climate established. The onset of seasonality falls within the early Holocene warm period, with possibly longer dry seasons from 10,200 to 3400. cal. yr BP, and an explicitly drier phase from 9000 to 3700. cal. yr BP. Modern conditions with shorter dry seasons became established after 3400. cal. yr BP. Taken together with paleoenvironmental evidence from elsewhere in the Amazon Basin, the observed changes in late Pleistocene and Holocene vegetation in the Serra Sul dos Carajás likely reflect large-scale shifts in precipitation patterns driven by the latitudinal displacement of the Inter-Tropical Convergence Zone and changes in sea-surface temperatures in the tropical Atlantic. © 2011 University of Washington.","author":[{"dropping-particle":"","family":"Hermanowski","given":"Barbara","non-dropping-particle":"","parse-names":false,"suffix":""},{"dropping-particle":"","family":"Costa","given":"Marcondes Lima","non-dropping-particle":"da","parse-names":false,"suffix":""},{"dropping-particle":"","family":"Behling","given":"Hermann","non-dropping-particle":"","parse-names":false,"suffix":""}],"container-title":"Quaternary Research","id":"ITEM-6","issue":"1","issued":{"date-parts":[["2012"]]},"page":"138-148","publisher":"University of Washington","title":"Environmental changes in southeastern Amazonia during the last 25,000yr revealed from a paleoecological record","type":"article-journal","volume":"77"},"uris":["http://www.mendeley.com/documents/?uuid=bc1cb7db-d452-4ebd-a0b4-668fa776c9d1"]},{"id":"ITEM-7","itemData":{"DOI":"10.1006/qres.1998.2020","ISSN":"0033-5894","abstract":"Hemipelagic sediments from the Amazon deep-sea fan, ODP Site 932 (5° 12.7′N, 47° 1.8′W), and continental shelf provide a 50,000-yr-long pollen record of Amazon Basin vegetation. The age model for Hole 932A is constrained by eight magnetic remanence intensity features, one paleomagnetic excursion, and three AMS 14 C dates. Alchornea, Melastomataceae, Myrtaceae, and Moraceae/Urticaceae are dominant taxa in the pollen record between 40,200 and 19,800 cal yr B.P. Andean taxa, such as Podocarpus and Hedyosmum, increase in abundance between 19,800 and 11,000 cal yr B.P. and prior to 40,200 cal yr B.P. The Holocene pollen assemblage, derived from Amazon River and continental shelf sediments, is dominated by secondary growth taxa, such as Cecropia. Climatic factors influencing the development of glacial and interglacial tropical vegetation are considered by comparing marine with terrestrial records of vegetation change. This comparison shows that the Amazon Basin forests were not extensively replaced by savanna vegetation during the glacial period, contradicting the refugia hypothesis.","author":[{"dropping-particle":"","family":"Haberle","given":"Simon G","non-dropping-particle":"","parse-names":false,"suffix":""},{"dropping-particle":"","family":"Maslin","given":"Mark A","non-dropping-particle":"","parse-names":false,"suffix":""}],"container-title":"Quaternary Research","id":"ITEM-7","issue":"1","issued":{"date-parts":[["1999","1","20"]]},"page":"27-38","title":"Late Quaternary Vegetation and Climate Change in the Amazon Basin Based on a 50,000 Year Pollen Record from the Amazon Fan, ODP Site 932","type":"article-journal","volume":"51"},"uris":["http://www.mendeley.com/documents/?uuid=8972415a-ac9d-37e8-aa56-f1454803a952"]},{"id":"ITEM-8","itemData":{"DOI":"10.1016/j.palaeo.2017.11.050","ISSN":"00310182","abstract":"Pollen data recovered from the sedimentary record of western Amazonia is still inadequate to fully address climate changes over the Last Glaciation in this region. The present work focuses vegetation dynamics from an area of southwestern Amazonia during the past 42,000 cal yr B.P. based on the integration of previous and new pollen data. Sediment cores were sampled from two sites covered by tropical rainforest in fluvial terraces of the Madeira River, a major southern Amazonian tributary. The results indicated a significant proportion of cold-adapted Andean tree species, represented by Alnus (0–20%), Hedyosmum (1–15%), Podocarpus (0–5%), Illex (1–11%) and Weinmannia (0–1%) at least between &gt; 43,163–42,018 cal yr B.P. and 10,394–10,240 cal yr B.P. During the Holocene, only pollen representative of herbs and modern Amazonian vegetation persisted. The new pollen record confirmed previous documented results that vegetation communities presently restricted to Andean areas at altitudes higher than 2000–3000 m, occupied this region of the Amazonian lowlands close to the onset and probably also during the Last Glacial Maximum.","author":[{"dropping-particle":"","family":"Lima","given":"W.J.S.","non-dropping-particle":"","parse-names":false,"suffix":""},{"dropping-particle":"","family":"Cohen","given":"M.C.L.","non-dropping-particle":"","parse-names":false,"suffix":""},{"dropping-particle":"","family":"Rossetti","given":"D.F.","non-dropping-particle":"","parse-names":false,"suffix":""},{"dropping-particle":"","family":"França","given":"M.C.","non-dropping-particle":"","parse-names":false,"suffix":""}],"container-title":"Palaeogeography, Palaeoclimatology, Palaeoecology","id":"ITEM-8","issued":{"date-parts":[["2018","1","15"]]},"note":"Finds extensive presence of Andean-type trees (Ilex, Alnus, Hedyosmum, Drimys, Weinmannia) in lowland Amazonian forests at peak glacial times, which then disappeared during the Holocene.","page":"617-628","publisher":"Elsevier B.V.","title":"Late Pleistocene glacial forest elements of Brazilian Amazonia","type":"article-journal","volume":"490"},"uris":["http://www.mendeley.com/documents/?uuid=f335b120-5ea2-35eb-bd25-bb641f5ed72c"]},{"id":"ITEM-9","itemData":{"author":[{"dropping-particle":"","family":"Oliveira","given":"Paulo Eduardo","non-dropping-particle":"De","parse-names":false,"suffix":""}],"id":"ITEM-9","issued":{"date-parts":[["1992"]]},"note":"Weird no-analog Caryocar-Podocarpus forest/cold cerrado (LGM/late Glacial) discussed","number-of-pages":"238","publisher":"Ohio State University","title":"A Palynological record of Late Quaternary vegetational and climatic change in southeastern Brazil","type":"thesis"},"uris":["http://www.mendeley.com/documents/?uuid=3405b058-2f47-4f20-95c4-4b24f90997e8"]},{"id":"ITEM-10","itemData":{"DOI":"10.1016/j.quascirev.2020.106489","ISSN":"02773791","abstract":"The Atlantic Rainforest, covering the area from northern Espirito Santo to Southern Bahia states, has been considered as a stable forest during Pleistocene Glacial times. Aside from modelling and phylogenetic studies, this hypothesis has never been tested with empirical, fossil pollen, paleo-vegetation data. By using palynology, radiocarbon dating, and carbon and nitrogen elemental and isotopic analyses of organic matter, we reconstructed the vegetation dynamics and inferred climatic changes since the Late Pleistocene in the centre of this global biodiversity hotspot. Our results show that the forest biome was resilient to Last Glacial Maximum - LGM conditions, but that the floristic composition differed from that of today. Since the late glacial, the floristic composition of the dense forest changed from cold- to warm-adapted taxa. Structural, as well as floristic, changes occurred during drier conditions of the early and middle Holocene, with an opening of the forest, providing insights into the type of vegetation impacts that might be expected under predicted future drought.","author":[{"dropping-particle":"","family":"Francisquini","given":"Mariah Izar","non-dropping-particle":"","parse-names":false,"suffix":""},{"dropping-particle":"","family":"Lorente","given":"Flávio Lima","non-dropping-particle":"","parse-names":false,"suffix":""},{"dropping-particle":"","family":"Ruiz Pessenda","given":"Luiz Carlos","non-dropping-particle":"","parse-names":false,"suffix":""},{"dropping-particle":"","family":"Buso Junior","given":"Antonio Alvaro","non-dropping-particle":"","parse-names":false,"suffix":""},{"dropping-particle":"","family":"Mayle","given":"Francis Edward","non-dropping-particle":"","parse-names":false,"suffix":""},{"dropping-particle":"","family":"Lisboa Cohen","given":"Marcelo Cancela","non-dropping-particle":"","parse-names":false,"suffix":""},{"dropping-particle":"","family":"França","given":"Marlon Carlos","non-dropping-particle":"","parse-names":false,"suffix":""},{"dropping-particle":"","family":"Bendassolli","given":"José Albertino","non-dropping-particle":"","parse-names":false,"suffix":""},{"dropping-particle":"","family":"Fonseca Giannini","given":"Paulo César","non-dropping-particle":"","parse-names":false,"suffix":""},{"dropping-particle":"","family":"Schiavo","given":"Jolimar Antonio","non-dropping-particle":"","parse-names":false,"suffix":""},{"dropping-particle":"","family":"Macario","given":"Kita","non-dropping-particle":"","parse-names":false,"suffix":""}],"container-title":"Quaternary Science Reviews","id":"ITEM-10","issued":{"date-parts":[["2020"]]},"title":"Cold and humid Atlantic Rainforest during the last glacial maximum, northern Espírito Santo state, southeastern Brazil","type":"article-journal","volume":"244"},"uris":["http://www.mendeley.com/documents/?uuid=c2571655-db3f-4a56-8c90-682c76ade877"]},{"id":"ITEM-11","itemData":{"DOI":"10.1002/jqs.3209","ISSN":"10991417","abstract":"The late Quaternary evolution of central-eastern Brazil has been under-researched. Questions remain as to the origin of the Cerrado, a highly endangered biome, and other types of vegetation, such as the Capões – small vegetation islands of semi-deciduous and mountain forests. We investigated the factors that influenced the expansion and contraction of the Cerrado and Capões during the late Quaternary (last ~35 ka), using a multi-proxy approach: stable isotopes (δ13C, δ15N), geochemistry, pollen and multivariate statistics derived from a peat core (Pinheiro mire, Serra do Espinhaço Meridional). Five major shifts in precipitation, temperature, vegetation and landscape stability occurred at different timescales. Our study revealed that changes in the South Atlantic Convergence Zone (SACZ) seem to have been coeval with these shifts: from the Late Glacial Maximum to mid-Holocene the SACZ remained near (~29.6 to ~16.5k cal a bp) and over (~16.5 to ~6.1 k cal a bp) the study area, providing humidity to the region. This challenges previous research which suggested that climate was drier for this time period. At present, the Capões are likely to be a remnant of a more humid climate; meanwhile, the Cerrado biome seems to have stablished in the late Holocene, after ~3.1 k cal a bp.","author":[{"dropping-particle":"","family":"Horák-Terra","given":"Ingrid","non-dropping-particle":"","parse-names":false,"suffix":""},{"dropping-particle":"","family":"Cortizas","given":"Antonio Martínez","non-dropping-particle":"","parse-names":false,"suffix":""},{"dropping-particle":"","family":"Luz","given":"Cynthia Fernandes Pinto","non-dropping-particle":"Da","parse-names":false,"suffix":""},{"dropping-particle":"","family":"Silva","given":"Alexandre Christófaro","non-dropping-particle":"","parse-names":false,"suffix":""},{"dropping-particle":"","family":"Mighall","given":"Tim","non-dropping-particle":"","parse-names":false,"suffix":""},{"dropping-particle":"","family":"Camargo","given":"Plínio Barbosa","non-dropping-particle":"De","parse-names":false,"suffix":""},{"dropping-particle":"","family":"Mendonça-Filho","given":"Carlos Victor","non-dropping-particle":"","parse-names":false,"suffix":""},{"dropping-particle":"","family":"Oliveira","given":"Paulo Eduardo","non-dropping-particle":"De","parse-names":false,"suffix":""},{"dropping-particle":"","family":"Cruz","given":"Francisco Willian","non-dropping-particle":"","parse-names":false,"suffix":""},{"dropping-particle":"","family":"Vidal-Torrado","given":"Pablo","non-dropping-particle":"","parse-names":false,"suffix":""}],"container-title":"Journal of Quaternary Science","id":"ITEM-11","issue":"5","issued":{"date-parts":[["2020"]]},"note":"Extra pollen diagrams in SI. Also, Sorocea...","page":"664-676","title":"Late Quaternary vegetation and climate dynamics in central-eastern Brazil: insights from a ~35k cal a bp peat record in the Cerrado biome","type":"article-journal","volume":"35"},"uris":["http://www.mendeley.com/documents/?uuid=ddb105d0-4599-4d3f-9da4-10ef5deb14f9"]},{"id":"ITEM-12","itemData":{"DOI":"10.1002/jqs.2597","ISBN":"1099-1417","ISSN":"02678179","abstract":"The absence of human occupation sites in southeastern Brazil during the mid Holocene has been referred to as the 'Archaic Gap' (8970–1940 cal. a BP) and is predicted to have resulted from increased aridity. A ca. 14 000 cal. a pollen history from two well-dated lake sediment cores located within the archeological district of Lagoa Santa, in the State of Minas Gerais, southeastern Brazil, was used to test this hypothesis. Our analyses indicated that the present cerrado and tropical semi-deciduous forest mosaic persisted throughout the mid Holocene, until ca. 5500 cal. a BP, and the Lagoa Santa region did not experience especially dry conditions during the Holocene period. The early Holocene pollen spectra contained an assemblage of cold-adapted taxa such as Podocarpus, Myrsine and Araucaria, co-occurring with taxa from cerrado, e.g. Caryocar. A replacement of cold taxa by the modern cerrado–semi-deciduous forest vegetation took place progressively, but appears to have been completed by the mid Holocene. No evidence of sustained drought was found in sedimentation or forest composition, nor any prolonged dry event in the study region. Holocene dryness as an explanation for the abandonment of Lagoa Santa region is not supported by the palynological analyses conducted in this study. Rather it is suggested that unpredictable climate may have underlain that abandonment. Copyright © 2012 John Wiley &amp; Sons, Ltd.","author":[{"dropping-particle":"","family":"Raczka","given":"Marco F.","non-dropping-particle":"","parse-names":false,"suffix":""},{"dropping-particle":"","family":"Oliveira","given":"Paulo E.","non-dropping-particle":"De","parse-names":false,"suffix":""},{"dropping-particle":"","family":"Bush","given":"Mark","non-dropping-particle":"","parse-names":false,"suffix":""},{"dropping-particle":"","family":"McMichael","given":"Crystal H.","non-dropping-particle":"","parse-names":false,"suffix":""}],"container-title":"Journal of Quaternary Science","id":"ITEM-12","issue":"2","issued":{"date-parts":[["2013"]]},"note":"Looks for evidence of sustained aridity in SE Brazil between about 9ka and 1500BP, and doesn't find it. There's Araucaria pollen (and pollen from other MOFish taxa) from about 15ka to the early Holocene, and bits until the middle. Comments on its relevance, especially for local climate, novel communities, and microrefugia","page":"144-151","title":"Two paleoecological histories spanning the period of human settlement in southeastern Brazil","type":"article-journal","volume":"28"},"uris":["http://www.mendeley.com/documents/?uuid=6bdcb28b-3190-44c2-89b4-777861450b23"]},{"id":"ITEM-13","itemData":{"DOI":"10.1111/jbi.13732","ISSN":"13652699","abstract":"Aim: To investigate cerrado responses to glacial–interglacial climate change and the potential for connective rain forest corridors between the Atlantic Coastal Forest and Amazonian rain forest. Location: The crater lake of Serra Negra (18 °S, 46 °W) in Minas Gerais, Brazil. Taxon: 117 fossil pollen types, 22 non-pollen palynomorphs were documented. Methods: We recovered 7.82 m of sediment from the lake, and analysed fossil pollen at 62 depth intervals throughout the core. We derived a chronology based on radiocarbon dating with simple rate extrapolation to the base of the core. Results: The c. 90,000-year fossil record showed a trend towards cooler climates at the Last Glacial Maximum (LGM), but interstadial warming coupled with reduced evaporative stress allowed the expansion of woodlands under cool, moist conditions. Cool-adapted trees were most abundant between c. 67,000 and 48,000 years ago. A cool cerrado-like environment marked full glacial conditions between c. 48,000 and 34,000 years ago. The peak of the LGM between c. 34,000 and 17,000 years ago is inferred to have been dry as no sediment accumulated in the system. Main conclusions: Expanded ranges of cold-tolerant forest taxa led to establishment of a series of assemblages without modern analogue. A system characteristic of modern cerrado was rare in the history of this site. Multiple forest expansions were observed, each differing in composition. The periods of forest abundance at Serra Negra were not temporally aligned with forest expansion in the Atlantic Coastal Forest, and did not provide a continuous corridor of similar forest that connected the cerrado to the Atlantic Coastal Forest.","author":[{"dropping-particle":"","family":"Oliveira","given":"Paulo Eduardo","non-dropping-particle":"De","parse-names":false,"suffix":""},{"dropping-particle":"","family":"Raczka","given":"Marco","non-dropping-particle":"","parse-names":false,"suffix":""},{"dropping-particle":"","family":"McMichael","given":"Crystal N.H.","non-dropping-particle":"","parse-names":false,"suffix":""},{"dropping-particle":"","family":"Pinaya","given":"Jorge L.D.","non-dropping-particle":"","parse-names":false,"suffix":""},{"dropping-particle":"","family":"Bush","given":"Mark B.","non-dropping-particle":"","parse-names":false,"suffix":""}],"container-title":"Journal of Biogeography","id":"ITEM-13","issue":"2","issued":{"date-parts":[["2020"]]},"page":"396-407","title":"Climate change and biogeographic connectivity across the Brazilian cerrado","type":"article-journal","volume":"47"},"uris":["http://www.mendeley.com/documents/?uuid=e2d97bd9-b912-4e52-a202-4c322f0e6eb9"]}],"mendeley":{"formattedCitation":"(Behling, 1998; Bush et al., 2004; Colinvaux et al., 2000, 1997; De Oliveira, 1992; De Oliveira et al., 2020; Francisquini et al., 2020; Haberle and Maslin, 1999; Hermanowski et al., 2012; Horák-Terra et al., 2020; Lima et al., 2018; Raczka et al., 2013; Whitney et al., 2011)","plainTextFormattedCitation":"(Behling, 1998; Bush et al., 2004; Colinvaux et al., 2000, 1997; De Oliveira, 1992; De Oliveira et al., 2020; Francisquini et al., 2020; Haberle and Maslin, 1999; Hermanowski et al., 2012; Horák-Terra et al., 2020; Lima et al., 2018; Raczka et al., 2013; Whitney et al., 2011)","previouslyFormattedCitation":"(Behling, 1998; Bush et al., 2004; Colinvaux et al., 2000, 1997; De Oliveira, 1992; De Oliveira et al., 2020; Francisquini et al., 2020; Haberle and Maslin, 1999; Hermanowski et al., 2012; Horák-Terra et al., 2020; Lima et al., 2018; Raczka et al., 2013; Whitney et al., 2011)"},"properties":{"noteIndex":0},"schema":"https://github.com/citation-style-language/schema/raw/master/csl-citation.json"}</w:instrText>
      </w:r>
      <w:r w:rsidR="00D3009A">
        <w:fldChar w:fldCharType="separate"/>
      </w:r>
      <w:r w:rsidR="005944BB" w:rsidRPr="005944BB">
        <w:rPr>
          <w:noProof/>
        </w:rPr>
        <w:t>(Behling, 1998; Bush et al., 2004; Colinvaux et al., 2000, 1997; De Oliveira, 1992; De Oliveira et al., 2020; Francisquini et al., 2020; Haberle and Maslin, 1999; Hermanowski et al., 2012; Horák-Terra et al., 2020; Lima et al., 2018; Raczka et al., 2013; Whitney et al., 2011)</w:t>
      </w:r>
      <w:r w:rsidR="00D3009A">
        <w:fldChar w:fldCharType="end"/>
      </w:r>
      <w:r w:rsidR="005C5E44">
        <w:t>.</w:t>
      </w:r>
      <w:r w:rsidR="00156285">
        <w:t xml:space="preserve"> </w:t>
      </w:r>
      <w:r w:rsidR="005C14EC">
        <w:t>S</w:t>
      </w:r>
      <w:r w:rsidR="00156285">
        <w:t>outhern Brazil</w:t>
      </w:r>
      <w:r w:rsidR="005C14EC">
        <w:t>’s forests are characterised by floristic gradients</w:t>
      </w:r>
      <w:r w:rsidR="00D369E8">
        <w:t xml:space="preserve"> – each contains</w:t>
      </w:r>
      <w:r w:rsidR="00116C49">
        <w:t xml:space="preserve"> significant compositional diversity</w:t>
      </w:r>
      <w:r w:rsidR="00D369E8">
        <w:t>,</w:t>
      </w:r>
      <w:r w:rsidR="00116C49">
        <w:t xml:space="preserve"> </w:t>
      </w:r>
      <w:r w:rsidR="00D369E8">
        <w:t>and differences between forest types are</w:t>
      </w:r>
      <w:r w:rsidR="00E503E5">
        <w:t xml:space="preserve"> generally</w:t>
      </w:r>
      <w:r w:rsidR="00D369E8">
        <w:t xml:space="preserve"> marked</w:t>
      </w:r>
      <w:r>
        <w:t xml:space="preserve"> mo</w:t>
      </w:r>
      <w:r w:rsidR="00E503E5">
        <w:t>st</w:t>
      </w:r>
      <w:r>
        <w:t xml:space="preserve"> by gradual species turnover </w:t>
      </w:r>
      <w:r>
        <w:fldChar w:fldCharType="begin" w:fldLock="1"/>
      </w:r>
      <w:r w:rsidR="007F330C">
        <w:instrText>ADDIN CSL_CITATION {"citationItems":[{"id":"ITEM-1","itemData":{"DOI":"10.1093/jpe/rtt058","ISBN":"2850","ISSN":"1752993X","abstract":"AimsWe analyse here the variations in species composition and richness and the geographic ranges of the tree species occurring in South American subtropical Atlantic and Pampean forests. Our goals were to assess (i) the floristic consistency of usual classifications based on vegetation physiognomy, climate and elevation; (ii) the leading role of temperature-related variables on the variations in species composition and richness; (iii) the predominance of species with tropical-subtropical ranges, possibly as a result of forest expansion over grasslands after the Last Glacial Maximum (LGM); (iv) the restriction of most subtropical endemics to stressful habitats as a possible result of past forest refuges during the LGM. MethodsThe region was defined by the Tropic of Capricorn to the north, the Rio de la Plata to the south, the Atlantic shoreline to the east and the catchment areas of the upper Parana and Uruguay Rivers to the west. Multivariate analyses, multiple regression modelling and variance partition analyses were performed on a database containing 63 994 occurrence records of 1555 tree species in 491 forest sites and 48 environmental variables. All species were also classified according to their known geographic range. Important FindingsA main differentiation in species composition and richness was observed between the eastern windward coastlands (rain and cloud forests) and western leeward hinterlands (Araucaria and semi-deciduous forests). Pre-defined forest types on both sides were consistent with variations in tree species composition, which were significantly related to both environmental variables and spatial proximity, with extremes of low temperature playing a chief role. Tree species richness declined substantially towards the south and also from rain to seasonal forests and towards the highland summits and sandy shores. Species richness was significantly correlated with both minimum temperature and actual evapotranspiration. About 91% of the subtropical flora is shared with the much richer tropical flora, probably extracting species that can cope with frost outbreaks. The 145 subtropical endemics were not concentrated in harsher habitats.","author":[{"dropping-particle":"","family":"Oliveira-Filho","given":"Ary T","non-dropping-particle":"","parse-names":false,"suffix":""},{"dropping-particle":"","family":"Budke","given":"Jean C","non-dropping-particle":"","parse-names":false,"suffix":""},{"dropping-particle":"","family":"Jarenkow","given":"Jo??o A","non-dropping-particle":"","parse-names":false,"suffix":""},{"dropping-particle":"V","family":"Eisenlohr","given":"Pedro","non-dropping-particle":"","parse-names":false,"suffix":""},{"dropping-particle":"","family":"Neves","given":"Danilo R M","non-dropping-particle":"","parse-names":false,"suffix":""}],"container-title":"Journal of Plant Ecology","id":"ITEM-1","issue":"3","issued":{"date-parts":[["2014","6","1"]]},"note":"Read this in a bit of a bitty fashion, but it's a big floristic study of the subtropical Atlantic Forest. There's an interesting fine classification of MOF, and stuff on how it's a continuum based on conditions (and what conditions segregates it from other forest types). It's also a kind of seasonal forest (like SDF), just with Aa. Lots of things in the discussion about the post-LGM development of the forests, some of which seem to contradict the general (?extrapolated) pollen story and might work favourably with my modelling","page":"242-260","title":"Delving into the variations in tree species composition and richness across South American subtropical Atlantic and Pampean forests","type":"article-journal","volume":"8"},"uris":["http://www.mendeley.com/documents/?uuid=d6a6382c-dd4b-3323-9d5e-12afd40294e2"]},{"id":"ITEM-2","itemData":{"DOI":"10.1371/journal.pone.0105043","ISBN":"1932-6203 (Electronic)\\r1932-6203 (Linking)","ISSN":"19326203","PMID":"25121495","abstract":"Phylobetadiversity is defined as the phylogenetic resemblance between communities or biomes. Analyzing phylobetadiversity patterns among different vegetation physiognomies within a single biome is crucial to understand the historical affinities between them. Based on the widely accepted idea that different forest physiognomies within the Southern Brazilian Atlantic Forest constitute different facies of a single biome, we hypothesize that more recent phylogenetic nodes should drive phylobetadiversity gradients between the different forest types within the Atlantic Forest, as the phylogenetic divergence among those forest types is biogeographically recent. We compiled information from 206 checklists describing the occurrence of shrub/tree species across three different forest physiognomies within the Southern Brazilian Atlantic Forest (Dense, Mixed and Seasonal forests). We analyzed intra-site phylogenetic structure (phylogenetic diversity, net relatedness index and nearest taxon index) and phylobetadiversity between plots located at different forest types, using five different methods differing in sensitivity to either basal or terminal nodes (phylogenetic fuzzy weighting, COMDIST, COMDISTNT, UniFrac and Rao's H). Mixed forests showed higher phylogenetic diversity and overdispersion than the other forest types. Furthermore, all forest types differed from each other in relation phylobetadiversity patterns, particularly when phylobetadiversity methods more sensitive to terminal nodes were employed. Mixed forests tended to show higher phylogenetic differentiation to Dense and Seasonal forests than these latter from each other. The higher phylogenetic diversity and phylobetadiversity levels found in Mixed forests when compared to the others likely result from the biogeographical origin of several taxa occurring in these forests. On one hand, Mixed forests shelter several temperate taxa, like the conifers Araucaria and Podocarpus. On the other hand, tropical groups, like Myrtaceae, are also very representative of this forest type. We point out to the need of more attention to Mixed forests as a conservation target within the Brazilian Atlantic Forest given their high phylogenetic uniqueness.","author":[{"dropping-particle":"","family":"Duarte","given":"Leandro Da Silva","non-dropping-particle":"","parse-names":false,"suffix":""},{"dropping-particle":"","family":"Bergamin","given":"Rodrigo Scarton","non-dropping-particle":"","parse-names":false,"suffix":""},{"dropping-particle":"","family":"Marcilio-Silva","given":"Vin??cius","non-dropping-particle":"","parse-names":false,"suffix":""},{"dropping-particle":"","family":"Seger","given":"Guilherme Dubal Dos Santos","non-dropping-particle":"","parse-names":false,"suffix":""},{"dropping-particle":"","family":"Marques","given":"M??rcia Cristina Mendes","non-dropping-particle":"","parse-names":false,"suffix":""}],"container-title":"PLoS ONE","id":"ITEM-2","issue":"8","issued":{"date-parts":[["2014"]]},"note":"Mixed forests are phylogenetically distinct (good quote on this) as a result of their biogeographic origins and therefore need conservation. They're more different to ATF and SDF than these two are to each other","title":"Phylobetadiversity among forest types in the Brazilian Atlantic Forest complex","type":"article-journal","volume":"9"},"uris":["http://www.mendeley.com/documents/?uuid=506a37b5-2d1f-3b7d-9643-fa4ce618b26f"]},{"id":"ITEM-3","itemData":{"DOI":"10.1111/j.1744-7429.2000.tb00619.x","ISBN":"0006-3606","ISSN":"0006-3606","abstract":"The tree flora of southeastern Brazilian Atlantic forests was investigated according to two main aspects: (a) the variations in floristic composition of both rain and semi-deciduous forests were analyzed in terms of geographic and climatic variables by performing multivariate analyses on 125 existing floristic checklists; and (b) the links of both rain and semi- deciduous forests to Amazonian forests and Cerrados (woody savanna) were assessed. All analyses were performed at the species, genus, and family levels. The information obtained for the 125 forest areas was organized into an environmental database containing geographic and climatic records, and a floristic database containing binary presence records for 2532 species, 520 genera, and 106 families. Canonical correspondence analyses (CCA) were utilized to assess the relationship between geographic and climatic variables, and tree flora composition. Venn diagrams and cluster analyses were used to assess the floristic links to Amazonian forests and Cerrados. The following patterns were detected at all three taxonomic levels: (a) the differentiation between rain and semi-deciduous forests is floristically consistent and strongly correlated with rainfall regime, although transitions may be abrupt to gradual; (b) a north–south differentiation exists for both rain and semi-deciduous forests, probably caused by variations in both temperature and rainfall regime; (c) The flora of semi- deciduous forests also changes with increasing distance from the ocean and the associated increasing rainfall seasonality; and (d) elevation and associated temperatures are strongly correlated with the internal differentiation of both rain and semi-deciduous forests. To a considerable extent, the tree flora of semi-deciduous forests is a subset of the rain forest flora, probably extracting species that are able to cope with a longer dry season. There is greater floristic similarity at the species level between Atlantic rain and semi-deciduous forests than between any of these and either Amazonian rain forests or Cerrados. Nevertheless, semi-deciduous forests and Cerrados show stronger links, particularly at the generic and familial levels. Therefore, there is little floristic ground for viewing Atlantic rain forests as being closer to their Amazonian counterparts than to the adjacent semi-deciduous forests. The most appropriate view of rain and semi- deciduous forests in southeastern Brazil is that of a continuum in tree spe…","author":[{"dropping-particle":"","family":"Oliveira‐Filho","given":"Ary T.","non-dropping-particle":"","parse-names":false,"suffix":""},{"dropping-particle":"","family":"Fontes","given":"Marco Aurelio L.","non-dropping-particle":"","parse-names":false,"suffix":""}],"container-title":"Biotropica","id":"ITEM-3","issue":"2","issued":{"date-parts":[["2000"]]},"note":"Examining the floristic definition and climatic controls on Atlantic forest sl. There's a gradient between semi-deciduous and rain forest, with N-S gradients for both. Rainfall seasonality and distance from the ocean affects sdf composition, and elevation and temperature affect both forest types. The paper gives a definition of Atlantic forest sensu lato that includes Araucaria forest.","page":"793-810","title":"Patterns of Floristic Differentiation among Atlantic Forests in Southeastern Brazil and the Influence of Climate","type":"article-journal","volume":"32"},"uris":["http://www.mendeley.com/documents/?uuid=c62f1d54-8fd7-492b-a951-29063256b00d"]},{"id":"ITEM-4","itemData":{"DOI":"10.1007/s10531-017-1315-y","ISSN":"0960-3115","abstract":"Understanding the processes that drive patterns of beta diversity is crucial for planning conservation policies and for designing networks of protected area (PAs). Beta diversity can be decomposed into two components: 1—species turnover, the replacement of species by others resulting in a low proportion of shared species; 2—species nestedness—the result of differences in species richness, when a poorer community is a subset of species from a richer community. We aimed to evaluate beta diversity patterns and how they are represented in the network of PAs in southern Brazilian, regarding three forest types: Atlantic Forest s.s., Araucaria Forest, and Seasonal Forest. Beta diversity was partitioned into the turnover and nestedness components. Additionally, we examined spatial patterns of site similarity using distance decay curves. Beta diversity was mainly caused by species turnover (approx. 86%), with only a small contribution of nestedness (approx. 5%) in all three forests types. The patterns of distance decay curves revealed that even at small distances (50–100 km), we found a considerable decrease in similarities, reinforcing turnover patterns. As turnover brought the larger contribution to beta diversity, additional conservation efforts must target an increase in the number of PAs, that should be spread across each one of the regions, to maximize the protection of species diversity. Most of the PAs are currently limited to the eastern region and prioritize the Atlantic Forest s.s. Thus Araucaria Forest and Seasonal Forest should deserve special priority in new conservation actions, as they also contain high levels of species turnover","author":[{"dropping-particle":"","family":"Bergamin","given":"Rodrigo Scarton","non-dropping-particle":"","parse-names":false,"suffix":""},{"dropping-particle":"","family":"Bastazini","given":"V. A. G.","non-dropping-particle":"","parse-names":false,"suffix":""},{"dropping-particle":"","family":"Vélez-Martin","given":"E.","non-dropping-particle":"","parse-names":false,"suffix":""},{"dropping-particle":"","family":"Debastiani","given":"V.","non-dropping-particle":"","parse-names":false,"suffix":""},{"dropping-particle":"","family":"Zanini","given":"K. J.","non-dropping-particle":"","parse-names":false,"suffix":""},{"dropping-particle":"","family":"Loyola","given":"R.","non-dropping-particle":"","parse-names":false,"suffix":""},{"dropping-particle":"","family":"Müller","given":"S. C.","non-dropping-particle":"","parse-names":false,"suffix":""}],"container-title":"Biodiversity and Conservation","id":"ITEM-4","issue":"7","issued":{"date-parts":[["2017","6","16"]]},"note":"ARF is in a worse conservation state than ATF (though SDF is even worse) in SC and RS. Evaluates the beta diversity patterns in the three forest types and how well it's covered by protected areas. ARF ends up in the middle, but species turnover between sites is significant, which means protected areas ideally need to be many and close by. At present they're averaging 201km between them","page":"1557-1568","publisher":"Springer Netherlands","title":"Linking beta diversity patterns to protected areas: lessons from the Brazilian Atlantic Rainforest","type":"article-journal","volume":"26"},"uris":["http://www.mendeley.com/documents/?uuid=263f322a-f778-3397-80ed-9bbf8adf4361"]},{"id":"ITEM-5","itemData":{"DOI":"10.1111/ddi.12984","ISSN":"1366-9516","abstract":"Aim: Elucidate the potential impacts of climate changes on the distribution and con- servation of the multiple habitats of the Mata Atlântica biodiversity hotspot, which are often treated as a unique entity in ecological studies. Location: The whole extension of the South American Atlantic Forest Domain plus forest intrusions into the neighbouring Cerrado and Pampa Domains, which com- prises rain forest (‘core’ habitat) and five environmentally marginal habitats, namely high elevation/latitude forest, rock outcrop habitats, riverine forest, semideciduous forest and restinga woodlands. Time period: Current (2000) and future scenarios (2050 and 2070). Major taxa studied: Tree species. Methods: We modelled the responses of 282 diagnostic tree species, using multiple algorithms and distinct scenarios of climate change (828,234 projections). Results: Potential loss of suitable environment summed 50.4% in semideciduous for- est, 58.6% in riverine forest and 66% in rock outcrop habitats. Predictions for rain forest (12.2%), restinga woodlands (7.6%) and high elevation/latitude forest (5.2%) showed that overall loss of suitable environment will be relatively less severe for these habitats. Habitats that are confined to narrow edaphic conditions, namely rock outcrop habitats and riverine forest, are less studied and will likely suffer the greatest loss of biodiversity because their species are more dispersal limited. Main conclusions: Because these habitats occupy distinct environmental conditions, lumping them in ecological analyses might lead to erroneous interpretations in stud- ies aiming to evaluate the impacts of global change in the Mata Atlântica biodiversity hotspot. This reinforces the importance of our approach and urges for conserva- tion strategies that account for habitat heterogeneity in the Mata Atlântica and other species‐rich environments.","author":[{"dropping-particle":"","family":"Esser","given":"Luíz Fernando","non-dropping-particle":"","parse-names":false,"suffix":""},{"dropping-particle":"","family":"Neves","given":"Danilo M.","non-dropping-particle":"","parse-names":false,"suffix":""},{"dropping-particle":"","family":"Jarenkow","given":"João André","non-dropping-particle":"","parse-names":false,"suffix":""}],"container-title":"Diversity and Distributions","editor":[{"dropping-particle":"","family":"Franklin","given":"Janet","non-dropping-particle":"","parse-names":false,"suffix":""}],"id":"ITEM-5","issue":"12","issued":{"date-parts":[["2019","12","2"]]},"note":"Interesting study modelling the distributions of many many species of different Atlantic Forest habitats in the present and different future scenarios. Interesting stuff to say on the importance of disaggregating the biome, especially when discussing the impacts of climate change, as well as on refugia and conservation. \nI find the results for MOF quite confusing - it's one of the least affected habitats and much of its range is predicted to remain stable. It's also modelled into Uruguay, which seems strange. Maybe it's a function of the 3 Worldclim variables used for all its species, maybe it's a function of my not having looked at enough spp, but I don't really get it.","page":"1846-1856","publisher":"Wiley","title":"Habitat‐specific impacts of climate change in the Mata Atlântica biodiversity hotspot","type":"article-journal","volume":"25"},"uris":["http://www.mendeley.com/documents/?uuid=54096fc0-4a81-3281-b0e7-0aae19d0dbe0"]},{"id":"ITEM-6","itemData":{"DOI":"10.1111/ddi.13116","ISSN":"14724642","abstract":"Aim: We combine phylogenetic and point locality data from selected lineages of the Atlantic Forest flora and fauna to compare spatial patterns of biodiversity sustained by the current configuration of forest remnants to a scenario of complete forest preservation. We then ask the question \"how much biodiversity is likely lost, already\"? Specifically, we assess how habitat loss likely impacted the climatic spaces occupied by the local species, the inferred composition of local communities and the spatial distribution of phylogenetic diversity and endemism. Location: Atlantic Forest, Brazil. Methods: Using carefully curated point localities, phylogenetic data and parameterized models of species distributions, we generate maps of phylogenetic diversity, phylogenetic endemism and phylogenetic turnover for the entire Atlantic Forest. We map patterns of clade-specific diversity under complete preservation of forest and then incorporate present-day deforestation patterns to provide a more realistic scenario. Results: Instead of a singular pattern, three different reoccurring syndromes described the flora and fauna of the Atlantic Forest. These patterns emerged irrespectively of clade age and life history traits. General turnover patterns were highly consistent with previous analyses of species composition and panbiogeographical studies. Deforestation has altered the availability of climatic spaces in the Atlantic Forest, its biological communities and the distribution of evolutionary lineages in space. However, approximately 60% of the pre-Columbian climatic space persists in forest remnants, and today's biological communities are estimated to be 45% similar to pre-deforestation times. Main conclusions: The Atlantic Forest has been reduced to 8% of its once largely continuous range. However, the disproportionately large amounts of climate, community and lineage diversity that persist in remnants provide hope and support for conservation efforts that combine species occurrence and phylogenetic data. Inclusion of evolutionary thinking into strategic approaches to restoring Brazilian ecosystems could further conservation effectiveness by incorporating the adaptive potential of local assemblages in the face of further environmental shifts.","author":[{"dropping-particle":"","family":"Brown","given":"Jason L.","non-dropping-particle":"","parse-names":false,"suffix":""},{"dropping-particle":"","family":"Paz","given":"Andrea","non-dropping-particle":"","parse-names":false,"suffix":""},{"dropping-particle":"","family":"Reginato","given":"Marcelo","non-dropping-particle":"","parse-names":false,"suffix":""},{"dropping-particle":"","family":"Renata","given":"Cecilia Amaro","non-dropping-particle":"","parse-names":false,"suffix":""},{"dropping-particle":"","family":"Assis","given":"Claydson","non-dropping-particle":"","parse-names":false,"suffix":""},{"dropping-particle":"","family":"Lyra","given":"Mariana","non-dropping-particle":"","parse-names":false,"suffix":""},{"dropping-particle":"","family":"Caddah","given":"Mayara K.","non-dropping-particle":"","parse-names":false,"suffix":""},{"dropping-particle":"","family":"Aguirre-Santoro","given":"Julian","non-dropping-particle":"","parse-names":false,"suffix":""},{"dropping-particle":"","family":"d’Horta","given":"Fernando","non-dropping-particle":"","parse-names":false,"suffix":""},{"dropping-particle":"","family":"Raposo do Amaral","given":"Fabio","non-dropping-particle":"","parse-names":false,"suffix":""},{"dropping-particle":"","family":"Goldenberg","given":"Renato","non-dropping-particle":"","parse-names":false,"suffix":""},{"dropping-particle":"","family":"Lucas Silva-Brandão","given":"Karina","non-dropping-particle":"","parse-names":false,"suffix":""},{"dropping-particle":"","family":"Freitas","given":"André Victor Lucci","non-dropping-particle":"","parse-names":false,"suffix":""},{"dropping-particle":"","family":"Rodrigues","given":"Miguel T.","non-dropping-particle":"","parse-names":false,"suffix":""},{"dropping-particle":"","family":"Michelangeli","given":"Fabian A.","non-dropping-particle":"","parse-names":false,"suffix":""},{"dropping-particle":"","family":"Miyaki","given":"Cristina Y.","non-dropping-particle":"","parse-names":false,"suffix":""},{"dropping-particle":"","family":"Carnaval","given":"Ana C.","non-dropping-particle":"","parse-names":false,"suffix":""}],"container-title":"Diversity and Distributions","id":"ITEM-6","issue":"9","issued":{"date-parts":[["2020"]]},"page":"1160-1176","title":"Seeing the forest through many trees: Multi-taxon patterns of phylogenetic diversity in the Atlantic Forest hotspot","type":"article-journal","volume":"26"},"uris":["http://www.mendeley.com/documents/?uuid=80bcfa90-3a81-4194-a688-08cb43073d68"]}],"mendeley":{"formattedCitation":"(Bergamin et al., 2017; Brown et al., 2020; Duarte et al., 2014; Esser et al., 2019; Oliveira-Filho et al., 2014; Oliveira‐Filho and Fontes, 2000)","plainTextFormattedCitation":"(Bergamin et al., 2017; Brown et al., 2020; Duarte et al., 2014; Esser et al., 2019; Oliveira-Filho et al., 2014; Oliveira‐Filho and Fontes, 2000)","previouslyFormattedCitation":"(Bergamin et al., 2017; Brown et al., 2020; Duarte et al., 2014; Esser et al., 2019; Oliveira-Filho et al., 2014; Oliveira‐Filho and Fontes, 2000)"},"properties":{"noteIndex":0},"schema":"https://github.com/citation-style-language/schema/raw/master/csl-citation.json"}</w:instrText>
      </w:r>
      <w:r>
        <w:fldChar w:fldCharType="separate"/>
      </w:r>
      <w:r w:rsidR="005944BB" w:rsidRPr="005944BB">
        <w:rPr>
          <w:noProof/>
          <w:lang w:val="sv-SE"/>
        </w:rPr>
        <w:t>(Bergamin et al., 2017; Brown et al., 2020; Duarte et al., 2014; Esser et al., 2019; Oliveira-Filho et al., 2014; Oliveira‐Filho and Fontes, 2000)</w:t>
      </w:r>
      <w:r>
        <w:fldChar w:fldCharType="end"/>
      </w:r>
      <w:r w:rsidRPr="00A82061">
        <w:rPr>
          <w:lang w:val="sv-SE"/>
        </w:rPr>
        <w:t xml:space="preserve">. </w:t>
      </w:r>
      <w:r w:rsidR="003D0BCF">
        <w:t xml:space="preserve">These characteristics </w:t>
      </w:r>
      <w:r w:rsidR="009D03AB">
        <w:t xml:space="preserve">mean there is </w:t>
      </w:r>
      <w:r w:rsidR="00B627D0">
        <w:t xml:space="preserve">a </w:t>
      </w:r>
      <w:r w:rsidR="009D03AB">
        <w:t xml:space="preserve">significant </w:t>
      </w:r>
      <w:r w:rsidR="00B627D0">
        <w:t>chance</w:t>
      </w:r>
      <w:r w:rsidR="009D03AB">
        <w:t xml:space="preserve"> </w:t>
      </w:r>
      <w:r w:rsidR="000D6B5C">
        <w:t>that any</w:t>
      </w:r>
      <w:r w:rsidR="00156285">
        <w:t xml:space="preserve"> </w:t>
      </w:r>
      <w:r w:rsidR="00E05AF6">
        <w:t>past or future re</w:t>
      </w:r>
      <w:r w:rsidR="009D03AB">
        <w:t>assemb</w:t>
      </w:r>
      <w:r w:rsidR="00E05AF6">
        <w:t>ly</w:t>
      </w:r>
      <w:r w:rsidR="009D03AB">
        <w:t xml:space="preserve"> </w:t>
      </w:r>
      <w:r w:rsidR="00B40720">
        <w:t xml:space="preserve">of these communities </w:t>
      </w:r>
      <w:r w:rsidR="000D6B5C">
        <w:t xml:space="preserve">would </w:t>
      </w:r>
      <w:r w:rsidR="00CB10D5">
        <w:t>be poorly</w:t>
      </w:r>
      <w:r w:rsidR="009D03AB">
        <w:t xml:space="preserve"> captured by modern-day ecosystem classifications</w:t>
      </w:r>
      <w:r w:rsidR="009012EA">
        <w:t>.</w:t>
      </w:r>
      <w:r w:rsidR="000E0394">
        <w:t xml:space="preserve"> I</w:t>
      </w:r>
      <w:r>
        <w:t>t is especially important</w:t>
      </w:r>
      <w:r w:rsidR="00A439BD">
        <w:t>,</w:t>
      </w:r>
      <w:r>
        <w:t xml:space="preserve"> </w:t>
      </w:r>
      <w:r w:rsidR="00A439BD">
        <w:t xml:space="preserve">therefore, </w:t>
      </w:r>
      <w:r>
        <w:t xml:space="preserve">that the effects of </w:t>
      </w:r>
      <w:r w:rsidR="00842E5C">
        <w:t xml:space="preserve">past and future </w:t>
      </w:r>
      <w:r>
        <w:t>climate change on the southern Atlantic Forest are considered at species</w:t>
      </w:r>
      <w:r w:rsidR="000E0394">
        <w:t xml:space="preserve"> </w:t>
      </w:r>
      <w:r>
        <w:t>level</w:t>
      </w:r>
      <w:r w:rsidR="000E0394">
        <w:t xml:space="preserve">, as these potential ‘ecological surprises’ </w:t>
      </w:r>
      <w:r w:rsidR="000E0394">
        <w:fldChar w:fldCharType="begin" w:fldLock="1"/>
      </w:r>
      <w:r w:rsidR="007F330C">
        <w:instrText>ADDIN CSL_CITATION {"citationItems":[{"id":"ITEM-1","itemData":{"DOI":"10.1890/070037","ISSN":"1540-9295","abstract":"No-analog communities (communities that are compositionally unlike any found today) occurred frequently in the past and will develop in the greenhouse world of the future. The well documented no-analog plant communities of late-glacial North America are closely linked to \"novel\" climates also lacking modern analogs, characterized by high seasonality of temperature. In climate simulations for the Intergovernmental Panel on Climate Change A2 and B1 emission scenarios, novel climates arise by 2100 AD, primarily in tropical and subtropical regions. These future novel climates are wanner than any present climates globally, with spatially variable shifts in precipitation, and increase the risk of species reshuffling into future no-analog communities and other ecological surprises. Most ecological models are at least partially parameterized from modern observations and so may fail to accurately predict ecological responses to these novel climates. There is an urgent need to test the robustness of ecological models to climate conditions outside modern experience. © The Ecological Society of America.","author":[{"dropping-particle":"","family":"Williams","given":"John W.","non-dropping-particle":"","parse-names":false,"suffix":""},{"dropping-particle":"","family":"Jackson","given":"Stephen T.","non-dropping-particle":"","parse-names":false,"suffix":""}],"container-title":"Frontiers in Ecology and the Environment","id":"ITEM-1","issue":"9","issued":{"date-parts":[["2007","11","1"]]},"note":"Very quotable article summarising what no-analog communities are, how they arise (no-analog climates) in the past and where they're likely to come about in the future. Important implications for SDMs","page":"475-482","publisher":"Ecological Society of America","title":"Novel climates, no-analog communities, and ecological surprises","type":"article-journal","volume":"5"},"uris":["http://www.mendeley.com/documents/?uuid=4717bd4f-22d8-3b17-8c11-3120e437113d"]}],"mendeley":{"formattedCitation":"(Williams and Jackson, 2007)","plainTextFormattedCitation":"(Williams and Jackson, 2007)","previouslyFormattedCitation":"(Williams and Jackson, 2007)"},"properties":{"noteIndex":0},"schema":"https://github.com/citation-style-language/schema/raw/master/csl-citation.json"}</w:instrText>
      </w:r>
      <w:r w:rsidR="000E0394">
        <w:fldChar w:fldCharType="separate"/>
      </w:r>
      <w:r w:rsidR="005944BB" w:rsidRPr="005944BB">
        <w:rPr>
          <w:noProof/>
        </w:rPr>
        <w:t>(Williams and Jackson, 2007)</w:t>
      </w:r>
      <w:r w:rsidR="000E0394">
        <w:fldChar w:fldCharType="end"/>
      </w:r>
      <w:r w:rsidR="000E0394">
        <w:t xml:space="preserve"> cannot be examined in ecosystem- or biome-level modelling studies</w:t>
      </w:r>
      <w:r w:rsidR="00A439BD">
        <w:t>.</w:t>
      </w:r>
    </w:p>
    <w:p w14:paraId="2445EE55" w14:textId="1D018A54" w:rsidR="00BC5DA6" w:rsidRDefault="00EF5B18" w:rsidP="00F74804">
      <w:pPr>
        <w:spacing w:line="360" w:lineRule="auto"/>
      </w:pPr>
      <w:r>
        <w:t>The present study addresses</w:t>
      </w:r>
      <w:r w:rsidR="009E1D33">
        <w:t xml:space="preserve"> these </w:t>
      </w:r>
      <w:r w:rsidR="004A2B42">
        <w:t xml:space="preserve">limitations in existing proxy and SDM </w:t>
      </w:r>
      <w:r>
        <w:t xml:space="preserve">research </w:t>
      </w:r>
      <w:r w:rsidR="004A2B42">
        <w:t>in the southern Atlantic Forest</w:t>
      </w:r>
      <w:r w:rsidR="00EA0BC7">
        <w:t xml:space="preserve">, </w:t>
      </w:r>
      <w:r w:rsidR="00F83E1F">
        <w:t xml:space="preserve">by </w:t>
      </w:r>
      <w:r w:rsidR="00EA0BC7">
        <w:t xml:space="preserve">providing a species- and community-level </w:t>
      </w:r>
      <w:r w:rsidR="007A0C6B">
        <w:t xml:space="preserve">view of vegetation change </w:t>
      </w:r>
      <w:r w:rsidR="00A61CF1">
        <w:t>throughout the last 21,000 years and into the coming decades</w:t>
      </w:r>
      <w:r w:rsidR="00287202">
        <w:t xml:space="preserve"> through close integration of high </w:t>
      </w:r>
      <w:r w:rsidR="007652ED">
        <w:t>resolution SDM</w:t>
      </w:r>
      <w:r w:rsidR="00650834">
        <w:t xml:space="preserve">s and extensive </w:t>
      </w:r>
      <w:proofErr w:type="spellStart"/>
      <w:r w:rsidR="00650834">
        <w:t>palaeo</w:t>
      </w:r>
      <w:proofErr w:type="spellEnd"/>
      <w:r w:rsidR="00650834">
        <w:t>-data synthesis</w:t>
      </w:r>
      <w:r w:rsidR="003022C5">
        <w:t>. Building SDMs for 30 key species from the region’s princip</w:t>
      </w:r>
      <w:r w:rsidR="000B00F7">
        <w:t>al</w:t>
      </w:r>
      <w:r w:rsidR="003022C5">
        <w:t xml:space="preserve"> ecosystems</w:t>
      </w:r>
      <w:r w:rsidR="000B00F7">
        <w:t xml:space="preserve"> and projecting them </w:t>
      </w:r>
      <w:r w:rsidR="0004011D">
        <w:t xml:space="preserve">in high spatial resolution </w:t>
      </w:r>
      <w:r w:rsidR="000B00F7">
        <w:t xml:space="preserve">across </w:t>
      </w:r>
      <w:r w:rsidR="00664968">
        <w:t>nine</w:t>
      </w:r>
      <w:r w:rsidR="007B2955">
        <w:t xml:space="preserve"> time slices covering </w:t>
      </w:r>
      <w:r w:rsidR="003C27AD">
        <w:t xml:space="preserve">the </w:t>
      </w:r>
      <w:r w:rsidR="002B0590">
        <w:t xml:space="preserve">coming century and </w:t>
      </w:r>
      <w:r w:rsidR="000F3592">
        <w:t xml:space="preserve">the </w:t>
      </w:r>
      <w:r w:rsidR="003C27AD">
        <w:t xml:space="preserve">past </w:t>
      </w:r>
      <w:r w:rsidR="007B2955">
        <w:t>21,000 years</w:t>
      </w:r>
      <w:r w:rsidR="00664968">
        <w:t xml:space="preserve">, we </w:t>
      </w:r>
      <w:r w:rsidR="00473A5F">
        <w:t xml:space="preserve">analyse </w:t>
      </w:r>
      <w:r w:rsidR="002422B9">
        <w:t xml:space="preserve">the changing distributions of </w:t>
      </w:r>
      <w:r w:rsidR="00473A5F">
        <w:t xml:space="preserve">22 </w:t>
      </w:r>
      <w:r w:rsidR="002422B9">
        <w:t>floristic assemblages</w:t>
      </w:r>
      <w:r w:rsidR="004A2B42">
        <w:t xml:space="preserve"> </w:t>
      </w:r>
      <w:r w:rsidR="00812FF9">
        <w:t xml:space="preserve">and </w:t>
      </w:r>
      <w:r w:rsidR="00081B3B">
        <w:t xml:space="preserve">closely </w:t>
      </w:r>
      <w:r w:rsidR="00812FF9">
        <w:t xml:space="preserve">compare our predictions against </w:t>
      </w:r>
      <w:r w:rsidR="00081B3B">
        <w:t xml:space="preserve">67 </w:t>
      </w:r>
      <w:r w:rsidR="00650834">
        <w:t xml:space="preserve">published </w:t>
      </w:r>
      <w:r w:rsidR="003C27AD">
        <w:t xml:space="preserve">vegetation </w:t>
      </w:r>
      <w:r w:rsidR="006457AF">
        <w:t xml:space="preserve">and climate </w:t>
      </w:r>
      <w:r w:rsidR="00081B3B">
        <w:t xml:space="preserve">proxy records. </w:t>
      </w:r>
      <w:r w:rsidR="006C7263">
        <w:t xml:space="preserve">The </w:t>
      </w:r>
      <w:r w:rsidR="00F077D4">
        <w:t xml:space="preserve">unprecedented </w:t>
      </w:r>
      <w:r w:rsidR="00473AA8">
        <w:t xml:space="preserve">scope and </w:t>
      </w:r>
      <w:r w:rsidR="006C7263">
        <w:t xml:space="preserve">granularity of </w:t>
      </w:r>
      <w:r w:rsidR="005266D3">
        <w:t xml:space="preserve">this </w:t>
      </w:r>
      <w:r w:rsidR="00F077D4">
        <w:t xml:space="preserve">combined </w:t>
      </w:r>
      <w:r w:rsidR="005266D3">
        <w:t>approach</w:t>
      </w:r>
      <w:r w:rsidR="001D4DB7">
        <w:t xml:space="preserve"> allows us to</w:t>
      </w:r>
      <w:r w:rsidR="002834F6">
        <w:t xml:space="preserve"> </w:t>
      </w:r>
      <w:r w:rsidR="00C32EFC">
        <w:t xml:space="preserve">comprehensively </w:t>
      </w:r>
      <w:r w:rsidR="001D4DB7">
        <w:t>investigate</w:t>
      </w:r>
      <w:r w:rsidR="00473AA8">
        <w:t xml:space="preserve"> </w:t>
      </w:r>
      <w:r w:rsidR="008A080F">
        <w:t xml:space="preserve">past </w:t>
      </w:r>
      <w:r w:rsidR="00F91697">
        <w:t xml:space="preserve">compositional </w:t>
      </w:r>
      <w:r w:rsidR="008A080F">
        <w:t xml:space="preserve">change in the </w:t>
      </w:r>
      <w:r w:rsidR="00A31457">
        <w:t>southern Atlantic Forest</w:t>
      </w:r>
      <w:r w:rsidR="008A080F">
        <w:t xml:space="preserve">, </w:t>
      </w:r>
      <w:r w:rsidR="00FE2770">
        <w:t>advanc</w:t>
      </w:r>
      <w:r w:rsidR="00C32EFC">
        <w:t>ing</w:t>
      </w:r>
      <w:r w:rsidR="00FE2770">
        <w:t xml:space="preserve"> our understanding </w:t>
      </w:r>
      <w:r w:rsidR="00C32EFC">
        <w:t xml:space="preserve">of when, </w:t>
      </w:r>
      <w:proofErr w:type="gramStart"/>
      <w:r w:rsidR="00C32EFC">
        <w:t>where</w:t>
      </w:r>
      <w:proofErr w:type="gramEnd"/>
      <w:r w:rsidR="00C32EFC">
        <w:t xml:space="preserve"> and </w:t>
      </w:r>
      <w:r w:rsidR="00674385">
        <w:t>how the region’s species and communities responded to past climatic changes</w:t>
      </w:r>
      <w:r w:rsidR="00713F1D">
        <w:t xml:space="preserve"> and providing 21,000 years of context</w:t>
      </w:r>
      <w:r w:rsidR="003C27AD">
        <w:t xml:space="preserve">, spanning the full amplitude of glacial-Holocene climate change, </w:t>
      </w:r>
      <w:r w:rsidR="00F3263B">
        <w:t xml:space="preserve">in which to </w:t>
      </w:r>
      <w:r w:rsidR="003C27AD">
        <w:t>assess</w:t>
      </w:r>
      <w:r w:rsidR="00F3263B">
        <w:t xml:space="preserve"> </w:t>
      </w:r>
      <w:r w:rsidR="006601D5">
        <w:t xml:space="preserve">the </w:t>
      </w:r>
      <w:r w:rsidR="00F615BC">
        <w:t xml:space="preserve">impending </w:t>
      </w:r>
      <w:r w:rsidR="006601D5">
        <w:t xml:space="preserve">impacts of </w:t>
      </w:r>
      <w:r w:rsidR="00F3263B">
        <w:t>21</w:t>
      </w:r>
      <w:r w:rsidR="00F3263B" w:rsidRPr="00F3263B">
        <w:rPr>
          <w:vertAlign w:val="superscript"/>
        </w:rPr>
        <w:t>st</w:t>
      </w:r>
      <w:r w:rsidR="00F3263B">
        <w:t xml:space="preserve">-Century </w:t>
      </w:r>
      <w:r w:rsidR="00EC4917">
        <w:t>anthropogenic climate change.</w:t>
      </w:r>
    </w:p>
    <w:p w14:paraId="6BF3F1BD" w14:textId="6EA76B93" w:rsidR="00053B42" w:rsidRDefault="00F264CA" w:rsidP="00F74804">
      <w:pPr>
        <w:pStyle w:val="Heading1"/>
        <w:numPr>
          <w:ilvl w:val="0"/>
          <w:numId w:val="5"/>
        </w:numPr>
        <w:spacing w:line="360" w:lineRule="auto"/>
      </w:pPr>
      <w:r>
        <w:lastRenderedPageBreak/>
        <w:t>Methods</w:t>
      </w:r>
    </w:p>
    <w:p w14:paraId="43A192EB" w14:textId="7F6894A4" w:rsidR="00157A5D" w:rsidRDefault="004E7E08" w:rsidP="00F74804">
      <w:pPr>
        <w:pStyle w:val="Heading2"/>
        <w:numPr>
          <w:ilvl w:val="1"/>
          <w:numId w:val="5"/>
        </w:numPr>
        <w:spacing w:line="360" w:lineRule="auto"/>
      </w:pPr>
      <w:r>
        <w:t>Overview</w:t>
      </w:r>
    </w:p>
    <w:p w14:paraId="46150AF2" w14:textId="29EC6EB5" w:rsidR="004E7E08" w:rsidRDefault="004E7E08" w:rsidP="00F74804">
      <w:pPr>
        <w:spacing w:line="360" w:lineRule="auto"/>
      </w:pPr>
      <w:r>
        <w:t xml:space="preserve">We </w:t>
      </w:r>
      <w:r w:rsidR="00313D86">
        <w:t>buil</w:t>
      </w:r>
      <w:r w:rsidR="003F13DF">
        <w:t>t</w:t>
      </w:r>
      <w:r w:rsidR="00313D86">
        <w:t xml:space="preserve"> SDMs</w:t>
      </w:r>
      <w:r w:rsidR="00F94E6A">
        <w:t xml:space="preserve"> </w:t>
      </w:r>
      <w:r w:rsidR="00313D86">
        <w:t>for</w:t>
      </w:r>
      <w:r w:rsidR="00F94E6A">
        <w:t xml:space="preserve"> 30 key species from </w:t>
      </w:r>
      <w:r w:rsidR="007857A2">
        <w:t xml:space="preserve">the </w:t>
      </w:r>
      <w:r w:rsidR="00DD5317">
        <w:t xml:space="preserve">southern Atlantic Forest’s </w:t>
      </w:r>
      <w:r w:rsidR="007857A2">
        <w:t>main ecosystems</w:t>
      </w:r>
      <w:r w:rsidR="00E84D5C">
        <w:t>;</w:t>
      </w:r>
      <w:r w:rsidR="00174548">
        <w:t xml:space="preserve"> </w:t>
      </w:r>
      <w:r w:rsidR="00313D86">
        <w:t>project</w:t>
      </w:r>
      <w:r w:rsidR="003F13DF">
        <w:t>ed</w:t>
      </w:r>
      <w:r w:rsidR="00313D86">
        <w:t xml:space="preserve"> these </w:t>
      </w:r>
      <w:r w:rsidR="00BD2DE7">
        <w:t xml:space="preserve">at ca. 800m-resolution </w:t>
      </w:r>
      <w:r w:rsidR="00F94E6A">
        <w:t xml:space="preserve">to </w:t>
      </w:r>
      <w:r w:rsidR="00DF20AE">
        <w:t xml:space="preserve">nine time slices: </w:t>
      </w:r>
      <w:r w:rsidR="00E84D5C">
        <w:t xml:space="preserve">the present day, </w:t>
      </w:r>
      <w:r w:rsidR="005B0A5A">
        <w:t xml:space="preserve">seven </w:t>
      </w:r>
      <w:r w:rsidR="003C27AD">
        <w:t>time slices</w:t>
      </w:r>
      <w:r w:rsidR="0004158E">
        <w:t xml:space="preserve"> </w:t>
      </w:r>
      <w:r w:rsidR="002834F6">
        <w:t xml:space="preserve">at 3,000-year intervals </w:t>
      </w:r>
      <w:r w:rsidR="003C27AD">
        <w:t>since</w:t>
      </w:r>
      <w:r w:rsidR="002834F6">
        <w:t xml:space="preserve"> the LGM</w:t>
      </w:r>
      <w:r w:rsidR="0004158E">
        <w:t>,</w:t>
      </w:r>
      <w:r w:rsidR="005B0A5A">
        <w:t xml:space="preserve"> and </w:t>
      </w:r>
      <w:r w:rsidR="00F2696A">
        <w:t>a climate change scenario</w:t>
      </w:r>
      <w:r w:rsidR="003C27AD">
        <w:t xml:space="preserve"> </w:t>
      </w:r>
      <w:r w:rsidR="000F3592">
        <w:t xml:space="preserve">for the </w:t>
      </w:r>
      <w:r w:rsidR="003C27AD">
        <w:t>2070</w:t>
      </w:r>
      <w:r w:rsidR="000F3592">
        <w:t>s</w:t>
      </w:r>
      <w:r w:rsidR="00E84D5C">
        <w:t>;</w:t>
      </w:r>
      <w:r w:rsidR="00AE799D">
        <w:t xml:space="preserve"> analyse</w:t>
      </w:r>
      <w:r w:rsidR="003F13DF">
        <w:t>d</w:t>
      </w:r>
      <w:r w:rsidR="00AE799D">
        <w:t xml:space="preserve"> species’ co-occurrences (</w:t>
      </w:r>
      <w:proofErr w:type="gramStart"/>
      <w:r w:rsidR="00AE799D">
        <w:t>i.e.</w:t>
      </w:r>
      <w:proofErr w:type="gramEnd"/>
      <w:r w:rsidR="00AE799D">
        <w:t xml:space="preserve"> potential </w:t>
      </w:r>
      <w:r w:rsidR="000E565A">
        <w:t xml:space="preserve">floristic </w:t>
      </w:r>
      <w:r w:rsidR="00AE799D">
        <w:t>assemblages)</w:t>
      </w:r>
      <w:r w:rsidR="00406534">
        <w:t xml:space="preserve"> and their distributions through time</w:t>
      </w:r>
      <w:r w:rsidR="00E84D5C">
        <w:t>;</w:t>
      </w:r>
      <w:r w:rsidR="00406534">
        <w:t xml:space="preserve"> and closely compare</w:t>
      </w:r>
      <w:r w:rsidR="003F13DF">
        <w:t xml:space="preserve">d our </w:t>
      </w:r>
      <w:r w:rsidR="003C27AD">
        <w:t>modelling results with</w:t>
      </w:r>
      <w:r w:rsidR="00406534">
        <w:t xml:space="preserve"> a dense data</w:t>
      </w:r>
      <w:r w:rsidR="00262CF5">
        <w:t>set</w:t>
      </w:r>
      <w:r w:rsidR="00406534">
        <w:t xml:space="preserve"> of </w:t>
      </w:r>
      <w:proofErr w:type="spellStart"/>
      <w:r w:rsidR="00406534">
        <w:t>palaeo</w:t>
      </w:r>
      <w:proofErr w:type="spellEnd"/>
      <w:r w:rsidR="001B5FD5">
        <w:t>-</w:t>
      </w:r>
      <w:r w:rsidR="00406534">
        <w:t>proxy sites</w:t>
      </w:r>
      <w:r w:rsidR="00310538">
        <w:t xml:space="preserve"> (fig. </w:t>
      </w:r>
      <w:r w:rsidR="00AD5705">
        <w:t>2</w:t>
      </w:r>
      <w:r w:rsidR="00310538">
        <w:t>)</w:t>
      </w:r>
      <w:r w:rsidR="00406534">
        <w:t>.</w:t>
      </w:r>
      <w:r w:rsidR="0029173D">
        <w:t xml:space="preserve"> Our study area is located between 25-30</w:t>
      </w:r>
      <w:r w:rsidR="0029173D">
        <w:rPr>
          <w:vertAlign w:val="superscript"/>
        </w:rPr>
        <w:t>o</w:t>
      </w:r>
      <w:r w:rsidR="0029173D">
        <w:t>S</w:t>
      </w:r>
      <w:r w:rsidR="007857A2">
        <w:t>, covering the southern ext</w:t>
      </w:r>
      <w:r w:rsidR="00262CF5">
        <w:t>ent</w:t>
      </w:r>
      <w:r w:rsidR="007857A2">
        <w:t xml:space="preserve"> of the Atlantic Forest biome</w:t>
      </w:r>
      <w:r w:rsidR="00174548">
        <w:t>.</w:t>
      </w:r>
    </w:p>
    <w:p w14:paraId="77BF4C12" w14:textId="653CE71B" w:rsidR="00E23C73" w:rsidRDefault="00E23C73" w:rsidP="00F74804">
      <w:pPr>
        <w:spacing w:line="360" w:lineRule="auto"/>
      </w:pPr>
      <w:r>
        <w:t xml:space="preserve">In this study, we use a ‘predict-then-assemble’ distribution modelling approach </w:t>
      </w:r>
      <w:r>
        <w:fldChar w:fldCharType="begin" w:fldLock="1"/>
      </w:r>
      <w:r w:rsidR="00B91DA7">
        <w:instrText>ADDIN CSL_CITATION {"citationItems":[{"id":"ITEM-1","itemData":{"DOI":"10.1111/2041-210X.12936","ISSN":"2041-210X","abstract":"Community-level models (CLMs) consider multiple, co-occurring species in model fitting and are lesser known alternatives to species distribution models (SDMs) for analysing and predicting biodiversity patterns. Community-level models simultaneously model multiple species, including rare species, while reducing overfitting and implicitly considering drivers of co-occurrence. Many CLMs are direct extensions of well-known SDMs and therefore should be familiar to ecologists. However, CLMs remain underutilized, and there have been few tests of their potential benefits and no systematic reviews of their assumptions and implementations. Here, we review this emerging field and provide examples in r to fit common CLMs. Our goal is to introduce CLMs to a broader audience, and discuss their attributes, benefits and limitations relative to SDMs. We review (1) statistical implementations and applications of CLMs, (2) their advantages and limitations, and (3) comparative analyses of CLMs and SDMs. We also suggest directions for future research. We identify seven CLM algorithms with similar data structures and predictive outputs as SDMs that should be most accessible to ecologists familiar with species-level modelling, including five methods that predict assemblage composition and individual species distributions and two methods that model compositional turnover along environmental gradients. Community-level models have been applied to numerous taxa, regions, and spatial scales, and a variety of topics (e.g. studying drivers of community structure or assessing relationships between community composition and functional traits). Studies suggest that the relative benefits of CLMs and SDMs may be case specific, especially in terms of predicting species distributions and community composition. However, CLMs may offer advantages in terms of computational efficiency, modelling rare species, and projecting to no-analog climates. A major shortcoming of CLMs is their reliance on presence–absence community composition data. Studies are needed to assess the relative merits of SDMs and CLMs, and different CLM algorithms, with a focus on three key areas: (1) under which circumstances CLMs improve predictions for rare species, (2) how CLMs perform under different community compositions (e.g. relative abundance of rare vs. common species), including the extent to which co-occurrence patterns are structured by biotic interactions, and (3) ability to project across time/space.","author":[{"dropping-particle":"","family":"Nieto‐Lugilde","given":"Diego","non-dropping-particle":"","parse-names":false,"suffix":""},{"dropping-particle":"","family":"Maguire","given":"Kaitlin C.","non-dropping-particle":"","parse-names":false,"suffix":""},{"dropping-particle":"","family":"Blois","given":"Jessica L.","non-dropping-particle":"","parse-names":false,"suffix":""},{"dropping-particle":"","family":"Williams","given":"John W.","non-dropping-particle":"","parse-names":false,"suffix":""},{"dropping-particle":"","family":"Fitzpatrick","given":"Matthew C.","non-dropping-particle":"","parse-names":false,"suffix":""}],"container-title":"Methods in Ecology and Evolution","editor":[{"dropping-particle":"","family":"Peres‐Neto","given":"Pedro","non-dropping-particle":"","parse-names":false,"suffix":""}],"id":"ITEM-1","issue":"4","issued":{"date-parts":[["2018","4","11"]]},"note":"Summary of community-level models (~= jSDMs, multispecies models) and normal SDMs. Useful overview of what they are and how they work, with example R codes in appendix. CLMs currently need presence-absence data for all points, and it's not clear how much better they are than SDMs, but they could be better under a fair few circumstances. Worth looking at.","page":"834-848","title":"Multiresponse algorithms for community‐level modelling: Review of theory, applications, and comparison to species distribution models","type":"article-journal","volume":"9"},"prefix":"sensu","uris":["http://www.mendeley.com/documents/?uuid=bcc00ce1-2696-4a6b-b8c7-835c71e0867f"]}],"mendeley":{"formattedCitation":"(sensu Nieto‐Lugilde et al., 2018)","plainTextFormattedCitation":"(sensu Nieto‐Lugilde et al., 2018)","previouslyFormattedCitation":"(sensu Nieto‐Lugilde et al., 2018)"},"properties":{"noteIndex":0},"schema":"https://github.com/citation-style-language/schema/raw/master/csl-citation.json"}</w:instrText>
      </w:r>
      <w:r>
        <w:fldChar w:fldCharType="separate"/>
      </w:r>
      <w:r w:rsidRPr="004C252C">
        <w:rPr>
          <w:noProof/>
        </w:rPr>
        <w:t>(sensu Nieto‐Lugilde et al., 2018)</w:t>
      </w:r>
      <w:r>
        <w:fldChar w:fldCharType="end"/>
      </w:r>
      <w:r>
        <w:t>, modelling the distribution</w:t>
      </w:r>
      <w:r w:rsidR="00CC108F">
        <w:t>s</w:t>
      </w:r>
      <w:r>
        <w:t xml:space="preserve"> of each species independently before combining them into </w:t>
      </w:r>
      <w:r w:rsidR="004B463A">
        <w:t>potential floristic assemblages</w:t>
      </w:r>
      <w:r w:rsidR="00A64854">
        <w:t xml:space="preserve"> (see sections 2.4 and 2.5)</w:t>
      </w:r>
      <w:r>
        <w:t>.</w:t>
      </w:r>
      <w:r w:rsidR="004B463A">
        <w:t xml:space="preserve"> </w:t>
      </w:r>
      <w:r w:rsidR="00D657FE">
        <w:t>B</w:t>
      </w:r>
      <w:r w:rsidR="00010B2A">
        <w:t>ecause it</w:t>
      </w:r>
      <w:r w:rsidR="00D657FE">
        <w:t xml:space="preserve"> </w:t>
      </w:r>
      <w:r w:rsidR="009C5451">
        <w:t>allow</w:t>
      </w:r>
      <w:r w:rsidR="00010B2A">
        <w:t>s</w:t>
      </w:r>
      <w:r w:rsidR="009C5451">
        <w:t xml:space="preserve"> </w:t>
      </w:r>
      <w:r w:rsidR="000A37A9">
        <w:t xml:space="preserve">for more realistic </w:t>
      </w:r>
      <w:r w:rsidR="009C5451">
        <w:t xml:space="preserve">compositional changes through time </w:t>
      </w:r>
      <w:r w:rsidR="006C4CCA">
        <w:t>– including the development of assemblages without modern analogue – t</w:t>
      </w:r>
      <w:r w:rsidR="00F96212">
        <w:t xml:space="preserve">his </w:t>
      </w:r>
      <w:r w:rsidR="000A37A9">
        <w:t xml:space="preserve">method </w:t>
      </w:r>
      <w:r w:rsidR="00010B2A">
        <w:t xml:space="preserve">is preferable to </w:t>
      </w:r>
      <w:r w:rsidR="00E66B4A">
        <w:t xml:space="preserve">the ‘assemble-then-predict’ approach commonly used in previous </w:t>
      </w:r>
      <w:r w:rsidR="00B91DA7">
        <w:t xml:space="preserve">modelling </w:t>
      </w:r>
      <w:r w:rsidR="00E66B4A">
        <w:t xml:space="preserve">studies </w:t>
      </w:r>
      <w:r w:rsidR="00B91DA7">
        <w:t xml:space="preserve">focusing on the Atlantic Forest </w:t>
      </w:r>
      <w:r w:rsidR="00B91DA7">
        <w:fldChar w:fldCharType="begin" w:fldLock="1"/>
      </w:r>
      <w:r w:rsidR="00705C8D">
        <w:instrText>ADDIN CSL_CITATION {"citationItems":[{"id":"ITEM-1","itemData":{"DOI":"10.1111/2041-210X.12936","ISSN":"2041-210X","abstract":"Community-level models (CLMs) consider multiple, co-occurring species in model fitting and are lesser known alternatives to species distribution models (SDMs) for analysing and predicting biodiversity patterns. Community-level models simultaneously model multiple species, including rare species, while reducing overfitting and implicitly considering drivers of co-occurrence. Many CLMs are direct extensions of well-known SDMs and therefore should be familiar to ecologists. However, CLMs remain underutilized, and there have been few tests of their potential benefits and no systematic reviews of their assumptions and implementations. Here, we review this emerging field and provide examples in r to fit common CLMs. Our goal is to introduce CLMs to a broader audience, and discuss their attributes, benefits and limitations relative to SDMs. We review (1) statistical implementations and applications of CLMs, (2) their advantages and limitations, and (3) comparative analyses of CLMs and SDMs. We also suggest directions for future research. We identify seven CLM algorithms with similar data structures and predictive outputs as SDMs that should be most accessible to ecologists familiar with species-level modelling, including five methods that predict assemblage composition and individual species distributions and two methods that model compositional turnover along environmental gradients. Community-level models have been applied to numerous taxa, regions, and spatial scales, and a variety of topics (e.g. studying drivers of community structure or assessing relationships between community composition and functional traits). Studies suggest that the relative benefits of CLMs and SDMs may be case specific, especially in terms of predicting species distributions and community composition. However, CLMs may offer advantages in terms of computational efficiency, modelling rare species, and projecting to no-analog climates. A major shortcoming of CLMs is their reliance on presence–absence community composition data. Studies are needed to assess the relative merits of SDMs and CLMs, and different CLM algorithms, with a focus on three key areas: (1) under which circumstances CLMs improve predictions for rare species, (2) how CLMs perform under different community compositions (e.g. relative abundance of rare vs. common species), including the extent to which co-occurrence patterns are structured by biotic interactions, and (3) ability to project across time/space.","author":[{"dropping-particle":"","family":"Nieto‐Lugilde","given":"Diego","non-dropping-particle":"","parse-names":false,"suffix":""},{"dropping-particle":"","family":"Maguire","given":"Kaitlin C.","non-dropping-particle":"","parse-names":false,"suffix":""},{"dropping-particle":"","family":"Blois","given":"Jessica L.","non-dropping-particle":"","parse-names":false,"suffix":""},{"dropping-particle":"","family":"Williams","given":"John W.","non-dropping-particle":"","parse-names":false,"suffix":""},{"dropping-particle":"","family":"Fitzpatrick","given":"Matthew C.","non-dropping-particle":"","parse-names":false,"suffix":""}],"container-title":"Methods in Ecology and Evolution","editor":[{"dropping-particle":"","family":"Peres‐Neto","given":"Pedro","non-dropping-particle":"","parse-names":false,"suffix":""}],"id":"ITEM-1","issue":"4","issued":{"date-parts":[["2018","4","11"]]},"note":"Summary of community-level models (~= jSDMs, multispecies models) and normal SDMs. Useful overview of what they are and how they work, with example R codes in appendix. CLMs currently need presence-absence data for all points, and it's not clear how much better they are than SDMs, but they could be better under a fair few circumstances. Worth looking at.","page":"834-848","title":"Multiresponse algorithms for community‐level modelling: Review of theory, applications, and comparison to species distribution models","type":"article-journal","volume":"9"},"prefix":"see section 1;","uris":["http://www.mendeley.com/documents/?uuid=bcc00ce1-2696-4a6b-b8c7-835c71e0867f"]}],"mendeley":{"formattedCitation":"(see section 1; Nieto‐Lugilde et al., 2018)","plainTextFormattedCitation":"(see section 1; Nieto‐Lugilde et al., 2018)","previouslyFormattedCitation":"(see section 1; Nieto‐Lugilde et al., 2018)"},"properties":{"noteIndex":0},"schema":"https://github.com/citation-style-language/schema/raw/master/csl-citation.json"}</w:instrText>
      </w:r>
      <w:r w:rsidR="00B91DA7">
        <w:fldChar w:fldCharType="separate"/>
      </w:r>
      <w:r w:rsidR="00B91DA7" w:rsidRPr="00B91DA7">
        <w:rPr>
          <w:noProof/>
        </w:rPr>
        <w:t>(see section 1; Nieto‐Lugilde et al., 2018)</w:t>
      </w:r>
      <w:r w:rsidR="00B91DA7">
        <w:fldChar w:fldCharType="end"/>
      </w:r>
      <w:r w:rsidR="000A37A9">
        <w:t>. An alternative approach</w:t>
      </w:r>
      <w:r w:rsidR="00392919">
        <w:t xml:space="preserve"> would be to use community-level </w:t>
      </w:r>
      <w:r w:rsidR="00705C8D">
        <w:t xml:space="preserve">‘assemble-and-predict-together’ </w:t>
      </w:r>
      <w:r w:rsidR="00392919">
        <w:t>models</w:t>
      </w:r>
      <w:r w:rsidR="00705C8D">
        <w:t xml:space="preserve"> </w:t>
      </w:r>
      <w:r w:rsidR="00705C8D">
        <w:fldChar w:fldCharType="begin" w:fldLock="1"/>
      </w:r>
      <w:r w:rsidR="008F4415">
        <w:instrText>ADDIN CSL_CITATION {"citationItems":[{"id":"ITEM-1","itemData":{"DOI":"10.1111/2041-210X.12936","ISSN":"2041-210X","abstract":"Community-level models (CLMs) consider multiple, co-occurring species in model fitting and are lesser known alternatives to species distribution models (SDMs) for analysing and predicting biodiversity patterns. Community-level models simultaneously model multiple species, including rare species, while reducing overfitting and implicitly considering drivers of co-occurrence. Many CLMs are direct extensions of well-known SDMs and therefore should be familiar to ecologists. However, CLMs remain underutilized, and there have been few tests of their potential benefits and no systematic reviews of their assumptions and implementations. Here, we review this emerging field and provide examples in r to fit common CLMs. Our goal is to introduce CLMs to a broader audience, and discuss their attributes, benefits and limitations relative to SDMs. We review (1) statistical implementations and applications of CLMs, (2) their advantages and limitations, and (3) comparative analyses of CLMs and SDMs. We also suggest directions for future research. We identify seven CLM algorithms with similar data structures and predictive outputs as SDMs that should be most accessible to ecologists familiar with species-level modelling, including five methods that predict assemblage composition and individual species distributions and two methods that model compositional turnover along environmental gradients. Community-level models have been applied to numerous taxa, regions, and spatial scales, and a variety of topics (e.g. studying drivers of community structure or assessing relationships between community composition and functional traits). Studies suggest that the relative benefits of CLMs and SDMs may be case specific, especially in terms of predicting species distributions and community composition. However, CLMs may offer advantages in terms of computational efficiency, modelling rare species, and projecting to no-analog climates. A major shortcoming of CLMs is their reliance on presence–absence community composition data. Studies are needed to assess the relative merits of SDMs and CLMs, and different CLM algorithms, with a focus on three key areas: (1) under which circumstances CLMs improve predictions for rare species, (2) how CLMs perform under different community compositions (e.g. relative abundance of rare vs. common species), including the extent to which co-occurrence patterns are structured by biotic interactions, and (3) ability to project across time/space.","author":[{"dropping-particle":"","family":"Nieto‐Lugilde","given":"Diego","non-dropping-particle":"","parse-names":false,"suffix":""},{"dropping-particle":"","family":"Maguire","given":"Kaitlin C.","non-dropping-particle":"","parse-names":false,"suffix":""},{"dropping-particle":"","family":"Blois","given":"Jessica L.","non-dropping-particle":"","parse-names":false,"suffix":""},{"dropping-particle":"","family":"Williams","given":"John W.","non-dropping-particle":"","parse-names":false,"suffix":""},{"dropping-particle":"","family":"Fitzpatrick","given":"Matthew C.","non-dropping-particle":"","parse-names":false,"suffix":""}],"container-title":"Methods in Ecology and Evolution","editor":[{"dropping-particle":"","family":"Peres‐Neto","given":"Pedro","non-dropping-particle":"","parse-names":false,"suffix":""}],"id":"ITEM-1","issue":"4","issued":{"date-parts":[["2018","4","11"]]},"note":"Summary of community-level models (~= jSDMs, multispecies models) and normal SDMs. Useful overview of what they are and how they work, with example R codes in appendix. CLMs currently need presence-absence data for all points, and it's not clear how much better they are than SDMs, but they could be better under a fair few circumstances. Worth looking at.","page":"834-848","title":"Multiresponse algorithms for community‐level modelling: Review of theory, applications, and comparison to species distribution models","type":"article-journal","volume":"9"},"uris":["http://www.mendeley.com/documents/?uuid=bcc00ce1-2696-4a6b-b8c7-835c71e0867f"]}],"mendeley":{"formattedCitation":"(Nieto‐Lugilde et al., 2018)","plainTextFormattedCitation":"(Nieto‐Lugilde et al., 2018)","previouslyFormattedCitation":"(Nieto‐Lugilde et al., 2018)"},"properties":{"noteIndex":0},"schema":"https://github.com/citation-style-language/schema/raw/master/csl-citation.json"}</w:instrText>
      </w:r>
      <w:r w:rsidR="00705C8D">
        <w:fldChar w:fldCharType="separate"/>
      </w:r>
      <w:r w:rsidR="00705C8D" w:rsidRPr="00705C8D">
        <w:rPr>
          <w:noProof/>
        </w:rPr>
        <w:t>(Nieto‐Lugilde et al., 2018)</w:t>
      </w:r>
      <w:r w:rsidR="00705C8D">
        <w:fldChar w:fldCharType="end"/>
      </w:r>
      <w:r w:rsidR="00CF7FC4">
        <w:t>.</w:t>
      </w:r>
      <w:r w:rsidR="00A33D33">
        <w:t xml:space="preserve"> </w:t>
      </w:r>
      <w:r w:rsidR="00CF7FC4">
        <w:t>L</w:t>
      </w:r>
      <w:r w:rsidR="007D35C5">
        <w:t xml:space="preserve">ike </w:t>
      </w:r>
      <w:r w:rsidR="00705C8D">
        <w:t>our stacked SDM</w:t>
      </w:r>
      <w:r w:rsidR="007D35C5">
        <w:t xml:space="preserve"> method</w:t>
      </w:r>
      <w:r w:rsidR="00A33D33">
        <w:t xml:space="preserve">, </w:t>
      </w:r>
      <w:r w:rsidR="00CF7FC4">
        <w:t xml:space="preserve">these </w:t>
      </w:r>
      <w:r w:rsidR="00F44755">
        <w:t xml:space="preserve">models reproduce important </w:t>
      </w:r>
      <w:r w:rsidR="008B0034">
        <w:t xml:space="preserve">compositional </w:t>
      </w:r>
      <w:r w:rsidR="00F44755">
        <w:t>changes across time and space</w:t>
      </w:r>
      <w:r w:rsidR="008B0034">
        <w:t xml:space="preserve">, </w:t>
      </w:r>
      <w:r w:rsidR="00F44755">
        <w:t>but they</w:t>
      </w:r>
      <w:r w:rsidR="008B0034">
        <w:t xml:space="preserve"> require </w:t>
      </w:r>
      <w:r w:rsidR="00823C20">
        <w:t xml:space="preserve">co-occurrence </w:t>
      </w:r>
      <w:r w:rsidR="0064464D">
        <w:t xml:space="preserve">or presence/true absence </w:t>
      </w:r>
      <w:r w:rsidR="00823C20">
        <w:t xml:space="preserve">data for all species at all </w:t>
      </w:r>
      <w:r w:rsidR="0064464D">
        <w:t>localities – data which are</w:t>
      </w:r>
      <w:r w:rsidR="00C27CB7">
        <w:t xml:space="preserve"> scarce in the tropics</w:t>
      </w:r>
      <w:r w:rsidR="0064464D">
        <w:t>.</w:t>
      </w:r>
      <w:r w:rsidR="00CB514B">
        <w:t xml:space="preserve"> A</w:t>
      </w:r>
      <w:r w:rsidR="00363C13">
        <w:t>d</w:t>
      </w:r>
      <w:r w:rsidR="00CB514B">
        <w:t>d</w:t>
      </w:r>
      <w:r w:rsidR="00363C13">
        <w:t>itionally</w:t>
      </w:r>
      <w:r w:rsidR="00CB514B">
        <w:t xml:space="preserve">, while they do </w:t>
      </w:r>
      <w:r w:rsidR="00DD13F2">
        <w:t>present</w:t>
      </w:r>
      <w:r w:rsidR="00CB514B">
        <w:t xml:space="preserve"> some </w:t>
      </w:r>
      <w:r w:rsidR="00DD13F2">
        <w:t>modest</w:t>
      </w:r>
      <w:r w:rsidR="0011738D">
        <w:t xml:space="preserve"> computational </w:t>
      </w:r>
      <w:r w:rsidR="00CB514B">
        <w:t>advantages</w:t>
      </w:r>
      <w:r w:rsidR="008F4415">
        <w:t>,</w:t>
      </w:r>
      <w:r w:rsidR="00CB514B">
        <w:t xml:space="preserve"> </w:t>
      </w:r>
      <w:r w:rsidR="004A267B">
        <w:t>the approach used here</w:t>
      </w:r>
      <w:r w:rsidR="003677BC">
        <w:t xml:space="preserve"> produces </w:t>
      </w:r>
      <w:r w:rsidR="004A267B">
        <w:t xml:space="preserve">comparably accurate predictions to community-level models </w:t>
      </w:r>
      <w:r w:rsidR="008F4415">
        <w:fldChar w:fldCharType="begin" w:fldLock="1"/>
      </w:r>
      <w:r w:rsidR="0049355A">
        <w:instrText>ADDIN CSL_CITATION {"citationItems":[{"id":"ITEM-1","itemData":{"DOI":"10.1111/2041-210X.12936","ISSN":"2041-210X","abstract":"Community-level models (CLMs) consider multiple, co-occurring species in model fitting and are lesser known alternatives to species distribution models (SDMs) for analysing and predicting biodiversity patterns. Community-level models simultaneously model multiple species, including rare species, while reducing overfitting and implicitly considering drivers of co-occurrence. Many CLMs are direct extensions of well-known SDMs and therefore should be familiar to ecologists. However, CLMs remain underutilized, and there have been few tests of their potential benefits and no systematic reviews of their assumptions and implementations. Here, we review this emerging field and provide examples in r to fit common CLMs. Our goal is to introduce CLMs to a broader audience, and discuss their attributes, benefits and limitations relative to SDMs. We review (1) statistical implementations and applications of CLMs, (2) their advantages and limitations, and (3) comparative analyses of CLMs and SDMs. We also suggest directions for future research. We identify seven CLM algorithms with similar data structures and predictive outputs as SDMs that should be most accessible to ecologists familiar with species-level modelling, including five methods that predict assemblage composition and individual species distributions and two methods that model compositional turnover along environmental gradients. Community-level models have been applied to numerous taxa, regions, and spatial scales, and a variety of topics (e.g. studying drivers of community structure or assessing relationships between community composition and functional traits). Studies suggest that the relative benefits of CLMs and SDMs may be case specific, especially in terms of predicting species distributions and community composition. However, CLMs may offer advantages in terms of computational efficiency, modelling rare species, and projecting to no-analog climates. A major shortcoming of CLMs is their reliance on presence–absence community composition data. Studies are needed to assess the relative merits of SDMs and CLMs, and different CLM algorithms, with a focus on three key areas: (1) under which circumstances CLMs improve predictions for rare species, (2) how CLMs perform under different community compositions (e.g. relative abundance of rare vs. common species), including the extent to which co-occurrence patterns are structured by biotic interactions, and (3) ability to project across time/space.","author":[{"dropping-particle":"","family":"Nieto‐Lugilde","given":"Diego","non-dropping-particle":"","parse-names":false,"suffix":""},{"dropping-particle":"","family":"Maguire","given":"Kaitlin C.","non-dropping-particle":"","parse-names":false,"suffix":""},{"dropping-particle":"","family":"Blois","given":"Jessica L.","non-dropping-particle":"","parse-names":false,"suffix":""},{"dropping-particle":"","family":"Williams","given":"John W.","non-dropping-particle":"","parse-names":false,"suffix":""},{"dropping-particle":"","family":"Fitzpatrick","given":"Matthew C.","non-dropping-particle":"","parse-names":false,"suffix":""}],"container-title":"Methods in Ecology and Evolution","editor":[{"dropping-particle":"","family":"Peres‐Neto","given":"Pedro","non-dropping-particle":"","parse-names":false,"suffix":""}],"id":"ITEM-1","issue":"4","issued":{"date-parts":[["2018","4","11"]]},"note":"Summary of community-level models (~= jSDMs, multispecies models) and normal SDMs. Useful overview of what they are and how they work, with example R codes in appendix. CLMs currently need presence-absence data for all points, and it's not clear how much better they are than SDMs, but they could be better under a fair few circumstances. Worth looking at.","page":"834-848","title":"Multiresponse algorithms for community‐level modelling: Review of theory, applications, and comparison to species distribution models","type":"article-journal","volume":"9"},"prefix":"reviewed by","uris":["http://www.mendeley.com/documents/?uuid=bcc00ce1-2696-4a6b-b8c7-835c71e0867f"]},{"id":"ITEM-2","itemData":{"DOI":"10.1098/rspb.2015.2817","ISSN":"0962-8452","abstract":"Species distribution models (SDMs) assume species exist in isolation and do not influence one another's distributions, thus potentially limiting their ability to predict biodiversity patterns. Community-level models (CLMs) capitalize on species co-occurrences to fit shared environmental responses of species and communities, and therefore may result in more robust and transferable models. Here, we conduct a controlled comparison of five paired SDMs and CLMs across changing climates, using palaeoclimatic simulations and fossil-pollen records of eastern North America for the past 21 000 years. Both SDMs and CLMs performed poorly when projected to time periods that are temporally distant and climatically dissimilar from those in which they were fit; however, CLMs generally outperformed SDMs in these instances, especially when models were fit with sparse calibration datasets. Additionally, CLMs did not over-fit training data, unlike SDMs. The expected emergence of novel climates presents a major forecasting challenge for all models, but CLMs may better rise to this challenge by borrowing information from co-occurring taxa.","author":[{"dropping-particle":"","family":"Maguire","given":"Kaitlin C","non-dropping-particle":"","parse-names":false,"suffix":""},{"dropping-particle":"","family":"Nieto-Lugilde","given":"Diego","non-dropping-particle":"","parse-names":false,"suffix":""},{"dropping-particle":"","family":"Blois","given":"Jessica L","non-dropping-particle":"","parse-names":false,"suffix":""},{"dropping-particle":"","family":"Fitzpatrick","given":"Matthew C","non-dropping-particle":"","parse-names":false,"suffix":""},{"dropping-particle":"","family":"Williams","given":"John W","non-dropping-particle":"","parse-names":false,"suffix":""},{"dropping-particle":"","family":"Ferrier","given":"Simon","non-dropping-particle":"","parse-names":false,"suffix":""},{"dropping-particle":"","family":"Lorenz","given":"David J","non-dropping-particle":"","parse-names":false,"suffix":""}],"container-title":"Proceedings of the Royal Society B: Biological Sciences","id":"ITEM-2","issue":"1826","issued":{"date-parts":[["2016","3","16"]]},"note":"Study directly comparing SDMs and CLMs using fossil pollen data from North America. Well summed up in the abstract and in the conclusion - effectively, there's little consistent difference between them, but CLMs don't really struggle to do novel/no-analogue communities/climates, and may even do them slightly better than SDMs. Therefore worth exploring more.","page":"20152817","title":"Controlled comparison of species- and community-level models across novel climates and communities","type":"article-journal","volume":"283"},"prefix":"tested by","uris":["http://www.mendeley.com/documents/?uuid=8f545e1f-13ad-37b9-80b6-ef222bf0a72f"]}],"mendeley":{"formattedCitation":"(tested by Maguire et al., 2016; reviewed by Nieto‐Lugilde et al., 2018)","plainTextFormattedCitation":"(tested by Maguire et al., 2016; reviewed by Nieto‐Lugilde et al., 2018)","previouslyFormattedCitation":"(tested by Maguire et al., 2016; reviewed by Nieto‐Lugilde et al., 2018)"},"properties":{"noteIndex":0},"schema":"https://github.com/citation-style-language/schema/raw/master/csl-citation.json"}</w:instrText>
      </w:r>
      <w:r w:rsidR="008F4415">
        <w:fldChar w:fldCharType="separate"/>
      </w:r>
      <w:r w:rsidR="008F4415" w:rsidRPr="008F4415">
        <w:rPr>
          <w:noProof/>
        </w:rPr>
        <w:t>(tested by Maguire et al., 2016; reviewed by Nieto‐Lugilde et al., 2018)</w:t>
      </w:r>
      <w:r w:rsidR="008F4415">
        <w:fldChar w:fldCharType="end"/>
      </w:r>
      <w:r w:rsidR="0011738D">
        <w:t>.</w:t>
      </w:r>
    </w:p>
    <w:p w14:paraId="2299AFBE" w14:textId="35C0A21A" w:rsidR="00310538" w:rsidRDefault="00310538" w:rsidP="00F74804">
      <w:pPr>
        <w:spacing w:line="360" w:lineRule="auto"/>
      </w:pPr>
      <w:r>
        <w:rPr>
          <w:noProof/>
        </w:rPr>
        <w:drawing>
          <wp:inline distT="0" distB="0" distL="0" distR="0" wp14:anchorId="56DB54EB" wp14:editId="061FC0B8">
            <wp:extent cx="5731510" cy="2339340"/>
            <wp:effectExtent l="0" t="0" r="2540" b="381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5731510" cy="2339340"/>
                    </a:xfrm>
                    <a:prstGeom prst="rect">
                      <a:avLst/>
                    </a:prstGeom>
                  </pic:spPr>
                </pic:pic>
              </a:graphicData>
            </a:graphic>
          </wp:inline>
        </w:drawing>
      </w:r>
    </w:p>
    <w:p w14:paraId="3A179829" w14:textId="3B279D88" w:rsidR="00310538" w:rsidRPr="005C1764" w:rsidRDefault="00310538" w:rsidP="00F74804">
      <w:pPr>
        <w:spacing w:line="360" w:lineRule="auto"/>
        <w:rPr>
          <w:i/>
          <w:iCs/>
        </w:rPr>
      </w:pPr>
      <w:r w:rsidRPr="005C1764">
        <w:rPr>
          <w:i/>
          <w:iCs/>
        </w:rPr>
        <w:t xml:space="preserve">Fig. </w:t>
      </w:r>
      <w:r w:rsidR="00AD5705" w:rsidRPr="005C1764">
        <w:rPr>
          <w:i/>
          <w:iCs/>
        </w:rPr>
        <w:t>2</w:t>
      </w:r>
      <w:r w:rsidRPr="005C1764">
        <w:rPr>
          <w:i/>
          <w:iCs/>
        </w:rPr>
        <w:t xml:space="preserve">: conceptual </w:t>
      </w:r>
      <w:r w:rsidR="001C7501" w:rsidRPr="005C1764">
        <w:rPr>
          <w:i/>
          <w:iCs/>
        </w:rPr>
        <w:t>overview of this study</w:t>
      </w:r>
      <w:r w:rsidR="008D5B91" w:rsidRPr="005C1764">
        <w:rPr>
          <w:i/>
          <w:iCs/>
        </w:rPr>
        <w:t xml:space="preserve"> showing i</w:t>
      </w:r>
      <w:r w:rsidR="001C7501" w:rsidRPr="005C1764">
        <w:rPr>
          <w:i/>
          <w:iCs/>
        </w:rPr>
        <w:t xml:space="preserve">nput data </w:t>
      </w:r>
      <w:r w:rsidR="008D5B91" w:rsidRPr="005C1764">
        <w:rPr>
          <w:i/>
          <w:iCs/>
        </w:rPr>
        <w:t>(</w:t>
      </w:r>
      <w:r w:rsidR="001C7501" w:rsidRPr="005C1764">
        <w:rPr>
          <w:i/>
          <w:iCs/>
        </w:rPr>
        <w:t>light grey</w:t>
      </w:r>
      <w:r w:rsidR="008D5B91" w:rsidRPr="005C1764">
        <w:rPr>
          <w:i/>
          <w:iCs/>
        </w:rPr>
        <w:t>)</w:t>
      </w:r>
      <w:r w:rsidR="001C7501" w:rsidRPr="005C1764">
        <w:rPr>
          <w:i/>
          <w:iCs/>
        </w:rPr>
        <w:t xml:space="preserve">, generated outputs </w:t>
      </w:r>
      <w:r w:rsidR="008D5B91" w:rsidRPr="005C1764">
        <w:rPr>
          <w:i/>
          <w:iCs/>
        </w:rPr>
        <w:t>(mid grey)</w:t>
      </w:r>
      <w:r w:rsidR="004148CD">
        <w:rPr>
          <w:i/>
          <w:iCs/>
        </w:rPr>
        <w:t>,</w:t>
      </w:r>
      <w:r w:rsidR="008D5B91" w:rsidRPr="005C1764">
        <w:rPr>
          <w:i/>
          <w:iCs/>
        </w:rPr>
        <w:t xml:space="preserve"> and data for model intercomparisons (dark grey). </w:t>
      </w:r>
      <w:r w:rsidR="00A9562D" w:rsidRPr="005C1764">
        <w:rPr>
          <w:i/>
          <w:iCs/>
        </w:rPr>
        <w:t xml:space="preserve">Segment labels </w:t>
      </w:r>
      <w:r w:rsidR="00384D2F" w:rsidRPr="005C1764">
        <w:rPr>
          <w:i/>
          <w:iCs/>
        </w:rPr>
        <w:t xml:space="preserve">highlight where in the text </w:t>
      </w:r>
      <w:r w:rsidR="00384D2F" w:rsidRPr="005C1764">
        <w:rPr>
          <w:i/>
          <w:iCs/>
        </w:rPr>
        <w:lastRenderedPageBreak/>
        <w:t>relevant sections are discussed</w:t>
      </w:r>
      <w:r w:rsidR="00B74242" w:rsidRPr="005C1764">
        <w:rPr>
          <w:i/>
          <w:iCs/>
        </w:rPr>
        <w:t xml:space="preserve">. For </w:t>
      </w:r>
      <w:r w:rsidR="002C75AC" w:rsidRPr="005C1764">
        <w:rPr>
          <w:i/>
          <w:iCs/>
        </w:rPr>
        <w:t xml:space="preserve">data generation </w:t>
      </w:r>
      <w:r w:rsidR="00B74242" w:rsidRPr="005C1764">
        <w:rPr>
          <w:i/>
          <w:iCs/>
        </w:rPr>
        <w:t>methods</w:t>
      </w:r>
      <w:r w:rsidR="002C75AC" w:rsidRPr="005C1764">
        <w:rPr>
          <w:i/>
          <w:iCs/>
        </w:rPr>
        <w:t xml:space="preserve"> (solid lines)</w:t>
      </w:r>
      <w:r w:rsidR="00384D2F" w:rsidRPr="005C1764">
        <w:rPr>
          <w:i/>
          <w:iCs/>
        </w:rPr>
        <w:t xml:space="preserve">: </w:t>
      </w:r>
      <w:r w:rsidR="004D5B80" w:rsidRPr="005C1764">
        <w:rPr>
          <w:i/>
          <w:iCs/>
        </w:rPr>
        <w:t>palaeoclimate data downscaling (section 2.3), model fitting and projection (section 2.4 – labelled a and b respectively)</w:t>
      </w:r>
      <w:r w:rsidR="00944E3C" w:rsidRPr="005C1764">
        <w:rPr>
          <w:i/>
          <w:iCs/>
        </w:rPr>
        <w:t>,</w:t>
      </w:r>
      <w:r w:rsidR="004D5B80" w:rsidRPr="005C1764">
        <w:rPr>
          <w:i/>
          <w:iCs/>
        </w:rPr>
        <w:t xml:space="preserve"> </w:t>
      </w:r>
      <w:r w:rsidR="00944E3C" w:rsidRPr="005C1764">
        <w:rPr>
          <w:i/>
          <w:iCs/>
        </w:rPr>
        <w:t>combining individual species predictions into floristic assemblages (section 2.5</w:t>
      </w:r>
      <w:r w:rsidR="00B74242" w:rsidRPr="005C1764">
        <w:rPr>
          <w:i/>
          <w:iCs/>
        </w:rPr>
        <w:t>).</w:t>
      </w:r>
      <w:r w:rsidR="00944E3C" w:rsidRPr="005C1764">
        <w:rPr>
          <w:i/>
          <w:iCs/>
        </w:rPr>
        <w:t xml:space="preserve"> </w:t>
      </w:r>
      <w:r w:rsidR="00B74242" w:rsidRPr="005C1764">
        <w:rPr>
          <w:i/>
          <w:iCs/>
        </w:rPr>
        <w:t>For model-data intercomparison</w:t>
      </w:r>
      <w:r w:rsidR="00850BC7" w:rsidRPr="005C1764">
        <w:rPr>
          <w:i/>
          <w:iCs/>
        </w:rPr>
        <w:t xml:space="preserve"> results</w:t>
      </w:r>
      <w:r w:rsidR="00B74242" w:rsidRPr="005C1764">
        <w:rPr>
          <w:i/>
          <w:iCs/>
        </w:rPr>
        <w:t xml:space="preserve"> </w:t>
      </w:r>
      <w:r w:rsidR="00850BC7" w:rsidRPr="005C1764">
        <w:rPr>
          <w:i/>
          <w:iCs/>
        </w:rPr>
        <w:t>(</w:t>
      </w:r>
      <w:r w:rsidR="00B74242" w:rsidRPr="005C1764">
        <w:rPr>
          <w:i/>
          <w:iCs/>
        </w:rPr>
        <w:t>dashed lines</w:t>
      </w:r>
      <w:r w:rsidR="00850BC7" w:rsidRPr="005C1764">
        <w:rPr>
          <w:i/>
          <w:iCs/>
        </w:rPr>
        <w:t xml:space="preserve">): palaeoclimate data </w:t>
      </w:r>
      <w:r w:rsidR="00783436" w:rsidRPr="005C1764">
        <w:rPr>
          <w:i/>
          <w:iCs/>
        </w:rPr>
        <w:t xml:space="preserve">and proxies </w:t>
      </w:r>
      <w:r w:rsidR="00850BC7" w:rsidRPr="005C1764">
        <w:rPr>
          <w:i/>
          <w:iCs/>
        </w:rPr>
        <w:t>(section 3.1), current mapped and modelled vegetation (</w:t>
      </w:r>
      <w:r w:rsidR="00783436" w:rsidRPr="005C1764">
        <w:rPr>
          <w:i/>
          <w:iCs/>
        </w:rPr>
        <w:t xml:space="preserve">section 3.2), and predicted floristic assemblages and </w:t>
      </w:r>
      <w:proofErr w:type="spellStart"/>
      <w:r w:rsidR="00783436" w:rsidRPr="005C1764">
        <w:rPr>
          <w:i/>
          <w:iCs/>
        </w:rPr>
        <w:t>palaeo</w:t>
      </w:r>
      <w:proofErr w:type="spellEnd"/>
      <w:r w:rsidR="00783436" w:rsidRPr="005C1764">
        <w:rPr>
          <w:i/>
          <w:iCs/>
        </w:rPr>
        <w:t>-vegetation proxies (section 3.3)</w:t>
      </w:r>
      <w:r w:rsidR="00B74242" w:rsidRPr="005C1764">
        <w:rPr>
          <w:i/>
          <w:iCs/>
        </w:rPr>
        <w:t>.</w:t>
      </w:r>
    </w:p>
    <w:p w14:paraId="109EB13E" w14:textId="33A950FA" w:rsidR="00CB4E0F" w:rsidRDefault="00CB4E0F" w:rsidP="00F74804">
      <w:pPr>
        <w:pStyle w:val="Heading2"/>
        <w:numPr>
          <w:ilvl w:val="1"/>
          <w:numId w:val="5"/>
        </w:numPr>
        <w:spacing w:line="360" w:lineRule="auto"/>
      </w:pPr>
      <w:r>
        <w:t>Modern ecosystems</w:t>
      </w:r>
      <w:r w:rsidR="00471F42">
        <w:t xml:space="preserve"> of </w:t>
      </w:r>
      <w:r w:rsidR="008E4E7D">
        <w:t xml:space="preserve">the </w:t>
      </w:r>
      <w:r w:rsidR="00471F42">
        <w:t>southern Atlantic Forest</w:t>
      </w:r>
    </w:p>
    <w:p w14:paraId="4814438A" w14:textId="0214EB72" w:rsidR="003C4DB4" w:rsidRDefault="00BA45AD" w:rsidP="00F74804">
      <w:pPr>
        <w:spacing w:line="360" w:lineRule="auto"/>
      </w:pPr>
      <w:r>
        <w:t>Atlantic Rainforest</w:t>
      </w:r>
      <w:r w:rsidR="00C2602E">
        <w:t xml:space="preserve"> </w:t>
      </w:r>
      <w:r w:rsidR="004B02A4">
        <w:t xml:space="preserve">(ARF) </w:t>
      </w:r>
      <w:r w:rsidR="00B667CB" w:rsidRPr="00B667CB">
        <w:t xml:space="preserve">is an evergreen subtropical rainforest which grows under constantly hot and humid conditions in a relatively narrow band between the Atlantic coast and the highlands’ eastern escarpment. </w:t>
      </w:r>
      <w:r w:rsidR="003C4DB4">
        <w:t>Its</w:t>
      </w:r>
      <w:r w:rsidR="00B667CB" w:rsidRPr="00B667CB">
        <w:t xml:space="preserve"> wide elevational range (from sea level to &gt;800m) and associated climatic differences drive variations in its composition, with lowland, submontane and montane </w:t>
      </w:r>
      <w:r w:rsidR="00C2602E">
        <w:t xml:space="preserve">ARF </w:t>
      </w:r>
      <w:r w:rsidR="00B667CB" w:rsidRPr="00B667CB">
        <w:t xml:space="preserve">formations distinguished </w:t>
      </w:r>
      <w:r w:rsidR="00B667CB" w:rsidRPr="00B667CB">
        <w:fldChar w:fldCharType="begin" w:fldLock="1"/>
      </w:r>
      <w:r w:rsidR="007F330C">
        <w:instrText>ADDIN CSL_CITATION {"citationItems":[{"id":"ITEM-1","itemData":{"author":[{"dropping-particle":"","family":"Lingner","given":"D.V.","non-dropping-particle":"","parse-names":false,"suffix":""},{"dropping-particle":"","family":"Sevegnani","given":"L.","non-dropping-particle":"","parse-names":false,"suffix":""},{"dropping-particle":"de","family":"Gasper","given":"A.L.","non-dropping-particle":"","parse-names":false,"suffix":""},{"dropping-particle":"","family":"Uhlmann","given":"A.","non-dropping-particle":"","parse-names":false,"suffix":""},{"dropping-particle":"","family":"Vibrans","given":"A.C.","non-dropping-particle":"","parse-names":false,"suffix":""}],"chapter-number":"5","container-title":"Inventário Florístico Florestal de Santa Catarina, Vol. IV, Floresta Ombrófla Densa.","editor":[{"dropping-particle":"","family":"Vibrans","given":"A.C.","non-dropping-particle":"","parse-names":false,"suffix":""},{"dropping-particle":"","family":"Sevegnani","given":"L.","non-dropping-particle":"","parse-names":false,"suffix":""},{"dropping-particle":"de","family":"Gasper","given":"A.L.","non-dropping-particle":"","parse-names":false,"suffix":""},{"dropping-particle":"","family":"Lingner","given":"D.V.","non-dropping-particle":"","parse-names":false,"suffix":""}],"id":"ITEM-1","issued":{"date-parts":[["2013"]]},"page":"143-157","publisher":"Edifurb","publisher-place":"Blumenau","title":"Grupos florísticos estruturais da Floresta Ombrófla Densa em Santa Catarina.","type":"chapter"},"uris":["http://www.mendeley.com/documents/?uuid=17d3270b-9a0e-436e-b3ea-b9638c2d9a92"]},{"id":"ITEM-2","itemData":{"author":[{"dropping-particle":"","family":"Klein","given":"Roberto M.","non-dropping-particle":"","parse-names":false,"suffix":""}],"container-title":"Boletim Paranaense de Geociências","id":"ITEM-2","issued":{"date-parts":[["1975"]]},"page":"67-88","title":"Southern Brazilian phytogeographic features and the probable influence of upper Quaternary climatic changes in the floristic distribution","type":"article-journal","volume":"33"},"uris":["http://www.mendeley.com/documents/?uuid=96f58c7d-b821-4664-ab3d-2a469bfc2a28"]},{"id":"ITEM-3","itemData":{"author":[{"dropping-particle":"","family":"Uhlmann","given":"A.","non-dropping-particle":"","parse-names":false,"suffix":""},{"dropping-particle":"de","family":"Gasper","given":"A.L.","non-dropping-particle":"","parse-names":false,"suffix":""},{"dropping-particle":"","family":"Sevegnani","given":"L.","non-dropping-particle":"","parse-names":false,"suffix":""},{"dropping-particle":"","family":"Vibrans","given":"A.C.","non-dropping-particle":"","parse-names":false,"suffix":""},{"dropping-particle":"","family":"Meyer","given":"L.","non-dropping-particle":"","parse-names":false,"suffix":""},{"dropping-particle":"","family":"Lingner","given":"D.V.","non-dropping-particle":"","parse-names":false,"suffix":""}],"chapter-number":"6","container-title":"Inventário Florístico Florestal de Santa Catarina, Vol. I, Diversidade e conservação dos remanescentes florestais.","editor":[{"dropping-particle":"","family":"Vibrans","given":"A.C.","non-dropping-particle":"","parse-names":false,"suffix":""},{"dropping-particle":"","family":"Sevegnani","given":"L.","non-dropping-particle":"","parse-names":false,"suffix":""},{"dropping-particle":"de","family":"Gasper","given":"A.L.","non-dropping-particle":"","parse-names":false,"suffix":""},{"dropping-particle":"","family":"Lingner","given":"D.V.","non-dropping-particle":"","parse-names":false,"suffix":""}],"id":"ITEM-3","issued":{"date-parts":[["2012"]]},"page":"113-123","publisher":"Edifurb","publisher-place":"Blumenau","title":"Fitogeografia de Santa Catarina.","type":"chapter"},"uris":["http://www.mendeley.com/documents/?uuid=026464b2-6cbb-4a83-84cd-bef0db6d94a5"]}],"mendeley":{"formattedCitation":"(Klein, 1975; Lingner et al., 2013b; Uhlmann et al., 2012)","plainTextFormattedCitation":"(Klein, 1975; Lingner et al., 2013b; Uhlmann et al., 2012)","previouslyFormattedCitation":"(Klein, 1975; Lingner et al., 2013b; Uhlmann et al., 2012)"},"properties":{"noteIndex":0},"schema":"https://github.com/citation-style-language/schema/raw/master/csl-citation.json"}</w:instrText>
      </w:r>
      <w:r w:rsidR="00B667CB" w:rsidRPr="00B667CB">
        <w:fldChar w:fldCharType="separate"/>
      </w:r>
      <w:r w:rsidR="005944BB" w:rsidRPr="005944BB">
        <w:rPr>
          <w:noProof/>
        </w:rPr>
        <w:t>(Klein, 1975; Lingner et al., 2013b; Uhlmann et al., 2012)</w:t>
      </w:r>
      <w:r w:rsidR="00B667CB" w:rsidRPr="00B667CB">
        <w:fldChar w:fldCharType="end"/>
      </w:r>
      <w:r w:rsidR="00B667CB" w:rsidRPr="00B667CB">
        <w:t xml:space="preserve">. </w:t>
      </w:r>
    </w:p>
    <w:p w14:paraId="7E543FAC" w14:textId="63AFEF71" w:rsidR="00B667CB" w:rsidRPr="00A82061" w:rsidRDefault="003A7A47" w:rsidP="00F74804">
      <w:pPr>
        <w:spacing w:line="360" w:lineRule="auto"/>
        <w:rPr>
          <w:lang w:val="sv-SE"/>
        </w:rPr>
      </w:pPr>
      <w:r>
        <w:t>Araucaria Mixed Forest</w:t>
      </w:r>
      <w:r w:rsidR="00B667CB" w:rsidRPr="00B667CB">
        <w:t xml:space="preserve"> </w:t>
      </w:r>
      <w:r w:rsidR="004B02A4">
        <w:t xml:space="preserve">(AMF) </w:t>
      </w:r>
      <w:r w:rsidR="00B667CB" w:rsidRPr="00B667CB">
        <w:t xml:space="preserve">occurs inland on the highland plateau almost exclusively above 500m elevation </w:t>
      </w:r>
      <w:r w:rsidR="00B667CB" w:rsidRPr="00B667CB">
        <w:fldChar w:fldCharType="begin" w:fldLock="1"/>
      </w:r>
      <w:r w:rsidR="00B667CB" w:rsidRPr="00B667CB">
        <w:instrText>ADDIN CSL_CITATION {"citationItems":[{"id":"ITEM-1","itemData":{"DOI":"10.11606/issn.2318-5988.v10i1p5-24","ISSN":"2318-5988","author":[{"dropping-particle":"","family":"Hueck","given":"Kurt","non-dropping-particle":"","parse-names":false,"suffix":""}],"container-title":"Boletim da Faculdade de Filosofia, Ciências e Letras, Universidade de São Paulo.","id":"ITEM-1","issued":{"date-parts":[["1953"]]},"note":"Maps of Aa/ARF are discussed and a new one given. Some comments on Aa expansion over campos, and detail on where the forests are found in habitat (state-by-state). Environmental conditions described.","page":"5-24","title":"Distribuição e habitat natural do Pinheiro do Paraná (Araucaria angustifolia)","type":"article-journal","volume":"10"},"uris":["http://www.mendeley.com/documents/?uuid=df37a09a-04d4-3909-98af-930af9e5c597"]}],"mendeley":{"formattedCitation":"(Hueck, 1953)","plainTextFormattedCitation":"(Hueck, 1953)","previouslyFormattedCitation":"(Hueck, 1953)"},"properties":{"noteIndex":0},"schema":"https://github.com/citation-style-language/schema/raw/master/csl-citation.json"}</w:instrText>
      </w:r>
      <w:r w:rsidR="00B667CB" w:rsidRPr="00B667CB">
        <w:fldChar w:fldCharType="separate"/>
      </w:r>
      <w:r w:rsidR="00B667CB" w:rsidRPr="00B667CB">
        <w:rPr>
          <w:noProof/>
        </w:rPr>
        <w:t>(Hueck, 1953)</w:t>
      </w:r>
      <w:r w:rsidR="00B667CB" w:rsidRPr="00B667CB">
        <w:fldChar w:fldCharType="end"/>
      </w:r>
      <w:r w:rsidR="00B667CB" w:rsidRPr="00B667CB">
        <w:t xml:space="preserve">. Characterised by an emergent layer of </w:t>
      </w:r>
      <w:r w:rsidR="00B667CB" w:rsidRPr="00B667CB">
        <w:rPr>
          <w:i/>
          <w:iCs/>
        </w:rPr>
        <w:t>Araucaria angustifolia</w:t>
      </w:r>
      <w:r w:rsidR="00B667CB" w:rsidRPr="00B667CB">
        <w:t xml:space="preserve"> above an angiosperm-dominated sub-canopy, </w:t>
      </w:r>
      <w:r w:rsidR="00043D31">
        <w:t>AMF</w:t>
      </w:r>
      <w:r w:rsidR="00B667CB" w:rsidRPr="00B667CB">
        <w:t xml:space="preserve"> requires high and constant rainfall and is one of the most marginal ecosystems in the Atlantic Forest, occupying its coldest and highest elevation niches </w:t>
      </w:r>
      <w:r w:rsidR="00B667CB" w:rsidRPr="00B667CB">
        <w:fldChar w:fldCharType="begin" w:fldLock="1"/>
      </w:r>
      <w:r w:rsidR="00B667CB" w:rsidRPr="00B667CB">
        <w:instrText>ADDIN CSL_CITATION {"citationItems":[{"id":"ITEM-1","itemData":{"DOI":"10.1111/ddi.12581","ISSN":"14724642","abstract":"Aim\n\nWe aimed to assess the contribution of marginal habitats to the tree species richness of the Mata Atlântica (Atlantic Forest) biodiversity hotspot. In addition, we aimed to determine which environmental factors drive the occurrence and distribution of these marginal habitats.\n\n\nLocation\n\nThe whole extension of the South American Atlantic Forest Domain plus forest intrusions into the neighbouring Cerrado and Pampa Domains, which comprises rain forests (“core” habitat) and five marginal habitats, namely high elevation forests, rock outcrop dwarf-forests, riverine forests, semideciduous forests and restinga (coastal white-sand woodlands).\n\n\nMethods\n\nWe compiled a dataset containing 366,875 occurrence records of 4,431 tree species from 1,753 site-checklists, which were a priori classified into 10 main vegetation types. We then performed ordination analyses of the species-by-site matrix to assess the floristic consistency of this classification. In order to assess the relative contribution of environmental predictors to the community turnover, we produced models using 26 climate and substrate-related variables as environmental predictors.\n\n\nResults\n\nOrdination diagrams supported the floristic segregation of vegetation types, with those considered as marginal habitats placed at the extremes of ordination axes. These marginal habitats are associated with the harshest extremes of five limiting factors: temperature seasonality (high elevation and subtropical riverine forests), flammability (rock outcrop dwarf-forests), high salinity (restinga), water deficit severity (semideciduous forests) and waterlogged soils (tropical riverine forests). Importantly, 45% of all species endemic to the Atlantic Domain only occur in marginal habitats.\n\n\nMain conclusions\n\nOur results showed the key role of the poorly protected marginal habitats in contributing to the high species richness of the Atlantic Domain. Various types of environmental harshness operate as environmental filters determining the distribution of the Atlantic Domain habitats. Our findings also stressed the importance of fire, a previously neglected environmental factor.","author":[{"dropping-particle":"","family":"Neves","given":"Danilo M.","non-dropping-particle":"","parse-names":false,"suffix":""},{"dropping-particle":"","family":"Dexter","given":"Kyle G.","non-dropping-particle":"","parse-names":false,"suffix":""},{"dropping-particle":"","family":"Pennington","given":"R. Toby","non-dropping-particle":"","parse-names":false,"suffix":""},{"dropping-particle":"","family":"Valente","given":"Arthur S.M.","non-dropping-particle":"","parse-names":false,"suffix":""},{"dropping-particle":"","family":"Bueno","given":"Marcelo L.","non-dropping-particle":"","parse-names":false,"suffix":""},{"dropping-particle":"V.","family":"Eisenlohr","given":"Pedro","non-dropping-particle":"","parse-names":false,"suffix":""},{"dropping-particle":"","family":"Fontes","given":"Marco A.L.","non-dropping-particle":"","parse-names":false,"suffix":""},{"dropping-particle":"","family":"Miranda","given":"Pedro L.S.","non-dropping-particle":"","parse-names":false,"suffix":""},{"dropping-particle":"","family":"Moreira","given":"Suzana N.","non-dropping-particle":"","parse-names":false,"suffix":""},{"dropping-particle":"","family":"Rezende","given":"Vanessa L.","non-dropping-particle":"","parse-names":false,"suffix":""},{"dropping-particle":"","family":"Saiter","given":"Felipe Z.","non-dropping-particle":"","parse-names":false,"suffix":""},{"dropping-particle":"","family":"Oliveira-Filho","given":"Ary T.","non-dropping-particle":"","parse-names":false,"suffix":""}],"container-title":"Diversity and Distributions","id":"ITEM-1","issue":"8","issued":{"date-parts":[["2017"]]},"note":"MOF is a marginal habitat in the Atlantic Domain (v broadly defined). It's linked to cold (because high altitude) conditions and long distance from the equator. Also higher temperature seasonality. According to this study it has 6% endemics and is 17% protected","page":"898-909","title":"Dissecting a biodiversity hotspot: The importance of environmentally marginal habitats in the Atlantic Forest Domain of South America","type":"article-journal","volume":"23"},"uris":["http://www.mendeley.com/documents/?uuid=0ae4494c-d6d5-4d85-8d68-f26bf4dd3ed2"]},{"id":"ITEM-2","itemData":{"author":[{"dropping-particle":"","family":"Uhlmann","given":"A.","non-dropping-particle":"","parse-names":false,"suffix":""},{"dropping-particle":"de","family":"Gasper","given":"A.L.","non-dropping-particle":"","parse-names":false,"suffix":""},{"dropping-particle":"","family":"Sevegnani","given":"L.","non-dropping-particle":"","parse-names":false,"suffix":""},{"dropping-particle":"","family":"Vibrans","given":"A.C.","non-dropping-particle":"","parse-names":false,"suffix":""},{"dropping-particle":"","family":"Meyer","given":"L.","non-dropping-particle":"","parse-names":false,"suffix":""},{"dropping-particle":"","family":"Lingner","given":"D.V.","non-dropping-particle":"","parse-names":false,"suffix":""}],"chapter-number":"6","container-title":"Inventário Florístico Florestal de Santa Catarina, Vol. I, Diversidade e conservação dos remanescentes florestais.","editor":[{"dropping-particle":"","family":"Vibrans","given":"A.C.","non-dropping-particle":"","parse-names":false,"suffix":""},{"dropping-particle":"","family":"Sevegnani","given":"L.","non-dropping-particle":"","parse-names":false,"suffix":""},{"dropping-particle":"de","family":"Gasper","given":"A.L.","non-dropping-particle":"","parse-names":false,"suffix":""},{"dropping-particle":"","family":"Lingner","given":"D.V.","non-dropping-particle":"","parse-names":false,"suffix":""}],"id":"ITEM-2","issued":{"date-parts":[["2012"]]},"page":"113-123","publisher":"Edifurb","publisher-place":"Blumenau","title":"Fitogeografia de Santa Catarina.","type":"chapter"},"uris":["http://www.mendeley.com/documents/?uuid=026464b2-6cbb-4a83-84cd-bef0db6d94a5"]},{"id":"ITEM-3","itemData":{"DOI":"10.1093/jpe/rtt058","ISBN":"2850","ISSN":"1752993X","abstract":"AimsWe analyse here the variations in species composition and richness and the geographic ranges of the tree species occurring in South American subtropical Atlantic and Pampean forests. Our goals were to assess (i) the floristic consistency of usual classifications based on vegetation physiognomy, climate and elevation; (ii) the leading role of temperature-related variables on the variations in species composition and richness; (iii) the predominance of species with tropical-subtropical ranges, possibly as a result of forest expansion over grasslands after the Last Glacial Maximum (LGM); (iv) the restriction of most subtropical endemics to stressful habitats as a possible result of past forest refuges during the LGM. MethodsThe region was defined by the Tropic of Capricorn to the north, the Rio de la Plata to the south, the Atlantic shoreline to the east and the catchment areas of the upper Parana and Uruguay Rivers to the west. Multivariate analyses, multiple regression modelling and variance partition analyses were performed on a database containing 63 994 occurrence records of 1555 tree species in 491 forest sites and 48 environmental variables. All species were also classified according to their known geographic range. Important FindingsA main differentiation in species composition and richness was observed between the eastern windward coastlands (rain and cloud forests) and western leeward hinterlands (Araucaria and semi-deciduous forests). Pre-defined forest types on both sides were consistent with variations in tree species composition, which were significantly related to both environmental variables and spatial proximity, with extremes of low temperature playing a chief role. Tree species richness declined substantially towards the south and also from rain to seasonal forests and towards the highland summits and sandy shores. Species richness was significantly correlated with both minimum temperature and actual evapotranspiration. About 91% of the subtropical flora is shared with the much richer tropical flora, probably extracting species that can cope with frost outbreaks. The 145 subtropical endemics were not concentrated in harsher habitats.","author":[{"dropping-particle":"","family":"Oliveira-Filho","given":"Ary T","non-dropping-particle":"","parse-names":false,"suffix":""},{"dropping-particle":"","family":"Budke","given":"Jean C","non-dropping-particle":"","parse-names":false,"suffix":""},{"dropping-particle":"","family":"Jarenkow","given":"Jo??o A","non-dropping-particle":"","parse-names":false,"suffix":""},{"dropping-particle":"V","family":"Eisenlohr","given":"Pedro","non-dropping-particle":"","parse-names":false,"suffix":""},{"dropping-particle":"","family":"Neves","given":"Danilo R M","non-dropping-particle":"","parse-names":false,"suffix":""}],"container-title":"Journal of Plant Ecology","id":"ITEM-3","issue":"3","issued":{"date-parts":[["2014","6","1"]]},"note":"Read this in a bit of a bitty fashion, but it's a big floristic study of the subtropical Atlantic Forest. There's an interesting fine classification of MOF, and stuff on how it's a continuum based on conditions (and what conditions segregates it from other forest types). It's also a kind of seasonal forest (like SDF), just with Aa. Lots of things in the discussion about the post-LGM development of the forests, some of which seem to contradict the general (?extrapolated) pollen story and might work favourably with my modelling","page":"242-260","title":"Delving into the variations in tree species composition and richness across South American subtropical Atlantic and Pampean forests","type":"article-journal","volume":"8"},"uris":["http://www.mendeley.com/documents/?uuid=d6a6382c-dd4b-3323-9d5e-12afd40294e2"]}],"mendeley":{"formattedCitation":"(Neves et al., 2017; Oliveira-Filho et al., 2014; Uhlmann et al., 2012)","plainTextFormattedCitation":"(Neves et al., 2017; Oliveira-Filho et al., 2014; Uhlmann et al., 2012)","previouslyFormattedCitation":"(Neves et al., 2017; Oliveira-Filho et al., 2014; Uhlmann et al., 2012)"},"properties":{"noteIndex":0},"schema":"https://github.com/citation-style-language/schema/raw/master/csl-citation.json"}</w:instrText>
      </w:r>
      <w:r w:rsidR="00B667CB" w:rsidRPr="00B667CB">
        <w:fldChar w:fldCharType="separate"/>
      </w:r>
      <w:r w:rsidR="00B667CB" w:rsidRPr="00B667CB">
        <w:rPr>
          <w:noProof/>
        </w:rPr>
        <w:t>(Neves et al., 2017; Oliveira-Filho et al., 2014; Uhlmann et al., 2012)</w:t>
      </w:r>
      <w:r w:rsidR="00B667CB" w:rsidRPr="00B667CB">
        <w:fldChar w:fldCharType="end"/>
      </w:r>
      <w:r w:rsidR="00B667CB" w:rsidRPr="00B667CB">
        <w:t xml:space="preserve">. </w:t>
      </w:r>
      <w:r w:rsidR="00043D31">
        <w:t>AMF’</w:t>
      </w:r>
      <w:r w:rsidR="00B667CB" w:rsidRPr="00B667CB">
        <w:t xml:space="preserve">s floristic mix of warm-adapted tropical and cold-adapted </w:t>
      </w:r>
      <w:r w:rsidR="00B01B63">
        <w:t xml:space="preserve">Austral-Antarctic and </w:t>
      </w:r>
      <w:r w:rsidR="00B667CB" w:rsidRPr="00B667CB">
        <w:t xml:space="preserve">Andean taxa varies extensively throughout its range in response to a variety of factors </w:t>
      </w:r>
      <w:r w:rsidR="00B667CB" w:rsidRPr="00B667CB">
        <w:fldChar w:fldCharType="begin" w:fldLock="1"/>
      </w:r>
      <w:r w:rsidR="00B667CB" w:rsidRPr="00B667CB">
        <w:instrText>ADDIN CSL_CITATION {"citationItems":[{"id":"ITEM-1","itemData":{"DOI":"10.1371/journal.pone.0105043","ISBN":"1932-6203 (Electronic)\\r1932-6203 (Linking)","ISSN":"19326203","PMID":"25121495","abstract":"Phylobetadiversity is defined as the phylogenetic resemblance between communities or biomes. Analyzing phylobetadiversity patterns among different vegetation physiognomies within a single biome is crucial to understand the historical affinities between them. Based on the widely accepted idea that different forest physiognomies within the Southern Brazilian Atlantic Forest constitute different facies of a single biome, we hypothesize that more recent phylogenetic nodes should drive phylobetadiversity gradients between the different forest types within the Atlantic Forest, as the phylogenetic divergence among those forest types is biogeographically recent. We compiled information from 206 checklists describing the occurrence of shrub/tree species across three different forest physiognomies within the Southern Brazilian Atlantic Forest (Dense, Mixed and Seasonal forests). We analyzed intra-site phylogenetic structure (phylogenetic diversity, net relatedness index and nearest taxon index) and phylobetadiversity between plots located at different forest types, using five different methods differing in sensitivity to either basal or terminal nodes (phylogenetic fuzzy weighting, COMDIST, COMDISTNT, UniFrac and Rao's H). Mixed forests showed higher phylogenetic diversity and overdispersion than the other forest types. Furthermore, all forest types differed from each other in relation phylobetadiversity patterns, particularly when phylobetadiversity methods more sensitive to terminal nodes were employed. Mixed forests tended to show higher phylogenetic differentiation to Dense and Seasonal forests than these latter from each other. The higher phylogenetic diversity and phylobetadiversity levels found in Mixed forests when compared to the others likely result from the biogeographical origin of several taxa occurring in these forests. On one hand, Mixed forests shelter several temperate taxa, like the conifers Araucaria and Podocarpus. On the other hand, tropical groups, like Myrtaceae, are also very representative of this forest type. We point out to the need of more attention to Mixed forests as a conservation target within the Brazilian Atlantic Forest given their high phylogenetic uniqueness.","author":[{"dropping-particle":"","family":"Duarte","given":"Leandro Da Silva","non-dropping-particle":"","parse-names":false,"suffix":""},{"dropping-particle":"","family":"Bergamin","given":"Rodrigo Scarton","non-dropping-particle":"","parse-names":false,"suffix":""},{"dropping-particle":"","family":"Marcilio-Silva","given":"Vin??cius","non-dropping-particle":"","parse-names":false,"suffix":""},{"dropping-particle":"","family":"Seger","given":"Guilherme Dubal Dos Santos","non-dropping-particle":"","parse-names":false,"suffix":""},{"dropping-particle":"","family":"Marques","given":"M??rcia Cristina Mendes","non-dropping-particle":"","parse-names":false,"suffix":""}],"container-title":"PLoS ONE","id":"ITEM-1","issue":"8","issued":{"date-parts":[["2014"]]},"note":"Mixed forests are phylogenetically distinct (good quote on this) as a result of their biogeographic origins and therefore need conservation. They're more different to ATF and SDF than these two are to each other","title":"Phylobetadiversity among forest types in the Brazilian Atlantic Forest complex","type":"article-journal","volume":"9"},"uris":["http://www.mendeley.com/documents/?uuid=506a37b5-2d1f-3b7d-9643-fa4ce618b26f"]},{"id":"ITEM-2","itemData":{"DOI":"10.1590/S1806-99592012000200004","ISBN":"3442","ISSN":"1806-9959","abstract":"The present study examined the floristic composition of three fragments of Araucaria Forest (AF) in the Planalto Catarinense region of southern Brazil as well as the floristic contextualization of these areas in relation to other remnant AF sites. Three AF fragments at different altitudes were analyzed in the municipalities of Campos Novos, Lages, and Painel. Fifty 200 m2 plots were examined in each fragment and all of the trees with CBH (circumference at breast height) ≥ 15.7 cm were identified. In order to floristically contextualize the study fragments, comparisons were made with other remnant AF sites by way of dendrograms and NMDS (Non-metric multidimensional scaling). Environmental and spatial variables were plotted on the diagram produced by the NMDS to evaluate their influence on the floristic patterns encountered. The forest fragments studied demonstrated high floristic heterogeneity, indicating that AFs cannot be considered homogeneous formations and they could be classified into 3 phytogeographical categories: i) high altitude areas influenced by cloud cover/fog, including the Painel region; ii) areas of lesser altitude and greater mean annual temperatures situated in the Paraná River basin, and iii) areas situated in the Paraná and Upper-Uruguay river basins and the smaller basins draining directly into the southern Atlantic, near Campos Novos and Lages. The environmental variables most highly correlated with species substitutions among the sites were altitude, mean annual temperature, and the mean temperature of the most humid trimester.","author":[{"dropping-particle":"","family":"Higuchi","given":"Pedro","non-dropping-particle":"","parse-names":false,"suffix":""},{"dropping-particle":"da","family":"Silva","given":"Ana Carolina","non-dropping-particle":"","parse-names":false,"suffix":""},{"dropping-particle":"","family":"Sousa-Ferreira","given":"Tiago","non-dropping-particle":"","parse-names":false,"suffix":""},{"dropping-particle":"de","family":"Souza","given":"Sheila Trierveiler","non-dropping-particle":"","parse-names":false,"suffix":""},{"dropping-particle":"","family":"Pereira-Gomes","given":"Juliano","non-dropping-particle":"","parse-names":false,"suffix":""},{"dropping-particle":"da","family":"Silva","given":"Karina Montibeller","non-dropping-particle":"","parse-names":false,"suffix":""},{"dropping-particle":"do","family":"Santos","given":"Kristiana Fiorentin","non-dropping-particle":"","parse-names":false,"suffix":""}],"container-title":"Brazilian Journal of Botany","id":"ITEM-2","issue":"2","issued":{"date-parts":[["2012"]]},"note":"Three main phytogeographical units teased out: high altitude, low altitude and hotter in the Parana river basin, and Parana/Upper Uruguay river basins and other basins. The forests aren't homogenous. These results back up the findings of Klein (1978), and are worth discussing as it shows the importance of doing people-focussed palaeoecology in different forest types (Maca's is different to mine)","page":"145-157","title":"Floristic composition and phytogeography of the tree component of Araucaria Forest fragments in southern Brazil","type":"article-journal","volume":"35"},"uris":["http://www.mendeley.com/documents/?uuid=63bac448-02ed-3cd8-9bce-4c6bb037c528"]},{"id":"ITEM-3","itemData":{"author":[{"dropping-particle":"","family":"Klein","given":"Roberto M.","non-dropping-particle":"","parse-names":false,"suffix":""}],"container-title":"Boletim Paranaense de Geociências","id":"ITEM-3","issued":{"date-parts":[["1975"]]},"page":"67-88","title":"Southern Brazilian phytogeographic features and the probable influence of upper Quaternary climatic changes in the floristic distribution","type":"article-journal","volume":"33"},"uris":["http://www.mendeley.com/documents/?uuid=96f58c7d-b821-4664-ab3d-2a469bfc2a28"]},{"id":"ITEM-4","itemData":{"DOI":"10.1093/jpe/rtt058","ISBN":"2850","ISSN":"1752993X","abstract":"AimsWe analyse here the variations in species composition and richness and the geographic ranges of the tree species occurring in South American subtropical Atlantic and Pampean forests. Our goals were to assess (i) the floristic consistency of usual classifications based on vegetation physiognomy, climate and elevation; (ii) the leading role of temperature-related variables on the variations in species composition and richness; (iii) the predominance of species with tropical-subtropical ranges, possibly as a result of forest expansion over grasslands after the Last Glacial Maximum (LGM); (iv) the restriction of most subtropical endemics to stressful habitats as a possible result of past forest refuges during the LGM. MethodsThe region was defined by the Tropic of Capricorn to the north, the Rio de la Plata to the south, the Atlantic shoreline to the east and the catchment areas of the upper Parana and Uruguay Rivers to the west. Multivariate analyses, multiple regression modelling and variance partition analyses were performed on a database containing 63 994 occurrence records of 1555 tree species in 491 forest sites and 48 environmental variables. All species were also classified according to their known geographic range. Important FindingsA main differentiation in species composition and richness was observed between the eastern windward coastlands (rain and cloud forests) and western leeward hinterlands (Araucaria and semi-deciduous forests). Pre-defined forest types on both sides were consistent with variations in tree species composition, which were significantly related to both environmental variables and spatial proximity, with extremes of low temperature playing a chief role. Tree species richness declined substantially towards the south and also from rain to seasonal forests and towards the highland summits and sandy shores. Species richness was significantly correlated with both minimum temperature and actual evapotranspiration. About 91% of the subtropical flora is shared with the much richer tropical flora, probably extracting species that can cope with frost outbreaks. The 145 subtropical endemics were not concentrated in harsher habitats.","author":[{"dropping-particle":"","family":"Oliveira-Filho","given":"Ary T","non-dropping-particle":"","parse-names":false,"suffix":""},{"dropping-particle":"","family":"Budke","given":"Jean C","non-dropping-particle":"","parse-names":false,"suffix":""},{"dropping-particle":"","family":"Jarenkow","given":"Jo??o A","non-dropping-particle":"","parse-names":false,"suffix":""},{"dropping-particle":"V","family":"Eisenlohr","given":"Pedro","non-dropping-particle":"","parse-names":false,"suffix":""},{"dropping-particle":"","family":"Neves","given":"Danilo R M","non-dropping-particle":"","parse-names":false,"suffix":""}],"container-title":"Journal of Plant Ecology","id":"ITEM-4","issue":"3","issued":{"date-parts":[["2014","6","1"]]},"note":"Read this in a bit of a bitty fashion, but it's a big floristic study of the subtropical Atlantic Forest. There's an interesting fine classification of MOF, and stuff on how it's a continuum based on conditions (and what conditions segregates it from other forest types). It's also a kind of seasonal forest (like SDF), just with Aa. Lots of things in the discussion about the post-LGM development of the forests, some of which seem to contradict the general (?extrapolated) pollen story and might work favourably with my modelling","page":"242-260","title":"Delving into the variations in tree species composition and richness across South American subtropical Atlantic and Pampean forests","type":"article-journal","volume":"8"},"uris":["http://www.mendeley.com/documents/?uuid=d6a6382c-dd4b-3323-9d5e-12afd40294e2"]},{"id":"ITEM-5","itemData":{"DOI":"10.1016/j.actao.2016.10.002","ISSN":"1146609X","abstract":"This study aimed to analyze the influence of environmental factors in determining the variation in forest structure. We obtained the data through sampling units placed regularly in a grid of 10??km??????10??km in the state of Santa Catarina, southern Brazil. The axes of Detendred Correspondence Analysis summarized the vegetation structure and we used these as response variables in ordinary least square models, and environmental variables as predictors. Moran Eigenvector Maps were used as spatial predictors, enabling the variance partitioning. The results revealed influence of climatic factors, especially thermal and rainfall in determining the vegetation structure. The physical geography (high plateaus) and positioning below the Tropic of Capricorn line are the main static elements influencing the climate and therefore the vegetation.","author":[{"dropping-particle":"","family":"Sevegnani","given":"Lucia","non-dropping-particle":"","parse-names":false,"suffix":""},{"dropping-particle":"","family":"Uhlmann","given":"Alexandre","non-dropping-particle":"","parse-names":false,"suffix":""},{"dropping-particle":"de","family":"Gasper","given":"Andre Luis","non-dropping-particle":"","parse-names":false,"suffix":""},{"dropping-particle":"","family":"Meyer","given":"Leila","non-dropping</w:instrText>
      </w:r>
      <w:r w:rsidR="00B667CB" w:rsidRPr="00A82061">
        <w:rPr>
          <w:lang w:val="sv-SE"/>
        </w:rPr>
        <w:instrText>-particle":"","parse-names":false,"suffix":""},{"dropping-particle":"","family":"Vibrans","given":"Alexander Christian","non-dropping-particle":"","parse-names":false,"suffix":""}],"container-title":"Acta Oecologica","id":"ITEM-5","issued":{"date-parts":[["2016"]]},"note":"Hard to say exactly which environmental variables are important because there's lots of autocorrelation, but altitude is most responsible for FOM structure variation. There's an important thermal gradient (which is linked to altitude), and also rainfall related things which are also influenced by longitude. The gradient is so long there should be significant difference in forest composition from one end to the other.","page":"109-117","title":"Climate affects the structure of mixed rain forest in southern sector of Atlantic domain in Brazil","type":"article-journal","volume":"77"},"uris":["http://www.mendeley.com/documents/?uuid=57bf998c-ef06-37f3-9a82-bd579c170bd6"]}],"mendeley":{"formattedCitation":"(Duarte et al., 2014; Higuchi et al., 2012; Klein, 1975; Oliveira-Filho et al., 2014; Sevegnani et al., 2016)","plainTextFormattedCitation":"(Duarte et al., 2014; Higuchi et al., 2012; Klein, 1975; Oliveira-Filho et al., 2014; Sevegnani et al., 2016)","previouslyFormattedCitation":"(Duarte et al., 2014; Higuchi et al., 2012; Klein, 1975; Oliveira-Filho et al., 2014; Sevegnani et al., 2016)"},"properties":{"noteIndex":0},"schema":"https://github.com/citation-style-language/schema/raw/master/csl-citation.json"}</w:instrText>
      </w:r>
      <w:r w:rsidR="00B667CB" w:rsidRPr="00B667CB">
        <w:fldChar w:fldCharType="separate"/>
      </w:r>
      <w:r w:rsidR="00B667CB" w:rsidRPr="00A82061">
        <w:rPr>
          <w:noProof/>
          <w:lang w:val="sv-SE"/>
        </w:rPr>
        <w:t>(Duarte et al., 2014; Higuchi et al., 2012; Klein, 1975; Oliveira-Filho et al., 2014; Sevegnani et al., 2016)</w:t>
      </w:r>
      <w:r w:rsidR="00B667CB" w:rsidRPr="00B667CB">
        <w:fldChar w:fldCharType="end"/>
      </w:r>
      <w:r w:rsidR="00B667CB" w:rsidRPr="00A82061">
        <w:rPr>
          <w:lang w:val="sv-SE"/>
        </w:rPr>
        <w:t xml:space="preserve">. </w:t>
      </w:r>
    </w:p>
    <w:p w14:paraId="483EB257" w14:textId="1C9456EE" w:rsidR="00C621AD" w:rsidRPr="00A82061" w:rsidRDefault="00B667CB" w:rsidP="00F74804">
      <w:pPr>
        <w:spacing w:line="360" w:lineRule="auto"/>
        <w:rPr>
          <w:lang w:val="sv-SE"/>
        </w:rPr>
      </w:pPr>
      <w:r w:rsidRPr="00B667CB">
        <w:t xml:space="preserve">At the plateau’s highest elevations, which exceed 1,800m, </w:t>
      </w:r>
      <w:r w:rsidR="00043D31">
        <w:t>AM</w:t>
      </w:r>
      <w:r w:rsidRPr="00B667CB">
        <w:t xml:space="preserve">F forms mosaics with – and eventually gives way to – natural highland grasslands called Campos. One of the very few herbaceous ecosystems in the Atlantic Forest biome, Campos are highly diverse, though less </w:t>
      </w:r>
      <w:r w:rsidR="008E4E7D">
        <w:t>well studied</w:t>
      </w:r>
      <w:r w:rsidRPr="00B667CB">
        <w:t xml:space="preserve">, appreciated or protected than the surrounding forests </w:t>
      </w:r>
      <w:r w:rsidRPr="00B667CB">
        <w:fldChar w:fldCharType="begin" w:fldLock="1"/>
      </w:r>
      <w:r w:rsidR="007F330C">
        <w:instrText>ADDIN CSL_CITATION {"citationItems":[{"id":"ITEM-1","itemData":{"DOI":"10.1111/avsc.12413","ISSN":"1402-2001","abstract":"Aims: We offer a first classification of South Brazilian grasslands (Campos Sulinos) based on quantitative vegetation data and describing grassland types in terms of dominant and indicator species. Location: South Brazilian grasslands (Paraná, Santa Catarina, Rio Grande do Sul states). Methods: We described vegetation plots in 167 sampling units throughout the region using a stratified nested design, totalizing 1,502 1 m² quadrats. We classified vegetation using cluster analysis based on Bray-Curtis dissimilarities, establishing three vegetation types and ten subtypes. We conducted indicator species analysis within the resulting subtypes, and for all possible combinations of subtypes. Results: In the cluster analyses, a clear separation of poorly drained grasslands from the drier sites appeared. Further, a clear distinction between grasslands in the South Brazilian highland region, situated in the Atlantic Forest biome, and the grasslands of the Pampa biome, to the south, emerged, reflecting climatic and management differences. Highland grasslands showed lower species cover dominance, while in the","author":[{"dropping-particle":"","family":"Andrade","given":"Bianca O","non-dropping-particle":"","parse-names":false,"suffix":""},{"dropping-particle":"","family":"Bonilha","given":"Camila L","non-dropping-particle":"","parse-names":false,"suffix":""},{"dropping-particle":"","family":"Overbeck","given":"Gerhard E","non-dropping-particle":"","parse-names":false,"suffix":""},{"dropping-particle":"","family":"Vélez‐Martin","given":"Eduardo","non-dropping-particle":"","parse-names":false,"suffix":""},{"dropping-particle":"","family":"Rolim","given":"Rosângela G","non-dropping-particle":"","parse-names":false,"suffix":""},{"dropping-particle":"","family":"Bordignon","given":"Sérgio Augusto L.","non-dropping-particle":"","parse-names":false,"suffix":""},{"dropping-particle":"","family":"Schneider","given":"Angelo A","non-dropping-particle":"","parse-names":false,"suffix":""},{"dropping-particle":"","family":"Vogel Ely","given":"Cleusa","non-dropping-particle":"","parse-names":false,"suffix":""},{"dropping-particle":"","family":"Lucas","given":"Dióber B.","non-dropping-particle":"","parse-names":false,"suffix":""},{"dropping-particle":"","family":"Garcia","given":"Élen N","non-dropping-particle":"","parse-names":false,"suffix":""},{"dropping-particle":"","family":"Santos","given":"Emily D.","non-dropping-particle":"dos","parse-names":false,"suffix":""},{"dropping-particle":"","family":"Torchelsen","given":"Fábio P.","non-dropping-particle":"","parse-names":false,"suffix":""},{"dropping-particle":"","family":"Vieira","given":"Mariana S","non-dropping-particle":"","parse-names":false,"suffix":""},{"dropping-particle":"","family":"Silva Filho","given":"Pedro J. S.","non-dropping-particle":"","parse-names":false,"suffix":""},{"dropping-particle":"","family":"Ferreira","given":"Pedro M A","non-dropping-particle":"","parse-names":false,"suffix":""},{"dropping-particle":"","family":"Trevisan","given":"Rafael","non-dropping-particle":"","parse-names":false,"suffix":""},{"dropping-particle":"","family":"Hollas","given":"Raquel","non-dropping-particle":"","parse-names":false,"suffix":""},{"dropping-particle":"","family":"Campestrini","given":"Sérgio","non-dropping-particle":"","parse-names":false,"suffix":""},{"dropping-particle":"","family":"Pillar","given":"Valério D.","non-dropping-particle":"","parse-names":false,"suffix":""},{"dropping-particle":"","family":"Boldrini","given":"Ilsi I.","non-dropping-particle":"","parse-names":false,"suffix":""}],"container-title":"Applied Vegetation Science","editor":[{"dropping-particle":"","family":"Jansen","given":"Florian","non-dropping-particle":"","parse-names":false,"suffix":""}],"id":"ITEM-1","issue":"1","issued":{"date-parts":[["2019","1","30"]]},"note":"Description of pampas and campos grasslands from survey methodology. The two are distinct, with subgroups distinguished between. Highlights some indicator spp - useful for modelling","page":"168-184","publisher":"PPG","title":"Classification of South Brazilian grasslands: Implications for conservation","type":"article-journal","volume":"22"},"uris":["http://www.mendeley.com/documents/?uuid=b5095eef-d85b-3509-a93c-8bb5e5eb030e"]},{"id":"ITEM-2","itemData":{"DOI":"10.4257/oeco.2016.2002.04","ISSN":"21776199","abstract":"The natural vegetation in the highlands of the southernmost state of Brazil, Rio Grande do Sul, is characterized by extensive grasslands in mosaics with Araucaria forests, usually under cattle grazing. Plant species diversity and endemism in these grasslands is high, though poorly recognized in conservation policy and the general public, and conversion rates into other land uses are high. In this paper, we give an overview of principal biological features of grassland vegetation in the South Brazilian highland region (plant species richness and diversity) and initiate a debate on conservation possibilities and challenges. We use data from four sites of the Long-Term Ecological Research program (LTER/PELD) Campos Sulinos situated in the highland region of the state, where we explore the effects of different types of grassland management (grazing and grazing exclusion) on vegetation structure and composi-tion. Our data give insight into high species richness on both the plot and site scale. Overall, the results indicate the importance of adequate management for the maintenance of grassland vegetation and its characteristic biological features. In theory, grazing or fire can be employed in grassland management, but specific effects of these two types of management need to be considered, as each type of management has distinct effects. We discuss the question of active nature management in conservation units and highlight the importance of research on restoration of degraded grassland areas. Even though grasslands make up the smaller portion of the South Brazilian Atlantic Forest region, their ecological uniqueness calls for specific conservation policy.","author":[{"dropping-particle":"","family":"Andrade","given":"Bianca O","non-dropping-particle":"","parse-names":false,"suffix":""},{"dropping-particle":"","family":"Bonilha","given":"Camila L","non-dropping-particle":"","parse-names":false,"suffix":""},{"dropping-particle":"","family":"Ferreira","given":"Pedro Maria A.","non-dropping-particle":"","parse-names":false,"suffix":""},{"dropping-particle":"","family":"Boldrini","given":"Ilsi I","non-dropping-particle":"","parse-names":false,"suffix":""},{"dropping-particle":"","family":"Overbeck","given":"Gerhard E","non-dropping-particle":"","parse-names":false,"suffix":""}],"container-title":"Oecologia Australis","id":"ITEM-2","issue":"02","issued":{"date-parts":[["2016","7"]]},"page":"37-61","title":"Highland grasslands at the southern tip of the Atlantic Forest biome: management options and conservation challenges","type":"article-journal","volume":"20"},"uris":["http://www.mendeley.com/documents/?uuid=e7631b80-8138-3d92-9965-a5a9be88c61e"]},{"id":"ITEM-3","itemData":{"DOI":"10.1016/j.ppees.2007.07.005","ISBN":"1433-8319","ISSN":"14338319","PMID":"621","abstract":"The South Brazilian grasslands occupy some 13.7 million ha and support very high levels of biodiversity. This paper reviews the current state of ecological knowledge on South Brazilian Campos and of threats and challenges associated with their conservation. The principal factors shaping grassland physiognomy and diversity are discussed, and information is presented on diversity of plant species; best estimates suggest that 3000-4000 phanerophytes occur in the South Brazilian grasslands. It is argued that, despite their high species richness, Campos vegetation is not adequately protected under current conservation policies. In the past three decades, approximately 25% of the grassland area has been lost due to land use changes, and this trend continues. However, representation of Campos grasslands in conservation units is extremely low (less than 0.5%), and the management in most of these is inadequate to preserve the grasslands, as grazing and fire are important factors for their persistence. In conclusion, the following urgent needs are identified: (1) to create more conservation units in different regions, including different grassland types throughout southern Brazil, (2) to develop proper management strategies where grasslands are subject to shrub encroachment and forest expansion, (3) to conduct research on biodiversity and ecological processes in the Campos region and (4) to raise public awareness of the value and vulnerability of this vegetation type. © 2007 Rübel Foundation, ETH Zürich.","author":[{"dropping-particle":"","family":"Overbeck","given":"Gerhard E.","non-dropping-particle":"","parse-names":false,"suffix":""},{"dropping-particle":"","family":"Müller","given":"Sandra C.","non-dropping-particle":"","parse-names":false,"suffix":""},{"dropping-particle":"","family":"Fidelis","given":"Alessandra","non-dropping-particle":"","parse-names":false,"suffix":""},{"dropping-particle":"","family":"Pfadenhauer","given":"Jörg","non-dropping-particle":"","parse-names":false,"suffix":""},{"dropping-particle":"","family":"Pillar","given":"Valério D.","non-dropping-particle":"","parse-names":false,"suffix":""},{"dropping-particle":"","family":"Blanco","given":"Carolina C.","non-dropping-particle":"","parse-names":false,"suffix":""},{"dropping-particle":"","family":"Boldrini","given":"Ilsi I.","non-dropping-particle":"","parse-names":false,"suffix":""},{"dropping-particle":"","family":"Both","given":"Rogerio","non-dropping-particle":"","parse-names":false,"suffix":""},{"dropping-particle":"","family":"Forneck","given":"Eduardo D.","non-dropping-particle":"","parse-names":false,"suffix":""}],"container-title":"Perspectives in Plant Ecology, Evolution and Systematics","id":"ITEM-3","issue":"2","issued":{"date-parts":[["2007"]]},"note":"A bit of a love song to the campos. Good descriptions of the species involved and of the biome itself (it's less clearly delimited than the ombrophilous forests, for instance), and some interesting things on its conservation. Basically, don't just think of it as not-forest, it's its own thing","page":"101-116","title":"Brazil's neglected biome: The South Brazilian Campos","type":"article-journal","volume":"9"},"uris":["http://www.mendeley.com/documents/?uuid=4445f582-7465-334d-acb3-bf9e7d5648a5"]},{"id":"ITEM-4","itemData":{"DOI":"10.1111/j.1095-8339.2011.01182.x","ISBN":"0024-4074","ISSN":"00244074","abstract":"A high level of endemic flowering plant species is highlighted for the first time for the southern Brazilian flora. We present a comprehensive list of 1020 endemic taxa and analyse their distribution in different biomes, focusing on the Subtropical Highland Grasslands (Campos de Cima da Serra). Considering all biomes represented in southern Brazil, c. 13% of the flowering plant species are endemic, which accounts for more than 5% of the total endemic taxa of Brazil and c. 12% of the endemic taxa from the Atlantic Forest hotspot. Like the High Altitude Tropical Grasslands that are found further north in the south-eastern Brazil region, the Subtropical Highland Grasslands are home to an assemblage of tropical and temperate plant lineages. The Subtropical Highland Grasslands are characterized by their transitional nature and by having 296 endemic plant taxa (25% of its flora","author":[{"dropping-particle":"V","family":"Iganci","given":"João R","non-dropping-particle":"","parse-names":false,"suffix":""},{"dropping-particle":"","family":"Heiden","given":"Gustavo","non-dropping-particle":"","parse-names":false,"suffix":""},{"dropping-particle":"","family":"Miotto","given":"Silvia Teresinha S","non-dropping-particle":"","parse-names":false,"suffix":""},{"dropping-particle":"","family":"Pennington","given":"R Toby","non-dropping-particle":"","parse-names":false,"suffix":""}],"container-title":"Botanical Journal of the Linnean Society","id":"ITEM-4","issue":"4","issued":{"date-parts":[["2011"]]},"note":"Looks at the numbers of endemic angiosperms in S Brazil's biomes, especially campos. Campos has the most/highest proportion of endemic angiosperms of all vegetation types in S Brazil - 296 taxa = ~25% (cf 216 and 70 taxa for DOF and MOF in S Brazil, respectively). Essentially, campos matter.\nAlso looks at their distinctiveness from other grassland types","page":"378-393","title":"Campos de Cima da Serra: The Brazilian Subtropical Highland Grasslands show an unexpected level of plant endemism","type":"article-journal","volume":"167"},"uris":["http://www.mendeley.com/documents/?uuid=31cbdcf3-cc16-3293-ac49-d4dfd5235771"]}],"mendeley":{"formattedCitation":"(Andrade et al., 2019, 2016; Iganci et al., 2011; Overbeck et al., 2007)","plainTextFormattedCitation":"(Andrade et al., 2019, 2016; Iganci et al., 2011; Overbeck et al., 2007)","previouslyFormattedCitation":"(Andrade et al., 2019, 2016; Iganci et al., 2011; Overbeck et al., 2007)"},"properties":{"noteIndex":0},"schema":"https://github.com/citation-style-language/schema/raw/master/csl-citation.json"}</w:instrText>
      </w:r>
      <w:r w:rsidRPr="00B667CB">
        <w:fldChar w:fldCharType="separate"/>
      </w:r>
      <w:r w:rsidR="005944BB" w:rsidRPr="005944BB">
        <w:rPr>
          <w:noProof/>
        </w:rPr>
        <w:t>(Andrade et al., 2019, 2016; Iganci et al., 2011; Overbeck et al., 2007)</w:t>
      </w:r>
      <w:r w:rsidRPr="00B667CB">
        <w:fldChar w:fldCharType="end"/>
      </w:r>
      <w:r w:rsidRPr="00B667CB">
        <w:t xml:space="preserve">. They have occupied parts of the highlands for more than 40,000 years, with relatively steady forest encroachment </w:t>
      </w:r>
      <w:r w:rsidR="008E4E7D">
        <w:t>over</w:t>
      </w:r>
      <w:r w:rsidRPr="00B667CB">
        <w:t xml:space="preserve"> the last 4,000 years </w:t>
      </w:r>
      <w:r w:rsidRPr="00B667CB">
        <w:fldChar w:fldCharType="begin" w:fldLock="1"/>
      </w:r>
      <w:r w:rsidR="007F330C">
        <w:instrText>ADDIN CSL_CITATION {"citationItems":[{"id":"ITEM-1","itemData":{"DOI":"10.1016/S0031-0182(03)00687-4","ISBN":"0031-0182","ISSN":"00310182","abstract":"Late Quaternary vegetation, fire and climate dynamics have been studied based on high-resolution dated pollen and charcoal samples and multivariate data analysis. The samples were taken from a 212-cm-long sediment core of a bog in the Cambará do Sul region on the highlands of northeastern Rio Grande do Sul State, Brazil. The records, including seven AMS radiocarbon dates, span 42 840 14C years, for the first time extending the reconstruction of past environmental changes on the southern Brazilian highlands back to the Last Glacial Maximum (LGM) and pre-LGM times. The last 1100 years provide a decadal resolution. Initially the site was a permanent shallow lake which became seasonally dry after 26 900 14C yr BP. Seasonal climate with a long annual dry period prevailed until the late Holocene. The climate was somewhat wetter from 42 840 to 41 470 14C yr BP and from 41 470 to 26 900 14C yr BP than during the LGM and the late-Glacial period. Natural fires were rare, but became very frequent after 7400 cal BP, suggesting human occupation of the southernmost Brazilian highlands since that time. The records suggest that a species-rich Campos (grassland) vegetation existed in the area under a relatively dry and cold climate during glacial times under possibly as low as -10°C. The record also suggests that small populations of Araucaria were probably only present in refugia of deep and protected valleys and/or on wetter coastal slopes. Campos vegetation existed through the early and mid-Holocene until 4320 cal yr BP, after which Araucaria forest expanded into the network of gallery forests along the streams. By 1100 cal yr BP the Araucaria forest replaced the Campos vegetation reflecting the onset of the wettest period with no marked annual dry season. The marked expansion of the Araucaria forest coincided with the reduction in fire. Between AD 1520 and 1770 Weinmannia became a common taxa in the Araucaria forest, suggesting a shift to warmer climatic conditions on the highlands. This interval was synchronous with a cool phase within the Little Ice Age known from North Atlantic land records. After about AD 1780 human activities changed the original forest composition, first by introducing cattle into the forest and than by selective logging of Araucaria trees. Multivariate analysis of the pollen data shows compositional changes that follow a trajectory alternating undirectional, random phases and phases with directional, sometimes fast transitions. The results al…","author":[{"dropping-particle":"","family":"Behling","given":"Hermann","non-dropping-particle":"","parse-names":false,"suffix":""},{"dropping-particle":"","family":"Pillar","given":"Valerio DePatta","non-dropping-particle":"","parse-names":false,"suffix":""},{"dropping-particle":"","family":"Orlóci","given":"László","non-dropping-particle":"","parse-names":false,"suffix":""},{"dropping-particle":"","family":"Bauermann","given":"Soraia Girardi","non-dropping-particle":"","parse-names":false,"suffix":""}],"container-title":"Palaeogeography, Palaeoclimatology, Palaeoecology","id":"ITEM-1","issue":"3-4","issued":{"date-parts":[["2004"]]},"note":"CamSu\n\nDetailed examination of Cambara do Sul core in NE Rio Grande do Sul, 42,658 C14 yr BP to present. Shows 100 year Campos-Araucaria switch in about 1100 cal yr BP.\n\nNEEDS SOME REINTERPRETING WITH LEONHARDT &amp;amp; LORSCHEITTER 2010. SEE NOTE\n\n(All dates C14 yr BP)\n\n42,840 - 41,470\n83-88% campos pollen, 8-14% Araucaria forest pollen (only 2 grains of A. angustifolia), only one pollen grain from Atlantic forest taxa, aquatics 6-16%, ferns 3-6%. Low conc and accumulation of carbonised particles.\n\n41,4701 - 26,900\n87-94% campos pollen, 3-9% Araucaria forest (less pollen from Myrtaceae), a few single grains of Atlantic forest pollen, less aquatic pollen (3-7%), fewer fern spores (0-3%). Carbonised particles still rare.\n\n26,900 - 10,120\n87-97% campos pollen (though changing composition - Poaceae down, Eryngium up; less Apiaceae), 1-5% Araucaria forest, 0-0.3% Atlantic forest (lowest for both), 1-3% aquatic, lowest time for ferns (but big increase at end of zone). Carbonised particles rare.\n\n10,120 - 3,950 (11,540 - 4,320 cal yr BP)\n74-88% campos but lower near end (Poaceae up from last time; Eryngium get more common; other compositional changes), 3-13% Araucaria forest (up slightly thanks to A. angustifolia and Myrsine), 0-4% Atlantic (up slightly), trace aquatics, big increase of ferns (up to 46%) then decrease by end (to 9%), increase in Dicksonia (0-14%). Lots of carbonised particles higher up in this section.\n\n3950 - 1140 (4320 - 1100 cal yr BP)\n65-84% campos (down a bit but still high; Cyperaceae up, Poaceae and Eryngium down), 13-27% Araucaria forest (mainly A. angustifolia 4-7%, Myrsine and Weinmannia), 2-5% Atlantic forest, fern spores up again (9-40%), Dicksonia common (9-16%). Lots and lots of carbonised particles.\n\n1140 - 410 (1100 - 430 cal yr BP)\nCampos way down and keeps going (55-24%), continuous increase of Araucaria forest pollen (39-80%) with A. angustifolia going up 14-42% and big increase in Mimosa scabrella, no change in Atlantic (2-6%), fewer fern spores (5-19%), highest Dicksonia spore level (9-26%), high point for mosses but decrease later. Low concentration of carbonised particles but higher accumulation than at beginning of core.\n\n410 - -50 (430 - -50 cal yr BP)\nCampos start way down (to 11%) but increase (to 38%, through Cyperaceae then Poaceae) then go down right at the end, Araucaria forest highest early on (87%) but decreases at the end (65%) as A. angustifolia drops off right at the end (41-2%; Mimosa scabrella jumps correspondingly; other changes), nothing much happens with Atlantic forest (2-7%), fern spores go down (21-2%) and Dicksonia crashes by end (19-0.3%). Similar carbonised particles to before.","page":"277-297","title":"Late Quaternary Araucaria forest, grassland (Campos), fire and climate dynamics, studied by high-resolution pollen, charcoal and multivariate analysis of the Cambará do Sul core in southern Brazil","type":"article-journal","volume":"203"},"uris":["http://www.mendeley.com/documents/?uuid=46579170-55fd-37c2-8f78-517419a62e98"]},{"id":"ITEM-2","itemData":{"DOI":"10.1016/j.geoderma.2007.06.005","ISBN":"0016-7061","ISSN":"00167061","PMID":"778","abstract":"The vegetation of the southern Brazilian highlands in Rio Grande do Sul State is a mosaic of grassland (C4) and deciduous forests (C3) with the conifer Araucaria angustifolia. It was uncertain, whether the grasslands represent relics of drier periods in the Holocene or if they are the result of deforestation in recent times. We analyzed plant tissues from gramineous and woody species, organic surface layers, as well as soil organic matter of 13 Andosols and Umbrisols in grassland, shrubland, pine plantations and Araucaria forest for stable carbon isotope ratios (δ13C) and 14C activity. The soil organic matter was separated into a free particulate organic matter (fPOM) and a heavy, organo-mineral fraction by density fractionation. All grassland soils have consistently ??13C values of - 18.7 to - 14.3??? typical for C4 grasses. In Araucaria forests and forest patches within grassland the δ13C values of both, the fPOM throughout the soil and the organic surface layers, are characteristic for the present below- and above-ground input from C3 trees. The C3- and C4-derived SOC stocks reflect expansion of Araucaria forest on grassland, which started after 1300??yr BP. The youngest forests are found at the forest border and in forest patches. Grassland soils lose their typically black colour from the top downwards after shrub encroachment or establishment of forest as indicated by increasing melanic indexes which are closely related to the δ13C values. The natural 13C depletion with depth in grassland soils counteracts the enrichment of 13C in the subsoils of present Araucaria forest. The results clearly indicate that current grasslands represent relics at least from the early and mid Holocene period (6000-8000??yr BP) and are not the result of recent deforestation.","author":[{"dropping-particle":"","family":"Dümig","given":"Alexander","non-dropping-particle":"","parse-names":false,"suffix":""},{"dropping-particle":"","family":"Schad","given":"Peter","non-dropping-particle":"","parse-names":false,"suffix":""},{"dropping-particle":"","family":"Rumpel","given":"Cornelia","non-dropping-particle":"","parse-names":false,"suffix":""},{"dropping-particle":"","family":"Dignac","given":"Marie France","non-dropping-particle":"","parse-names":false,"suffix":""},{"dropping-particle":"","family":"Kögel-Knabner","given":"Ingrid","non-dropping-particle":"","parse-names":false,"suffix":""}],"container-title":"Geoderma","id":"ITEM-2","issue":"1-2","issued":{"date-parts":[["2008"]]},"note":"Looks at soil carbon, carbon dating and soil colour changes (?) to see whether Araucaria forest or grassland was there first; agrees strongly with Behling 2001 - expansion of Araucaria forest over campos after 1300 (cal?) yr BP. Suggestions are made in the conclusions about climate and the ages of different forest blocks that could be the basis of a hypothesis re climate and people","page":"143-157","title":"Araucaria forest expansion on grassland in the southern Brazilian highlands as revealed by 14C and δ13C studies","type":"article-journal","volume":"145"},"uris":["http://www.mendeley.com/documents/?uuid=5e3493b9-8502-33ea-a9ad-898e8f2a4c5d"]},{"id":"ITEM-3","itemData":{"DOI":"10.1007/s10021-011-9486-y","ISBN":"1432-9840","ISSN":"14329840","abstract":"Recent studies have shown that tropical and subtropical forests expanded during the late Holocene, but rates and mechanisms of expansion are still unknown. Here, we investigate how a forest-grassland mosaic changed over the past 10,000 years at the southernmost limit of the Brazilian Atlantic forest. We used soil organic matter carbon isotopes (δ 13C and 14C) to quantify and date changes in vegetation, examining soil properties and leaf traits of tree species (nutrient content, δ 13C, δ 15N, and specific leaf area-SLA) to describe potential mechanisms of expansion. Our results show that after several millennia of stability, forests have been expanding over grasslands through continuous, but very slow, border dynamics and patch formation (&lt;100 m since ~4,000 YBP). This process of expansion coincided with past changes in climate, but biotic feedback mechanisms also appear to be important for the long-term persistence and expansion of forests. Soil fertility and microbial biomass match current rather than past vegetation distribution, increasing progressively across the gradient: grasslands &lt; isolated trees &lt; forest patches &lt; forests. Foliar δ 15N values of trees that are able to colonize the grassland are consistently lower across this vegetation gradient, suggesting an increasingly greater reliance on symbiotic nutrient uptake from grasslands to forests. No significant relationships were found between soil and leaf nutrients, but SLA explained variation in leaf N, P, and K (positive relationships) and in leaf δ 13C (negative relationship). These findings suggest that a tradeoff between tree growth and water use efficiency is an important regulator of forest-grassland dynamics in the study region. © 2011 Springer Science+Business Media, LLC.","author":[{"dropping-particle":"","family":"Silva","given":"Lucas C R","non-dropping-particle":"","parse-names":false,"suffix":""},{"dropping-particle":"","family":"Anand","given":"Madhur","non-dropping-particle":"","parse-names":false,"suffix":""}],"container-title":"Ecosystems","id":"ITEM-3","issue":"8","issued":{"date-parts":[["2011"]]},"note":"Interesting paper on expansion of ARF over 9,000 years. Good diagrams showing how and when the patches and forest areas expanded. Expansion speeds suggested, with implications for refugia and past humans mentioned. Thoughts in notes.","page":"1354-1371","title":"Mechanisms of Araucaria (Atlantic) Forest Expansion into Southern Brazilian Grasslands","type":"article-journal","volume":"14"},"uris":["http://www.mendeley.com/documents/?uuid=26302ea3-b67e-3725-bd0a-3f81476d906b"]}],"mendeley":{"formattedCitation":"(Behling et al., 2004; Dümig et al., 2008; Silva and Anand, 2011)","plainTextFormattedCitation":"(Behling et al., 2004; Dümig et al., 2008; Silva and Anand, 2011)","previouslyFormattedCitation":"(Behling et al., 2004; Dümig et al., 2008; Silva and Anand, 2011)"},"properties":{"noteIndex":0},"schema":"https://github.com/citation-style-language/schema/raw/master/csl-citation.json"}</w:instrText>
      </w:r>
      <w:r w:rsidRPr="00B667CB">
        <w:fldChar w:fldCharType="separate"/>
      </w:r>
      <w:r w:rsidR="005944BB" w:rsidRPr="005944BB">
        <w:rPr>
          <w:noProof/>
          <w:lang w:val="sv-SE"/>
        </w:rPr>
        <w:t>(Behling et al., 2004; Dümig et al., 2008; Silva and Anand, 2011)</w:t>
      </w:r>
      <w:r w:rsidRPr="00B667CB">
        <w:fldChar w:fldCharType="end"/>
      </w:r>
      <w:r w:rsidRPr="00A82061">
        <w:rPr>
          <w:lang w:val="sv-SE"/>
        </w:rPr>
        <w:t xml:space="preserve">. </w:t>
      </w:r>
      <w:r w:rsidRPr="00B667CB">
        <w:t xml:space="preserve">These ecotones are maintained by natural or anthropogenic fire and grazing, and in the absence </w:t>
      </w:r>
      <w:r w:rsidR="008E4E7D">
        <w:t xml:space="preserve">of such disturbance </w:t>
      </w:r>
      <w:r w:rsidRPr="00B667CB">
        <w:t xml:space="preserve">the conversion of Campos to forest can be rapid </w:t>
      </w:r>
      <w:r w:rsidRPr="00B667CB">
        <w:fldChar w:fldCharType="begin" w:fldLock="1"/>
      </w:r>
      <w:r w:rsidR="004F4F54">
        <w:instrText>ADDIN CSL_CITATION {"citationItems":[{"id":"ITEM-1","itemData":{"DOI":"10.1038/s41598-020-57564-z","ISSN":"2045-2322","abstract":"Woody encroachment threatens several ecosystems around the world. In general, management of grasslands includes regulation of fire and grazing regimes. Changes in these two types of disturbances are potential drivers of woody encroachment. Here we assessed how the traditional management carried out by local landholders affects a highland grassland ecosystem in southern Brazil. We hypothesized that grasslands converted to protected areas undergo fast woody encroachment. To reconstruct changes in vegetation, we interviewed former and current landholders and coupled their knowledge with an analysis of aerial and satellite images. During the first 11 years without fire and cattle, woody encroachment in grasslands increased exponentially. Woody encroachment occurred mostly by the replacement of grasslands by shrublands. Meanwhile, grasslands under traditional management remained almost unchanged for the last 40 years. The management of fire by local landholders has been part of their traditional practices for decades. Such management prevents large-scale wildfires and maintains natural highland grasslands. The quick pace of shrub encroachment in such grasslands threatens its exclusive diversity, human well-being and regional cultural heritage. Thus, conservation policies are needed to regulate and instruct about the use of fire as a management tool in highland grasslands of southern Brazil.","author":[{"dropping-particle":"","family":"Sühs","given":"Rafael Barbizan","non-dropping-particle":"","parse-names":false,"suffix":""},{"dropping-particle":"","family":"Giehl","given":"Eduardo Luís Hettwer","non-dropping-particle":"","parse-names":false,"suffix":""},{"dropping-particle":"","family":"Peroni","given":"Nivaldo","non-dropping-particle":"","parse-names":false,"suffix":""}],"container-title":"Scientific Reports","id":"ITEM-1","issue":"1","issued":{"date-parts":[["2020","12","21"]]},"page":"783","publisher":"Nature Research","title":"Preventing traditional management can cause grassland loss within 30 years in southern Brazil","type":"article-journal","volume":"10"},"uris":["http://www.mendeley.com/documents/?uuid=d9eeb1b6-3666-30a9-a983-71a7e1d4fe6a"]},{"id":"ITEM-2","itemData":{"DOI":"10.1007/978-1-4614-3797-0_7","ISBN":"9781461437970","ISSN":"1098-6596","PMID":"25246403","abstract":"The southernmost part of Brazil is characterized by extended grasslands—the southern Campos. In some parts of the region, these grasslands occur in close contact with different forest types of the Atlantic forest biome or riparian forests, forming mosaics. Otherwise, they form large and continuous areas toward south and southwest, where they reach the Pampa grassland of Uruguay and Argentina. Throughout this region, forest expansion and/or shrub encroachment can be observed and have been related both to site conditions (abiotic variables and disturbance regimes) and climatic changes. We know today, based on studies of pollen records from peat profiles, that expansion of woody vegetation throughout the past centuries was driven by changes in the climatic conditions towards a climate increasingly favorable for forest development, and evidence exists that this process is halted or at least slowed down as consequence of land use and disturbances. Current vegetation dynamics in forest-grassland ecotones thus likely are linked both to climatic changes (on the regional scale) and vegetation management and/or disturbance regime (on the local scale).","author":[{"dropping-particle":"","family":"Müller","given":"Sandra Cristina","non-dropping-particle":"","parse-names":false,"suffix":""},{"dropping-particle":"","family":"Overbeck","given":"Gerhard E.","non-dropping-particle":"","parse-names":false,"suffix":""},{"dropping-particle":"","family":"Blanco","given":"Carolina C.","non-dropping-particle":"","parse-names":false,"suffix":""},{"dropping-particle":"","family":"Oliveira","given":"Juliano M.","non-dropping-particle":"de","parse-names":false,"suffix":""},{"dropping-particle":"","family":"Pillar","given":"Valério D.","non-dropping-particle":"","parse-names":false,"suffix":""}],"chapter-number":"7","container-title":"Ecotones Between Forest and Grassland","editor":[{"dropping-particle":"","family":"Myster","given":"Randall W.","non-dropping-particle":"","parse-names":false,"suffix":""}],"id":"ITEM-2","issued":{"date-parts":[["2012"]]},"note":"General overview of campos-forest mosaic maintenance, mostly from the point of view of campos persistence. Grazing and fire pressures described and explained","page":"167-187","publisher":"Springer New York","publisher-place":"New York, NY","title":"South Brazilian Forest-Grassland Ecotones: Dynamics Affected by Climate, Disturbance, and Woody Species Traits","type":"chapter","volume":"9781461437"},"uris":["http://www.mendeley.com/documents/?uuid=8188166e-730b-4178-99e9-ce95a661de13"]},{"id":"ITEM-3","itemData":{"DOI":"10.1016/j.revpalbo.2010.01.005","ISBN":"0034-6667","ISSN":"00346667","abstract":"To elucidate the relationship between forest dynamics and fire frequency pollen percentages and charcoal amounts from a 120 cm long peat core and from samples of modern pollen rain were collected along a transect. The study site in southern Brazil is characterized by a species-rich mosaic of grassland-Araucaria forest. It is of crucial importance for management strategies for conservation to understand the development and maintenance of these vegetation mosaics including their sharp forest-grassland boundaries. During the late Holocene, considerable changes occurred in the area. From Anno Domini (AD) 1360 to 1410, the area was dominated by Campos (grassland) vegetation and fire was very common. From AD 1410 to 1500, Araucaria forest expanded and fire was less frequent. From AD 1500 to 1580, Campos grassland spread and the Araucaria forest ceased its development, apparently due to the increase of fire. From AD 1580 to 1935, after a decrease in fire frequency, Araucaria forest expanded again. From AD 1935 to the present, the Araucaria forest expanded while the Campos area decreased. Fire was very rare in this period. The results indicate a strong interaction of forest expansion, forming a mosaic of Campos and Araucaria forest, and the frequency of fire during the past 600 years. A possible collapse of the indigenous population following the post-Colombian colonization in southern Brazil after about AD 1550 may have caused a great reduction of fire frequency. The introduction of cattle (probably after AD 1780) and the resulting decrease of fire frequency might be the reason for forest expansion. Fire is probably the most important factor controlling the dynamics of the forest-grassland mosaics and the formation of sharp borders between these two vegetation types. ?? 2010 Elsevier B.V. All rights reserved.","author":[{"dropping-particle":"","family":"Jeske-Pieruschka","given":"Vivian","non-dropping-particle":"","parse-names":false,"suffix":""},{"dropping-particle":"","family":"Fidelis","given":"Alessandra","non-dropping-particle":"","parse-names":false,"suffix":""},{"dropping-particle":"","family":"Bergamin","given":"Rodrigo Scarton","non-dropping-particle":"","parse-names":false,"suffix":""},{"dropping-particle":"","family":"Vélez","given":"Eduardo","non-dropping-particle":"","parse-names":false,"suffix":""},{"dropping-particle":"","family":"Behling","given":"Hermann","non-dropping-particle":"","parse-names":false,"suffix":""}],"container-title":"Review of Palaeobotany and Palynology","id":"ITEM-3","issue":"1-2","issued":{"date-parts":[["2010"]]},"note":"Paper looking at how an Araucaria forest island varies with fire intensity (doesn't like it), and also takes pollen signatures from current landscape. Not a lot of Araucaria angustifolia pollen around though - see below. When interpreting this paper, try and use it as showing what happens to the forest plant community with fire, rather than how Aa as a species responds.\n\nGood info on species in pollen record/floristic inventory\n\n'Araucaria forest' seems to be dominated by Myrsine pollen, with very little pollen from Araucaria angustifolia at any point. Is it really fair to say that it represents Araucaria forest? (Albeit islands of the forest.) Since Myrsine is a pioneer, maybe this island never made it to mature Araucaria forest? Or for the duration of the pollen record it's been ?degraded secondary forest.\n\nMaybe this part of the landscape was managed for a use other than pinhao\n\nAlso, worth remembering that this paper starts about 600 cal yr BP\n\n590-540 cal yr BP campos dominated (rich but especially Poaceae) and has been present since then. Araucaria forest island small or absent. Fire very common (potentially stopping forest expansion). Potentially anthropogenic fire stopping forest growth. Impact of fire on Aa is less clear though, as there's so little pollen there. Could be burning to control/remove understorey for all we can tell.\n\n540-490 cal yr BP Araucaria forest island grows, as does Atlantic forest on more distant slopes (both: lots of pioneer Myrsine). Peat bog grows. Less fire (hence Araucaria island growing).\n\n450-370 cal yr BP reverse: campos up, Araucaria island down, fire increased (hence changes)\n\n370-15 cal yr BP Araucaria island expands (Melastomataceae then Myrsine pioneers) and campos is reduced from this point. Less fire (so Araucaria forest expansion)\n\n15 cal yr BP - present campos decreased a lot and Araucaria island grew (low fire again), though it also got a bit trashed (logging and cattle).","page":"53-65","title":"Araucaria forest dynamics in relation to fire frequency in southern Brazil based on fossil and modern pollen data","type":"article-journal","volume":"160"},"uris":["http://www.mendeley.com/documents/?uuid=cf667d5b-830b-3f76-a2ab-41b8c67d7999"]},{"id":"ITEM-4","itemData":{"DOI":"10.1556/ComEc.5.2004.2.8","ISBN":"3099","ISSN":"1585-8553","abstract":"A mosaic of Campos grassland and Araucaria forest characterizes the vegetation of the Southern Brazilian highland plateau. Palaeoecological evidence indicates that forest expansion over grassland initiated after the mid Holocene, when climate changed towards present day cool and moist conditions. In this paper, we discuss landscape level changes that occurred on vegetation patterns after grazing and fire exclusion in a mosaic of Campos and Araucaria forest in Southern Brazil. The analysis of aerial photographs from 1974 and 1999 showed alterations on grassland communities under grazing and fire exclusion, especially pronounced shrub establishment near the edge of the forest. Considering the change in the cover of vegetation classes relative to the total altered cover in all classes from 1974 to 1999, the most prominent alterations were: 48% from grassland with tussock grasses dominance (GRA) to grassland with shrubs (GSR), 24% from GRA to grassland with tall shrubs (GTS), 16% from GSR to GTS and 9% from GTS to forest (FOR). Considering the alteration relatively to the vegetation cover in 1974, the most relevant changes were: 44% from GSR to GTS and 94% from GTS to FOR. These observations support a directional forest expansion over grassland under grazing and fire exclusion.","author":[{"dropping-particle":"","family":"Oliveira","given":"J.M.","non-dropping-particle":"","parse-names":false,"suffix":""},{"dropping-particle":"","family":"Pillar","given":"Valério de Patta","non-dropping-particle":"","parse-names":false,"suffix":""}],"container-title":"Community Ecology","id":"ITEM-4","issue":"2","issued":{"date-parts":[["2005"]]},"note":"Most common changes were GRA - GSR and GTS, GSR - GTS, and GTS - FOR. Shows the general pattern of forest expansion over grassland and provides a model for how the Holocene expansion may have progressed. This type of expansion is all about edge dynamics (as opposed to nucleation).","page":"197-202","title":"Vegetation dynamics on mosaics of Campos and Araucaria forest between 1974 and 1999 in Southern Brazil","type":"article-journal","volume":"5"},"uris":["http://www.mendeley.com/documents/?uuid=89e8b57e-d51a-46d5-b069-1390db69b38c"]}],"mendeley":{"formattedCitation":"(Jeske-Pieruschka et al., 2010; Müller et al., 2012; Oliveira and Pillar, 2005; Sühs et al., 2020)","plainTextFormattedCitation":"(Jeske-Pieruschka et al., 2010; Müller et al., 2012; Oliveira and Pillar, 2005; Sühs et al., 2020)","previouslyFormattedCitation":"(Jeske-Pieruschka et al., 2010; Müller et al., 2012; Oliveira and Pillar, 2005; Sühs et al., 2020)"},"properties":{"noteIndex":0},"schema":"https://github.com/citation-style-language/schema/raw/master/csl-citation.json"}</w:instrText>
      </w:r>
      <w:r w:rsidRPr="00B667CB">
        <w:fldChar w:fldCharType="separate"/>
      </w:r>
      <w:r w:rsidR="005944BB" w:rsidRPr="005944BB">
        <w:rPr>
          <w:noProof/>
          <w:lang w:val="sv-SE"/>
        </w:rPr>
        <w:t>(Jeske-Pieruschka et al., 2010; Müller et al., 2012; Oliveira and Pillar, 2005; Sühs et al., 2020)</w:t>
      </w:r>
      <w:r w:rsidRPr="00B667CB">
        <w:fldChar w:fldCharType="end"/>
      </w:r>
      <w:r w:rsidRPr="00A82061">
        <w:rPr>
          <w:lang w:val="sv-SE"/>
        </w:rPr>
        <w:t xml:space="preserve">. </w:t>
      </w:r>
    </w:p>
    <w:p w14:paraId="011B96CF" w14:textId="6539987F" w:rsidR="00B667CB" w:rsidRPr="00B667CB" w:rsidRDefault="00B667CB" w:rsidP="00F74804">
      <w:pPr>
        <w:spacing w:line="360" w:lineRule="auto"/>
      </w:pPr>
      <w:r w:rsidRPr="00B667CB">
        <w:t xml:space="preserve">Campos share the highest and coldest parts of the plateau with Cloud Forest, especially along the escarpment’s upper edge where orographic fog is common </w:t>
      </w:r>
      <w:r w:rsidRPr="00B667CB">
        <w:fldChar w:fldCharType="begin" w:fldLock="1"/>
      </w:r>
      <w:r w:rsidR="007F330C">
        <w:instrText>ADDIN CSL_CITATION {"citationItems":[{"id":"ITEM-1","itemData":{"DOI":"10.1007/978-1-4612-2500-3","ISBN":"978-1-4612-7564-0","author":[{"dropping-particle":"","family":"Falkenberg","given":"Daniel de Barcellos","non-dropping-particle":"","parse-names":false,"suffix":""},{"dropping-particle":"","family":"Voltolini","given":"Julio Cesar","non-dropping-particle":"","parse-names":false,"suffix":""}],"chapter-number":"8","container-title":"Tropical Montane Cloud Forests","editor":[{"dropping-particle":"","family":"Hamilton","given":"L","non-dropping-particle":"","parse-names":false,"suffix":""},{"dropping-particle":"","family":"Juvik","given":"J.O","non-dropping-particle":"","parse-names":false,"suffix":""},{"dropping-particle":"","family":"Scatena","given":"F.N","non-dropping-particle":"","parse-names":false,"suffix":""}],"id":"ITEM-1","issued":{"date-parts":[["1993"]]},"note":"A bit of a breezy overview of cloud forests in SC and RS. Gives a reasonable intro to the uncertainty abour their classification","page":"86-93","publisher":"East-West Centre","publisher-place":"Honolulu, Hawai'i","title":"The Montane Cloud Forest in Southern Brazil","type":"paper-conference","volume":"110"},"uris":["http://www.mendeley.com/documents/?uuid=b00593a2-9722-4ddb-80fc-2e52ea88c6f6"]}],"mendeley":{"formattedCitation":"(Falkenberg and Voltolini, 1993)","plainTextFormattedCitation":"(Falkenberg and Voltolini, 1993)","previouslyFormattedCitation":"(Falkenberg and Voltolini, 1993)"},"properties":{"noteIndex":0},"schema":"https://github.com/citation-style-language/schema/raw/master/csl-citation.json"}</w:instrText>
      </w:r>
      <w:r w:rsidRPr="00B667CB">
        <w:fldChar w:fldCharType="separate"/>
      </w:r>
      <w:r w:rsidR="005944BB" w:rsidRPr="005944BB">
        <w:rPr>
          <w:noProof/>
        </w:rPr>
        <w:t>(Falkenberg and Voltolini, 1993)</w:t>
      </w:r>
      <w:r w:rsidRPr="00B667CB">
        <w:fldChar w:fldCharType="end"/>
      </w:r>
      <w:r w:rsidRPr="00B667CB">
        <w:t xml:space="preserve">. These </w:t>
      </w:r>
      <w:r w:rsidR="00C31ED4">
        <w:t xml:space="preserve">forests </w:t>
      </w:r>
      <w:r w:rsidRPr="00B667CB">
        <w:t xml:space="preserve">contain a mix of cold-adapted species from both </w:t>
      </w:r>
      <w:r w:rsidR="00043D31">
        <w:t>A</w:t>
      </w:r>
      <w:r w:rsidRPr="00B667CB">
        <w:t xml:space="preserve">MF and </w:t>
      </w:r>
      <w:r w:rsidR="00043D31">
        <w:t>AR</w:t>
      </w:r>
      <w:r w:rsidRPr="00B667CB">
        <w:t xml:space="preserve">F, but despite being floristically distinct they are often treated as high-montane expressions of these larger forest formations </w:t>
      </w:r>
      <w:r w:rsidRPr="00B667CB">
        <w:lastRenderedPageBreak/>
        <w:fldChar w:fldCharType="begin" w:fldLock="1"/>
      </w:r>
      <w:r w:rsidR="007F330C">
        <w:instrText>ADDIN CSL_CITATION {"citationItems":[{"id":"ITEM-1","itemData":{"DOI":"10.1007/978-1-4612-2500-3","ISBN":"978-1-4612-7564-0","author":[{"dropping-particle":"","family":"Falkenberg","given":"Daniel de Barcellos","non-dropping-particle":"","parse-names":false,"suffix":""},{"dropping-particle":"","family":"Voltolini","given":"Julio Cesar","non-dropping-particle":"","parse-names":false,"suffix":""}],"chapter-number":"8","container-title":"Tropical Montane Cloud Forests","editor":[{"dropping-particle":"","family":"Hamilton","given":"L","non-dropping-particle":"","parse-names":false,"suffix":""},{"dropping-particle":"","family":"Juvik","given":"J.O","non-dropping-particle":"","parse-names":false,"suffix":""},{"dropping-particle":"","family":"Scatena","given":"F.N","non-dropping-particle":"","parse-names":false,"suffix":""}],"id":"ITEM-1","issued":{"date-parts":[["1993"]]},"note":"A bit of a breezy overview of cloud forests in SC and RS. Gives a reasonable intro to the uncertainty abour their classification","page":"86-93","publisher":"East-West Centre","publisher-place":"Honolulu, Hawai'i","title":"The Montane Cloud Forest in Southern Brazil","type":"paper-conference","volume":"110"},"uris":["http://www.mendeley.com/documents/?uuid=b00593a2-9722-4ddb-80fc-2e52ea88c6f6"]},{"id":"ITEM-2","itemData":{"DOI":"10.1007/s10531-011-0129-6","ISSN":"0960-3115","abstract":"In a previous study near the summit of Mt. Cuscuzeiro (Ubatuba, SP) (820-1270 m), on the SE Brazilian coast, we found two floristically different forests, one above 1120 m, that appears to have a number of features typical of cloud forests, and another on the lower altitude slopes below. Taking these two forests as reference points, we addressed two questions: (1) What are their floristic relationships with other Atlantic forest subtypes in S-SE Brazil?; (2) Do the cloud forests in this region constitute a particular floristic-phytogeographic formation or are they a subset of their surrounding community? Species from 109 surveys (including Mount Cuscuzeiro) of 83 locations in S-SE Brazil were compiled into a binary (presence-absence) floristic matrix. Analyses of similarity among these samples using clustering (UPGMA, TWINSPAN) and ordination (DCA, PCO and CA) methods were performed. The surveys were divided into six main groups: (1) Cloud Forests; (2) \"Salesópolis\" group (3) Coastal Forests, subdivided between (a) Slope Forests and (b) Coastal Plain (\"Restinga\") Forests and Mountaintop Forests (not included in the Cloud Forests group); (4) Araucaria Forests; (5) Inland Seasonal Forests (from below ca. 700 m); and (6) Inland Montane Forests (from above ca. 700 m). The preferential and indicator species of the Cloud Forest group produced by TWINSPAN are presented. The Mount Cuscuzeiro forests from above and from below 1120 m were clustered with the Cloud Forests and the coastal Slope Forests groups, respectively. We concluded that Cloud forests comprise a distinct phytogeographic formation in Brazilian S-SE region. © 2011 Springer Science+Business Media B.V.","author":[{"dropping-particle":"","family":"Bertoncello","given":"Ricardo","non-dropping-particle":"","parse-names":false,"suffix":""},{"dropping-particle":"","family":"Yamamoto","given":"Kikyo","non-dropping-particle":"","parse-names":false,"suffix":""},{"dropping-particle":"","family":"Meireles","given":"Leonardo Dias","non-dropping-particle":"","parse-names":false,"suffix":""},{"dropping-particle":"","family":"Shepherd","given":"George John","non-dropping-particle":"","parse-names":false,"suffix":""}],"container-title":"Biodiversity and Conservation","id":"ITEM-2","issue":"14","issued":{"date-parts":[["2011","12","18"]]},"page":"3413-3433","publisher":"Springer Netherlands","title":"A phytogeographic analysis of cloud forests and other forest subtypes amidst the Atlantic forests in south and southeast Brazil","type":"article-journal","volume":"20"},"uris":["http://www.mendeley.com/documents/?uuid=872f0e06-2440-3501-8238-a8ea7c4743c9"]},{"id":"ITEM-3","itemData":{"DOI":"10.1590/S0102-33062011000400002","ISSN":"0102-3306","abstract":"The aims of this study were: (1) to group information about the tree structure of the upper montane rain forest of Serra do Mar in the state of Paraná (PR), Southern Brazil; and (2) to compare this information with available data from other mountain ranges in Southern and Southeastern Brazil. In the four mountain ranges studied, 2294 tree individuals (perimeter at breast height - PBH &gt; 10 cm) were sampled, which included 28 families, 43 genera and 78 species. The cloud forest sampled in Serra Gigante showed the highest richness (41 species), followed by Serra da Prata (37), Serra da Igreja (34) and Serra do Ibitiraquire (26). The mean tree height was 4.8 m, the PBH was 22.9 cm, the tree abundance was 4779 in/ha, the basal area was 33.5 m2/ha and the Shannon diversity index was 2.68 nats/ind. Combining our data with the published data on the Serra do Mar region, resulting in a total of 11 surveys and 204 plots (10200 m2), a matrix with 75 identified species was obtained. In this matrix, the five most important species in the structure of the forest were Ilex microdonta, Siphoneugena reitzii, Drimys angustifolia, Ocotea porosa and Ilex chamaedrifolia. The cloud forests sampled in Serra do Mar showed lower richness and diversity indexes than the cloud forests in Serra da Mantiqueira (Southeast) and higher richness and diversity than cloud forests in Aparados da Serra Geral (South). These differences are possibly related to the anthropic influences, geographic distances, different centers of endemism, the tropical and subtropical surroundings, and geomorphology, among other factors.","author":[{"dropping-particle":"","family":"Scheer","given":"Maurício Bergamini","non-dropping-particle":"","parse-names":false,"suffix":""},{"dropping-particle":"","family":"Mocochinski","given":"Alan Yukio","non-dropping-particle":"","parse-names":false,"suffix":""},{"dropping-particle":"","family":"Roderjan","given":"Carlos Vellozo","non-dropping-particle":"","parse-names":false,"suffix":""}],"container-title":"Acta Botanica Brasilica","id":"ITEM-3","issue":"4","issued":{"date-parts":[["2011","12"]]},"page":"735-750","title":"Estrutura arbórea da Floresta Ombrófila Densa Altomontana de serras do Sul do Brasil","type":"article-journal","volume":"25"},"uris":["http://www.mendeley.com/documents/?uuid=b69deba8-6fd9-3a1c-b417-c83f69b1c216"]},{"id":"ITEM-4","itemData":{"DOI":"10.1177/0272989X07302131","ISBN":"3318","ISSN":"01039954","abstract":"A Floresta Ombrófila Mista Alto-Montana é uma formação pouco estudada que ocorre em altitudes acima de 1.000 m. Os objetivos deste estudo foram conhecer os padrões florísticos e estruturais do componente arbóreo de um fragmento desta floresta na região do Planalto Sul Catarinense e determinar as variáveis ambientais que influenciam esses padrões. O levantamento da composição florística e estrutural e a coleta das variáveis ambientais foram conduzidos em 50 parcelas de 200 m2 . Nelas, todos os indivíduos arbóreos com CAP (circunferência medida a altura do peito) ≥ 15,7 cm foram medidos (CAP e altura) e identificados. Foram coletadas, em cada parcela, variáveis ambientais relacionadas às características químicas e físicas dos solos, topográficas e de cobertura do dossel. Foram calculados os parâmetros fitossociológicos e a estrutura diamétrica da comunidade e das populações com valor de importância (VI) acima de 5 %. A similaridade florístico-estrutural entre as parcelas foi analisada pela NMDS (Nonmetric Multidimensional Scaling) e os vetores das variáveis ambientais significativas (p &lt; 0,05) foram plotados a posteriori. Foram identificadas 50 espécies arbóreas distribuídas em 33 gêneros e 20 famílias botânicas. As espécies com maior VI foram: Araucaria angustifolia (Bertol.) Kuntze (17,32 %), Myrceugenia euosma (O.Berg) D.Legrand (15,24 %) e Acca sellowiana (O.Berg) Burret (7,84 %). A estrutura diamétrica de toda a comunidade e das populações estudadas (exceto Dicksonia sellowiana Hook.) teve distribuição próxima ao “J invertido”. A análise NMDS demonstrou maior porcentagem de argila nas parcelas com maior densidade de Araucaria angustifolia e menor porcentagem, nas parcelas com maior densidade de Dicksonia sellowiana, Inga lentiscifolia Benth. e Ocotea pulchella Mart. As parcelas de maior declividade tiveram maior densidade de Drimys brasiliensis Miers e aquelas de menor declividade, maior cota e maior cobertura do dossel, tiveram maior ocorrência de Drimys angustifolia Miers, Prunus myrtifolia (L.) Urb., Calyptranthes concinna DC. e Myrceugenia oxysepala (Burret) D.Legrand &amp; Kausel","author":[{"dropping-particle":"","family":"Higuchi","given":"Pedro","non-dropping-particle":"","parse-names":false,"suffix":""},{"dropping-particle":"","family":"Silva","given":"Ana Carolina","non-dropping-particle":"da","parse-names":false,"suffix":""},{"dropping-particle":"","family":"Almeida","given":"Jaime Antonio","non-dropping-particle":"de","parse-names":false,"suffix":""},{"dropping-particle":"","family":"Bortoluzzi","given":"Roseli Lopes da Costa","non-dropping-particle":"","parse-names":false,"suffix":""},{"dropping-particle":"","family":"Mantovani","given":"Adelar","non-dropping-particle":"","parse-names":false,"suffix":""},{"dropping-particle":"","family":"Ferreira","given":"Tiago de Souza","non-dropping-particle":"","parse-names":false,"suffix":""},{"dropping-particle":"","family":"Souza","given":"Sheila Trierveiler","non-dropping-particle":"de","parse-names":false,"suffix":""},{"dropping-particle":"","family":"Gomes","given":"Juliano Pereira","non-dropping-particle":"","parse-names":false,"suffix":""},{"dropping-particle":"","family":"Silva","given":"Karina Montibeller","non-dropping-particle":"da","parse-names":false,"suffix":""}],"container-title":"Ciencia Florestal","id":"ITEM-4","issue":"1","issued":{"date-parts":[["2013"]]},"note":"Notes on composition of highland Araucaria forest (?Cloud forest) in SC","page":"153-164","title":"Florística e estrutura do componente arbóreo e análise ambiental de um fragmento de floresta ombrófila mista alto-montana no Município de Painel, SC","type":"article-journal","volume":"23"},"uris":["http://www.mendeley.com/documents/?uuid=82e5678d-a488-417b-a3f5-eb607356c284"]},{"id":"ITEM-5","itemData":{"DOI":"10.1093/jpe/rtt058","ISBN":"2850","ISSN":"1752993X","abstract":"AimsWe analyse here the variations in species composition and richness and the geographic ranges of the tree species occurring in South American subtropical Atlantic and Pampean forests. Our goals were to assess (i) the floristic consistency of usual classifications based on vegetation physiognomy, climate and elevation; (ii) the leading role of temperature-related variables on the variations in species composition and richness; (iii) the predominance of species with tropical-subtropical ranges, possibly as a result of forest expansion over grasslands after the Last Glacial Maximum (LGM); (iv) the restriction of most subtropical endemics to stressful habitats as a possible result of past forest refuges during the LGM. MethodsThe region was defined by the Tropic of Capricorn to the north, the Rio de la Plata to the south, the Atlantic shoreline to the east and the catchment areas of the upper Parana and Uruguay Rivers to the west. Multivariate analyses, multiple regression modelling and variance partition analyses were performed on a database containing 63 994 occurrence records of 1555 tree species in 491 forest sites and 48 environmental variables. All species were also classified according to their known geographic range. Important FindingsA main differentiation in species composition and richness was observed between the eastern windward coastlands (rain and cloud forests) and western leeward hinterlands (Araucaria and semi-deciduous forests). Pre-defined forest types on both sides were consistent with variations in tree species composition, which were significantly related to both environmental variables and spatial proximity, with extremes of low temperature playing a chief role. Tree species richness declined substantially towards the south and also from rain to seasonal forests and towards the highland summits and sandy shores. Species richness was significantly correlated with both minimum temperature and actual evapotranspiration. About 91% of the subtropical flora is shared with the much richer tropical flora, probably extracting species that can cope with frost outbreaks. The 145 subtropical endemics were not concentrated in harsher habitats.","author":[{"dropping-particle":"","family":"Oliveira-Filho","given":"Ary T","non-dropping-particle":"","parse-names":false,"suffix":""},{"dropping-particle":"","family":"Budke","given":"Jean C","non-dropping-particle":"","parse-names":false,"suffix":""},{"dropping-particle":"","family":"Jarenkow","given":"Jo??o A","non-dropping-particle":"","parse-names":false,"suffix":""},{"dropping-particle":"V","family":"Eisenlohr","given":"Pedro","non-dropping-particle":"","parse-names":false,"suffix":""},{"dropping-particle":"","family":"Neves","given":"Danilo R M","non-dropping-particle":"","parse-names":false,"suffix":""}],"container-title":"Journal of Plant Ecology","id":"ITEM-5","issue":"3","issued":{"date-parts":[["2014","6","1"]]},"note":"Read this in a bit of a bitty fashion, but it's a big floristic study of the subtropical Atlantic Forest. There's an interesting fine classification of MOF, and stuff on how it's a continuum based on conditions (and what conditions segregates it from other forest types). It's also a kind of seasonal forest (like SDF), just with Aa. Lots of things in the discussion about the post-LGM development of the forests, some of which seem to contradict the general (?extrapolated) pollen story and might work favourably with my modelling","page":"242-260","title":"Delving into the variations in tree species composition and richness across South American subtropical Atlantic and Pampean forests","type":"article-journal","volume":"8"},"uris":["http://www.mendeley.com/documents/?uuid=d6a6382c-dd4b-3323-9d5e-12afd40294e2"]}],"mendeley":{"formattedCitation":"(Bertoncello et al., 2011; Falkenberg and Voltolini, 1993; Higuchi et al., 2013; Oliveira-Filho et al., 2014; Scheer et al., 2011)","plainTextFormattedCitation":"(Bertoncello et al., 2011; Falkenberg and Voltolini, 1993; Higuchi et al., 2013; Oliveira-Filho et al., 2014; Scheer et al., 2011)","previouslyFormattedCitation":"(Bertoncello et al., 2011; Falkenberg and Voltolini, 1993; Higuchi et al., 2013; Oliveira-Filho et al., 2014; Scheer et al., 2011)"},"properties":{"noteIndex":0},"schema":"https://github.com/citation-style-language/schema/raw/master/csl-citation.json"}</w:instrText>
      </w:r>
      <w:r w:rsidRPr="00B667CB">
        <w:fldChar w:fldCharType="separate"/>
      </w:r>
      <w:r w:rsidR="005944BB" w:rsidRPr="005944BB">
        <w:rPr>
          <w:noProof/>
        </w:rPr>
        <w:t>(Bertoncello et al., 2011; Falkenberg and Voltolini, 1993; Higuchi et al., 2013; Oliveira-Filho et al., 2014; Scheer et al., 2011)</w:t>
      </w:r>
      <w:r w:rsidRPr="00B667CB">
        <w:fldChar w:fldCharType="end"/>
      </w:r>
      <w:r w:rsidRPr="00B667CB">
        <w:t xml:space="preserve">. </w:t>
      </w:r>
    </w:p>
    <w:p w14:paraId="1A753747" w14:textId="17827AE9" w:rsidR="00B667CB" w:rsidRPr="00B667CB" w:rsidRDefault="00B667CB" w:rsidP="00F74804">
      <w:pPr>
        <w:spacing w:line="360" w:lineRule="auto"/>
      </w:pPr>
      <w:r w:rsidRPr="00B667CB">
        <w:t>The Atlantic Forest’s westernmost ecosystem is S</w:t>
      </w:r>
      <w:r w:rsidR="00BA45AD">
        <w:t xml:space="preserve">easonally </w:t>
      </w:r>
      <w:r w:rsidRPr="00B667CB">
        <w:t>D</w:t>
      </w:r>
      <w:r w:rsidR="00BA45AD">
        <w:t xml:space="preserve">eciduous </w:t>
      </w:r>
      <w:r w:rsidRPr="00B667CB">
        <w:t>F</w:t>
      </w:r>
      <w:r w:rsidR="00BA45AD">
        <w:t>orest</w:t>
      </w:r>
      <w:r w:rsidR="004B02A4">
        <w:t xml:space="preserve"> (SDF)</w:t>
      </w:r>
      <w:r w:rsidRPr="00B667CB">
        <w:t xml:space="preserve">, which extends across Brazil’s borders into north-eastern Argentina and eastern Paraguay as well as along lower elevations to the south of the highlands. These forests experience similarly high average temperatures and precipitation to </w:t>
      </w:r>
      <w:r w:rsidR="006716D1">
        <w:t>ARF</w:t>
      </w:r>
      <w:r w:rsidRPr="00B667CB">
        <w:t xml:space="preserve"> but greater temperature seasonality, with more frequent frosts (6.5-10.4 days per year on average) </w:t>
      </w:r>
      <w:r w:rsidRPr="00B667CB">
        <w:fldChar w:fldCharType="begin" w:fldLock="1"/>
      </w:r>
      <w:r w:rsidRPr="00B667CB">
        <w:instrText>ADDIN CSL_CITATION {"citationItems":[{"id":"ITEM-1","itemData":{"author":[{"dropping-particle":"de","family":"Gasper","given":"A.L.","non-dropping-particle":"","parse-names":false,"suffix":""},{"dropping-particle":"","family":"Uhlmann","given":"A.","non-dropping-particle":"","parse-names":false,"suffix":""},{"dropping-particle":"","family":"Vibrans","given":"A.C.","non-dropping-particle":"","parse-names":false,"suffix":""},{"dropping-particle":"","family":"Sevegnani","given":"L.","non-dropping-particle":"","parse-names":false,"suffix":""},{"dropping-particle":"","family":"Meyer","given":"L.","non-dropping-particle":"","parse-names":false,"suffix":""}],"chapter-number":"5","container-title":"Inventário Florístico Florestal de Santa Catarina, Vol. II, Floresta Estacional Decidual.","editor":[{"dropping-particle":"","family":"Vibrans","given":"A.C.","non-dropping-particle":"","parse-names":false,"suffix":""},{"dropping-particle":"","family":"Sevegnani","given":"L.","non-dropping-particle":"","parse-names":false,"suffix":""},{"dropping-particle":"de","family":"Gasper","given":"A.L.","non-dropping-particle":"","parse-names":false,"suffix":""},{"dropping-particle":"","family":"Lingner","given":"D.V.","non-dropping-particle":"","parse-names":false,"suffix":""}],"id":"ITEM-1","issued":{"date-parts":[["2012"]]},"page":"129-140","publisher":"Edifurb","publisher-place":"Blumenau","title":"Grupos florísticos estruturais da Floresta Estacional Decidual em Santa Catarina.","type":"chapter"},"uris":["http://www.mendeley.com/documents/?uuid=6e596897-42a9-437c-903c-594c5d7775e0"]}],"mendeley":{"formattedCitation":"(Gasper et al., 2012)","plainTextFormattedCitation":"(Gasper et al., 2012)","previouslyFormattedCitation":"(Gasper et al., 2012)"},"properties":{"noteIndex":0},"schema":"https://github.com/citation-style-language/schema/raw/master/csl-citation.json"}</w:instrText>
      </w:r>
      <w:r w:rsidRPr="00B667CB">
        <w:fldChar w:fldCharType="separate"/>
      </w:r>
      <w:r w:rsidRPr="00B667CB">
        <w:rPr>
          <w:noProof/>
        </w:rPr>
        <w:t>(Gasper et al., 2012)</w:t>
      </w:r>
      <w:r w:rsidRPr="00B667CB">
        <w:fldChar w:fldCharType="end"/>
      </w:r>
      <w:r w:rsidRPr="00B667CB">
        <w:t xml:space="preserve">. </w:t>
      </w:r>
      <w:r w:rsidR="00C2602E">
        <w:t>In the south, c</w:t>
      </w:r>
      <w:r w:rsidRPr="00B667CB">
        <w:t xml:space="preserve">anopy trees shed their leaves in response to winter’s low temperatures and shorter photoperiod, though </w:t>
      </w:r>
      <w:r w:rsidR="006716D1">
        <w:t>SDF</w:t>
      </w:r>
      <w:r w:rsidRPr="00B667CB">
        <w:t xml:space="preserve">’s understorey is largely evergreen </w:t>
      </w:r>
      <w:r w:rsidRPr="00B667CB">
        <w:fldChar w:fldCharType="begin" w:fldLock="1"/>
      </w:r>
      <w:r w:rsidRPr="00B667CB">
        <w:instrText>ADDIN CSL_CITATION {"citationItems":[{"id":"ITEM-1","itemData":{"author":[{"dropping-particle":"","family":"Klein","given":"Roberto M.","non-dropping-particle":"","parse-names":false,"suffix":""}],"container-title":"Boletim Paranaense de Geociências","id":"ITEM-1","issued":{"date-parts":[["1975"]]},"page":"67-88","title":"Southern Brazilian phytogeographic features and the probable influence of upper Quaternary climatic changes in the floristic distribution","type":"article-journal","volume":"33"},"uris":["http://www.mendeley.com/documents/?uuid=96f58c7d-b821-4664-ab3d-2a469bfc2a28"]},{"id":"ITEM-2","itemData":{"author":[{"dropping-particle":"de","family":"Gasper","given":"A.L.","non-dropping-particle":"","parse-names":false,"suffix":""},{"dropping-particle":"","family":"Uhlmann","given":"A.","non-dropping-particle":"","parse-names":false,"suffix":""},{"dropping-particle":"","family":"Vibrans","given":"A.C.","non-dropping-particle":"","parse-names":false,"suffix":""},{"dropping-particle":"","family":"Sevegnani","given":"L.","non-dropping-particle":"","parse-names":false,"suffix":""},{"dropping-particle":"","family":"Meyer","given":"L.","non-dropping-particle":"","parse-names":false,"suffix":""}],"chapter-number":"5","container-title":"Inventário Florístico Florestal de Santa Catarina, Vol. II, Floresta Estacional Decidual.","editor":[{"dropping-particle":"","family":"Vibrans","given":"A.C.","non-dropping-particle":"","parse-names":false,"suffix":""},{"dropping-particle":"","family":"Sevegnani","given":"L.","non-dropping-particle":"","parse-names":false,"suffix":""},{"dropping-particle":"de","family":"Gasper","given":"A.L.","non-dropping-particle":"","parse-names":false,"suffix":""},{"dropping-particle":"","family":"Lingner","given":"D.V.","non-dropping-particle":"","parse-names":false,"suffix":""}],"id":"ITEM-2","issued":{"date-parts":[["2012"]]},"page":"129-140","publisher":"Edifurb","publisher-place":"Blumenau","title":"Grupos florísticos estruturais da Floresta Estacional Decidual em Santa Catarina.","type":"chapter"},"uris":["http://www.mendeley.com/documents/?uuid=6e596897-42a9-437c-903c-594c5d7775e0"]}],"mendeley":{"formattedCitation":"(Gasper et al., 2012; Klein, 1975)","plainTextFormattedCitation":"(Gasper et al., 2012; Klein, 1975)","previouslyFormattedCitation":"(Gasper et al., 2012; Klein, 1975)"},"properties":{"noteIndex":0},"schema":"https://github.com/citation-style-language/schema/raw/master/csl-citation.json"}</w:instrText>
      </w:r>
      <w:r w:rsidRPr="00B667CB">
        <w:fldChar w:fldCharType="separate"/>
      </w:r>
      <w:r w:rsidRPr="00B667CB">
        <w:rPr>
          <w:noProof/>
        </w:rPr>
        <w:t>(Gasper et al., 2012; Klein, 1975)</w:t>
      </w:r>
      <w:r w:rsidRPr="00B667CB">
        <w:fldChar w:fldCharType="end"/>
      </w:r>
      <w:r w:rsidRPr="00B667CB">
        <w:t xml:space="preserve">. At the higher elevations of </w:t>
      </w:r>
      <w:r w:rsidR="004706E6">
        <w:t>it</w:t>
      </w:r>
      <w:r w:rsidRPr="00B667CB">
        <w:t xml:space="preserve">s range (800-900m) the forest incorporates floristic elements from lower-elevation </w:t>
      </w:r>
      <w:r w:rsidR="00B5032D">
        <w:t>AMF</w:t>
      </w:r>
      <w:r w:rsidRPr="00B667CB">
        <w:t xml:space="preserve"> – indeed, the two ecosystems can be considered different expressions of a similar seasonal forest flora </w:t>
      </w:r>
      <w:r w:rsidRPr="00B667CB">
        <w:fldChar w:fldCharType="begin" w:fldLock="1"/>
      </w:r>
      <w:r w:rsidRPr="00B667CB">
        <w:instrText>ADDIN CSL_CITATION {"citationItems":[{"id":"ITEM-1","itemData":{"DOI":"10.1093/jpe/rtt058","ISBN":"2850","ISSN":"1752993X","abstract":"AimsWe analyse here the variations in species composition and richness and the geographic ranges of the tree species occurring in South American subtropical Atlantic and Pampean forests. Our goals were to assess (i) the floristic consistency of usual classifications based on vegetation physiognomy, climate and elevation; (ii) the leading role of temperature-related variables on the variations in species composition and richness; (iii) the predominance of species with tropical-subtropical ranges, possibly as a result of forest expansion over grasslands after the Last Glacial Maximum (LGM); (iv) the restriction of most subtropical endemics to stressful habitats as a possible result of past forest refuges during the LGM. MethodsThe region was defined by the Tropic of Capricorn to the north, the Rio de la Plata to the south, the Atlantic shoreline to the east and the catchment areas of the upper Parana and Uruguay Rivers to the west. Multivariate analyses, multiple regression modelling and variance partition analyses were performed on a database containing 63 994 occurrence records of 1555 tree species in 491 forest sites and 48 environmental variables. All species were also classified according to their known geographic range. Important FindingsA main differentiation in species composition and richness was observed between the eastern windward coastlands (rain and cloud forests) and western leeward hinterlands (Araucaria and semi-deciduous forests). Pre-defined forest types on both sides were consistent with variations in tree species composition, which were significantly related to both environmental variables and spatial proximity, with extremes of low temperature playing a chief role. Tree species richness declined substantially towards the south and also from rain to seasonal forests and towards the highland summits and sandy shores. Species richness was significantly correlated with both minimum temperature and actual evapotranspiration. About 91% of the subtropical flora is shared with the much richer tropical flora, probably extracting species that can cope with frost outbreaks. The 145 subtropical endemics were not concentrated in harsher habitats.","author":[{"dropping-particle":"","family":"Oliveira-Filho","given":"Ary T","non-dropping-particle":"","parse-names":false,"suffix":""},{"dropping-particle":"","family":"Budke","given":"Jean C","non-dropping-particle":"","parse-names":false,"suffix":""},{"dropping-particle":"","family":"Jarenkow","given":"Jo??o A","non-dropping-particle":"","parse-names":false,"suffix":""},{"dropping-particle":"V","family":"Eisenlohr","given":"Pedro","non-dropping-particle":"","parse-names":false,"suffix":""},{"dropping-particle":"","family":"Neves","given":"Danilo R M","non-dropping-particle":"","parse-names":false,"suffix":""}],"container-title":"Journal of Plant Ecology","id":"ITEM-1","issue":"3","issued":{"date-parts":[["2014","6","1"]]},"note":"Read this in a bit of a bitty fashion, but it's a big floristic study of the subtropical Atlantic Forest. There's an interesting fine classification of MOF, and stuff on how it's a continuum based on conditions (and what conditions segregates it from other forest types). It's also a kind of seasonal forest (like SDF), just with Aa. Lots of things in the discussion about the post-LGM development of the forests, some of which seem to contradict the general (?extrapolated) pollen story and might work favourably with my modelling","page":"242-260","title":"Delving into the variations in tree species composition and richness across South American subtropical Atlantic and Pampean forests","type":"article-journal","volume":"8"},"uris":["http://www.mendeley.com/documents/?uuid=d6a6382c-dd4b-3323-9d5e-12afd40294e2"]}],"mendeley":{"formattedCitation":"(Oliveira-Filho et al., 2014)","plainTextFormattedCitation":"(Oliveira-Filho et al., 2014)","previouslyFormattedCitation":"(Oliveira-Filho et al., 2014)"},"properties":{"noteIndex":0},"schema":"https://github.com/citation-style-language/schema/raw/master/csl-citation.json"}</w:instrText>
      </w:r>
      <w:r w:rsidRPr="00B667CB">
        <w:fldChar w:fldCharType="separate"/>
      </w:r>
      <w:r w:rsidRPr="00B667CB">
        <w:rPr>
          <w:noProof/>
        </w:rPr>
        <w:t>(Oliveira-Filho et al., 2014)</w:t>
      </w:r>
      <w:r w:rsidRPr="00B667CB">
        <w:fldChar w:fldCharType="end"/>
      </w:r>
      <w:r w:rsidRPr="00B667CB">
        <w:t>.</w:t>
      </w:r>
    </w:p>
    <w:p w14:paraId="2484D577" w14:textId="51988469" w:rsidR="007D41CC" w:rsidRDefault="00AB3225" w:rsidP="00F74804">
      <w:pPr>
        <w:pStyle w:val="Heading2"/>
        <w:numPr>
          <w:ilvl w:val="1"/>
          <w:numId w:val="5"/>
        </w:numPr>
        <w:spacing w:line="360" w:lineRule="auto"/>
      </w:pPr>
      <w:r>
        <w:t>Climate</w:t>
      </w:r>
      <w:r w:rsidR="00611AE7">
        <w:t xml:space="preserve"> data</w:t>
      </w:r>
    </w:p>
    <w:p w14:paraId="4CE33E87" w14:textId="3503FEF9" w:rsidR="00B91CA6" w:rsidRDefault="00B91CA6" w:rsidP="00F74804">
      <w:pPr>
        <w:spacing w:line="360" w:lineRule="auto"/>
      </w:pPr>
      <w:r>
        <w:t>Present-day (average of 1979-2013) and future (average of 2061-2080, termed ‘2070</w:t>
      </w:r>
      <w:r w:rsidR="00517C61">
        <w:t>s</w:t>
      </w:r>
      <w:r>
        <w:t>’) gridded climate datasets were downloaded from CHELSA</w:t>
      </w:r>
      <w:r w:rsidR="000E65FC">
        <w:t xml:space="preserve"> </w:t>
      </w:r>
      <w:r>
        <w:fldChar w:fldCharType="begin" w:fldLock="1"/>
      </w:r>
      <w:r w:rsidR="007F330C">
        <w:instrText>ADDIN CSL_CITATION {"citationItems":[{"id":"ITEM-1","itemData":{"DOI":"10.1038/sdata.2017.122","ISSN":"2052-4463","abstract":"High resolution information of climatic conditions is essential to many application in environmental sciences. Here we present the CHELSA algorithm to downscale temperature and precipitation estimates from the European Centre for Medium-Range Weather Forecast (ECMWF) climatic reanalysis interim (ERA-Interim) to a high resolution of 30 arc sec. The algorithm for temperature is based on a statistical downscaling of atmospheric temperature from the ERA-Interim climatic reanalysis. The precipitation algorithm incorporates orographic predictors such as wind fields, valley exposition, and boundary layer height, and a bias correction using Global Precipitation Climatology Center (GPCC) gridded and Global Historical Climate Network (GHCN) station data. The resulting data consist of a monthly temperature and precipitation climatology for the years 1979-2013. We present a comparison of data derived from the CHELSA algorithm with two other high resolution gridded products with overlapping temporal resolution (Tropical Rain Measuring Mission (TRMM) for precipitation, Moderate Resolution Imaging Spectroradiometer (MODIS) for temperature) and station data from the Global Historical Climate Network (GHCN). We show that the climatological data from CHELSA has a similar accuracy to other products for temperature, but that the predictions of orographic precipitation patterns are both better and at a high spatial resolution.","author":[{"dropping-particle":"","family":"Karger","given":"Dirk Nikolaus","non-dropping-particle":"","parse-names":false,"suffix":""},{"dropping-particle":"","family":"Conrad","given":"Olaf","non-dropping-particle":"","parse-names":false,"suffix":""},{"dropping-particle":"","family":"Böhner","given":"Jürgen","non-dropping-particle":"","parse-names":false,"suffix":""},{"dropping-particle":"","family":"Kawohl","given":"Tobias","non-dropping-particle":"","parse-names":false,"suffix":""},{"dropping-particle":"","family":"Kreft","given":"Holger","non-dropping-particle":"","parse-names":false,"suffix":""},{"dropping-particle":"","family":"Soria-Auza","given":"Rodrigo Wilber","non-dropping-particle":"","parse-names":false,"suffix":""},{"dropping-particle":"","family":"Zimmermann","given":"Niklaus E.","non-dropping-particle":"","parse-names":false,"suffix":""},{"dropping-particle":"","family":"Linder","given":"H. Peter","non-dropping-particle":"","parse-names":false,"suffix":""},{"dropping-particle":"","family":"Kessler","given":"Michael","non-dropping-particle":"","parse-names":false,"suffix":""}],"container-title":"Scientific Data","id":"ITEM-1","issued":{"date-parts":[["2017","9","5"]]},"note":"Chelsa data described, methodology set out, compared to worldclim (which is done by interpolation, not statistical downscaling) especially in SDM construction and found to be superior","page":"170122","publisher":"Nature Publishing Group","title":"Climatologies at high resolution for the earth’s land surface areas","type":"article-journal","volume":"4"},"uris":["http://www.mendeley.com/documents/?uuid=f70b57db-b978-3d25-9762-f98814a0e3ed"]},{"id":"ITEM-2","itemData":{"DOI":"https://doi.org/10.5061/dryad.kd1d4","author":[{"dropping-particle":"","family":"Karger","given":"Dirk Nikolaus","non-dropping-particle":"","parse-names":false,"suffix":""},{"dropping-particle":"","family":"Conrad","given":"O.","non-dropping-particle":"","parse-names":false,"suffix":""},{"dropping-particle":"","family":"Böhner","given":"J.","non-dropping-particle":"","parse-names":false,"suffix":""},{"dropping-particle":"","family":"Kawohl","given":"T.","non-dropping-particle":"","parse-names":false,"suffix":""},{"dropping-particle":"","family":"Kreft","given":"H.","non-dropping-particle":"","parse-names":false,"suffix":""},{"dropping-particle":"","family":"Soria-Auza, R.W., Zimmermann","given":"N.E.","non-dropping-particle":"","parse-names":false,"suffix":""},{"dropping-particle":"","family":"Linder","given":"H.P.","non-dropping-particle":"","parse-names":false,"suffix":""},{"dropping-particle":"","family":"Kessler","given":"M.","non-dropping-particle":"","parse-names":false,"suffix":""}],"id":"ITEM-2","issued":{"date-parts":[["2017"]]},"publisher":"Dryad Digital Repository.","title":"Data from: Climatologies at high resolution for the earth’s land surface areas.","type":"article"},"uris":["http://www.mendeley.com/documents/?uuid=06f535eb-c654-4ed0-96bf-d2f72031a39e"]}],"mendeley":{"formattedCitation":"(Karger et al., 2017b, 2017a)","plainTextFormattedCitation":"(Karger et al., 2017b, 2017a)","previouslyFormattedCitation":"(Karger et al., 2017b, 2017a)"},"properties":{"noteIndex":0},"schema":"https://github.com/citation-style-language/schema/raw/master/csl-citation.json"}</w:instrText>
      </w:r>
      <w:r>
        <w:fldChar w:fldCharType="separate"/>
      </w:r>
      <w:r w:rsidR="005944BB" w:rsidRPr="005944BB">
        <w:rPr>
          <w:noProof/>
        </w:rPr>
        <w:t>(Karger et al., 2017b, 2017a)</w:t>
      </w:r>
      <w:r>
        <w:fldChar w:fldCharType="end"/>
      </w:r>
      <w:r>
        <w:t>. Our future data uses the RCP8.5 emissions scenario (</w:t>
      </w:r>
      <w:r w:rsidR="00C051C0">
        <w:t>worst-case</w:t>
      </w:r>
      <w:r>
        <w:t xml:space="preserve"> business-as-usual) from the CCSM4 general circulation model (GCM), as this has been found to be among the best-performing GCMs for our study region and Latin America more broadly</w:t>
      </w:r>
      <w:r w:rsidR="000E65FC">
        <w:t xml:space="preserve"> </w:t>
      </w:r>
      <w:r>
        <w:fldChar w:fldCharType="begin" w:fldLock="1"/>
      </w:r>
      <w:r w:rsidR="007F330C">
        <w:instrText>ADDIN CSL_CITATION {"citationItems":[{"id":"ITEM-1","itemData":{"DOI":"10.1002/joc.5441","ISSN":"08998418","abstract":"© 2018 Royal Meteorological Society. It is generally agreed that models that better simulate historical and current features of climate should also be the ones that more reliably simulate future climate. This article describes the ability of a selection of global climate models (GCMs) of the Coupled Model Intercomparison Project Phase 5 (CMIP5) to represent the historical and current mean climate and its variability over northeastern Argentina, a region that exhibits frequent extreme events. Two types of simulations are considered: Long-term simulations for 1901-2005 in which the models respond to climate forcing (e.g. changes in atmospheric composition and land use) and decadal simulations for 1961-2010 that are initialized from observed climate states. Monthly simulations of precipitation and temperature are statistically evaluated for individual models and their ensembles. Subsets of models that best represent the region's climate are further examined. First, models that have a Nash-Sutcliffe efficiency of at least 0.8 are taken as a subset that best represents the observed temperature fields and the mean annual cycle. Their temperature time series are in phase with observations (r &gt; 0.92), despite systematic errors that if desired can be corrected by statistical methods. Likewise, models that have a precipitation Pearson correlation coefficient of at least 0.6 are considered that best represent regional precipitation features. GCMs are able to reproduce the annual precipitation cycle, although they underestimate precipitation amounts during the austral warm season (September through April) and slightly overestimate the cold season rainfall amounts. The ensembles for the subsets of models achieve the best evaluation metrics, exceeding the performance of the overall ensembles as well as those of the individual models.","author":[{"dropping-particle":"","family":"Lovino","given":"Miguel A","non-dropping-particle":"","parse-names":false,"suffix":""},{"dropping-particle":"V","family":"Müller","given":"Omar","non-dropping-particle":"","parse-names":false,"suffix":""},{"dropping-particle":"","family":"Berbery","given":"Ernesto H","non-dropping-particle":"","parse-names":false,"suffix":""},{"dropping-particle":"V","family":"Müller","given":"Gabriela","non-dropping-particle":"","parse-names":false,"suffix":""}],"container-title":"International Journal of Climatology","id":"ITEM-1","issued":{"date-parts":[["2018","4","8"]]},"note":"In NE Argentina, CCSM4 is excellent (for both temperature and precipitation), CESM1-BGC is good, others are handy and some are less so","page":"e1158-e1175","title":"Evaluation of CMIP5 retrospective simulations of temperature and precipitation in northeastern Argentina","type":"article-journal","volume":"38"},"uris":["http://www.mendeley.com/documents/?uuid=dad053cc-1668-3150-b6e9-b0cc71828387"]},{"id":"ITEM-2","itemData":{"DOI":"10.1002/joc.4216","ISSN":"10970088","abstract":"A total of 107 climate runs from 48 Coupled Model Inter-comparison Project 5 (CMIP5) general circulation models (GCMs) were evaluated for their ability to skillfully reproduce basic characteristics of late 20th century climate over Central America. The models were ranked according to metrics that take into consideration the mean and standard deviation of precipitation (pr) and surface temperature (tas), as well as the El Niño-Southern Oscillation (ENSO)-pr teleconnection. Verification was performed by comparing model runs to observations and a reanalysis dataset. Based on the rankings, the best 13 models were further evaluated. Not surprisingly, the models showed better skill at reproducing mean tas patterns throughout the year. The skill is generally low for mean pr patterns, except for some models during March, April, and May. With a few exceptions, the skill was low for reproducing the observed monthly standard deviation patterns for both pr and tas. The ENSO-pr teleconnection was better simulated in the best 13 model runs compared to the sea-surface temperature global pattern characteristic of ENSO which showed low skill. The Inter-tropical Convergence Zone (ITCZ) appeared better modeled in July than in January. In January, there were instances of a double ITCZ pattern. Some models skillfully reproduced the seasonal distribution of the Caribbean Low-Level Jet index (CLLJ). More detailed research evaluating the specific performance of the models on a variety of time-scales and using parameters relevant to these and other climatic features of Central America is needed. This study facilitates a pre-selection of models that may be useful for this task.","author":[{"dropping-particle":"","family":"Hidalgo","given":"Hugo G","non-dropping-particle":"","parse-names":false,"suffix":""},{"dropping-particle":"","family":"Alfaro","given":"Eric J","non-dropping-particle":"","parse-names":false,"suffix":""}],"container-title":"International Journal of Climatology","id":"ITEM-2","issue":"12","issued":{"date-parts":[["2015"]]},"note":"Mainly useful for table of skill ranks of GCMs in Central America - CESM1 and CNRM do best, IPSL does pretty badly","page":"3397-3421","title":"Skill of CMIP5 climate models in reproducing 20th century basic climate features in Central America","type":"article-journal","volume":"35"},"uris":["http://www.mendeley.com/documents/?uuid=4257f5ba-cc76-3085-8f3f-20f7595ca9f0"]},{"id":"ITEM-3","itemData":{"DOI":"10.1007/s00382-012-1582-y","ISBN":"0930-7575 1432-0894","ISSN":"09307575","abstract":"Underestimated rainfall over Amazonia was a common problem for the Coupled Model Intercomparison Project phase 3 (CMIP3) models. We investigate whether it still exists in the CMIP phase 5 (CMIP5) models and, if so, what causes these biases? Our evaluation of historical simulations shows that some models still underestimate rainfall over Amazonia. During the dry season, both convective and large-scale precipitation is underestimated in most models. GFDL-ESM2M and IPSL notably show more pentads with no rainfall. During the wet season, large-scale precipitation is still underestimated in most models. In the dry and transition seasons, models with more realistic moisture convergence and surface evapotranspiration generally have more realistic rainfall totals. In some models, overestimates of rainfall are associated with the adjacent tropical and eastern Pacific ITCZs. However, in other models, too much surface net radiation and a resultant high Bowen ratio appears to cause underestimates of rainfall. During the transition season, low pre-seasonal latent heat, high sensible flux, and a weaker influence of cold air incursions contribute to the dry bias. About half the models can capture, but overestimate, the influences of teleconnection. Based on a simple metric, HadGEM2-ES outperforms other models especially for surface conditions and atmospheric circulation. GFDL-ESM2M has the strongest dry bias presumably due to its overestimate of moisture divergence, induced by overestimated ITCZs in adjacent oceans, and reinforced by positive feedbacks between reduced cloudiness, high Bowen ratio and suppression of rainfall during the dry season, and too weak incursions of extratropical disturbances during the transition season. [ABSTRACT FROM AUTHOR]","author":[{"dropping-particle":"","family":"Yin","given":"Lei","non-dropping-particle":"","parse-names":false,"suffix":""},{"dropping-particle":"","family":"Fu","given":"Rong","non-dropping-particle":"","parse-names":false,"suffix":""},{"dropping-particle":"","family":"Shevliakova","given":"Elena","non-dropping-particle":"","parse-names":false,"suffix":""},{"dropping-particle":"","family":"Dickinson","given":"Robert E","non-dropping-particle":"","parse-names":false,"suffix":""}],"container-title":"Climate Dynamics","id":"ITEM-3","issue":"11-12","issued":{"date-parts":[["2013"]]},"note":"Evaluates GCM performance over tropical SA/Amazonia. IPSL isn't great with seasonality of precipitation (over-estimates both ways, I think). HadGEM2-ES is the best.","page":"3127-3143","title":"How well can CMIP5 simulate precipitation and its controlling processes over tropical South America?","type":"article-journal","volume":"41"},"uris":["http://www.mendeley.com/documents/?uuid=aa29dd02-a9f2-3dac-ba23-4e7f710d9612"]}],"mendeley":{"formattedCitation":"(Hidalgo and Alfaro, 2015; Lovino et al., 2018; Yin et al., 2013)","plainTextFormattedCitation":"(Hidalgo and Alfaro, 2015; Lovino et al., 2018; Yin et al., 2013)","previouslyFormattedCitation":"(Hidalgo and Alfaro, 2015; Lovino et al., 2018; Yin et al., 2013)"},"properties":{"noteIndex":0},"schema":"https://github.com/citation-style-language/schema/raw/master/csl-citation.json"}</w:instrText>
      </w:r>
      <w:r>
        <w:fldChar w:fldCharType="separate"/>
      </w:r>
      <w:r w:rsidR="005944BB" w:rsidRPr="005944BB">
        <w:rPr>
          <w:noProof/>
        </w:rPr>
        <w:t>(Hidalgo and Alfaro, 2015; Lovino et al., 2018; Yin et al., 2013)</w:t>
      </w:r>
      <w:r>
        <w:fldChar w:fldCharType="end"/>
      </w:r>
      <w:r>
        <w:t>, and is also closely related to CCSM3, the GCM which underpins our palaeoclimate dataset. Th</w:t>
      </w:r>
      <w:r w:rsidR="00ED76DB">
        <w:t>ese</w:t>
      </w:r>
      <w:r>
        <w:t xml:space="preserve"> palaeoclimate data come from </w:t>
      </w:r>
      <w:proofErr w:type="spellStart"/>
      <w:r>
        <w:t>PaleoView</w:t>
      </w:r>
      <w:proofErr w:type="spellEnd"/>
      <w:r>
        <w:t>, a tool for querying the TRaCE21ka transient climate simulation at up to decadal temporal resolution</w:t>
      </w:r>
      <w:r w:rsidR="000E65FC">
        <w:t xml:space="preserve"> </w:t>
      </w:r>
      <w:r>
        <w:fldChar w:fldCharType="begin" w:fldLock="1"/>
      </w:r>
      <w:r w:rsidR="007F330C">
        <w:instrText>ADDIN CSL_CITATION {"citationItems":[{"id":"ITEM-1","itemData":{"DOI":"10.1111/gcb.13932","ISSN":"1354-1013","abstract":"The current distribution of species, environmental conditions and their interactions represent only one snapshot of a planet that is continuously changing, in part due to human influences. To distinguish human impacts from natural factors, the magnitude and pace of climate shifts, since the Last Glacial Maximum, are often used to determine whether patterns of diversity today are artefacts of past climate change. In the absence of high-temporal resolution palaeoclimate reconstructions, this is generally done by assuming that past climate change occurred at a linear pace between widely spaced (usually, ≥1,000 years) climate snapshots. We show here that this is a flawed assumption because regional climates have changed significantly across decades and centuries during glacial-interglacial cycles, likely causing rapid regional replacement of biota. We demonstrate how recent atmosphere-ocean general circulation model (AOGCM) simulations of the climate of the past 21,000 years can provide credible estimates of the details of climate change on decadal to centennial timescales, showing that these details differ radically from what might be inferred from longer timescale information. High-temporal resolution information can provide more meaningful estimates of the magnitude and pace of climate shifts, the location and timing of drivers of physiological stress, and the extent of novel climates. They also produce new opportunities to directly investigate whether short-term climate variability is more important in shaping biodiversity patterns rather than gradual changes in long-term climatic means. Together, these more accurate measures of past climate instability are likely to bring about a better understanding of the role of palaeoclimatic change and variability in shaping current macroecological patterns in many regions of the world.","author":[{"dropping-particle":"","family":"Fordham","given":"Damien A","non-dropping-particle":"","parse-names":false,"suffix":""},{"dropping-particle":"","family":"Saltré","given":"Frédérik","non-dropping-particle":"","parse-names":false,"suffix":""},{"dropping-particle":"","family":"Brown","given":"Stuart C","non-dropping-particle":"","parse-names":false,"suffix":""},{"dropping-particle":"","family":"Mellin","given":"Camille","non-dropping-particle":"","parse-names":false,"suffix":""},{"dropping-particle":"","family":"Wigley","given":"Tom M. L.","non-dropping-particle":"","parse-names":false,"suffix":""}],"container-title":"Global Change Biology","id":"ITEM-1","issue":"3","issued":{"date-parts":[["2018","3","30"]]},"note":"A general call for using high temporal resolution palaeoclimate data from eg PaleoView. Gives higher estimates of climate novelty, climate change velocity, earlier seasonal changes etc. Includes a method (SED) which might be interesting for the integrated Je/Araucaria modelling which allows ecologically significant changes in climate to be noted.","page":"1371-1381","title":"Why decadal to century timescale palaeoclimate data are needed to explain present‐day patterns of biological diversity and change","type":"article-journal","volume":"24"},"uris":["http://www.mendeley.com/documents/?uuid=bef3632d-0f35-3d3c-8629-4f910505c761"]},{"id":"ITEM-2","itemData":{"DOI":"10.1111/ecog.03031","ISBN":"6503251521","ISSN":"16000587","abstract":"It has been difficult to access projections of global-scale climate change with high temporal resolution spaning the late Pleistocene and Holocene. This has limited our ability to discern how climate fluctuations have affected species’ range dynamics and extinction processes, turn-over in ecological communities and changes in genetic diversity. PaleoView is a new freeware tool, which provides a comprehensive but easy-to-use way to generate and view paleoclimate data at temporal and spatial resolutions suitable for detecting biotic responses to major climate shifts since the last glacial maximum. Regional to global scale simulations of temperature, precipitation, humidity and mean sea level pressure can be generated from PaleoView as gridded or time series data at time intervals as short as a decade for any period during the last 21,000 years. They can be viewed using a built-in geographical user interface or saved as data files. Modelled climate reconstructions are based on daily simulation output from the Community Climate System Model Version 3 (CCSM3). This global coupled atmosphere–ocean–sea ice–land general circulation model accurately reproduces major climatic features associated with the most recent deglaciation event, and predicts present-day patterns of climate conditions with verified hindcast skill. By providing a portal for readily accessing climate reconstructions at high temporal resolutions, PaleoView can help to better establish the consequences of past climate fluctuations on macro-ecological patterns of biological and genetic diversity.","author":[{"dropping-particle":"","family":"Fordham","given":"Damien A.","non-dropping-particle":"","parse-names":false,"suffix":""},{"dropping-particle":"","family":"Saltré","given":"Frédérik","non-dropping-particle":"","parse-names":false,"suffix":""},{"dropping-particle":"","family":"Haythorne","given":"Sean","non-dropping-particle":"","parse-names":false,"suffix":""},{"dropping-particle":"","family":"Wigley","given":"Tom M.L.","non-dropping-particle":"","parse-names":false,"suffix":""},{"dropping-particle":"","family":"Otto-Bliesner","given":"Bette L.","non-dropping-particle":"","parse-names":false,"suffix":""},{"dropping-particle":"","family":"Chan","given":"Ka Ching","non-dropping-particle":"","parse-names":false,"suffix":""},{"dropping-particle":"","family":"Brook","given":"Barry W.","non-dropping-particle":"","parse-names":false,"suffix":""}],"container-title":"Ecography","id":"ITEM-2","issue":"March","issued":{"date-parts":[["2017"]]},"note":"PaleoView is a tool that makes continuous (rather than time-slice) models of past climate. It uses data from the CCSM3 model and TRaCE21ka experiment that was based on it. The resolution on the viewer is 2.5x2.5* and it can be downscaled, though this might be tricky in the SBHs (a lot of downscaling in a region that's tricky to predict - tropical and mountainous). It can also be integrated with a future-predicting climate model","page":"1-11","title":"PaleoView: A tool for generating continuous climate projections spanning the last 21 000 years at regional and global scales","type":"article-journal"},"uris":["http://www.mendeley.com/documents/?uuid=0fdb2438-c346-4eb0-b921-473d7e02be19"]}],"mendeley":{"formattedCitation":"(Fordham et al., 2018, 2017)","plainTextFormattedCitation":"(Fordham et al., 2018, 2017)","previouslyFormattedCitation":"(Fordham et al., 2018, 2017)"},"properties":{"noteIndex":0},"schema":"https://github.com/citation-style-language/schema/raw/master/csl-citation.json"}</w:instrText>
      </w:r>
      <w:r>
        <w:fldChar w:fldCharType="separate"/>
      </w:r>
      <w:r w:rsidR="005944BB" w:rsidRPr="005944BB">
        <w:rPr>
          <w:noProof/>
        </w:rPr>
        <w:t>(Fordham et al., 2018, 2017)</w:t>
      </w:r>
      <w:r>
        <w:fldChar w:fldCharType="end"/>
      </w:r>
      <w:r>
        <w:t>.</w:t>
      </w:r>
    </w:p>
    <w:p w14:paraId="3CBBEC3D" w14:textId="7F9DECE9" w:rsidR="00B91CA6" w:rsidRDefault="00800E44" w:rsidP="00F74804">
      <w:pPr>
        <w:spacing w:line="360" w:lineRule="auto"/>
      </w:pPr>
      <w:r>
        <w:t>W</w:t>
      </w:r>
      <w:r w:rsidR="00B91CA6">
        <w:t xml:space="preserve">e generated gridded monthly precipitation and temperature (mean, maximum and minimum) data </w:t>
      </w:r>
      <w:r>
        <w:t xml:space="preserve">from </w:t>
      </w:r>
      <w:proofErr w:type="spellStart"/>
      <w:r>
        <w:t>PaleoView</w:t>
      </w:r>
      <w:proofErr w:type="spellEnd"/>
      <w:r>
        <w:t xml:space="preserve"> </w:t>
      </w:r>
      <w:r w:rsidR="00B91CA6">
        <w:t>for seven past time</w:t>
      </w:r>
      <w:r w:rsidR="00EC5DF8">
        <w:t xml:space="preserve"> </w:t>
      </w:r>
      <w:r w:rsidR="00B91CA6">
        <w:t xml:space="preserve">slices: 21,000, 18,000, 15,000, 12,000, 9,000, </w:t>
      </w:r>
      <w:proofErr w:type="gramStart"/>
      <w:r w:rsidR="00B91CA6">
        <w:t>6,000 and 3,000 years</w:t>
      </w:r>
      <w:proofErr w:type="gramEnd"/>
      <w:r w:rsidR="00B91CA6">
        <w:t xml:space="preserve"> BP. We used the delta change method to downscale th</w:t>
      </w:r>
      <w:r w:rsidR="00ED76DB">
        <w:t>ese</w:t>
      </w:r>
      <w:r w:rsidR="00B91CA6">
        <w:t xml:space="preserve"> data from 2.5</w:t>
      </w:r>
      <w:r w:rsidR="00B91CA6">
        <w:rPr>
          <w:vertAlign w:val="superscript"/>
        </w:rPr>
        <w:t>o</w:t>
      </w:r>
      <w:r w:rsidR="00B91CA6">
        <w:t xml:space="preserve"> (</w:t>
      </w:r>
      <w:proofErr w:type="spellStart"/>
      <w:r w:rsidR="00B91CA6">
        <w:t>PaleoView’s</w:t>
      </w:r>
      <w:proofErr w:type="spellEnd"/>
      <w:r w:rsidR="00B91CA6">
        <w:t xml:space="preserve"> resolution) to 30” (ca. 800m, the resolution of CHELSA climate data), with local lapse rate modifications for temperature variables </w:t>
      </w:r>
      <w:r w:rsidR="00773510">
        <w:t xml:space="preserve">(see Supplementary </w:t>
      </w:r>
      <w:r w:rsidR="008D42BB">
        <w:t>Methods</w:t>
      </w:r>
      <w:r w:rsidR="00773510">
        <w:t>)</w:t>
      </w:r>
      <w:r w:rsidR="00B14EBC">
        <w:t xml:space="preserve">. The </w:t>
      </w:r>
      <w:r w:rsidR="00C0505F">
        <w:t>region’s changing sea levels</w:t>
      </w:r>
      <w:r w:rsidR="007737C2">
        <w:t xml:space="preserve"> </w:t>
      </w:r>
      <w:r w:rsidR="00C0505F">
        <w:t xml:space="preserve">from the LGM to present were incorporated by adjusting </w:t>
      </w:r>
      <w:r w:rsidR="00B22A04">
        <w:t xml:space="preserve">elevation and bathymetry data from </w:t>
      </w:r>
      <w:r w:rsidR="00441319">
        <w:t xml:space="preserve">the </w:t>
      </w:r>
      <w:r w:rsidR="00C0505F">
        <w:t xml:space="preserve">GEBCO </w:t>
      </w:r>
      <w:r w:rsidR="00441319">
        <w:t xml:space="preserve">project </w:t>
      </w:r>
      <w:r>
        <w:fldChar w:fldCharType="begin" w:fldLock="1"/>
      </w:r>
      <w:r w:rsidR="00554543">
        <w:instrText>ADDIN CSL_CITATION {"citationItems":[{"id":"ITEM-1","itemData":{"DOI":"10.1002/2015EA000107","ISSN":"23335084","abstract":"General Bathymetric Chart of the Oceans (GEBCO) has released the GEBCO_2014 grid, a new digital bathymetric model of the world ocean floor merged with land topography from publicly available digital elevation models. GEBCO_2014 has a grid spacing of 30 arc sec and updates the 2010 release (GEBCO_08) by incorporating new versions of regional bathymetric compilations from the International Bathymetric Chart of the Arctic Ocean, the International Bathymetric Chart of the Southern Ocean, the Baltic Sea Bathymetry Database, and data from the European Marine Observation and Data network bathymetry portal, among other data sources. Approximately 33% of ocean grid cells (not area) have been updated in GEBCO_2014 from the previous version, including both new interpolated depth values and added soundings. These updates include large amounts of multibeam data collected using modern equipment and navigation techniques, improving portrayed details of the world ocean floor. Of all nonland grid cells in GEBCO_2014, approximately 18% are based on bathymetric control data, i.e., primarily multibeam and single-beam soundings or preprepared grids which may contain some interpolated values. The GEBCO_2014 grid has a mean and median depth of 3897m and 3441 m, respectively. Hypsometric analysis reveals that 50% of the Earth’s surface is composed of seafloor located 3200m below mean sea level and that ~900 ship years of surveying would be needed to obtain complete multibeam coverage of the world’s oceans.","author":[{"dropping-particle":"","family":"Weatherall","given":"Pauline","non-dropping-particle":"","parse-names":false,"suffix":""},{"dropping-particle":"","family":"Marks","given":"K M","non-dropping-particle":"","parse-names":false,"suffix":""},{"dropping-particle":"","family":"Jakobsson","given":"Martin","non-dropping-particle":"","parse-names":false,"suffix":""},{"dropping-particle":"","family":"Schmitt","given":"Thierry","non-dropping-particle":"","parse-names":false,"suffix":""},{"dropping-particle":"","family":"Tani","given":"Shin","non-dropping-particle":"","parse-names":false,"suffix":""},{"dropping-particle":"","family":"Arndt","given":"Jan Erik","non-dropping-particle":"","parse-names":false,"suffix":""},{"dropping-particle":"","family":"Rovere","given":"Marzia","non-dropping-particle":"","parse-names":false,"suffix":""},{"dropping-particle":"","family":"Chayes","given":"Dale","non-dropping-particle":"","parse-names":false,"suffix":""},{"dropping-particle":"","family":"Ferrini","given":"Vicki","non-dropping-particle":"","parse-names":false,"suffix":""},{"dropping-particle":"","family":"Wigley","given":"Rochelle","non-dropping-particle":"","parse-names":false,"suffix":""}],"container-title":"Earth and Space Science","id":"ITEM-1","issue":"8","issued":{"date-parts":[["2015","8"]]},"note":"Reference for gebco bathymetry used in LGM land map","page":"331-345","title":"A new digital bathymetric model of the world's oceans","type":"article-journal","volume":"2"},"uris":["http://www.mendeley.com/documents/?uuid=74e190dd-4f96-499f-a9a8-737671408585"]}],"mendeley":{"formattedCitation":"(Weatherall et al., 2015)","plainTextFormattedCitation":"(Weatherall et al., 2015)","previouslyFormattedCitation":"(Weatherall et al., 2015)"},"properties":{"noteIndex":0},"schema":"https://github.com/citation-style-language/schema/raw/master/csl-citation.json"}</w:instrText>
      </w:r>
      <w:r>
        <w:fldChar w:fldCharType="separate"/>
      </w:r>
      <w:r w:rsidRPr="00800E44">
        <w:rPr>
          <w:noProof/>
        </w:rPr>
        <w:t>(Weatherall et al., 2015)</w:t>
      </w:r>
      <w:r>
        <w:fldChar w:fldCharType="end"/>
      </w:r>
      <w:r>
        <w:t xml:space="preserve"> </w:t>
      </w:r>
      <w:r w:rsidR="006A753C">
        <w:t>by</w:t>
      </w:r>
      <w:r w:rsidR="000A4B86">
        <w:t xml:space="preserve"> -30m (9,000 BP), </w:t>
      </w:r>
      <w:r w:rsidR="00D32629">
        <w:t>-50m (12,000 BP), -90m (15,000 BP), -100m (18,000 BP) and -130m (21,000 BP) relative to present</w:t>
      </w:r>
      <w:r w:rsidR="0019654B">
        <w:t xml:space="preserve"> </w:t>
      </w:r>
      <w:r w:rsidR="0019654B">
        <w:fldChar w:fldCharType="begin" w:fldLock="1"/>
      </w:r>
      <w:r w:rsidR="0019654B">
        <w:instrText>ADDIN CSL_CITATION {"citationItems":[{"id":"ITEM-1","itemData":{"DOI":"doi.10.1590/S1679-87592010000600004","ISBN":"1679-8759","ISSN":"16798759","abstract":"Extending from latitude 34oS to 22oS the Southern Brazilian shelf constitutes the only part of the Brazilian shelf with a subtropical to temperate environment. The studies on the different geological aspects of the area began in the 1960´s and have recently been reassessed after studies related to the determination of the Economic Exclusive Zone. In terms of morphology, the Southern Brazilian shelf may be divided into three sectors, the São Paulo Bight, the Florianópolis-Mostardas Sector and the Rio Grande Cone, characterized by conspicuous differences in terms of geological determining factors, bathymetry, declivities and the presence of canyons and channels. Despite the existence of hundreds of radiocarbon datings the sea level changes curve of southern Brazil during the Last Glacial Cycle is still a matter of debate. A recent controversy on the Middle and late Holocene sea level changes curve raised the question of the amplitude of the oscillations which occurred in the period. Also, a few but relatively consistent radiocarbon datings suggest the occurrence of a high sea level during Isotope Stage 3. In terms of sedimentary cover the Southern Brazilian shelf exhibits a very strong hydrodynamic control, both latitudinal and bathymetrical. The sector southward from 25oS is characterized by the influence of the plume of water carrying sediments originating from the Río de La Plata. Actually its presence is conspicuous up to 28oS, with the area between this latitude and 25oS constituting a transitional zone. In terms of bathymetry the outer shelf is marked by the “floor-polisher” effect of the Brazil Current, which is responsible for the maintenance of a relict facies in areas deeper than 100 meters.","author":[{"dropping-particle":"","family":"Mahiques","given":"Michel Michaelovitch","non-dropping-particle":"de","parse-names":false,"suffix":""},{"dropping-particle":"","family":"Mello e Sousa","given":"Silvia Helena","non-dropping-particle":"de","parse-names":false,"suffix":""},{"dropping-particle":"","family":"Furtado","given":"Valdenir Veronese","non-dropping-particle":"","parse-names":false,"suffix":""},{"dropping-particle":"","family":"Tessler","given":"Moysés Gonsalez","non-dropping-particle":"","parse-names":false,"suffix":""},{"dropping-particle":"","family":"Lima Toledo","given":"Felipe Antonio","non-dropping-particle":"de","parse-names":false,"suffix":""},{"dropping-particle":"","family":"Burone","given":"Leticia","non-dropping-particle":"","parse-names":false,"suffix":""},{"dropping-particle":"","family":"Figueira","given":"Rubens Cesar Lopes","non-dropping-particle":"","parse-names":false,"suffix":""},{"dropping-particle":"","family":"Klein","given":"Daniel Andreas","non-dropping-particle":"","parse-names":false,"suffix":""},{"dropping-particle":"","family":"Martins","given":"Cristina Celia","non-dropping-particle":"","parse-names":false,"suffix":""},{"dropping-particle":"","family":"Alves","given":"Daniel Pavani Vicente","non-dropping-particle":"","parse-names":false,"suffix":""}],"container-title":"Brazilian Journal of Oceanography","id":"ITEM-1","issue":"SPEC. ISSUE 2","issued":{"date-parts":[["2010"]]},"note":"FOR INFO ON -130 SEA LEVEL AT LGM","page":"25-34","publisher":"Instituto Oceanográfico da Universidade de São Paulo","title":"The Southern Brazilian shelf: General characteristics, quaternary evolution and sediment distribution","type":"article-journal","volume":"58"},"uris":["http://www.mendeley.com/documents/?uuid=60d91607-0064-37ae-a89e-212af7d16a7f"]},{"id":"ITEM-2","itemData":{"DOI":"10.1016/j.margeo.2017.11.011","ISSN":"00253227","author":[{"dropping-particle":"","family":"Cooper","given":"J.A.G.","non-dropping-particle":"","parse-names":false,"suffix":""},{"dropping-particle":"","family":"Meireles","given":"R.P.","non-dropping-particle":"","parse-names":false,"suffix":""},{"dropping-particle":"","family":"Green","given":"A.N.","non-dropping-particle":"","parse-names":false,"suffix":""},{"dropping-particle":"","family":"Klein","given":"A.H.F.","non-dropping-particle":"","parse-names":false,"suffix":""},{"dropping-particle":"","family":"Toldo","given":"E.E.","non-dropping-particle":"","parse-names":false,"suffix":""}],"container-title":"Marine Geology","id":"ITEM-2","issued":{"date-parts":[["2018","3"]]},"note":"Sea level changes through time","page":"1-14","title":"Late Quaternary stratigraphic evolution of the inner continental shelf in response to sea-level change, Santa Catarina, Brazil","type":"article-journal","volume":"397"},"uris":["http://www.mendeley.com/documents/?uuid=08b9cba1-b977-3114-9cd5-8114285690fd"]}],"mendeley":{"formattedCitation":"(Cooper et al., 2018; de Mahiques et al., 2010)","plainTextFormattedCitation":"(Cooper et al., 2018; de Mahiques et al., 2010)","previouslyFormattedCitation":"(Cooper et al., 2018; de Mahiques et al., 2010)"},"properties":{"noteIndex":0},"schema":"https://github.com/citation-style-language/schema/raw/master/csl-citation.json"}</w:instrText>
      </w:r>
      <w:r w:rsidR="0019654B">
        <w:fldChar w:fldCharType="separate"/>
      </w:r>
      <w:r w:rsidR="0019654B" w:rsidRPr="00B91CA6">
        <w:rPr>
          <w:noProof/>
        </w:rPr>
        <w:t>(Cooper et al., 2018; de Mahiques et al., 2010)</w:t>
      </w:r>
      <w:r w:rsidR="0019654B">
        <w:fldChar w:fldCharType="end"/>
      </w:r>
      <w:r w:rsidR="0019654B">
        <w:t>.</w:t>
      </w:r>
      <w:r w:rsidR="00AD4825">
        <w:t xml:space="preserve"> </w:t>
      </w:r>
      <w:r w:rsidR="008C191A">
        <w:t>Climatic and ecological predictions for exposed shelf areas should be treated with greater caution than areas which were never submerged</w:t>
      </w:r>
      <w:r w:rsidR="00C76968">
        <w:t>, as</w:t>
      </w:r>
      <w:r w:rsidR="00AD4825">
        <w:t xml:space="preserve"> CHELSA </w:t>
      </w:r>
      <w:r w:rsidR="008742FB">
        <w:t xml:space="preserve">data is only validated over current land areas and </w:t>
      </w:r>
      <w:r w:rsidR="00C76968">
        <w:t>was spatially</w:t>
      </w:r>
      <w:r w:rsidR="008742FB">
        <w:t xml:space="preserve"> extrapolated for precipitation </w:t>
      </w:r>
      <w:r w:rsidR="00554543">
        <w:fldChar w:fldCharType="begin" w:fldLock="1"/>
      </w:r>
      <w:r w:rsidR="001E043A">
        <w:instrText>ADDIN CSL_CITATION {"citationItems":[{"id":"ITEM-1","itemData":{"DOI":"10.1038/sdata.2016.48","ISSN":"2052-4463","abstract":"Downscaled and debiased climate simulations for North America from 21,000 years ago to 2100AD","author":[{"dropping-particle":"","family":"Lorenz","given":"David J.","non-dropping-particle":"","parse-names":false,"suffix":""},{"dropping-particle":"","family":"Nieto-Lugilde","given":"Diego","non-dropping-particle":"","parse-names":false,"suffix":""},{"dropping-particle":"","family":"Blois","given":"Jessica L.","non-dropping-particle":"","parse-names":false,"suffix":""},{"dropping-particle":"","family":"Fitzpatrick","given":"Matthew C.","non-dropping-particle":"","parse-names":false,"suffix":""},{"dropping-particle":"","family":"Williams","given":"John W.","non-dropping-particle":"","parse-names":false,"suffix":""}],"container-title":"Scientific Data","id":"ITEM-1","issue":"1","issued":{"date-parts":[["2016","12","5"]]},"note":"Notes for downscaling PaleoView - search radius for extrapolating exposed seabed and on calculating anomalies.","page":"160048","publisher":"Nature Publishing Group","title":"Downscaled and debiased climate simulations for North America from 21,000 years ago to 2100AD","type":"article-journal","volume":"3"},"uris":["http://www.mendeley.com/documents/?uuid=05dc6c5d-86e1-3977-8eed-aa683e5f7703"]}],"mendeley":{"formattedCitation":"(Lorenz et al., 2016)","plainTextFormattedCitation":"(Lorenz et al., 2016)","previouslyFormattedCitation":"(Lorenz et al., 2016)"},"properties":{"noteIndex":0},"schema":"https://github.com/citation-style-language/schema/raw/master/csl-citation.json"}</w:instrText>
      </w:r>
      <w:r w:rsidR="00554543">
        <w:fldChar w:fldCharType="separate"/>
      </w:r>
      <w:r w:rsidR="00554543" w:rsidRPr="00554543">
        <w:rPr>
          <w:noProof/>
        </w:rPr>
        <w:t>(Lorenz et al., 2016)</w:t>
      </w:r>
      <w:r w:rsidR="00554543">
        <w:fldChar w:fldCharType="end"/>
      </w:r>
      <w:r w:rsidR="002B0762">
        <w:t>.</w:t>
      </w:r>
      <w:r w:rsidR="0019654B">
        <w:t xml:space="preserve"> </w:t>
      </w:r>
    </w:p>
    <w:p w14:paraId="0F95405D" w14:textId="202EF216" w:rsidR="00432AD6" w:rsidRDefault="00432AD6" w:rsidP="00F74804">
      <w:pPr>
        <w:spacing w:line="360" w:lineRule="auto"/>
      </w:pPr>
      <w:r w:rsidRPr="00432AD6">
        <w:lastRenderedPageBreak/>
        <w:t>Th</w:t>
      </w:r>
      <w:r>
        <w:t>e</w:t>
      </w:r>
      <w:r w:rsidRPr="00432AD6">
        <w:t xml:space="preserve"> </w:t>
      </w:r>
      <w:r>
        <w:t xml:space="preserve">Köppen-Geiger </w:t>
      </w:r>
      <w:r w:rsidRPr="00432AD6">
        <w:t>scheme classifies the world’s climate into distinct, ecologically relevant zones</w:t>
      </w:r>
      <w:r w:rsidR="003006CE">
        <w:t>; we applied this classification</w:t>
      </w:r>
      <w:r w:rsidRPr="00432AD6">
        <w:t xml:space="preserve"> </w:t>
      </w:r>
      <w:r w:rsidRPr="00432AD6">
        <w:fldChar w:fldCharType="begin" w:fldLock="1"/>
      </w:r>
      <w:r w:rsidRPr="00432AD6">
        <w:instrText>ADDIN CSL_CITATION {"citationItems":[{"id":"ITEM-1","itemData":{"DOI":"10.5194/hess-11-1633-2007","ISSN":"1607-7938","abstract":"Although now over 100 years old, the classifica- tion of climate originally formulated by Wladimir K¨oppen and modified by his collaborators and successors, is still in widespread use. It is widely used in teaching school and undergraduate courses on climate. It is also still in regular use by researchers across a range of disciplines as a basis for climatic regionalisation ofvariables and for assessing the output of global climate models. Here we have produced a new global map of climate using the K¨oppen-Geiger system based on a large global data set of long-term monthly pre- cipitation and temperature station time series. Climatic vari- ables used in the K¨oppen-Geiger system were calculated at each station and interpolated between stations using a two- dimensional (latitude and longitude) thin-plate spline with tension onto a 0.1◦×0.1◦ grid for each continent. We discuss some problems in dealing with sites that are not uniquely classified into one climate type by the K¨oppen-Geiger sys- tem and assess the outcomes on a continent by continent basis. Globally the most common climate type by land area is BWh (14.2%, Hot desert) followed by Aw (11.5%, Tropical savannah). The updated world K¨oppen-Geiger cli- mate map is freely available electronically in the Supplemen- tary Material Section (http://www.hydrol-earth-syst-sci.net/ 11/1633/2007/hess-11-1633-2007-supplement.zip).","author":[{"dropping-particle":"","family":"Peel","given":"M. C.","non-dropping-particle":"","parse-names":false,"suffix":""},{"dropping-particle":"","family":"Finlayson","given":"B. L.","non-dropping-particle":"","parse-names":false,"suffix":""},{"dropping-particle":"","family":"McMahon","given":"T. A.","non-dropping-particle":"","parse-names":false,"suffix":""}],"container-title":"Hydrology and Earth System Sciences","id":"ITEM-1","issue":"5","issued":{"date-parts":[["2007","10","11"]]},"page":"1633-1644","title":"Updated world map of the Köppen-Geiger climate classification","type":"article-journal","volume":"11"},"uris":["http://www.mendeley.com/documents/?uuid=059301b0-569a-4abc-a8f2-500f80d988f0"]},{"id":"ITEM-2","itemData":{"DOI":"10.1038/sdata.2018.214","ISSN":"2052-4463","PMID":"30375988","abstract":"Present and future Köppen-Geiger climate classification maps at 1-km resolution","author":[{"dropping-particle":"","family":"Beck","given":"Hylke E","non-dropping-particle":"","parse-names":false,"suffix":""},{"dropping-particle":"","family":"Zimmermann","given":"Niklaus E","non-dropping-particle":"","parse-names":false,"suffix":""},{"dropping-particle":"","family":"McVicar","given":"Tim R","non-dropping-particle":"","parse-names":false,"suffix":""},{"dropping-particle":"","family":"Vergopolan","given":"Noemi","non-dropping-particle":"","parse-names":false,"suffix":""},{"dropping-particle":"","family":"Berg","given":"Alexis","non-dropping-particle":"","parse-names":false,"suffix":""},{"dropping-particle":"","family":"Wood","given":"Eric F","non-dropping-particle":"","parse-names":false,"suffix":""}],"container-title":"Scientific Data","id":"ITEM-2","issued":{"date-parts":[["2018","10","30"]]},"page":"180214","publisher":"Nature Publishing Group","title":"Present and future Köppen-Geiger climate classification maps at 1-km resolution","type":"article-journal","volume":"5"},"uris":["http://www.mendeley.com/documents/?uuid=aae46834-d74a-3d1e-99ad-f125ee3f40e7"]},{"id":"ITEM-3","itemData":{"DOI":"10.1127/0941-2948/2013/0507","ISBN":"09412948","ISSN":"16101227","abstract":"Ko ¨ppen’s climate classification remains the most widely used system by geographical and climatological societies across the world, with well recognized simple rules and climate symbol letters. In Brazil, climatology has been studied for more than 140 years, and among the many proposed methods Ko ¨ppen0s system remains as the most utilized. Considering Ko ¨ppen’s climate classification importance for Brazil (geography, biology, ecology, meteorology, hydrology, agronomy, forestry and environmental sciences), we developed a geographical information system to identify Ko ¨ppen’s climate types based on monthly temperature and rainfall data from 2,950 weather stations. Temperature maps were spatially described using multivariate equations that took into account the geographical coordinates and altitude; and the map resolution (100 m) was similar to the digital elevation model derived from Shuttle Radar Topography Mission. Patterns of rainfall were interpolated using kriging, with the same resolution of temperature maps. The final climate map obtained for Brazil (851,487,700 ha) has a high spatial resolution (1 ha) which allows to observe the climatic variations at the landscape level. The results are presented as maps, graphs, diagrams and tables, allowing users to interpret the occurrence of climate types in Brazil. The zones and climate types are referenced to the most important mountains, plateaus and depressions, geographical landmarks, rivers and watersheds and major cities across the country making the information accessible to all levels of users. The climate map not only showed that the A, B and C zones represent approximately 81%, 5% and 14% of the country but also allowed the identification of Ko ¨ppen’s climates types never reported before in Brazil.","author":[{"dropping-particle":"","family":"Alvares","given":"Clayton Alcarde","non-dropping-particle":"","parse-names":false,"suffix":""},{"dropping-particle":"","family":"Stape","given":"José Luiz","non-dropping-particle":"","parse-names":false,"suffix":""},{"dropping-particle":"","family":"Sentelhas","given":"Paulo Cesar","non-dropping-particle":"","parse-names":false,"suffix":""},{"dropping-particle":"","family":"Moraes Gonçalves","given":"José Leonardo","non-dropping-particle":"De","parse-names":false,"suffix":""},{"dropping-particle":"","family":"Sparovek","given":"Gerd","non-dropping-particle":"","parse-names":false,"suffix":""}],"container-title":"Meteorologische Zeitschrift","id":"ITEM-3","issue":"6","issued":{"date-parts":[["2013"]]},"note":"ARF is in Cfb (humid subtropical [oceanic climate, without dry season] with temperate summer), rest of SC is Cfa (hot summer).\n\nSC has the highest proportion of Cfb climate zone of any state (59.9%) and is the only one with more than half the state in Cfb (next highest is PR with 37%)\n\nC (subtropical) climate is 13.7% of Brazil; Cfb is only 2.6% (third rarest climate type in the country)","page":"711-728","title":"Köppen's climate classification map for Brazil","type":"article-journal","volume":"22"},"prefix":"as implemented by","uris":["http://www.mendeley.com/documents/?uuid=fdc707bc-9388-4cd1-bb9b-5a0a5cd70545"]}],"mendeley":{"formattedCitation":"(as implemented by Alvares et al., 2013; Beck et al., 2018; Peel et al., 2007)","plainTextFormattedCitation":"(as implemented by Alvares et al., 2013; Beck et al., 2018; Peel et al., 2007)","previouslyFormattedCitation":"(as implemented by Alvares et al., 2013; Beck et al., 2018; Peel et al., 2007)"},"properties":{"noteIndex":0},"schema":"https://github.com/citation-style-language/schema/raw/master/csl-citation.json"}</w:instrText>
      </w:r>
      <w:r w:rsidRPr="00432AD6">
        <w:fldChar w:fldCharType="separate"/>
      </w:r>
      <w:r w:rsidRPr="00432AD6">
        <w:rPr>
          <w:noProof/>
        </w:rPr>
        <w:t>(as implemented by Alvares et al., 2013; Beck et al., 2018; Peel et al., 2007)</w:t>
      </w:r>
      <w:r w:rsidRPr="00432AD6">
        <w:fldChar w:fldCharType="end"/>
      </w:r>
      <w:r w:rsidRPr="00432AD6">
        <w:t xml:space="preserve"> to our</w:t>
      </w:r>
      <w:r w:rsidR="009641C5">
        <w:t xml:space="preserve"> present, future and</w:t>
      </w:r>
      <w:r w:rsidRPr="00432AD6">
        <w:t xml:space="preserve"> downscaled p</w:t>
      </w:r>
      <w:r w:rsidR="009641C5">
        <w:t xml:space="preserve">ast </w:t>
      </w:r>
      <w:r w:rsidRPr="00432AD6">
        <w:t xml:space="preserve">climate data </w:t>
      </w:r>
      <w:r w:rsidR="003006CE">
        <w:t>to provide</w:t>
      </w:r>
      <w:r w:rsidR="003006CE" w:rsidRPr="00432AD6">
        <w:t xml:space="preserve"> a broad-scale overview of the changing </w:t>
      </w:r>
      <w:r w:rsidR="0067425A">
        <w:t>conditions</w:t>
      </w:r>
      <w:r w:rsidR="003006CE" w:rsidRPr="00432AD6">
        <w:t xml:space="preserve"> in our study area through time</w:t>
      </w:r>
      <w:r w:rsidRPr="00432AD6">
        <w:t xml:space="preserve">. </w:t>
      </w:r>
    </w:p>
    <w:p w14:paraId="7574FBB0" w14:textId="5F9C93F0" w:rsidR="00810A29" w:rsidRDefault="00810A29" w:rsidP="00F74804">
      <w:pPr>
        <w:pStyle w:val="Heading2"/>
        <w:numPr>
          <w:ilvl w:val="1"/>
          <w:numId w:val="5"/>
        </w:numPr>
        <w:spacing w:line="360" w:lineRule="auto"/>
      </w:pPr>
      <w:r>
        <w:t>Species distribution modelling</w:t>
      </w:r>
    </w:p>
    <w:p w14:paraId="6F7F6848" w14:textId="3AD0CA92" w:rsidR="00B91CA6" w:rsidRDefault="00B91CA6" w:rsidP="00F74804">
      <w:pPr>
        <w:spacing w:line="360" w:lineRule="auto"/>
      </w:pPr>
      <w:r>
        <w:t>Best practice in species distribution modelling advocates restricting input variables to those which are ecologically relevant and weakly correlated with one another</w:t>
      </w:r>
      <w:r w:rsidR="001E043A">
        <w:t xml:space="preserve"> </w:t>
      </w:r>
      <w:r w:rsidR="001E043A">
        <w:fldChar w:fldCharType="begin" w:fldLock="1"/>
      </w:r>
      <w:r w:rsidR="00802074">
        <w:instrText>ADDIN CSL_CITATION {"citationItems":[{"id":"ITEM-1","itemData":{"DOI":"10.1111/geb.12684","ISSN":"14668238","abstract":"Aim: Species distribution modelling, a family of statistical methods that predicts species distributions from a set of occurrences and environmental predictors, is now routinely applied in many macroecological studies. However, the reliability of evaluation metrics usually employed to validate these models remains questioned. Moreover, the emergence of online databases of environmental variables with global coverage, especially climatic, has favoured the use of the same set of standard predictors. Unfortunately, the selection of variables is too rarely based on a careful examination of the species' ecology. In this context, our aim was to highlight the importance of selecting ad hoc variables in species distribution models, and to assess the ability of classical evaluation statistics to identify models with no biological realism. \nInnovation: First, we reviewed the current practices in the field of species distribution modelling in terms of variable selection and model evaluation. Then, we computed distribution models of 509 European species using pseudo-predictors derived from paintings or using a real set of climatic and topographic predictors. We calculated model performance based on the area under the receiver operating curve (AUC) and true skill statistics (TSS), partitioning occurrences into training and test data with different levels of spatial independence. Most models computed from pseudo-predictors were classified as good and sometimes were even better evaluated than models computed using real environmental variables. However, on average they were better discriminated when the partitioning of occurrences allowed testing for model transferability.\nMain conclusions: These findings confirm the crucial importance of variable selection and the inability of current evaluation metrics to assess the biological significance of distribution models. We recommend that researchers carefully select variables according to the species' ecology and evaluate models only according to their capacity to be transfered in distant areas. Nevertheless, statistics of model evaluations must still be interpreted with great caution.","author":[{"dropping-particle":"","family":"Fourcade","given":"Yoan","non-dropping-particle":"","parse-names":false,"suffix":""},{"dropping-particle":"","family":"Besnard","given":"Aurélien G.","non-dropping-particle":"","parse-names":false,"suffix":""},{"dropping-particle":"","family":"Secondi","given":"Jean","non-dropping-particle":"","parse-names":false,"suffix":""}],"container-title":"Global Ecology and Biogeography","id":"ITEM-1","issue":"October","issued":{"date-parts":[["2017"]]},"note":"Worrying study showing variables derived from paintings can appear to make for predictors as good as bioclims. Take away messages: split data to have truly independent evaluation data, preferably using block partitioning; consider using AIC to work out variables to include, but this must be informed by ecological understanding","title":"Paintings predict the distribution of species, or the challenge of selecting environmental predictors and evaluation statistics","type":"article-journal"},"uris":["http://www.mendeley.com/documents/?uuid=842fda8b-aab8-45c3-be4b-0c54f38b7635"]}],"mendeley":{"formattedCitation":"(Fourcade et al., 2017)","plainTextFormattedCitation":"(Fourcade et al., 2017)","previouslyFormattedCitation":"(Fourcade et al., 2017)"},"properties":{"noteIndex":0},"schema":"https://github.com/citation-style-language/schema/raw/master/csl-citation.json"}</w:instrText>
      </w:r>
      <w:r w:rsidR="001E043A">
        <w:fldChar w:fldCharType="separate"/>
      </w:r>
      <w:r w:rsidR="001E043A" w:rsidRPr="001E043A">
        <w:rPr>
          <w:noProof/>
        </w:rPr>
        <w:t>(Fourcade et al., 2017)</w:t>
      </w:r>
      <w:r w:rsidR="001E043A">
        <w:fldChar w:fldCharType="end"/>
      </w:r>
      <w:r>
        <w:t xml:space="preserve">. We </w:t>
      </w:r>
      <w:r w:rsidR="00926266">
        <w:t xml:space="preserve">selected the following </w:t>
      </w:r>
      <w:r>
        <w:t>bioclimatic variables</w:t>
      </w:r>
      <w:r w:rsidR="002A1F13">
        <w:t xml:space="preserve"> (see Supplementary Methods)</w:t>
      </w:r>
      <w:r w:rsidR="00926266">
        <w:t xml:space="preserve">, which </w:t>
      </w:r>
      <w:r w:rsidR="004D33A0">
        <w:t>describe the general trends, extremes and variability of temperature and precipitation</w:t>
      </w:r>
      <w:r>
        <w:t>: Bio2 (mean diurnal temperature range)</w:t>
      </w:r>
      <w:r w:rsidR="002A1F13">
        <w:t xml:space="preserve">, </w:t>
      </w:r>
      <w:r>
        <w:t>Bio3 (</w:t>
      </w:r>
      <w:proofErr w:type="spellStart"/>
      <w:r>
        <w:t>isothermality</w:t>
      </w:r>
      <w:proofErr w:type="spellEnd"/>
      <w:r>
        <w:t>)</w:t>
      </w:r>
      <w:r w:rsidR="002A1F13">
        <w:t xml:space="preserve">, </w:t>
      </w:r>
      <w:r>
        <w:t>Bio4 (temperature seasonality)</w:t>
      </w:r>
      <w:r w:rsidR="002A1F13">
        <w:t xml:space="preserve">, </w:t>
      </w:r>
      <w:r>
        <w:t>Bio5 (maximum temperature of the warmest month)</w:t>
      </w:r>
      <w:r w:rsidR="002A1F13">
        <w:t xml:space="preserve">, </w:t>
      </w:r>
      <w:r>
        <w:t>Bio6 (minimum temperature of the coldest month)</w:t>
      </w:r>
      <w:r w:rsidR="002A1F13">
        <w:t xml:space="preserve">, </w:t>
      </w:r>
      <w:r>
        <w:t>Bio8 (average temperature of the wettest quarter)</w:t>
      </w:r>
      <w:r w:rsidR="002A1F13">
        <w:t xml:space="preserve">, </w:t>
      </w:r>
      <w:r>
        <w:t>Bio9 (average temperature of the driest quarter)</w:t>
      </w:r>
      <w:r w:rsidR="002A1F13">
        <w:t xml:space="preserve">, </w:t>
      </w:r>
      <w:r>
        <w:t>Bio12 (annual precipitation)</w:t>
      </w:r>
      <w:r w:rsidR="002A1F13">
        <w:t xml:space="preserve">, </w:t>
      </w:r>
      <w:r>
        <w:t>Bio15 (precipitation seasonality)</w:t>
      </w:r>
      <w:r w:rsidR="002A1F13">
        <w:t xml:space="preserve">, </w:t>
      </w:r>
      <w:r>
        <w:t>Bio17 (precipitation of the driest quarter)</w:t>
      </w:r>
      <w:r w:rsidR="002A1F13">
        <w:t>.</w:t>
      </w:r>
    </w:p>
    <w:p w14:paraId="4C9C46F1" w14:textId="42D132D2" w:rsidR="00D63EFC" w:rsidRDefault="002937D6" w:rsidP="00F74804">
      <w:pPr>
        <w:spacing w:line="360" w:lineRule="auto"/>
      </w:pPr>
      <w:r>
        <w:t>We selected six key species from each of S</w:t>
      </w:r>
      <w:r w:rsidR="004706E6">
        <w:t xml:space="preserve">easonally </w:t>
      </w:r>
      <w:r>
        <w:t>D</w:t>
      </w:r>
      <w:r w:rsidR="004706E6">
        <w:t xml:space="preserve">eciduous </w:t>
      </w:r>
      <w:r>
        <w:t>F</w:t>
      </w:r>
      <w:r w:rsidR="004706E6">
        <w:t>orest</w:t>
      </w:r>
      <w:r>
        <w:t xml:space="preserve">, </w:t>
      </w:r>
      <w:r w:rsidR="004706E6">
        <w:t>Araucaria Mixed Forest</w:t>
      </w:r>
      <w:r>
        <w:t xml:space="preserve">, Campos, Cloud Forest, and </w:t>
      </w:r>
      <w:r w:rsidR="004706E6">
        <w:t>Atlantic Rainforest</w:t>
      </w:r>
      <w:r w:rsidR="00622754">
        <w:t xml:space="preserve">, according to their ecological importance </w:t>
      </w:r>
      <w:r w:rsidR="009956E5">
        <w:t xml:space="preserve">in </w:t>
      </w:r>
      <w:r w:rsidR="00131243">
        <w:t xml:space="preserve">the ecosystems’ different communities </w:t>
      </w:r>
      <w:r w:rsidR="00EC099F">
        <w:fldChar w:fldCharType="begin" w:fldLock="1"/>
      </w:r>
      <w:r w:rsidR="007F330C">
        <w:instrText>ADDIN CSL_CITATION {"citationItems":[{"id":"ITEM-1","itemData":{"DOI":"10.1111/avsc.12413","ISSN":"1402-2001","abstract":"Aims: We offer a first classification of South Brazilian grasslands (Campos Sulinos) based on quantitative vegetation data and describing grassland types in terms of dominant and indicator species. Location: South Brazilian grasslands (Paraná, Santa Catarina, Rio Grande do Sul states). Methods: We described vegetation plots in 167 sampling units throughout the region using a stratified nested design, totalizing 1,502 1 m² quadrats. We classified vegetation using cluster analysis based on Bray-Curtis dissimilarities, establishing three vegetation types and ten subtypes. We conducted indicator species analysis within the resulting subtypes, and for all possible combinations of subtypes. Results: In the cluster analyses, a clear separation of poorly drained grasslands from the drier sites appeared. Further, a clear distinction between grasslands in the South Brazilian highland region, situated in the Atlantic Forest biome, and the grasslands of the Pampa biome, to the south, emerged, reflecting climatic and management differences. Highland grasslands showed lower species cover dominance, while in the","author":[{"dropping-particle":"","family":"Andrade","given":"Bianca O","non-dropping-particle":"","parse-names":false,"suffix":""},{"dropping-particle":"","family":"Bonilha","given":"Camila L","non-dropping-particle":"","parse-names":false,"suffix":""},{"dropping-particle":"","family":"Overbeck","given":"Gerhard E","non-dropping-particle":"","parse-names":false,"suffix":""},{"dropping-particle":"","family":"Vélez‐Martin","given":"Eduardo","non-dropping-particle":"","parse-names":false,"suffix":""},{"dropping-particle":"","family":"Rolim","given":"Rosângela G","non-dropping-particle":"","parse-names":false,"suffix":""},{"dropping-particle":"","family":"Bordignon","given":"Sérgio Augusto L.","non-dropping-particle":"","parse-names":false,"suffix":""},{"dropping-particle":"","family":"Schneider","given":"Angelo A","non-dropping-particle":"","parse-names":false,"suffix":""},{"dropping-particle":"","family":"Vogel Ely","given":"Cleusa","non-dropping-particle":"","parse-names":false,"suffix":""},{"dropping-particle":"","family":"Lucas","given":"Dióber B.","non-dropping-particle":"","parse-names":false,"suffix":""},{"dropping-particle":"","family":"Garcia","given":"Élen N","non-dropping-particle":"","parse-names":false,"suffix":""},{"dropping-particle":"","family":"Santos","given":"Emily D.","non-dropping-particle":"dos","parse-names":false,"suffix":""},{"dropping-particle":"","family":"Torchelsen","given":"Fábio P.","non-dropping-particle":"","parse-names":false,"suffix":""},{"dropping-particle":"","family":"Vieira","given":"Mariana S","non-dropping-particle":"","parse-names":false,"suffix":""},{"dropping-particle":"","family":"Silva Filho","given":"Pedro J. S.","non-dropping-particle":"","parse-names":false,"suffix":""},{"dropping-particle":"","family":"Ferreira","given":"Pedro M A","non-dropping-particle":"","parse-names":false,"suffix":""},{"dropping-particle":"","family":"Trevisan","given":"Rafael","non-dropping-particle":"","parse-names":false,"suffix":""},{"dropping-particle":"","family":"Hollas","given":"Raquel","non-dropping-particle":"","parse-names":false,"suffix":""},{"dropping-particle":"","family":"Campestrini","given":"Sérgio","non-dropping-particle":"","parse-names":false,"suffix":""},{"dropping-particle":"","family":"Pillar","given":"Valério D.","non-dropping-particle":"","parse-names":false,"suffix":""},{"dropping-particle":"","family":"Boldrini","given":"Ilsi I.","non-dropping-particle":"","parse-names":false,"suffix":""}],"container-title":"Applied Vegetation Science","editor":[{"dropping-particle":"","family":"Jansen","given":"Florian","non-dropping-particle":"","parse-names":false,"suffix":""}],"id":"ITEM-1","issue":"1","issued":{"date-parts":[["2019","1","30"]]},"note":"Description of pampas and campos grasslands from survey methodology. The two are distinct, with subgroups distinguished between. Highlights some indicator spp - useful for modelling","page":"168-184","publisher":"PPG","title":"Classification of South Brazilian grasslands: Implications for conservation","type":"article-journal","volume":"22"},"uris":["http://www.mendeley.com/documents/?uuid=b5095eef-d85b-3509-a93c-8bb5e5eb030e"]},{"id":"ITEM-2","itemData":{"DOI":"10.1007/s10531-011-0129-6","ISSN":"0960-3115","abstract":"In a previous study near the summit of Mt. Cuscuzeiro (Ubatuba, SP) (820-1270 m), on the SE Brazilian coast, we found two floristically different forests, one above 1120 m, that appears to have a number of features typical of cloud forests, and another on the lower altitude slopes below. Taking these two forests as reference points, we addressed two questions: (1) What are their floristic relationships with other Atlantic forest subtypes in S-SE Brazil?; (2) Do the cloud forests in this region constitute a particular floristic-phytogeographic formation or are they a subset of their surrounding community? Species from 109 surveys (including Mount Cuscuzeiro) of 83 locations in S-SE Brazil were compiled into a binary (presence-absence) floristic matrix. Analyses of similarity among these samples using clustering (UPGMA, TWINSPAN) and ordination (DCA, PCO and CA) methods were performed. The surveys were divided into six main groups: (1) Cloud Forests; (2) \"Salesópolis\" group (3) Coastal Forests, subdivided between (a) Slope Forests and (b) Coastal Plain (\"Restinga\") Forests and Mountaintop Forests (not included in the Cloud Forests group); (4) Araucaria Forests; (5) Inland Seasonal Forests (from below ca. 700 m); and (6) Inland Montane Forests (from above ca. 700 m). The preferential and indicator species of the Cloud Forest group produced by TWINSPAN are presented. The Mount Cuscuzeiro forests from above and from below 1120 m were clustered with the Cloud Forests and the coastal Slope Forests groups, respectively. We concluded that Cloud forests comprise a distinct phytogeographic formation in Brazilian S-SE region. © 2011 Springer Science+Business Media B.V.","author":[{"dropping-particle":"","family":"Bertoncello","given":"Ricardo","non-dropping-particle":"","parse-names":false,"suffix":""},{"dropping-particle":"","family":"Yamamoto","given":"Kikyo","non-dropping-particle":"","parse-names":false,"suffix":""},{"dropping-particle":"","family":"Meireles","given":"Leonardo Dias","non-dropping-particle":"","parse-names":false,"suffix":""},{"dropping-particle":"","family":"Shepherd","given":"George John","non-dropping-particle":"","parse-names":false,"suffix":""}],"container-title":"Biodiversity and Conservation","id":"ITEM-2","issue":"14","issued":{"date-parts":[["2011","12","18"]]},"page":"3413-3433","publisher":"Springer Netherlands","title":"A phytogeographic analysis of cloud forests and other forest subtypes amidst the Atlantic forests in south and southeast Brazil","type":"article-journal","volume":"20"},"uris":["http://www.mendeley.com/documents/?uuid=872f0e06-2440-3501-8238-a8ea7c4743c9"]},{"id":"ITEM-3","itemData":{"author":[{"dropping-particle":"","family":"Klein","given":"Roberto M.","non-dropping-particle":"","parse-names":false,"suffix":""}],"container-title":"Boletim Paranaense de Geociências","id":"ITEM-3","issued":{"date-parts":[["1975"]]},"page":"67-88","title":"Southern Brazilian phytogeographic features and the probable influence of upper Quaternary climatic changes in the floristic distribution","type":"article-journal","volume":"33"},"uris":["http://www.mendeley.com/documents/?uuid=96f58c7d-b821-4664-ab3d-2a469bfc2a28"]},{"id":"ITEM-4","itemData":{"abstract":"2013. In: (eds.). Blumenau. Edifurb.","author":[{"dropping-particle":"","family":"Lingner","given":"D.V.","non-dropping-particle":"","parse-names":false,"suffix":""},{"dropping-particle":"","family":"Schorn","given":"L.A.","non-dropping-particle":"","parse-names":false,"suffix":""},{"dropping-particle":"","family":"Vibrans","given":"A.C.","non-dropping-particle":"","parse-names":false,"suffix":""},{"dropping-particle":"","family":"Meyer","given":"L.","non-dropping-particle":"","parse-names":false,"suffix":""},{"dropping-particle":"","family":"Sevegnani","given":"L.","non-dropping-particle":"","parse-names":false,"suffix":""},{"dropping-particle":"de","family":"Gasper","given":"A.L.","non-dropping-particle":"","parse-names":false,"suffix":""},{"dropping-particle":"","family":"Sobral","given":"M.G.","non-dropping-particle":"","parse-names":false,"suffix":""},{"dropping-particle":"","family":"Krüger","given":"A","non-dropping-particle":"","parse-names":false,"suffix":""},{"dropping-particle":"","family":"Klemz","given":"G.","non-dropping-particle":"","parse-names":false,"suffix":""},{"dropping-particle":"","family":"Schmidt","given":"R.","non-dropping-particle":"","parse-names":false,"suffix":""},{"dropping-particle":"","family":"Anastácio Junior","given":"C.","non-dropping-particle":"","parse-names":false,"suffix":""},{"dropping-particle":"","family":"Pasqualli","given":"V.R.","non-dropping-particle":"","parse-names":false,"suffix":""}],"chapter-number":"6","container-title":"Inventário Florístico Florestal de Santa Catarina, Vol. IV, Floresta Ombrófla Densa.","editor":[{"dropping-particle":"","family":"Vibrans","given":"A.C.","non-dropping-particle":"","parse-names":false,"suffix":""},{"dropping-particle":"","family":"Sevegnani","given":"L.","non-dropping-particle":"","parse-names":false,"suffix":""},{"dropping-particle":"de","family":"Gasper","given":"A.L.","non-dropping-particle":"","parse-names":false,"suffix":""},{"dropping-particle":"","family":"Lingner","given":"D.V.","non-dropping-particle":"","parse-names":false,"suffix":""}],"id":"ITEM-4","issued":{"date-parts":[["2013"]]},"page":"159-200","publisher":"Edifurb","publisher-place":"Blumenau","title":"Fitossociologia do componente arbóreo/arbustivo da Floresta Ombrófla Densa no Estado de Santa Catarina.","type":"chapter"},"uris":["http://www.mendeley.com/documents/?uuid=f0062aad-efc1-43bf-ba2a-97192d367b7a"]},{"id":"ITEM-5","itemData":{"author":[{"dropping-particle":"","family":"Meyer","given":"L.","non-dropping-particle":"","parse-names":false,"suffix":""},{"dropping-particle":"","family":"Sevegnani","given":"L.","non-dropping-particle":"","parse-names":false,"suffix":""},{"dropping-particle":"de","family":"Gasper","given":"A.L.","non-dropping-particle":"","parse-names":false,"suffix":""},{"dropping-particle":"","family":"Schorn","given":"L.A.","non-dropping-particle":"","parse-names":false,"suffix":""},{"dropping-particle":"","family":"Vibrans","given":"A.C.","non-dropping-particle":"","parse-names":false,"suffix":""},{"dropping-particle":"","family":"Lingner","given":"D.V.","non-dropping-particle":"","parse-names":false,"suffix":""},{"dropping-particle":"","family":"Sobral","given":"M.G.","non-dropping-particle":"","parse-names":false,"suffix":""},{"dropping-particle":"","family":"Klemz","given":"G.","non-dropping-particle":"","parse-names":false,"suffix":""},{"dropping-particle":"","family":"Schmdt","given":"R.","non-dropping-particle":"","parse-names":false,"suffix":""},{"dropping-particle":"","family":"Anastácio Junior","given":"C.","non-dropping-particle":"","parse-names":false,"suffix":""},{"dropping-particle":"","family":"Brongi","given":"E.","non-dropping-particle":"","parse-names":false,"suffix":""}],"chapter-number":"6","container-title":"Inventário Florístico Florestal de Santa Catarina, Vol. III, Floresta Ombrófila Mista.","editor":[{"dropping-particle":"","family":"Vibrans","given":"A.C.","non-dropping-particle":"","parse-names":false,"suffix":""},{"dropping-particle":"","family":"Sevegnani","given":"L.","non-dropping-particle":"","parse-names":false,"suffix":""},{"dropping-particle":"de","family":"Gasper","given":"A.L.","non-dropping-particle":"","parse-names":false,"suffix":""},{"dropping-particle":"","family":"Lingner","given":"D.V.","non-dropping-particle":"","parse-names":false,"suffix":""}],"id":"ITEM-5","issued":{"date-parts":[["2013"]]},"page":"157-189","publisher":"Edifurb","publisher-place":"Blumenau","title":"Fitossociologia do componente arbóreo/arbustivo da Floresta Ombrófila Mista em Santa Catarina.","type":"chapter"},"uris":["http://www.mendeley.com/documents/?uuid=bb0833f1-a145-4b23-bed1-425e8fbffcf5"]},{"id":"ITEM-6","itemData":{"ISBN":"9788571143319","author":[{"dropping-particle":"","family":"Schorn","given":"Lauri Amândio","non-dropping-particle":"","parse-names":false,"suffix":""},{"dropping-particle":"","family":"Lingner","given":"D.V.","non-dropping-particle":"","parse-names":false,"suffix":""},{"dropping-particle":"","family":"Vibrans","given":"A.C.","non-dropping-particle":"","parse-names":false,"suffix":""},{"dropping-particle":"de","family":"Gasper","given":"A.L.","non-dropping-particle":"","parse-names":false,"suffix":""},{"dropping-particle":"","family":"Sevegnani","given":"L.","non-dropping-particle":"","parse-names":false,"suffix":""},{"dropping-particle":"","family":"Sobral","given":"M.","non-dropping-particle":"","parse-names":false,"suffix":""},{"dropping-particle":"","family":"Meyer","given":"L.","non-dropping-particle":"","parse-names":false,"suffix":""},{"dropping-particle":"","family":"Klemz","given":"G.","non-dropping-particle":"","parse-names":false,"suffix":""},{"dropping-particle":"","family":"Schmitt","given":"R.","non-dropping-particle":"","parse-names":false,"suffix":""},{"dropping-particle":"","family":"Anastacio-Jr","given":"C.","non-dropping-particle":"","parse-names":false,"suffix":""},{"dropping-particle":"","family":"Pasqualli","given":"V.R.","non-dropping-particle":"","parse-names":false,"suffix":""}],"container-title":"Volume II - Floresta Estacional Decidual","id":"ITEM-6","issue":"January","issued":{"date-parts":[["2012"]]},"page":"139-159","title":"Estrutura do componente arbóreo/arbustivo da Floresta Estacional Decidual em Santa Catarina","type":"article-journal","volume":"II"},"uris":["http://www.mendeley.com/documents/?uuid=9a7d7c1d-e031-44be-a486-69e6c9761183"]},{"id":"ITEM-7","itemData":{"ISSN":"19805098 01039954","abstract":"This study aimed to evaluate the species composition and structure of Seasonal Deciduous Forest in the southern Brazilian state of Santa Catarina, including the tree/shrub component and the natural regeneration. We also compared the floristic composition between the components and discussed about the conservation condition of forests. The study was based on sample plots established by the Floristic and Forest Inventory of Santa Catarina state. Tree/shrub component was sampled by 78 plots placed systematically with 4,000 m² of sample area each, were individuals with DBH (diameter at breast height) ≥ 10 cm was measured. Regeneration (DBH &lt;10 cm and height &gt;1.50 m) was sampled in subplots of 100 m² each. Structure and diversity of sample plots were analyzed in both components; species were classified by their ecologic group. To test the association between components was made a Non-metric Multidimensional Scaling (NMSD) and Mantel test. We sampled 245 species, among them 215 in the tree/shrub component (79 of them exclusive), 165 species in the natural regeneration (30 exclusive ones) and 136 species common to the two components. The association between components was confirmed with NMSD and Mantel test (r = 0.34; p = 0.001). Species with major importance value were mostly early secondary species that emphasizes the consequences of long term exploitation and degradation of Seasonal Deciduous Forest in Santa Catarina.","author":[{"dropping-particle":"","family":"Schorn","given":"Lauri Amândio","non-dropping-particle":"","parse-names":false,"suffix":""},{"dropping-particle":"","family":"Meyer","given":"Leila","non-dropping-particle":"","parse-names":false,"suffix":""},{"dropping-particle":"","family":"Sevegnani","given":"Lucia","non-dropping-particle":"","parse-names":false,"suffix":""},{"dropping-particle":"","family":"Vibrans","given":"A.C.","non-dropping-particle":"","parse-names":false,"suffix":""},{"dropping-particle":"","family":"Vanessa","given":"Débora","non-dropping-particle":"","parse-names":false,"suffix":""},{"dropping-particle":"","family":"Gasper","given":"L.A.L.","non-dropping-particle":"de","parse-names":false,"suffix":""},{"dropping-particle":"","family":"Uhlmann","given":"Alexandre","non-dropping-particle":"","parse-names":false,"suffix":""},{"dropping-particle":"","family":"Verdi","given":"Márcio","non-dropping-particle":"","parse-names":false,"suffix":""},{"dropping-particle":"","family":"Stival-Santos","given":"Anita","non-dropping-particle":"","parse-names":false,"suffix":""}],"container-title":"Ciencia Florestal","id":"ITEM-7","issue":"4","issued":{"date-parts":[["2014"]]},"page":"821-831","title":"Fitossociologia de fragmentos de floresta estacional decidual no estado de Santa Catarina – Brasil","type":"article-journal","volume":"24"},"uris":["http://www.mendeley.com/documents/?uuid=012ef659-01f6-3251-a7a7-b70ca34bac2c"]}],"mendeley":{"formattedCitation":"(Andrade et al., 2019; Bertoncello et al., 2011; Klein, 1975; Lingner et al., 2013a; Meyer et al., 2013; Schorn et al., 2014, 2012)","plainTextFormattedCitation":"(Andrade et al., 2019; Bertoncello et al., 2011; Klein, 1975; Lingner et al., 2013a; Meyer et al., 2013; Schorn et al., 2014, 2012)","previouslyFormattedCitation":"(Andrade et al., 2019; Bertoncello et al., 2011; Klein, 1975; Lingner et al., 2013a; Meyer et al., 2013; Schorn et al., 2014, 2012)"},"properties":{"noteIndex":0},"schema":"https://github.com/citation-style-language/schema/raw/master/csl-citation.json"}</w:instrText>
      </w:r>
      <w:r w:rsidR="00EC099F">
        <w:fldChar w:fldCharType="separate"/>
      </w:r>
      <w:r w:rsidR="005944BB" w:rsidRPr="005944BB">
        <w:rPr>
          <w:noProof/>
        </w:rPr>
        <w:t>(Andrade et al., 2019; Bertoncello et al., 2011; Klein, 1975; Lingner et al., 2013a; Meyer et al., 2013; Schorn et al., 2014, 2012)</w:t>
      </w:r>
      <w:r w:rsidR="00EC099F">
        <w:fldChar w:fldCharType="end"/>
      </w:r>
      <w:r w:rsidR="00EC1B49" w:rsidRPr="00EC1B49">
        <w:t xml:space="preserve"> </w:t>
      </w:r>
      <w:r w:rsidR="00EC1B49">
        <w:t>and likely visibility in fossil pollen records</w:t>
      </w:r>
      <w:r w:rsidR="00622754">
        <w:t>.</w:t>
      </w:r>
      <w:r w:rsidR="00D63EFC">
        <w:t xml:space="preserve"> However, the dominance and diversity of </w:t>
      </w:r>
      <w:proofErr w:type="spellStart"/>
      <w:r w:rsidR="00D63EFC">
        <w:t>Poaceae</w:t>
      </w:r>
      <w:proofErr w:type="spellEnd"/>
      <w:r w:rsidR="00D63EFC">
        <w:t xml:space="preserve"> and Asteraceae species in Campos, combined with </w:t>
      </w:r>
      <w:r w:rsidR="00754FC4">
        <w:t>pollen’s</w:t>
      </w:r>
      <w:r w:rsidR="00D63EFC">
        <w:t xml:space="preserve"> </w:t>
      </w:r>
      <w:r w:rsidR="00485071">
        <w:t xml:space="preserve">relatively </w:t>
      </w:r>
      <w:r w:rsidR="00D63EFC">
        <w:t xml:space="preserve">low taxonomic resolution (particularly for </w:t>
      </w:r>
      <w:proofErr w:type="spellStart"/>
      <w:r w:rsidR="00D63EFC">
        <w:t>Poaceae</w:t>
      </w:r>
      <w:proofErr w:type="spellEnd"/>
      <w:r w:rsidR="00D63EFC">
        <w:t>), means that our selected Campos taxa cannot be readily identified in the pollen record.</w:t>
      </w:r>
      <w:r w:rsidR="00136D32">
        <w:t xml:space="preserve"> Similarly, the lack of palaeoecological research into southern Brazil’s SDF </w:t>
      </w:r>
      <w:r w:rsidR="00FC4B65">
        <w:t>means its taxa are not often identified in fossil pollen studies.</w:t>
      </w:r>
    </w:p>
    <w:tbl>
      <w:tblPr>
        <w:tblStyle w:val="PlainTable4"/>
        <w:tblW w:w="0" w:type="auto"/>
        <w:tblLook w:val="04A0" w:firstRow="1" w:lastRow="0" w:firstColumn="1" w:lastColumn="0" w:noHBand="0" w:noVBand="1"/>
      </w:tblPr>
      <w:tblGrid>
        <w:gridCol w:w="2547"/>
        <w:gridCol w:w="670"/>
        <w:gridCol w:w="553"/>
        <w:gridCol w:w="568"/>
        <w:gridCol w:w="611"/>
        <w:gridCol w:w="659"/>
        <w:gridCol w:w="565"/>
        <w:gridCol w:w="611"/>
        <w:gridCol w:w="568"/>
        <w:gridCol w:w="553"/>
        <w:gridCol w:w="1121"/>
      </w:tblGrid>
      <w:tr w:rsidR="004D665F" w14:paraId="718E5CC3" w14:textId="77777777" w:rsidTr="00E918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Merge w:val="restart"/>
            <w:tcBorders>
              <w:right w:val="double" w:sz="4" w:space="0" w:color="auto"/>
            </w:tcBorders>
          </w:tcPr>
          <w:p w14:paraId="7A386E46" w14:textId="14EC571D" w:rsidR="004D665F" w:rsidRPr="00E9180C" w:rsidRDefault="004D665F" w:rsidP="00F74804">
            <w:pPr>
              <w:spacing w:line="360" w:lineRule="auto"/>
            </w:pPr>
            <w:r w:rsidRPr="00E9180C">
              <w:t>Species</w:t>
            </w:r>
            <w:r w:rsidR="002C231B">
              <w:t xml:space="preserve"> (abbreviation code; family)</w:t>
            </w:r>
          </w:p>
        </w:tc>
        <w:tc>
          <w:tcPr>
            <w:tcW w:w="670" w:type="dxa"/>
            <w:vMerge w:val="restart"/>
            <w:tcBorders>
              <w:left w:val="double" w:sz="4" w:space="0" w:color="auto"/>
              <w:right w:val="single" w:sz="4" w:space="0" w:color="auto"/>
            </w:tcBorders>
          </w:tcPr>
          <w:p w14:paraId="6C03BE08" w14:textId="4D605DC1" w:rsidR="004D665F" w:rsidRPr="005C1764" w:rsidRDefault="004D665F" w:rsidP="00F74804">
            <w:pPr>
              <w:spacing w:line="360" w:lineRule="auto"/>
              <w:jc w:val="center"/>
              <w:cnfStyle w:val="100000000000" w:firstRow="1" w:lastRow="0" w:firstColumn="0" w:lastColumn="0" w:oddVBand="0" w:evenVBand="0" w:oddHBand="0" w:evenHBand="0" w:firstRowFirstColumn="0" w:firstRowLastColumn="0" w:lastRowFirstColumn="0" w:lastRowLastColumn="0"/>
              <w:rPr>
                <w:color w:val="800000"/>
              </w:rPr>
            </w:pPr>
            <w:r w:rsidRPr="005C1764">
              <w:rPr>
                <w:color w:val="800000"/>
              </w:rPr>
              <w:t>SDF</w:t>
            </w:r>
          </w:p>
        </w:tc>
        <w:tc>
          <w:tcPr>
            <w:tcW w:w="0" w:type="auto"/>
            <w:gridSpan w:val="3"/>
            <w:tcBorders>
              <w:left w:val="single" w:sz="4" w:space="0" w:color="auto"/>
              <w:right w:val="single" w:sz="4" w:space="0" w:color="auto"/>
            </w:tcBorders>
          </w:tcPr>
          <w:p w14:paraId="2B7281B3" w14:textId="33625306" w:rsidR="004D665F" w:rsidRPr="00E9180C" w:rsidRDefault="004706E6" w:rsidP="00F74804">
            <w:pPr>
              <w:spacing w:line="360" w:lineRule="auto"/>
              <w:jc w:val="center"/>
              <w:cnfStyle w:val="100000000000" w:firstRow="1" w:lastRow="0" w:firstColumn="0" w:lastColumn="0" w:oddVBand="0" w:evenVBand="0" w:oddHBand="0" w:evenHBand="0" w:firstRowFirstColumn="0" w:firstRowLastColumn="0" w:lastRowFirstColumn="0" w:lastRowLastColumn="0"/>
            </w:pPr>
            <w:r>
              <w:rPr>
                <w:color w:val="00B050"/>
              </w:rPr>
              <w:t>A</w:t>
            </w:r>
            <w:r w:rsidR="004D665F" w:rsidRPr="00E9180C">
              <w:rPr>
                <w:color w:val="00B050"/>
              </w:rPr>
              <w:t>MF</w:t>
            </w:r>
          </w:p>
        </w:tc>
        <w:tc>
          <w:tcPr>
            <w:tcW w:w="0" w:type="auto"/>
            <w:vMerge w:val="restart"/>
            <w:tcBorders>
              <w:left w:val="single" w:sz="4" w:space="0" w:color="auto"/>
              <w:right w:val="single" w:sz="4" w:space="0" w:color="auto"/>
            </w:tcBorders>
          </w:tcPr>
          <w:p w14:paraId="62E688D1" w14:textId="280BA7F4" w:rsidR="004D665F" w:rsidRPr="00E9180C" w:rsidRDefault="008F4E0E" w:rsidP="00F74804">
            <w:pPr>
              <w:spacing w:line="360" w:lineRule="auto"/>
              <w:jc w:val="center"/>
              <w:cnfStyle w:val="100000000000" w:firstRow="1" w:lastRow="0" w:firstColumn="0" w:lastColumn="0" w:oddVBand="0" w:evenVBand="0" w:oddHBand="0" w:evenHBand="0" w:firstRowFirstColumn="0" w:firstRowLastColumn="0" w:lastRowFirstColumn="0" w:lastRowLastColumn="0"/>
            </w:pPr>
            <w:r w:rsidRPr="00E9180C">
              <w:rPr>
                <w:color w:val="FFC000"/>
              </w:rPr>
              <w:t>CAM</w:t>
            </w:r>
          </w:p>
        </w:tc>
        <w:tc>
          <w:tcPr>
            <w:tcW w:w="0" w:type="auto"/>
            <w:vMerge w:val="restart"/>
            <w:tcBorders>
              <w:left w:val="single" w:sz="4" w:space="0" w:color="auto"/>
              <w:right w:val="single" w:sz="4" w:space="0" w:color="auto"/>
            </w:tcBorders>
          </w:tcPr>
          <w:p w14:paraId="411B9D22" w14:textId="76F81755" w:rsidR="004D665F" w:rsidRPr="00E9180C" w:rsidRDefault="00756D4D" w:rsidP="00F74804">
            <w:pPr>
              <w:spacing w:line="360" w:lineRule="auto"/>
              <w:jc w:val="center"/>
              <w:cnfStyle w:val="100000000000" w:firstRow="1" w:lastRow="0" w:firstColumn="0" w:lastColumn="0" w:oddVBand="0" w:evenVBand="0" w:oddHBand="0" w:evenHBand="0" w:firstRowFirstColumn="0" w:firstRowLastColumn="0" w:lastRowFirstColumn="0" w:lastRowLastColumn="0"/>
            </w:pPr>
            <w:r>
              <w:rPr>
                <w:color w:val="808080" w:themeColor="background1" w:themeShade="80"/>
              </w:rPr>
              <w:t>CLD</w:t>
            </w:r>
          </w:p>
        </w:tc>
        <w:tc>
          <w:tcPr>
            <w:tcW w:w="0" w:type="auto"/>
            <w:gridSpan w:val="3"/>
            <w:tcBorders>
              <w:left w:val="single" w:sz="4" w:space="0" w:color="auto"/>
              <w:right w:val="double" w:sz="4" w:space="0" w:color="auto"/>
            </w:tcBorders>
          </w:tcPr>
          <w:p w14:paraId="3DF767C6" w14:textId="070F6028" w:rsidR="004D665F" w:rsidRPr="005C1764" w:rsidRDefault="004706E6" w:rsidP="00F74804">
            <w:pPr>
              <w:spacing w:line="360" w:lineRule="auto"/>
              <w:jc w:val="center"/>
              <w:cnfStyle w:val="100000000000" w:firstRow="1" w:lastRow="0" w:firstColumn="0" w:lastColumn="0" w:oddVBand="0" w:evenVBand="0" w:oddHBand="0" w:evenHBand="0" w:firstRowFirstColumn="0" w:firstRowLastColumn="0" w:lastRowFirstColumn="0" w:lastRowLastColumn="0"/>
              <w:rPr>
                <w:color w:val="000075"/>
              </w:rPr>
            </w:pPr>
            <w:r w:rsidRPr="005C1764">
              <w:rPr>
                <w:color w:val="000075"/>
              </w:rPr>
              <w:t>AR</w:t>
            </w:r>
            <w:r w:rsidR="004D665F" w:rsidRPr="005C1764">
              <w:rPr>
                <w:color w:val="000075"/>
              </w:rPr>
              <w:t>F</w:t>
            </w:r>
          </w:p>
        </w:tc>
        <w:tc>
          <w:tcPr>
            <w:tcW w:w="0" w:type="auto"/>
            <w:vMerge w:val="restart"/>
            <w:tcBorders>
              <w:left w:val="double" w:sz="4" w:space="0" w:color="auto"/>
            </w:tcBorders>
          </w:tcPr>
          <w:p w14:paraId="5754F6D6" w14:textId="6C9078E9" w:rsidR="004D665F" w:rsidRPr="00E9180C" w:rsidRDefault="00BF0A99" w:rsidP="00F74804">
            <w:pPr>
              <w:spacing w:line="360" w:lineRule="auto"/>
              <w:jc w:val="center"/>
              <w:cnfStyle w:val="100000000000" w:firstRow="1" w:lastRow="0" w:firstColumn="0" w:lastColumn="0" w:oddVBand="0" w:evenVBand="0" w:oddHBand="0" w:evenHBand="0" w:firstRowFirstColumn="0" w:firstRowLastColumn="0" w:lastRowFirstColumn="0" w:lastRowLastColumn="0"/>
            </w:pPr>
            <w:r>
              <w:t>Fossil p</w:t>
            </w:r>
            <w:r w:rsidR="004D665F" w:rsidRPr="00E9180C">
              <w:t>ollen</w:t>
            </w:r>
          </w:p>
        </w:tc>
      </w:tr>
      <w:tr w:rsidR="00BF0A99" w14:paraId="54140F07" w14:textId="77777777" w:rsidTr="00BF0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Merge/>
            <w:tcBorders>
              <w:bottom w:val="single" w:sz="4" w:space="0" w:color="auto"/>
              <w:right w:val="double" w:sz="4" w:space="0" w:color="auto"/>
            </w:tcBorders>
          </w:tcPr>
          <w:p w14:paraId="4C5B52C2" w14:textId="77777777" w:rsidR="004D665F" w:rsidRPr="00E9180C" w:rsidRDefault="004D665F" w:rsidP="00F74804">
            <w:pPr>
              <w:spacing w:line="360" w:lineRule="auto"/>
              <w:rPr>
                <w:b w:val="0"/>
                <w:bCs w:val="0"/>
              </w:rPr>
            </w:pPr>
          </w:p>
        </w:tc>
        <w:tc>
          <w:tcPr>
            <w:tcW w:w="670" w:type="dxa"/>
            <w:vMerge/>
            <w:tcBorders>
              <w:left w:val="double" w:sz="4" w:space="0" w:color="auto"/>
              <w:bottom w:val="single" w:sz="4" w:space="0" w:color="auto"/>
              <w:right w:val="single" w:sz="4" w:space="0" w:color="auto"/>
            </w:tcBorders>
          </w:tcPr>
          <w:p w14:paraId="6682B377" w14:textId="77777777" w:rsidR="004D665F" w:rsidRDefault="004D665F"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bottom w:val="single" w:sz="4" w:space="0" w:color="auto"/>
            </w:tcBorders>
            <w:shd w:val="clear" w:color="auto" w:fill="auto"/>
          </w:tcPr>
          <w:p w14:paraId="3F2BD803" w14:textId="42FF8215" w:rsidR="004D665F" w:rsidRPr="00DC611C" w:rsidRDefault="004D665F" w:rsidP="00F74804">
            <w:pPr>
              <w:spacing w:line="360" w:lineRule="auto"/>
              <w:jc w:val="center"/>
              <w:cnfStyle w:val="000000100000" w:firstRow="0" w:lastRow="0" w:firstColumn="0" w:lastColumn="0" w:oddVBand="0" w:evenVBand="0" w:oddHBand="1" w:evenHBand="0" w:firstRowFirstColumn="0" w:firstRowLastColumn="0" w:lastRowFirstColumn="0" w:lastRowLastColumn="0"/>
              <w:rPr>
                <w:b/>
                <w:bCs/>
                <w:color w:val="00B050"/>
              </w:rPr>
            </w:pPr>
            <w:r w:rsidRPr="00DC611C">
              <w:rPr>
                <w:b/>
                <w:bCs/>
                <w:color w:val="00B050"/>
              </w:rPr>
              <w:t>low</w:t>
            </w:r>
          </w:p>
        </w:tc>
        <w:tc>
          <w:tcPr>
            <w:tcW w:w="0" w:type="auto"/>
            <w:tcBorders>
              <w:bottom w:val="single" w:sz="4" w:space="0" w:color="auto"/>
            </w:tcBorders>
            <w:shd w:val="clear" w:color="auto" w:fill="auto"/>
          </w:tcPr>
          <w:p w14:paraId="100AC7A1" w14:textId="45188B21" w:rsidR="004D665F" w:rsidRPr="00DC611C" w:rsidRDefault="004D665F" w:rsidP="00F74804">
            <w:pPr>
              <w:spacing w:line="360" w:lineRule="auto"/>
              <w:jc w:val="center"/>
              <w:cnfStyle w:val="000000100000" w:firstRow="0" w:lastRow="0" w:firstColumn="0" w:lastColumn="0" w:oddVBand="0" w:evenVBand="0" w:oddHBand="1" w:evenHBand="0" w:firstRowFirstColumn="0" w:firstRowLastColumn="0" w:lastRowFirstColumn="0" w:lastRowLastColumn="0"/>
              <w:rPr>
                <w:b/>
                <w:bCs/>
                <w:color w:val="00B050"/>
              </w:rPr>
            </w:pPr>
            <w:r w:rsidRPr="00DC611C">
              <w:rPr>
                <w:b/>
                <w:bCs/>
                <w:color w:val="00B050"/>
              </w:rPr>
              <w:t>mid</w:t>
            </w:r>
          </w:p>
        </w:tc>
        <w:tc>
          <w:tcPr>
            <w:tcW w:w="0" w:type="auto"/>
            <w:tcBorders>
              <w:bottom w:val="single" w:sz="4" w:space="0" w:color="auto"/>
              <w:right w:val="single" w:sz="4" w:space="0" w:color="auto"/>
            </w:tcBorders>
            <w:shd w:val="clear" w:color="auto" w:fill="auto"/>
          </w:tcPr>
          <w:p w14:paraId="08992B7B" w14:textId="67D04197" w:rsidR="004D665F" w:rsidRPr="00DC611C" w:rsidRDefault="004D665F" w:rsidP="00F74804">
            <w:pPr>
              <w:spacing w:line="360" w:lineRule="auto"/>
              <w:jc w:val="center"/>
              <w:cnfStyle w:val="000000100000" w:firstRow="0" w:lastRow="0" w:firstColumn="0" w:lastColumn="0" w:oddVBand="0" w:evenVBand="0" w:oddHBand="1" w:evenHBand="0" w:firstRowFirstColumn="0" w:firstRowLastColumn="0" w:lastRowFirstColumn="0" w:lastRowLastColumn="0"/>
              <w:rPr>
                <w:b/>
                <w:bCs/>
                <w:color w:val="00B050"/>
              </w:rPr>
            </w:pPr>
            <w:r w:rsidRPr="00DC611C">
              <w:rPr>
                <w:b/>
                <w:bCs/>
                <w:color w:val="00B050"/>
              </w:rPr>
              <w:t>high</w:t>
            </w:r>
          </w:p>
        </w:tc>
        <w:tc>
          <w:tcPr>
            <w:tcW w:w="0" w:type="auto"/>
            <w:vMerge/>
            <w:tcBorders>
              <w:left w:val="single" w:sz="4" w:space="0" w:color="auto"/>
              <w:bottom w:val="single" w:sz="4" w:space="0" w:color="auto"/>
              <w:right w:val="single" w:sz="4" w:space="0" w:color="auto"/>
            </w:tcBorders>
          </w:tcPr>
          <w:p w14:paraId="7725C5CD" w14:textId="77777777" w:rsidR="004D665F" w:rsidRDefault="004D665F"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vMerge/>
            <w:tcBorders>
              <w:left w:val="single" w:sz="4" w:space="0" w:color="auto"/>
              <w:bottom w:val="single" w:sz="4" w:space="0" w:color="auto"/>
              <w:right w:val="single" w:sz="4" w:space="0" w:color="auto"/>
            </w:tcBorders>
          </w:tcPr>
          <w:p w14:paraId="7F224B8B" w14:textId="77777777" w:rsidR="004D665F" w:rsidRDefault="004D665F"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bottom w:val="single" w:sz="4" w:space="0" w:color="auto"/>
            </w:tcBorders>
            <w:shd w:val="clear" w:color="auto" w:fill="auto"/>
          </w:tcPr>
          <w:p w14:paraId="61B92049" w14:textId="5E6D24FC" w:rsidR="004D665F" w:rsidRPr="005C1764" w:rsidRDefault="004D665F" w:rsidP="00F74804">
            <w:pPr>
              <w:spacing w:line="360" w:lineRule="auto"/>
              <w:jc w:val="center"/>
              <w:cnfStyle w:val="000000100000" w:firstRow="0" w:lastRow="0" w:firstColumn="0" w:lastColumn="0" w:oddVBand="0" w:evenVBand="0" w:oddHBand="1" w:evenHBand="0" w:firstRowFirstColumn="0" w:firstRowLastColumn="0" w:lastRowFirstColumn="0" w:lastRowLastColumn="0"/>
              <w:rPr>
                <w:b/>
                <w:bCs/>
                <w:color w:val="000075"/>
              </w:rPr>
            </w:pPr>
            <w:r w:rsidRPr="005C1764">
              <w:rPr>
                <w:b/>
                <w:bCs/>
                <w:color w:val="000075"/>
              </w:rPr>
              <w:t>high</w:t>
            </w:r>
          </w:p>
        </w:tc>
        <w:tc>
          <w:tcPr>
            <w:tcW w:w="0" w:type="auto"/>
            <w:tcBorders>
              <w:bottom w:val="single" w:sz="4" w:space="0" w:color="auto"/>
            </w:tcBorders>
            <w:shd w:val="clear" w:color="auto" w:fill="auto"/>
          </w:tcPr>
          <w:p w14:paraId="1618760D" w14:textId="7B33B2AD" w:rsidR="004D665F" w:rsidRPr="005C1764" w:rsidRDefault="004D665F" w:rsidP="00F74804">
            <w:pPr>
              <w:spacing w:line="360" w:lineRule="auto"/>
              <w:jc w:val="center"/>
              <w:cnfStyle w:val="000000100000" w:firstRow="0" w:lastRow="0" w:firstColumn="0" w:lastColumn="0" w:oddVBand="0" w:evenVBand="0" w:oddHBand="1" w:evenHBand="0" w:firstRowFirstColumn="0" w:firstRowLastColumn="0" w:lastRowFirstColumn="0" w:lastRowLastColumn="0"/>
              <w:rPr>
                <w:b/>
                <w:bCs/>
                <w:color w:val="000075"/>
              </w:rPr>
            </w:pPr>
            <w:r w:rsidRPr="005C1764">
              <w:rPr>
                <w:b/>
                <w:bCs/>
                <w:color w:val="000075"/>
              </w:rPr>
              <w:t>mid</w:t>
            </w:r>
          </w:p>
        </w:tc>
        <w:tc>
          <w:tcPr>
            <w:tcW w:w="0" w:type="auto"/>
            <w:tcBorders>
              <w:bottom w:val="single" w:sz="4" w:space="0" w:color="auto"/>
              <w:right w:val="double" w:sz="4" w:space="0" w:color="auto"/>
            </w:tcBorders>
            <w:shd w:val="clear" w:color="auto" w:fill="auto"/>
          </w:tcPr>
          <w:p w14:paraId="437588EB" w14:textId="01A33258" w:rsidR="004D665F" w:rsidRPr="005C1764" w:rsidRDefault="004D665F" w:rsidP="00F74804">
            <w:pPr>
              <w:spacing w:line="360" w:lineRule="auto"/>
              <w:jc w:val="center"/>
              <w:cnfStyle w:val="000000100000" w:firstRow="0" w:lastRow="0" w:firstColumn="0" w:lastColumn="0" w:oddVBand="0" w:evenVBand="0" w:oddHBand="1" w:evenHBand="0" w:firstRowFirstColumn="0" w:firstRowLastColumn="0" w:lastRowFirstColumn="0" w:lastRowLastColumn="0"/>
              <w:rPr>
                <w:b/>
                <w:bCs/>
                <w:color w:val="000075"/>
              </w:rPr>
            </w:pPr>
            <w:r w:rsidRPr="005C1764">
              <w:rPr>
                <w:b/>
                <w:bCs/>
                <w:color w:val="000075"/>
              </w:rPr>
              <w:t>low</w:t>
            </w:r>
          </w:p>
        </w:tc>
        <w:tc>
          <w:tcPr>
            <w:tcW w:w="0" w:type="auto"/>
            <w:vMerge/>
            <w:tcBorders>
              <w:left w:val="double" w:sz="4" w:space="0" w:color="auto"/>
              <w:bottom w:val="single" w:sz="4" w:space="0" w:color="auto"/>
            </w:tcBorders>
          </w:tcPr>
          <w:p w14:paraId="0F12820E" w14:textId="77777777" w:rsidR="004D665F" w:rsidRDefault="004D665F"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r>
      <w:tr w:rsidR="004D665F" w14:paraId="00B94554" w14:textId="77777777" w:rsidTr="00E9180C">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auto"/>
              <w:right w:val="double" w:sz="4" w:space="0" w:color="auto"/>
            </w:tcBorders>
          </w:tcPr>
          <w:p w14:paraId="58720C5D" w14:textId="04E71D35" w:rsidR="00437EC0" w:rsidRPr="00E9180C" w:rsidRDefault="00437EC0" w:rsidP="00F74804">
            <w:pPr>
              <w:spacing w:line="360" w:lineRule="auto"/>
              <w:rPr>
                <w:b w:val="0"/>
                <w:bCs w:val="0"/>
              </w:rPr>
            </w:pPr>
            <w:proofErr w:type="spellStart"/>
            <w:r w:rsidRPr="00E9180C">
              <w:rPr>
                <w:rFonts w:ascii="Calibri" w:eastAsia="Times New Roman" w:hAnsi="Calibri" w:cs="Times New Roman"/>
                <w:b w:val="0"/>
                <w:bCs w:val="0"/>
                <w:i/>
                <w:iCs/>
                <w:color w:val="000000"/>
                <w:lang w:eastAsia="en-GB"/>
              </w:rPr>
              <w:t>Alchornea</w:t>
            </w:r>
            <w:proofErr w:type="spellEnd"/>
            <w:r w:rsidRPr="00E9180C">
              <w:rPr>
                <w:rFonts w:ascii="Calibri" w:eastAsia="Times New Roman" w:hAnsi="Calibri" w:cs="Times New Roman"/>
                <w:b w:val="0"/>
                <w:bCs w:val="0"/>
                <w:i/>
                <w:iCs/>
                <w:color w:val="000000"/>
                <w:lang w:eastAsia="en-GB"/>
              </w:rPr>
              <w:t xml:space="preserve"> </w:t>
            </w:r>
            <w:proofErr w:type="spellStart"/>
            <w:r w:rsidRPr="00E9180C">
              <w:rPr>
                <w:rFonts w:ascii="Calibri" w:eastAsia="Times New Roman" w:hAnsi="Calibri" w:cs="Times New Roman"/>
                <w:b w:val="0"/>
                <w:bCs w:val="0"/>
                <w:i/>
                <w:iCs/>
                <w:color w:val="000000"/>
                <w:lang w:eastAsia="en-GB"/>
              </w:rPr>
              <w:t>triplinervia</w:t>
            </w:r>
            <w:proofErr w:type="spellEnd"/>
            <w:r w:rsidRPr="00E9180C">
              <w:rPr>
                <w:rFonts w:ascii="Calibri" w:eastAsia="Times New Roman" w:hAnsi="Calibri" w:cs="Times New Roman"/>
                <w:b w:val="0"/>
                <w:bCs w:val="0"/>
                <w:color w:val="000000"/>
                <w:lang w:eastAsia="en-GB"/>
              </w:rPr>
              <w:t xml:space="preserve"> (</w:t>
            </w:r>
            <w:proofErr w:type="spellStart"/>
            <w:r w:rsidR="002C231B">
              <w:rPr>
                <w:rFonts w:ascii="Calibri" w:eastAsia="Times New Roman" w:hAnsi="Calibri" w:cs="Times New Roman"/>
                <w:b w:val="0"/>
                <w:bCs w:val="0"/>
                <w:color w:val="000000"/>
                <w:lang w:eastAsia="en-GB"/>
              </w:rPr>
              <w:t>Alctri</w:t>
            </w:r>
            <w:proofErr w:type="spellEnd"/>
            <w:r w:rsidR="002C231B">
              <w:rPr>
                <w:rFonts w:ascii="Calibri" w:eastAsia="Times New Roman" w:hAnsi="Calibri" w:cs="Times New Roman"/>
                <w:b w:val="0"/>
                <w:bCs w:val="0"/>
                <w:color w:val="000000"/>
                <w:lang w:eastAsia="en-GB"/>
              </w:rPr>
              <w:t xml:space="preserve">; </w:t>
            </w:r>
            <w:proofErr w:type="spellStart"/>
            <w:r w:rsidRPr="00E9180C">
              <w:rPr>
                <w:rFonts w:ascii="Calibri" w:eastAsia="Times New Roman" w:hAnsi="Calibri" w:cs="Times New Roman"/>
                <w:b w:val="0"/>
                <w:bCs w:val="0"/>
                <w:color w:val="000000"/>
                <w:lang w:eastAsia="en-GB"/>
              </w:rPr>
              <w:t>Euphorbiaceae</w:t>
            </w:r>
            <w:proofErr w:type="spellEnd"/>
            <w:r w:rsidRPr="00E9180C">
              <w:rPr>
                <w:rFonts w:ascii="Calibri" w:eastAsia="Times New Roman" w:hAnsi="Calibri" w:cs="Times New Roman"/>
                <w:b w:val="0"/>
                <w:bCs w:val="0"/>
                <w:color w:val="000000"/>
                <w:lang w:eastAsia="en-GB"/>
              </w:rPr>
              <w:t>)</w:t>
            </w:r>
          </w:p>
        </w:tc>
        <w:tc>
          <w:tcPr>
            <w:tcW w:w="670" w:type="dxa"/>
            <w:tcBorders>
              <w:top w:val="single" w:sz="4" w:space="0" w:color="auto"/>
              <w:left w:val="double" w:sz="4" w:space="0" w:color="auto"/>
              <w:right w:val="single" w:sz="4" w:space="0" w:color="auto"/>
            </w:tcBorders>
          </w:tcPr>
          <w:p w14:paraId="2A513164"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tcBorders>
          </w:tcPr>
          <w:p w14:paraId="07E09F80"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tcBorders>
          </w:tcPr>
          <w:p w14:paraId="4F53A0A1"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right w:val="single" w:sz="4" w:space="0" w:color="auto"/>
            </w:tcBorders>
          </w:tcPr>
          <w:p w14:paraId="564623FE"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right w:val="single" w:sz="4" w:space="0" w:color="auto"/>
            </w:tcBorders>
          </w:tcPr>
          <w:p w14:paraId="5BDFA981"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right w:val="single" w:sz="4" w:space="0" w:color="auto"/>
            </w:tcBorders>
          </w:tcPr>
          <w:p w14:paraId="2E7698B9"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left w:val="single" w:sz="4" w:space="0" w:color="auto"/>
            </w:tcBorders>
          </w:tcPr>
          <w:p w14:paraId="16CDC967" w14:textId="154E2703"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Borders>
              <w:top w:val="single" w:sz="4" w:space="0" w:color="auto"/>
            </w:tcBorders>
          </w:tcPr>
          <w:p w14:paraId="6FB41FE0" w14:textId="723B5CBA"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Borders>
              <w:top w:val="single" w:sz="4" w:space="0" w:color="auto"/>
              <w:right w:val="double" w:sz="4" w:space="0" w:color="auto"/>
            </w:tcBorders>
          </w:tcPr>
          <w:p w14:paraId="6C37BBB3" w14:textId="6A614613"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Borders>
              <w:top w:val="single" w:sz="4" w:space="0" w:color="auto"/>
              <w:left w:val="double" w:sz="4" w:space="0" w:color="auto"/>
            </w:tcBorders>
          </w:tcPr>
          <w:p w14:paraId="3128AE73" w14:textId="30CA4682"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r>
      <w:tr w:rsidR="00BF0A99" w14:paraId="0A0D0146" w14:textId="77777777" w:rsidTr="00E918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60B097DB" w14:textId="058586C1" w:rsidR="00437EC0" w:rsidRPr="00E9180C" w:rsidRDefault="00437EC0" w:rsidP="00F74804">
            <w:pPr>
              <w:spacing w:line="360" w:lineRule="auto"/>
              <w:rPr>
                <w:rFonts w:ascii="Calibri" w:eastAsia="Times New Roman" w:hAnsi="Calibri" w:cs="Times New Roman"/>
                <w:b w:val="0"/>
                <w:bCs w:val="0"/>
                <w:i/>
                <w:iCs/>
                <w:color w:val="000000"/>
                <w:lang w:eastAsia="en-GB"/>
              </w:rPr>
            </w:pPr>
            <w:proofErr w:type="spellStart"/>
            <w:r w:rsidRPr="00E9180C">
              <w:rPr>
                <w:rFonts w:ascii="Calibri" w:eastAsia="Times New Roman" w:hAnsi="Calibri" w:cs="Times New Roman"/>
                <w:b w:val="0"/>
                <w:bCs w:val="0"/>
                <w:i/>
                <w:iCs/>
                <w:color w:val="000000"/>
                <w:lang w:eastAsia="en-GB"/>
              </w:rPr>
              <w:t>Apuleia</w:t>
            </w:r>
            <w:proofErr w:type="spellEnd"/>
            <w:r w:rsidRPr="00E9180C">
              <w:rPr>
                <w:rFonts w:ascii="Calibri" w:eastAsia="Times New Roman" w:hAnsi="Calibri" w:cs="Times New Roman"/>
                <w:b w:val="0"/>
                <w:bCs w:val="0"/>
                <w:i/>
                <w:iCs/>
                <w:color w:val="000000"/>
                <w:lang w:eastAsia="en-GB"/>
              </w:rPr>
              <w:t xml:space="preserve"> </w:t>
            </w:r>
            <w:proofErr w:type="spellStart"/>
            <w:r w:rsidRPr="00E9180C">
              <w:rPr>
                <w:rFonts w:ascii="Calibri" w:eastAsia="Times New Roman" w:hAnsi="Calibri" w:cs="Times New Roman"/>
                <w:b w:val="0"/>
                <w:bCs w:val="0"/>
                <w:i/>
                <w:iCs/>
                <w:color w:val="000000"/>
                <w:lang w:eastAsia="en-GB"/>
              </w:rPr>
              <w:t>leiocarpa</w:t>
            </w:r>
            <w:proofErr w:type="spellEnd"/>
            <w:r w:rsidRPr="00E9180C">
              <w:rPr>
                <w:rFonts w:ascii="Calibri" w:eastAsia="Times New Roman" w:hAnsi="Calibri" w:cs="Times New Roman"/>
                <w:b w:val="0"/>
                <w:bCs w:val="0"/>
                <w:color w:val="000000"/>
                <w:lang w:eastAsia="en-GB"/>
              </w:rPr>
              <w:t xml:space="preserve"> (</w:t>
            </w:r>
            <w:proofErr w:type="spellStart"/>
            <w:r w:rsidR="002C231B">
              <w:rPr>
                <w:rFonts w:ascii="Calibri" w:eastAsia="Times New Roman" w:hAnsi="Calibri" w:cs="Times New Roman"/>
                <w:b w:val="0"/>
                <w:bCs w:val="0"/>
                <w:color w:val="000000"/>
                <w:lang w:eastAsia="en-GB"/>
              </w:rPr>
              <w:t>Apulei</w:t>
            </w:r>
            <w:proofErr w:type="spellEnd"/>
            <w:r w:rsidR="002C231B">
              <w:rPr>
                <w:rFonts w:ascii="Calibri" w:eastAsia="Times New Roman" w:hAnsi="Calibri" w:cs="Times New Roman"/>
                <w:b w:val="0"/>
                <w:bCs w:val="0"/>
                <w:color w:val="000000"/>
                <w:lang w:eastAsia="en-GB"/>
              </w:rPr>
              <w:t xml:space="preserve">; </w:t>
            </w:r>
            <w:r w:rsidRPr="00E9180C">
              <w:rPr>
                <w:rFonts w:ascii="Calibri" w:eastAsia="Times New Roman" w:hAnsi="Calibri" w:cs="Times New Roman"/>
                <w:b w:val="0"/>
                <w:bCs w:val="0"/>
                <w:color w:val="000000"/>
                <w:lang w:eastAsia="en-GB"/>
              </w:rPr>
              <w:t>Fabaceae)</w:t>
            </w:r>
          </w:p>
        </w:tc>
        <w:tc>
          <w:tcPr>
            <w:tcW w:w="670" w:type="dxa"/>
            <w:tcBorders>
              <w:left w:val="double" w:sz="4" w:space="0" w:color="auto"/>
              <w:right w:val="single" w:sz="4" w:space="0" w:color="auto"/>
            </w:tcBorders>
          </w:tcPr>
          <w:p w14:paraId="71BE9C59" w14:textId="5AFFA984"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left w:val="single" w:sz="4" w:space="0" w:color="auto"/>
            </w:tcBorders>
          </w:tcPr>
          <w:p w14:paraId="388102D6"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48569300"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right w:val="single" w:sz="4" w:space="0" w:color="auto"/>
            </w:tcBorders>
          </w:tcPr>
          <w:p w14:paraId="3C5236E0"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right w:val="single" w:sz="4" w:space="0" w:color="auto"/>
            </w:tcBorders>
          </w:tcPr>
          <w:p w14:paraId="390FFAFA"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right w:val="single" w:sz="4" w:space="0" w:color="auto"/>
            </w:tcBorders>
          </w:tcPr>
          <w:p w14:paraId="351C2D3A"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tcBorders>
          </w:tcPr>
          <w:p w14:paraId="14FFCCD6"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3461DB26"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right w:val="double" w:sz="4" w:space="0" w:color="auto"/>
            </w:tcBorders>
          </w:tcPr>
          <w:p w14:paraId="29211D7E"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double" w:sz="4" w:space="0" w:color="auto"/>
            </w:tcBorders>
          </w:tcPr>
          <w:p w14:paraId="767538B2"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r>
      <w:tr w:rsidR="004D665F" w14:paraId="41D4D958" w14:textId="77777777" w:rsidTr="00E9180C">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0743BC2C" w14:textId="6729A2FE" w:rsidR="00437EC0" w:rsidRPr="00E9180C" w:rsidRDefault="00437EC0" w:rsidP="00F74804">
            <w:pPr>
              <w:spacing w:line="360" w:lineRule="auto"/>
              <w:rPr>
                <w:rFonts w:ascii="Calibri" w:eastAsia="Times New Roman" w:hAnsi="Calibri" w:cs="Times New Roman"/>
                <w:b w:val="0"/>
                <w:bCs w:val="0"/>
                <w:i/>
                <w:iCs/>
                <w:color w:val="000000"/>
                <w:lang w:eastAsia="en-GB"/>
              </w:rPr>
            </w:pPr>
            <w:r w:rsidRPr="00E9180C">
              <w:rPr>
                <w:rFonts w:ascii="Calibri" w:eastAsia="Times New Roman" w:hAnsi="Calibri" w:cs="Times New Roman"/>
                <w:b w:val="0"/>
                <w:bCs w:val="0"/>
                <w:i/>
                <w:iCs/>
                <w:color w:val="000000"/>
                <w:lang w:eastAsia="en-GB"/>
              </w:rPr>
              <w:t>Araucaria angustifolia</w:t>
            </w:r>
            <w:r w:rsidRPr="00E9180C">
              <w:rPr>
                <w:rFonts w:ascii="Calibri" w:eastAsia="Times New Roman" w:hAnsi="Calibri" w:cs="Times New Roman"/>
                <w:b w:val="0"/>
                <w:bCs w:val="0"/>
                <w:color w:val="000000"/>
                <w:lang w:eastAsia="en-GB"/>
              </w:rPr>
              <w:t xml:space="preserve"> (</w:t>
            </w:r>
            <w:proofErr w:type="spellStart"/>
            <w:r w:rsidR="002C231B">
              <w:rPr>
                <w:rFonts w:ascii="Calibri" w:eastAsia="Times New Roman" w:hAnsi="Calibri" w:cs="Times New Roman"/>
                <w:b w:val="0"/>
                <w:bCs w:val="0"/>
                <w:color w:val="000000"/>
                <w:lang w:eastAsia="en-GB"/>
              </w:rPr>
              <w:t>Araang</w:t>
            </w:r>
            <w:proofErr w:type="spellEnd"/>
            <w:r w:rsidR="002C231B">
              <w:rPr>
                <w:rFonts w:ascii="Calibri" w:eastAsia="Times New Roman" w:hAnsi="Calibri" w:cs="Times New Roman"/>
                <w:b w:val="0"/>
                <w:bCs w:val="0"/>
                <w:color w:val="000000"/>
                <w:lang w:eastAsia="en-GB"/>
              </w:rPr>
              <w:t xml:space="preserve">; </w:t>
            </w:r>
            <w:r w:rsidRPr="00E9180C">
              <w:rPr>
                <w:rFonts w:ascii="Calibri" w:eastAsia="Times New Roman" w:hAnsi="Calibri" w:cs="Times New Roman"/>
                <w:b w:val="0"/>
                <w:bCs w:val="0"/>
                <w:color w:val="000000"/>
                <w:lang w:eastAsia="en-GB"/>
              </w:rPr>
              <w:t>Araucariaceae)</w:t>
            </w:r>
          </w:p>
        </w:tc>
        <w:tc>
          <w:tcPr>
            <w:tcW w:w="670" w:type="dxa"/>
            <w:tcBorders>
              <w:left w:val="double" w:sz="4" w:space="0" w:color="auto"/>
              <w:right w:val="single" w:sz="4" w:space="0" w:color="auto"/>
            </w:tcBorders>
          </w:tcPr>
          <w:p w14:paraId="4C968A1F"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tcBorders>
          </w:tcPr>
          <w:p w14:paraId="463DB28F" w14:textId="3A5A598B" w:rsidR="00437EC0" w:rsidRDefault="009D4CC1"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Pr>
          <w:p w14:paraId="47F7F5FC" w14:textId="372A0044" w:rsidR="00437EC0" w:rsidRDefault="009D4CC1"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Borders>
              <w:right w:val="single" w:sz="4" w:space="0" w:color="auto"/>
            </w:tcBorders>
          </w:tcPr>
          <w:p w14:paraId="0EA49CD1" w14:textId="6158F137" w:rsidR="00437EC0" w:rsidRDefault="009D4CC1"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Borders>
              <w:left w:val="single" w:sz="4" w:space="0" w:color="auto"/>
              <w:right w:val="single" w:sz="4" w:space="0" w:color="auto"/>
            </w:tcBorders>
          </w:tcPr>
          <w:p w14:paraId="5C20B05A" w14:textId="37FA1D2B"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right w:val="single" w:sz="4" w:space="0" w:color="auto"/>
            </w:tcBorders>
          </w:tcPr>
          <w:p w14:paraId="6D1A4FE6"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tcBorders>
          </w:tcPr>
          <w:p w14:paraId="25781747"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0B21C7DA"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right w:val="double" w:sz="4" w:space="0" w:color="auto"/>
            </w:tcBorders>
          </w:tcPr>
          <w:p w14:paraId="29FCAD7E"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double" w:sz="4" w:space="0" w:color="auto"/>
            </w:tcBorders>
          </w:tcPr>
          <w:p w14:paraId="5D98968F" w14:textId="2C2AB3E2" w:rsidR="00437EC0" w:rsidRDefault="009D4CC1"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r>
      <w:tr w:rsidR="00BF0A99" w14:paraId="7D995CD3" w14:textId="77777777" w:rsidTr="00E918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21E955B0" w14:textId="3754192E" w:rsidR="00437EC0" w:rsidRPr="00E9180C" w:rsidRDefault="00437EC0" w:rsidP="00F74804">
            <w:pPr>
              <w:spacing w:line="360" w:lineRule="auto"/>
              <w:rPr>
                <w:rFonts w:ascii="Calibri" w:eastAsia="Times New Roman" w:hAnsi="Calibri" w:cs="Times New Roman"/>
                <w:b w:val="0"/>
                <w:bCs w:val="0"/>
                <w:i/>
                <w:iCs/>
                <w:color w:val="000000"/>
                <w:lang w:eastAsia="en-GB"/>
              </w:rPr>
            </w:pPr>
            <w:proofErr w:type="spellStart"/>
            <w:r w:rsidRPr="00E9180C">
              <w:rPr>
                <w:rFonts w:ascii="Calibri" w:eastAsia="Times New Roman" w:hAnsi="Calibri" w:cs="Times New Roman"/>
                <w:b w:val="0"/>
                <w:bCs w:val="0"/>
                <w:i/>
                <w:iCs/>
                <w:color w:val="000000"/>
                <w:lang w:eastAsia="en-GB"/>
              </w:rPr>
              <w:t>Calophyllum</w:t>
            </w:r>
            <w:proofErr w:type="spellEnd"/>
            <w:r w:rsidRPr="00E9180C">
              <w:rPr>
                <w:rFonts w:ascii="Calibri" w:eastAsia="Times New Roman" w:hAnsi="Calibri" w:cs="Times New Roman"/>
                <w:b w:val="0"/>
                <w:bCs w:val="0"/>
                <w:i/>
                <w:iCs/>
                <w:color w:val="000000"/>
                <w:lang w:eastAsia="en-GB"/>
              </w:rPr>
              <w:t xml:space="preserve"> </w:t>
            </w:r>
            <w:proofErr w:type="spellStart"/>
            <w:r w:rsidRPr="00E9180C">
              <w:rPr>
                <w:rFonts w:ascii="Calibri" w:eastAsia="Times New Roman" w:hAnsi="Calibri" w:cs="Times New Roman"/>
                <w:b w:val="0"/>
                <w:bCs w:val="0"/>
                <w:i/>
                <w:iCs/>
                <w:color w:val="000000"/>
                <w:lang w:eastAsia="en-GB"/>
              </w:rPr>
              <w:t>brasiliens</w:t>
            </w:r>
            <w:r w:rsidR="008C7604">
              <w:rPr>
                <w:rFonts w:ascii="Calibri" w:eastAsia="Times New Roman" w:hAnsi="Calibri" w:cs="Times New Roman"/>
                <w:b w:val="0"/>
                <w:bCs w:val="0"/>
                <w:i/>
                <w:iCs/>
                <w:color w:val="000000"/>
                <w:lang w:eastAsia="en-GB"/>
              </w:rPr>
              <w:t>e</w:t>
            </w:r>
            <w:proofErr w:type="spellEnd"/>
            <w:r w:rsidRPr="00E9180C">
              <w:rPr>
                <w:rFonts w:ascii="Calibri" w:eastAsia="Times New Roman" w:hAnsi="Calibri" w:cs="Times New Roman"/>
                <w:b w:val="0"/>
                <w:bCs w:val="0"/>
                <w:color w:val="000000"/>
                <w:lang w:eastAsia="en-GB"/>
              </w:rPr>
              <w:t xml:space="preserve"> (</w:t>
            </w:r>
            <w:proofErr w:type="spellStart"/>
            <w:r w:rsidR="002C231B">
              <w:rPr>
                <w:rFonts w:ascii="Calibri" w:eastAsia="Times New Roman" w:hAnsi="Calibri" w:cs="Times New Roman"/>
                <w:b w:val="0"/>
                <w:bCs w:val="0"/>
                <w:color w:val="000000"/>
                <w:lang w:eastAsia="en-GB"/>
              </w:rPr>
              <w:t>Calbra</w:t>
            </w:r>
            <w:proofErr w:type="spellEnd"/>
            <w:r w:rsidR="002C231B">
              <w:rPr>
                <w:rFonts w:ascii="Calibri" w:eastAsia="Times New Roman" w:hAnsi="Calibri" w:cs="Times New Roman"/>
                <w:b w:val="0"/>
                <w:bCs w:val="0"/>
                <w:color w:val="000000"/>
                <w:lang w:eastAsia="en-GB"/>
              </w:rPr>
              <w:t xml:space="preserve">; </w:t>
            </w:r>
            <w:proofErr w:type="spellStart"/>
            <w:r w:rsidRPr="00E9180C">
              <w:rPr>
                <w:rFonts w:ascii="Calibri" w:eastAsia="Times New Roman" w:hAnsi="Calibri" w:cs="Times New Roman"/>
                <w:b w:val="0"/>
                <w:bCs w:val="0"/>
                <w:color w:val="000000"/>
                <w:lang w:eastAsia="en-GB"/>
              </w:rPr>
              <w:t>Calophyllaceae</w:t>
            </w:r>
            <w:proofErr w:type="spellEnd"/>
            <w:r w:rsidRPr="00E9180C">
              <w:rPr>
                <w:rFonts w:ascii="Calibri" w:eastAsia="Times New Roman" w:hAnsi="Calibri" w:cs="Times New Roman"/>
                <w:b w:val="0"/>
                <w:bCs w:val="0"/>
                <w:color w:val="000000"/>
                <w:lang w:eastAsia="en-GB"/>
              </w:rPr>
              <w:t>)</w:t>
            </w:r>
          </w:p>
        </w:tc>
        <w:tc>
          <w:tcPr>
            <w:tcW w:w="670" w:type="dxa"/>
            <w:tcBorders>
              <w:left w:val="double" w:sz="4" w:space="0" w:color="auto"/>
              <w:right w:val="single" w:sz="4" w:space="0" w:color="auto"/>
            </w:tcBorders>
          </w:tcPr>
          <w:p w14:paraId="0F88FAB6"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tcBorders>
          </w:tcPr>
          <w:p w14:paraId="1506CD52"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40FF74EB"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right w:val="single" w:sz="4" w:space="0" w:color="auto"/>
            </w:tcBorders>
          </w:tcPr>
          <w:p w14:paraId="233522B4"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right w:val="single" w:sz="4" w:space="0" w:color="auto"/>
            </w:tcBorders>
          </w:tcPr>
          <w:p w14:paraId="48812A3B"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right w:val="single" w:sz="4" w:space="0" w:color="auto"/>
            </w:tcBorders>
          </w:tcPr>
          <w:p w14:paraId="1E3E0748"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tcBorders>
          </w:tcPr>
          <w:p w14:paraId="4CAA1392"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33BDADA5"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right w:val="double" w:sz="4" w:space="0" w:color="auto"/>
            </w:tcBorders>
          </w:tcPr>
          <w:p w14:paraId="0EBB521C" w14:textId="7D43A3F7" w:rsidR="00437EC0" w:rsidRDefault="009D4CC1"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left w:val="double" w:sz="4" w:space="0" w:color="auto"/>
            </w:tcBorders>
          </w:tcPr>
          <w:p w14:paraId="4349B45E"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r>
      <w:tr w:rsidR="004D665F" w14:paraId="0F8B422B" w14:textId="77777777" w:rsidTr="00E9180C">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5825DA7A" w14:textId="081954F7" w:rsidR="00437EC0" w:rsidRPr="00E9180C" w:rsidRDefault="00437EC0" w:rsidP="00F74804">
            <w:pPr>
              <w:spacing w:line="360" w:lineRule="auto"/>
              <w:rPr>
                <w:rFonts w:ascii="Calibri" w:eastAsia="Times New Roman" w:hAnsi="Calibri" w:cs="Times New Roman"/>
                <w:b w:val="0"/>
                <w:bCs w:val="0"/>
                <w:i/>
                <w:iCs/>
                <w:color w:val="000000"/>
                <w:lang w:eastAsia="en-GB"/>
              </w:rPr>
            </w:pPr>
            <w:r w:rsidRPr="00E9180C">
              <w:rPr>
                <w:rFonts w:ascii="Calibri" w:eastAsia="Times New Roman" w:hAnsi="Calibri" w:cs="Times New Roman"/>
                <w:b w:val="0"/>
                <w:bCs w:val="0"/>
                <w:i/>
                <w:iCs/>
                <w:color w:val="000000"/>
                <w:lang w:eastAsia="en-GB"/>
              </w:rPr>
              <w:lastRenderedPageBreak/>
              <w:t xml:space="preserve">Cecropia </w:t>
            </w:r>
            <w:proofErr w:type="spellStart"/>
            <w:r w:rsidRPr="00E9180C">
              <w:rPr>
                <w:rFonts w:ascii="Calibri" w:eastAsia="Times New Roman" w:hAnsi="Calibri" w:cs="Times New Roman"/>
                <w:b w:val="0"/>
                <w:bCs w:val="0"/>
                <w:i/>
                <w:iCs/>
                <w:color w:val="000000"/>
                <w:lang w:eastAsia="en-GB"/>
              </w:rPr>
              <w:t>glaziovii</w:t>
            </w:r>
            <w:proofErr w:type="spellEnd"/>
            <w:r w:rsidRPr="00E9180C">
              <w:rPr>
                <w:rFonts w:ascii="Calibri" w:eastAsia="Times New Roman" w:hAnsi="Calibri" w:cs="Times New Roman"/>
                <w:b w:val="0"/>
                <w:bCs w:val="0"/>
                <w:color w:val="000000"/>
                <w:lang w:eastAsia="en-GB"/>
              </w:rPr>
              <w:t xml:space="preserve"> (</w:t>
            </w:r>
            <w:proofErr w:type="spellStart"/>
            <w:r w:rsidR="002C231B">
              <w:rPr>
                <w:rFonts w:ascii="Calibri" w:eastAsia="Times New Roman" w:hAnsi="Calibri" w:cs="Times New Roman"/>
                <w:b w:val="0"/>
                <w:bCs w:val="0"/>
                <w:color w:val="000000"/>
                <w:lang w:eastAsia="en-GB"/>
              </w:rPr>
              <w:t>Cecgla</w:t>
            </w:r>
            <w:proofErr w:type="spellEnd"/>
            <w:r w:rsidR="002C231B">
              <w:rPr>
                <w:rFonts w:ascii="Calibri" w:eastAsia="Times New Roman" w:hAnsi="Calibri" w:cs="Times New Roman"/>
                <w:b w:val="0"/>
                <w:bCs w:val="0"/>
                <w:color w:val="000000"/>
                <w:lang w:eastAsia="en-GB"/>
              </w:rPr>
              <w:t xml:space="preserve">; </w:t>
            </w:r>
            <w:r w:rsidRPr="00E9180C">
              <w:rPr>
                <w:rFonts w:ascii="Calibri" w:eastAsia="Times New Roman" w:hAnsi="Calibri" w:cs="Times New Roman"/>
                <w:b w:val="0"/>
                <w:bCs w:val="0"/>
                <w:color w:val="000000"/>
                <w:lang w:eastAsia="en-GB"/>
              </w:rPr>
              <w:t>Urticaceae)</w:t>
            </w:r>
          </w:p>
        </w:tc>
        <w:tc>
          <w:tcPr>
            <w:tcW w:w="670" w:type="dxa"/>
            <w:tcBorders>
              <w:left w:val="double" w:sz="4" w:space="0" w:color="auto"/>
              <w:right w:val="single" w:sz="4" w:space="0" w:color="auto"/>
            </w:tcBorders>
          </w:tcPr>
          <w:p w14:paraId="3F3B6698"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tcBorders>
          </w:tcPr>
          <w:p w14:paraId="64DB9AC0"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57CCA72B"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right w:val="single" w:sz="4" w:space="0" w:color="auto"/>
            </w:tcBorders>
          </w:tcPr>
          <w:p w14:paraId="6135FA48"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right w:val="single" w:sz="4" w:space="0" w:color="auto"/>
            </w:tcBorders>
          </w:tcPr>
          <w:p w14:paraId="6ECF77F1"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right w:val="single" w:sz="4" w:space="0" w:color="auto"/>
            </w:tcBorders>
          </w:tcPr>
          <w:p w14:paraId="283945F3"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tcBorders>
          </w:tcPr>
          <w:p w14:paraId="383D363F"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1F56E6DB" w14:textId="29DCF4EA" w:rsidR="00437EC0" w:rsidRDefault="007344E4"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Borders>
              <w:right w:val="double" w:sz="4" w:space="0" w:color="auto"/>
            </w:tcBorders>
          </w:tcPr>
          <w:p w14:paraId="63E31C79"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double" w:sz="4" w:space="0" w:color="auto"/>
            </w:tcBorders>
          </w:tcPr>
          <w:p w14:paraId="1AC841A6" w14:textId="26F623C8" w:rsidR="00437EC0" w:rsidRDefault="009D4CC1"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r>
      <w:tr w:rsidR="00BF0A99" w14:paraId="2C228FE2" w14:textId="77777777" w:rsidTr="00E918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2541012A" w14:textId="1F634A5E" w:rsidR="00437EC0" w:rsidRPr="00E9180C" w:rsidRDefault="00437EC0" w:rsidP="00F74804">
            <w:pPr>
              <w:spacing w:line="360" w:lineRule="auto"/>
              <w:rPr>
                <w:rFonts w:ascii="Calibri" w:eastAsia="Times New Roman" w:hAnsi="Calibri" w:cs="Times New Roman"/>
                <w:b w:val="0"/>
                <w:bCs w:val="0"/>
                <w:i/>
                <w:iCs/>
                <w:color w:val="000000"/>
                <w:lang w:eastAsia="en-GB"/>
              </w:rPr>
            </w:pPr>
            <w:r w:rsidRPr="00E9180C">
              <w:rPr>
                <w:rFonts w:ascii="Calibri" w:eastAsia="Times New Roman" w:hAnsi="Calibri" w:cs="Times New Roman"/>
                <w:b w:val="0"/>
                <w:bCs w:val="0"/>
                <w:i/>
                <w:iCs/>
                <w:color w:val="000000"/>
                <w:lang w:eastAsia="en-GB"/>
              </w:rPr>
              <w:t xml:space="preserve">Cedrela </w:t>
            </w:r>
            <w:proofErr w:type="spellStart"/>
            <w:r w:rsidRPr="00E9180C">
              <w:rPr>
                <w:rFonts w:ascii="Calibri" w:eastAsia="Times New Roman" w:hAnsi="Calibri" w:cs="Times New Roman"/>
                <w:b w:val="0"/>
                <w:bCs w:val="0"/>
                <w:i/>
                <w:iCs/>
                <w:color w:val="000000"/>
                <w:lang w:eastAsia="en-GB"/>
              </w:rPr>
              <w:t>fissilis</w:t>
            </w:r>
            <w:proofErr w:type="spellEnd"/>
            <w:r w:rsidRPr="00E9180C">
              <w:rPr>
                <w:rFonts w:ascii="Calibri" w:eastAsia="Times New Roman" w:hAnsi="Calibri" w:cs="Times New Roman"/>
                <w:b w:val="0"/>
                <w:bCs w:val="0"/>
                <w:color w:val="000000"/>
                <w:lang w:eastAsia="en-GB"/>
              </w:rPr>
              <w:t xml:space="preserve"> (</w:t>
            </w:r>
            <w:proofErr w:type="spellStart"/>
            <w:r w:rsidR="002C231B">
              <w:rPr>
                <w:rFonts w:ascii="Calibri" w:eastAsia="Times New Roman" w:hAnsi="Calibri" w:cs="Times New Roman"/>
                <w:b w:val="0"/>
                <w:bCs w:val="0"/>
                <w:color w:val="000000"/>
                <w:lang w:eastAsia="en-GB"/>
              </w:rPr>
              <w:t>Cedfis</w:t>
            </w:r>
            <w:proofErr w:type="spellEnd"/>
            <w:r w:rsidR="002C231B">
              <w:rPr>
                <w:rFonts w:ascii="Calibri" w:eastAsia="Times New Roman" w:hAnsi="Calibri" w:cs="Times New Roman"/>
                <w:b w:val="0"/>
                <w:bCs w:val="0"/>
                <w:color w:val="000000"/>
                <w:lang w:eastAsia="en-GB"/>
              </w:rPr>
              <w:t xml:space="preserve">; </w:t>
            </w:r>
            <w:proofErr w:type="spellStart"/>
            <w:r w:rsidRPr="00E9180C">
              <w:rPr>
                <w:rFonts w:ascii="Calibri" w:eastAsia="Times New Roman" w:hAnsi="Calibri" w:cs="Times New Roman"/>
                <w:b w:val="0"/>
                <w:bCs w:val="0"/>
                <w:color w:val="000000"/>
                <w:lang w:eastAsia="en-GB"/>
              </w:rPr>
              <w:t>Meliaceae</w:t>
            </w:r>
            <w:proofErr w:type="spellEnd"/>
            <w:r w:rsidRPr="00E9180C">
              <w:rPr>
                <w:rFonts w:ascii="Calibri" w:eastAsia="Times New Roman" w:hAnsi="Calibri" w:cs="Times New Roman"/>
                <w:b w:val="0"/>
                <w:bCs w:val="0"/>
                <w:color w:val="000000"/>
                <w:lang w:eastAsia="en-GB"/>
              </w:rPr>
              <w:t>)</w:t>
            </w:r>
          </w:p>
        </w:tc>
        <w:tc>
          <w:tcPr>
            <w:tcW w:w="670" w:type="dxa"/>
            <w:tcBorders>
              <w:left w:val="double" w:sz="4" w:space="0" w:color="auto"/>
              <w:right w:val="single" w:sz="4" w:space="0" w:color="auto"/>
            </w:tcBorders>
          </w:tcPr>
          <w:p w14:paraId="49D67F8D" w14:textId="0952C57C" w:rsidR="00437EC0" w:rsidRDefault="003D18B3"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left w:val="single" w:sz="4" w:space="0" w:color="auto"/>
            </w:tcBorders>
          </w:tcPr>
          <w:p w14:paraId="44E80F27" w14:textId="78AFA9A3" w:rsidR="00437EC0" w:rsidRDefault="008D776C"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Pr>
          <w:p w14:paraId="159A1739" w14:textId="5CDA3C30"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right w:val="single" w:sz="4" w:space="0" w:color="auto"/>
            </w:tcBorders>
          </w:tcPr>
          <w:p w14:paraId="5379A732"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right w:val="single" w:sz="4" w:space="0" w:color="auto"/>
            </w:tcBorders>
          </w:tcPr>
          <w:p w14:paraId="7D0FF98F"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right w:val="single" w:sz="4" w:space="0" w:color="auto"/>
            </w:tcBorders>
          </w:tcPr>
          <w:p w14:paraId="68E5DF54"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tcBorders>
          </w:tcPr>
          <w:p w14:paraId="55B5876F"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30199913" w14:textId="059B5D76" w:rsidR="00437EC0" w:rsidRDefault="00F72467"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right w:val="double" w:sz="4" w:space="0" w:color="auto"/>
            </w:tcBorders>
          </w:tcPr>
          <w:p w14:paraId="61122905"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double" w:sz="4" w:space="0" w:color="auto"/>
            </w:tcBorders>
          </w:tcPr>
          <w:p w14:paraId="10BC8AB9"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r>
      <w:tr w:rsidR="004D665F" w14:paraId="238A3B38" w14:textId="77777777" w:rsidTr="00E9180C">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4462E712" w14:textId="5C03B689" w:rsidR="00437EC0" w:rsidRPr="00E9180C" w:rsidRDefault="00437EC0" w:rsidP="00F74804">
            <w:pPr>
              <w:spacing w:line="360" w:lineRule="auto"/>
              <w:rPr>
                <w:rFonts w:ascii="Calibri" w:eastAsia="Times New Roman" w:hAnsi="Calibri" w:cs="Times New Roman"/>
                <w:b w:val="0"/>
                <w:bCs w:val="0"/>
                <w:i/>
                <w:iCs/>
                <w:color w:val="000000"/>
                <w:lang w:eastAsia="en-GB"/>
              </w:rPr>
            </w:pPr>
            <w:r w:rsidRPr="00E9180C">
              <w:rPr>
                <w:rFonts w:ascii="Calibri" w:eastAsia="Times New Roman" w:hAnsi="Calibri" w:cs="Times New Roman"/>
                <w:b w:val="0"/>
                <w:bCs w:val="0"/>
                <w:i/>
                <w:iCs/>
                <w:color w:val="000000"/>
                <w:lang w:eastAsia="en-GB"/>
              </w:rPr>
              <w:t xml:space="preserve">Clethra </w:t>
            </w:r>
            <w:proofErr w:type="spellStart"/>
            <w:r w:rsidRPr="00E9180C">
              <w:rPr>
                <w:rFonts w:ascii="Calibri" w:eastAsia="Times New Roman" w:hAnsi="Calibri" w:cs="Times New Roman"/>
                <w:b w:val="0"/>
                <w:bCs w:val="0"/>
                <w:i/>
                <w:iCs/>
                <w:color w:val="000000"/>
                <w:lang w:eastAsia="en-GB"/>
              </w:rPr>
              <w:t>scabra</w:t>
            </w:r>
            <w:proofErr w:type="spellEnd"/>
            <w:r w:rsidRPr="00E9180C">
              <w:rPr>
                <w:rFonts w:ascii="Calibri" w:eastAsia="Times New Roman" w:hAnsi="Calibri" w:cs="Times New Roman"/>
                <w:b w:val="0"/>
                <w:bCs w:val="0"/>
                <w:color w:val="000000"/>
                <w:lang w:eastAsia="en-GB"/>
              </w:rPr>
              <w:t xml:space="preserve"> (</w:t>
            </w:r>
            <w:r w:rsidR="002C231B">
              <w:rPr>
                <w:rFonts w:ascii="Calibri" w:eastAsia="Times New Roman" w:hAnsi="Calibri" w:cs="Times New Roman"/>
                <w:b w:val="0"/>
                <w:bCs w:val="0"/>
                <w:color w:val="000000"/>
                <w:lang w:eastAsia="en-GB"/>
              </w:rPr>
              <w:t xml:space="preserve">Clesca; </w:t>
            </w:r>
            <w:proofErr w:type="spellStart"/>
            <w:r w:rsidRPr="00E9180C">
              <w:rPr>
                <w:rFonts w:ascii="Calibri" w:eastAsia="Times New Roman" w:hAnsi="Calibri" w:cs="Times New Roman"/>
                <w:b w:val="0"/>
                <w:bCs w:val="0"/>
                <w:color w:val="000000"/>
                <w:lang w:eastAsia="en-GB"/>
              </w:rPr>
              <w:t>Clethraceae</w:t>
            </w:r>
            <w:proofErr w:type="spellEnd"/>
            <w:r w:rsidRPr="00E9180C">
              <w:rPr>
                <w:rFonts w:ascii="Calibri" w:eastAsia="Times New Roman" w:hAnsi="Calibri" w:cs="Times New Roman"/>
                <w:b w:val="0"/>
                <w:bCs w:val="0"/>
                <w:color w:val="000000"/>
                <w:lang w:eastAsia="en-GB"/>
              </w:rPr>
              <w:t>)</w:t>
            </w:r>
          </w:p>
        </w:tc>
        <w:tc>
          <w:tcPr>
            <w:tcW w:w="670" w:type="dxa"/>
            <w:tcBorders>
              <w:left w:val="double" w:sz="4" w:space="0" w:color="auto"/>
              <w:right w:val="single" w:sz="4" w:space="0" w:color="auto"/>
            </w:tcBorders>
          </w:tcPr>
          <w:p w14:paraId="21478039"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tcBorders>
          </w:tcPr>
          <w:p w14:paraId="4F0EC6A6" w14:textId="316B7CA1" w:rsidR="00437EC0" w:rsidRDefault="00AD39F8"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Pr>
          <w:p w14:paraId="04E7B423" w14:textId="03990069" w:rsidR="00437EC0" w:rsidRDefault="00AD39F8"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Borders>
              <w:right w:val="single" w:sz="4" w:space="0" w:color="auto"/>
            </w:tcBorders>
          </w:tcPr>
          <w:p w14:paraId="47F6506C" w14:textId="1FB18068" w:rsidR="00437EC0" w:rsidRDefault="00AD39F8"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Borders>
              <w:left w:val="single" w:sz="4" w:space="0" w:color="auto"/>
              <w:right w:val="single" w:sz="4" w:space="0" w:color="auto"/>
            </w:tcBorders>
          </w:tcPr>
          <w:p w14:paraId="4F78116E"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right w:val="single" w:sz="4" w:space="0" w:color="auto"/>
            </w:tcBorders>
          </w:tcPr>
          <w:p w14:paraId="4C418CC4"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tcBorders>
          </w:tcPr>
          <w:p w14:paraId="09C212F3"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755D9C49"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right w:val="double" w:sz="4" w:space="0" w:color="auto"/>
            </w:tcBorders>
          </w:tcPr>
          <w:p w14:paraId="23419C93"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double" w:sz="4" w:space="0" w:color="auto"/>
            </w:tcBorders>
          </w:tcPr>
          <w:p w14:paraId="27207737" w14:textId="28CB8763" w:rsidR="00437EC0" w:rsidRDefault="00DD213F"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r>
      <w:tr w:rsidR="00BF0A99" w14:paraId="156D8625" w14:textId="77777777" w:rsidTr="00E918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6D696CFF" w14:textId="54FB2B0D" w:rsidR="00437EC0" w:rsidRPr="00E9180C" w:rsidRDefault="00437EC0" w:rsidP="00F74804">
            <w:pPr>
              <w:spacing w:line="360" w:lineRule="auto"/>
              <w:rPr>
                <w:rFonts w:ascii="Calibri" w:eastAsia="Times New Roman" w:hAnsi="Calibri" w:cs="Times New Roman"/>
                <w:b w:val="0"/>
                <w:bCs w:val="0"/>
                <w:i/>
                <w:iCs/>
                <w:color w:val="000000"/>
                <w:lang w:eastAsia="en-GB"/>
              </w:rPr>
            </w:pPr>
            <w:proofErr w:type="spellStart"/>
            <w:r w:rsidRPr="00E9180C">
              <w:rPr>
                <w:rFonts w:ascii="Calibri" w:eastAsia="Times New Roman" w:hAnsi="Calibri" w:cs="Times New Roman"/>
                <w:b w:val="0"/>
                <w:bCs w:val="0"/>
                <w:i/>
                <w:iCs/>
                <w:color w:val="000000"/>
                <w:lang w:eastAsia="en-GB"/>
              </w:rPr>
              <w:t>Cupania</w:t>
            </w:r>
            <w:proofErr w:type="spellEnd"/>
            <w:r w:rsidRPr="00E9180C">
              <w:rPr>
                <w:rFonts w:ascii="Calibri" w:eastAsia="Times New Roman" w:hAnsi="Calibri" w:cs="Times New Roman"/>
                <w:b w:val="0"/>
                <w:bCs w:val="0"/>
                <w:i/>
                <w:iCs/>
                <w:color w:val="000000"/>
                <w:lang w:eastAsia="en-GB"/>
              </w:rPr>
              <w:t xml:space="preserve"> </w:t>
            </w:r>
            <w:proofErr w:type="spellStart"/>
            <w:r w:rsidRPr="00E9180C">
              <w:rPr>
                <w:rFonts w:ascii="Calibri" w:eastAsia="Times New Roman" w:hAnsi="Calibri" w:cs="Times New Roman"/>
                <w:b w:val="0"/>
                <w:bCs w:val="0"/>
                <w:i/>
                <w:iCs/>
                <w:color w:val="000000"/>
                <w:lang w:eastAsia="en-GB"/>
              </w:rPr>
              <w:t>vernalis</w:t>
            </w:r>
            <w:proofErr w:type="spellEnd"/>
            <w:r w:rsidRPr="00E9180C">
              <w:rPr>
                <w:rFonts w:ascii="Calibri" w:eastAsia="Times New Roman" w:hAnsi="Calibri" w:cs="Times New Roman"/>
                <w:b w:val="0"/>
                <w:bCs w:val="0"/>
                <w:color w:val="000000"/>
                <w:lang w:eastAsia="en-GB"/>
              </w:rPr>
              <w:t xml:space="preserve"> (</w:t>
            </w:r>
            <w:proofErr w:type="spellStart"/>
            <w:r w:rsidR="002C231B">
              <w:rPr>
                <w:rFonts w:ascii="Calibri" w:eastAsia="Times New Roman" w:hAnsi="Calibri" w:cs="Times New Roman"/>
                <w:b w:val="0"/>
                <w:bCs w:val="0"/>
                <w:color w:val="000000"/>
                <w:lang w:eastAsia="en-GB"/>
              </w:rPr>
              <w:t>Cupver</w:t>
            </w:r>
            <w:proofErr w:type="spellEnd"/>
            <w:r w:rsidR="002C231B">
              <w:rPr>
                <w:rFonts w:ascii="Calibri" w:eastAsia="Times New Roman" w:hAnsi="Calibri" w:cs="Times New Roman"/>
                <w:b w:val="0"/>
                <w:bCs w:val="0"/>
                <w:color w:val="000000"/>
                <w:lang w:eastAsia="en-GB"/>
              </w:rPr>
              <w:t xml:space="preserve">; </w:t>
            </w:r>
            <w:proofErr w:type="spellStart"/>
            <w:r w:rsidRPr="00E9180C">
              <w:rPr>
                <w:rFonts w:ascii="Calibri" w:eastAsia="Times New Roman" w:hAnsi="Calibri" w:cs="Times New Roman"/>
                <w:b w:val="0"/>
                <w:bCs w:val="0"/>
                <w:color w:val="000000"/>
                <w:lang w:eastAsia="en-GB"/>
              </w:rPr>
              <w:t>Sapindaceae</w:t>
            </w:r>
            <w:proofErr w:type="spellEnd"/>
            <w:r w:rsidRPr="00E9180C">
              <w:rPr>
                <w:rFonts w:ascii="Calibri" w:eastAsia="Times New Roman" w:hAnsi="Calibri" w:cs="Times New Roman"/>
                <w:b w:val="0"/>
                <w:bCs w:val="0"/>
                <w:color w:val="000000"/>
                <w:lang w:eastAsia="en-GB"/>
              </w:rPr>
              <w:t>)</w:t>
            </w:r>
          </w:p>
        </w:tc>
        <w:tc>
          <w:tcPr>
            <w:tcW w:w="670" w:type="dxa"/>
            <w:tcBorders>
              <w:left w:val="double" w:sz="4" w:space="0" w:color="auto"/>
              <w:right w:val="single" w:sz="4" w:space="0" w:color="auto"/>
            </w:tcBorders>
          </w:tcPr>
          <w:p w14:paraId="008753BF" w14:textId="7797DB76" w:rsidR="00437EC0" w:rsidRDefault="00AD39F8"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left w:val="single" w:sz="4" w:space="0" w:color="auto"/>
            </w:tcBorders>
          </w:tcPr>
          <w:p w14:paraId="62A48972" w14:textId="32044735" w:rsidR="00437EC0" w:rsidRDefault="003566D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Pr>
          <w:p w14:paraId="5D39CA0F" w14:textId="0DC5320A" w:rsidR="00437EC0" w:rsidRDefault="0027575B"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right w:val="single" w:sz="4" w:space="0" w:color="auto"/>
            </w:tcBorders>
          </w:tcPr>
          <w:p w14:paraId="0D09791E"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right w:val="single" w:sz="4" w:space="0" w:color="auto"/>
            </w:tcBorders>
          </w:tcPr>
          <w:p w14:paraId="3F783B4E"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right w:val="single" w:sz="4" w:space="0" w:color="auto"/>
            </w:tcBorders>
          </w:tcPr>
          <w:p w14:paraId="0287FD26"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tcBorders>
          </w:tcPr>
          <w:p w14:paraId="36075E2B"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53B4566A" w14:textId="09C02A95" w:rsidR="00437EC0" w:rsidRDefault="00B046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right w:val="double" w:sz="4" w:space="0" w:color="auto"/>
            </w:tcBorders>
          </w:tcPr>
          <w:p w14:paraId="4863F33A"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double" w:sz="4" w:space="0" w:color="auto"/>
            </w:tcBorders>
          </w:tcPr>
          <w:p w14:paraId="3D76E64A"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r>
      <w:tr w:rsidR="003F071E" w14:paraId="6B1FABE1" w14:textId="77777777" w:rsidTr="00E9180C">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6DA93C6C" w14:textId="740920CC" w:rsidR="003F071E" w:rsidRPr="00E9180C" w:rsidRDefault="00AD1B06" w:rsidP="00F74804">
            <w:pPr>
              <w:spacing w:line="360" w:lineRule="auto"/>
              <w:rPr>
                <w:rFonts w:ascii="Calibri" w:eastAsia="Times New Roman" w:hAnsi="Calibri" w:cs="Times New Roman"/>
                <w:b w:val="0"/>
                <w:bCs w:val="0"/>
                <w:color w:val="000000"/>
                <w:lang w:eastAsia="en-GB"/>
              </w:rPr>
            </w:pPr>
            <w:r w:rsidRPr="00E9180C">
              <w:rPr>
                <w:rFonts w:ascii="Calibri" w:eastAsia="Times New Roman" w:hAnsi="Calibri" w:cs="Times New Roman"/>
                <w:b w:val="0"/>
                <w:bCs w:val="0"/>
                <w:i/>
                <w:iCs/>
                <w:color w:val="000000"/>
                <w:lang w:eastAsia="en-GB"/>
              </w:rPr>
              <w:t xml:space="preserve">Danthonia </w:t>
            </w:r>
            <w:proofErr w:type="spellStart"/>
            <w:r w:rsidRPr="00E9180C">
              <w:rPr>
                <w:rFonts w:ascii="Calibri" w:eastAsia="Times New Roman" w:hAnsi="Calibri" w:cs="Times New Roman"/>
                <w:b w:val="0"/>
                <w:bCs w:val="0"/>
                <w:i/>
                <w:iCs/>
                <w:color w:val="000000"/>
                <w:lang w:eastAsia="en-GB"/>
              </w:rPr>
              <w:t>secundiflora</w:t>
            </w:r>
            <w:proofErr w:type="spellEnd"/>
            <w:r w:rsidRPr="00E9180C">
              <w:rPr>
                <w:rFonts w:ascii="Calibri" w:eastAsia="Times New Roman" w:hAnsi="Calibri" w:cs="Times New Roman"/>
                <w:b w:val="0"/>
                <w:bCs w:val="0"/>
                <w:i/>
                <w:iCs/>
                <w:color w:val="000000"/>
                <w:lang w:eastAsia="en-GB"/>
              </w:rPr>
              <w:t xml:space="preserve"> </w:t>
            </w:r>
            <w:r w:rsidRPr="00E9180C">
              <w:rPr>
                <w:rFonts w:ascii="Calibri" w:eastAsia="Times New Roman" w:hAnsi="Calibri" w:cs="Times New Roman"/>
                <w:b w:val="0"/>
                <w:bCs w:val="0"/>
                <w:color w:val="000000"/>
                <w:lang w:eastAsia="en-GB"/>
              </w:rPr>
              <w:t xml:space="preserve">(= </w:t>
            </w:r>
            <w:r w:rsidRPr="00E9180C">
              <w:rPr>
                <w:rFonts w:ascii="Calibri" w:eastAsia="Times New Roman" w:hAnsi="Calibri" w:cs="Times New Roman"/>
                <w:b w:val="0"/>
                <w:bCs w:val="0"/>
                <w:i/>
                <w:iCs/>
                <w:color w:val="000000"/>
                <w:lang w:eastAsia="en-GB"/>
              </w:rPr>
              <w:t xml:space="preserve">D. </w:t>
            </w:r>
            <w:proofErr w:type="spellStart"/>
            <w:r w:rsidRPr="00E9180C">
              <w:rPr>
                <w:rFonts w:ascii="Calibri" w:eastAsia="Times New Roman" w:hAnsi="Calibri" w:cs="Times New Roman"/>
                <w:b w:val="0"/>
                <w:bCs w:val="0"/>
                <w:i/>
                <w:iCs/>
                <w:color w:val="000000"/>
                <w:lang w:eastAsia="en-GB"/>
              </w:rPr>
              <w:t>montana</w:t>
            </w:r>
            <w:proofErr w:type="spellEnd"/>
            <w:r w:rsidRPr="00E9180C">
              <w:rPr>
                <w:rFonts w:ascii="Calibri" w:eastAsia="Times New Roman" w:hAnsi="Calibri" w:cs="Times New Roman"/>
                <w:b w:val="0"/>
                <w:bCs w:val="0"/>
                <w:color w:val="000000"/>
                <w:lang w:eastAsia="en-GB"/>
              </w:rPr>
              <w:t>) (</w:t>
            </w:r>
            <w:proofErr w:type="spellStart"/>
            <w:r w:rsidR="002C231B">
              <w:rPr>
                <w:rFonts w:ascii="Calibri" w:eastAsia="Times New Roman" w:hAnsi="Calibri" w:cs="Times New Roman"/>
                <w:b w:val="0"/>
                <w:bCs w:val="0"/>
                <w:color w:val="000000"/>
                <w:lang w:eastAsia="en-GB"/>
              </w:rPr>
              <w:t>Dansec</w:t>
            </w:r>
            <w:proofErr w:type="spellEnd"/>
            <w:r w:rsidR="002C231B">
              <w:rPr>
                <w:rFonts w:ascii="Calibri" w:eastAsia="Times New Roman" w:hAnsi="Calibri" w:cs="Times New Roman"/>
                <w:b w:val="0"/>
                <w:bCs w:val="0"/>
                <w:color w:val="000000"/>
                <w:lang w:eastAsia="en-GB"/>
              </w:rPr>
              <w:t xml:space="preserve">; </w:t>
            </w:r>
            <w:proofErr w:type="spellStart"/>
            <w:r w:rsidRPr="00E9180C">
              <w:rPr>
                <w:rFonts w:ascii="Calibri" w:eastAsia="Times New Roman" w:hAnsi="Calibri" w:cs="Times New Roman"/>
                <w:b w:val="0"/>
                <w:bCs w:val="0"/>
                <w:color w:val="000000"/>
                <w:lang w:eastAsia="en-GB"/>
              </w:rPr>
              <w:t>Poaceae</w:t>
            </w:r>
            <w:proofErr w:type="spellEnd"/>
            <w:r w:rsidRPr="00E9180C">
              <w:rPr>
                <w:rFonts w:ascii="Calibri" w:eastAsia="Times New Roman" w:hAnsi="Calibri" w:cs="Times New Roman"/>
                <w:b w:val="0"/>
                <w:bCs w:val="0"/>
                <w:color w:val="000000"/>
                <w:lang w:eastAsia="en-GB"/>
              </w:rPr>
              <w:t>)</w:t>
            </w:r>
          </w:p>
        </w:tc>
        <w:tc>
          <w:tcPr>
            <w:tcW w:w="670" w:type="dxa"/>
            <w:tcBorders>
              <w:left w:val="double" w:sz="4" w:space="0" w:color="auto"/>
              <w:right w:val="single" w:sz="4" w:space="0" w:color="auto"/>
            </w:tcBorders>
          </w:tcPr>
          <w:p w14:paraId="107FF6F2" w14:textId="77777777" w:rsidR="003F071E" w:rsidRDefault="003F071E"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tcBorders>
          </w:tcPr>
          <w:p w14:paraId="18315132" w14:textId="77777777" w:rsidR="003F071E" w:rsidRDefault="003F071E"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3704B63E" w14:textId="77777777" w:rsidR="003F071E" w:rsidRDefault="003F071E"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right w:val="single" w:sz="4" w:space="0" w:color="auto"/>
            </w:tcBorders>
          </w:tcPr>
          <w:p w14:paraId="4AD04283" w14:textId="77777777" w:rsidR="003F071E" w:rsidRDefault="003F071E"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right w:val="single" w:sz="4" w:space="0" w:color="auto"/>
            </w:tcBorders>
          </w:tcPr>
          <w:p w14:paraId="32947B33" w14:textId="546D5758" w:rsidR="003F071E" w:rsidRDefault="00710B22"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Borders>
              <w:left w:val="single" w:sz="4" w:space="0" w:color="auto"/>
              <w:right w:val="single" w:sz="4" w:space="0" w:color="auto"/>
            </w:tcBorders>
          </w:tcPr>
          <w:p w14:paraId="054724AE" w14:textId="01BC9AD9" w:rsidR="003F071E" w:rsidRDefault="003F071E"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tcBorders>
          </w:tcPr>
          <w:p w14:paraId="1556CFD3" w14:textId="77777777" w:rsidR="003F071E" w:rsidRDefault="003F071E"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3E6F965D" w14:textId="77777777" w:rsidR="003F071E" w:rsidRDefault="003F071E"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right w:val="double" w:sz="4" w:space="0" w:color="auto"/>
            </w:tcBorders>
          </w:tcPr>
          <w:p w14:paraId="59E836EA" w14:textId="77777777" w:rsidR="003F071E" w:rsidRDefault="003F071E"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double" w:sz="4" w:space="0" w:color="auto"/>
            </w:tcBorders>
          </w:tcPr>
          <w:p w14:paraId="3C8F93A3" w14:textId="77777777" w:rsidR="003F071E" w:rsidRDefault="003F071E"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r>
      <w:tr w:rsidR="00BF0A99" w14:paraId="19A9738A" w14:textId="77777777" w:rsidTr="00E918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1C97453D" w14:textId="5E6ECD16" w:rsidR="00437EC0" w:rsidRPr="00E9180C" w:rsidRDefault="00437EC0" w:rsidP="00F74804">
            <w:pPr>
              <w:spacing w:line="360" w:lineRule="auto"/>
              <w:rPr>
                <w:rFonts w:ascii="Calibri" w:eastAsia="Times New Roman" w:hAnsi="Calibri" w:cs="Times New Roman"/>
                <w:b w:val="0"/>
                <w:bCs w:val="0"/>
                <w:i/>
                <w:iCs/>
                <w:color w:val="000000"/>
                <w:lang w:eastAsia="en-GB"/>
              </w:rPr>
            </w:pPr>
            <w:proofErr w:type="spellStart"/>
            <w:r w:rsidRPr="00E9180C">
              <w:rPr>
                <w:rFonts w:ascii="Calibri" w:eastAsia="Times New Roman" w:hAnsi="Calibri" w:cs="Times New Roman"/>
                <w:b w:val="0"/>
                <w:bCs w:val="0"/>
                <w:i/>
                <w:iCs/>
                <w:color w:val="000000"/>
                <w:lang w:eastAsia="en-GB"/>
              </w:rPr>
              <w:t>Dicksonia</w:t>
            </w:r>
            <w:proofErr w:type="spellEnd"/>
            <w:r w:rsidRPr="00E9180C">
              <w:rPr>
                <w:rFonts w:ascii="Calibri" w:eastAsia="Times New Roman" w:hAnsi="Calibri" w:cs="Times New Roman"/>
                <w:b w:val="0"/>
                <w:bCs w:val="0"/>
                <w:i/>
                <w:iCs/>
                <w:color w:val="000000"/>
                <w:lang w:eastAsia="en-GB"/>
              </w:rPr>
              <w:t xml:space="preserve"> </w:t>
            </w:r>
            <w:proofErr w:type="spellStart"/>
            <w:r w:rsidRPr="00E9180C">
              <w:rPr>
                <w:rFonts w:ascii="Calibri" w:eastAsia="Times New Roman" w:hAnsi="Calibri" w:cs="Times New Roman"/>
                <w:b w:val="0"/>
                <w:bCs w:val="0"/>
                <w:i/>
                <w:iCs/>
                <w:color w:val="000000"/>
                <w:lang w:eastAsia="en-GB"/>
              </w:rPr>
              <w:t>sellowiana</w:t>
            </w:r>
            <w:proofErr w:type="spellEnd"/>
            <w:r w:rsidRPr="00E9180C">
              <w:rPr>
                <w:rFonts w:ascii="Calibri" w:eastAsia="Times New Roman" w:hAnsi="Calibri" w:cs="Times New Roman"/>
                <w:b w:val="0"/>
                <w:bCs w:val="0"/>
                <w:color w:val="000000"/>
                <w:lang w:eastAsia="en-GB"/>
              </w:rPr>
              <w:t xml:space="preserve"> (</w:t>
            </w:r>
            <w:proofErr w:type="spellStart"/>
            <w:r w:rsidR="002C231B">
              <w:rPr>
                <w:rFonts w:ascii="Calibri" w:eastAsia="Times New Roman" w:hAnsi="Calibri" w:cs="Times New Roman"/>
                <w:b w:val="0"/>
                <w:bCs w:val="0"/>
                <w:color w:val="000000"/>
                <w:lang w:eastAsia="en-GB"/>
              </w:rPr>
              <w:t>Dicsel</w:t>
            </w:r>
            <w:proofErr w:type="spellEnd"/>
            <w:r w:rsidR="002C231B">
              <w:rPr>
                <w:rFonts w:ascii="Calibri" w:eastAsia="Times New Roman" w:hAnsi="Calibri" w:cs="Times New Roman"/>
                <w:b w:val="0"/>
                <w:bCs w:val="0"/>
                <w:color w:val="000000"/>
                <w:lang w:eastAsia="en-GB"/>
              </w:rPr>
              <w:t xml:space="preserve">; </w:t>
            </w:r>
            <w:proofErr w:type="spellStart"/>
            <w:r w:rsidRPr="00E9180C">
              <w:rPr>
                <w:rFonts w:ascii="Calibri" w:eastAsia="Times New Roman" w:hAnsi="Calibri" w:cs="Times New Roman"/>
                <w:b w:val="0"/>
                <w:bCs w:val="0"/>
                <w:color w:val="000000"/>
                <w:lang w:eastAsia="en-GB"/>
              </w:rPr>
              <w:t>Cyatheaceae</w:t>
            </w:r>
            <w:proofErr w:type="spellEnd"/>
            <w:r w:rsidRPr="00E9180C">
              <w:rPr>
                <w:rFonts w:ascii="Calibri" w:eastAsia="Times New Roman" w:hAnsi="Calibri" w:cs="Times New Roman"/>
                <w:b w:val="0"/>
                <w:bCs w:val="0"/>
                <w:color w:val="000000"/>
                <w:lang w:eastAsia="en-GB"/>
              </w:rPr>
              <w:t>)</w:t>
            </w:r>
          </w:p>
        </w:tc>
        <w:tc>
          <w:tcPr>
            <w:tcW w:w="670" w:type="dxa"/>
            <w:tcBorders>
              <w:left w:val="double" w:sz="4" w:space="0" w:color="auto"/>
              <w:right w:val="single" w:sz="4" w:space="0" w:color="auto"/>
            </w:tcBorders>
          </w:tcPr>
          <w:p w14:paraId="72480448"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tcBorders>
          </w:tcPr>
          <w:p w14:paraId="4FD9372A" w14:textId="17CB3B3A" w:rsidR="00437EC0" w:rsidRDefault="00AD39F8"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Pr>
          <w:p w14:paraId="5B262D95" w14:textId="6AABCF33" w:rsidR="00437EC0" w:rsidRDefault="00AD39F8"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right w:val="single" w:sz="4" w:space="0" w:color="auto"/>
            </w:tcBorders>
          </w:tcPr>
          <w:p w14:paraId="62AF9979" w14:textId="5C38BB08" w:rsidR="00437EC0" w:rsidRDefault="00AD39F8"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left w:val="single" w:sz="4" w:space="0" w:color="auto"/>
              <w:right w:val="single" w:sz="4" w:space="0" w:color="auto"/>
            </w:tcBorders>
          </w:tcPr>
          <w:p w14:paraId="059FA9D3" w14:textId="10753E50"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right w:val="single" w:sz="4" w:space="0" w:color="auto"/>
            </w:tcBorders>
          </w:tcPr>
          <w:p w14:paraId="5942C896"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tcBorders>
          </w:tcPr>
          <w:p w14:paraId="72160086" w14:textId="22C746BB" w:rsidR="00437EC0" w:rsidRDefault="0032199A"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Pr>
          <w:p w14:paraId="511F134F"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right w:val="double" w:sz="4" w:space="0" w:color="auto"/>
            </w:tcBorders>
          </w:tcPr>
          <w:p w14:paraId="303496A4"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double" w:sz="4" w:space="0" w:color="auto"/>
            </w:tcBorders>
          </w:tcPr>
          <w:p w14:paraId="6C83DC5B" w14:textId="301D48F1" w:rsidR="00437EC0" w:rsidRDefault="006B2E91"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r>
      <w:tr w:rsidR="004D665F" w14:paraId="78CF5731" w14:textId="77777777" w:rsidTr="00E9180C">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6ABE4A15" w14:textId="2FD9948E" w:rsidR="00437EC0" w:rsidRPr="00E9180C" w:rsidRDefault="00437EC0" w:rsidP="00F74804">
            <w:pPr>
              <w:spacing w:line="360" w:lineRule="auto"/>
              <w:rPr>
                <w:rFonts w:ascii="Calibri" w:eastAsia="Times New Roman" w:hAnsi="Calibri" w:cs="Times New Roman"/>
                <w:b w:val="0"/>
                <w:bCs w:val="0"/>
                <w:i/>
                <w:iCs/>
                <w:color w:val="000000"/>
                <w:lang w:eastAsia="en-GB"/>
              </w:rPr>
            </w:pPr>
            <w:r w:rsidRPr="00E9180C">
              <w:rPr>
                <w:rFonts w:ascii="Calibri" w:eastAsia="Times New Roman" w:hAnsi="Calibri" w:cs="Times New Roman"/>
                <w:b w:val="0"/>
                <w:bCs w:val="0"/>
                <w:i/>
                <w:iCs/>
                <w:color w:val="000000"/>
                <w:lang w:eastAsia="en-GB"/>
              </w:rPr>
              <w:t xml:space="preserve">Drimys </w:t>
            </w:r>
            <w:proofErr w:type="spellStart"/>
            <w:r w:rsidRPr="00E9180C">
              <w:rPr>
                <w:rFonts w:ascii="Calibri" w:eastAsia="Times New Roman" w:hAnsi="Calibri" w:cs="Times New Roman"/>
                <w:b w:val="0"/>
                <w:bCs w:val="0"/>
                <w:i/>
                <w:iCs/>
                <w:color w:val="000000"/>
                <w:lang w:eastAsia="en-GB"/>
              </w:rPr>
              <w:t>brasiliensis</w:t>
            </w:r>
            <w:proofErr w:type="spellEnd"/>
            <w:r w:rsidRPr="00E9180C">
              <w:rPr>
                <w:rFonts w:ascii="Calibri" w:eastAsia="Times New Roman" w:hAnsi="Calibri" w:cs="Times New Roman"/>
                <w:b w:val="0"/>
                <w:bCs w:val="0"/>
                <w:color w:val="000000"/>
                <w:lang w:eastAsia="en-GB"/>
              </w:rPr>
              <w:t xml:space="preserve"> (</w:t>
            </w:r>
            <w:proofErr w:type="spellStart"/>
            <w:r w:rsidR="002C231B">
              <w:rPr>
                <w:rFonts w:ascii="Calibri" w:eastAsia="Times New Roman" w:hAnsi="Calibri" w:cs="Times New Roman"/>
                <w:b w:val="0"/>
                <w:bCs w:val="0"/>
                <w:color w:val="000000"/>
                <w:lang w:eastAsia="en-GB"/>
              </w:rPr>
              <w:t>Dribra</w:t>
            </w:r>
            <w:proofErr w:type="spellEnd"/>
            <w:r w:rsidR="002C231B">
              <w:rPr>
                <w:rFonts w:ascii="Calibri" w:eastAsia="Times New Roman" w:hAnsi="Calibri" w:cs="Times New Roman"/>
                <w:b w:val="0"/>
                <w:bCs w:val="0"/>
                <w:color w:val="000000"/>
                <w:lang w:eastAsia="en-GB"/>
              </w:rPr>
              <w:t xml:space="preserve">; </w:t>
            </w:r>
            <w:proofErr w:type="spellStart"/>
            <w:r w:rsidRPr="00E9180C">
              <w:rPr>
                <w:rFonts w:ascii="Calibri" w:eastAsia="Times New Roman" w:hAnsi="Calibri" w:cs="Times New Roman"/>
                <w:b w:val="0"/>
                <w:bCs w:val="0"/>
                <w:color w:val="000000"/>
                <w:lang w:eastAsia="en-GB"/>
              </w:rPr>
              <w:t>Winteraceae</w:t>
            </w:r>
            <w:proofErr w:type="spellEnd"/>
            <w:r w:rsidRPr="00E9180C">
              <w:rPr>
                <w:rFonts w:ascii="Calibri" w:eastAsia="Times New Roman" w:hAnsi="Calibri" w:cs="Times New Roman"/>
                <w:b w:val="0"/>
                <w:bCs w:val="0"/>
                <w:color w:val="000000"/>
                <w:lang w:eastAsia="en-GB"/>
              </w:rPr>
              <w:t>)</w:t>
            </w:r>
          </w:p>
        </w:tc>
        <w:tc>
          <w:tcPr>
            <w:tcW w:w="670" w:type="dxa"/>
            <w:tcBorders>
              <w:left w:val="double" w:sz="4" w:space="0" w:color="auto"/>
              <w:right w:val="single" w:sz="4" w:space="0" w:color="auto"/>
            </w:tcBorders>
          </w:tcPr>
          <w:p w14:paraId="212D07C2"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tcBorders>
          </w:tcPr>
          <w:p w14:paraId="578F682E"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339C8A39" w14:textId="4387E008" w:rsidR="00437EC0" w:rsidRDefault="0027575B"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Borders>
              <w:right w:val="single" w:sz="4" w:space="0" w:color="auto"/>
            </w:tcBorders>
          </w:tcPr>
          <w:p w14:paraId="176F7A8F" w14:textId="076C0424" w:rsidR="00437EC0" w:rsidRDefault="00AD39F8"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Borders>
              <w:left w:val="single" w:sz="4" w:space="0" w:color="auto"/>
              <w:right w:val="single" w:sz="4" w:space="0" w:color="auto"/>
            </w:tcBorders>
          </w:tcPr>
          <w:p w14:paraId="2ABD8F3A" w14:textId="2F7AC2F2"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right w:val="single" w:sz="4" w:space="0" w:color="auto"/>
            </w:tcBorders>
          </w:tcPr>
          <w:p w14:paraId="452C5E4A" w14:textId="3B8D1C12" w:rsidR="00437EC0" w:rsidRDefault="00710B22"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Borders>
              <w:left w:val="single" w:sz="4" w:space="0" w:color="auto"/>
            </w:tcBorders>
          </w:tcPr>
          <w:p w14:paraId="522A1BE4"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347CDFF5"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right w:val="double" w:sz="4" w:space="0" w:color="auto"/>
            </w:tcBorders>
          </w:tcPr>
          <w:p w14:paraId="35A88396"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double" w:sz="4" w:space="0" w:color="auto"/>
            </w:tcBorders>
          </w:tcPr>
          <w:p w14:paraId="1CCCD335" w14:textId="6E84198B" w:rsidR="00437EC0" w:rsidRDefault="006B2E91"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r>
      <w:tr w:rsidR="00BF0A99" w14:paraId="157D0386" w14:textId="77777777" w:rsidTr="00E918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762B1565" w14:textId="1DB8C750" w:rsidR="00DC4CA8" w:rsidRPr="00E9180C" w:rsidRDefault="00DC4CA8" w:rsidP="00F74804">
            <w:pPr>
              <w:spacing w:line="360" w:lineRule="auto"/>
              <w:rPr>
                <w:rFonts w:ascii="Calibri" w:eastAsia="Times New Roman" w:hAnsi="Calibri" w:cs="Times New Roman"/>
                <w:b w:val="0"/>
                <w:bCs w:val="0"/>
                <w:color w:val="000000"/>
                <w:lang w:eastAsia="en-GB"/>
              </w:rPr>
            </w:pPr>
            <w:proofErr w:type="spellStart"/>
            <w:r w:rsidRPr="00E9180C">
              <w:rPr>
                <w:rFonts w:ascii="Calibri" w:eastAsia="Times New Roman" w:hAnsi="Calibri" w:cs="Times New Roman"/>
                <w:b w:val="0"/>
                <w:bCs w:val="0"/>
                <w:i/>
                <w:iCs/>
                <w:color w:val="000000"/>
                <w:lang w:eastAsia="en-GB"/>
              </w:rPr>
              <w:t>Eragrostis</w:t>
            </w:r>
            <w:proofErr w:type="spellEnd"/>
            <w:r w:rsidRPr="00E9180C">
              <w:rPr>
                <w:rFonts w:ascii="Calibri" w:eastAsia="Times New Roman" w:hAnsi="Calibri" w:cs="Times New Roman"/>
                <w:b w:val="0"/>
                <w:bCs w:val="0"/>
                <w:i/>
                <w:iCs/>
                <w:color w:val="000000"/>
                <w:lang w:eastAsia="en-GB"/>
              </w:rPr>
              <w:t xml:space="preserve"> </w:t>
            </w:r>
            <w:proofErr w:type="spellStart"/>
            <w:r w:rsidRPr="00E9180C">
              <w:rPr>
                <w:rFonts w:ascii="Calibri" w:eastAsia="Times New Roman" w:hAnsi="Calibri" w:cs="Times New Roman"/>
                <w:b w:val="0"/>
                <w:bCs w:val="0"/>
                <w:i/>
                <w:iCs/>
                <w:color w:val="000000"/>
                <w:lang w:eastAsia="en-GB"/>
              </w:rPr>
              <w:t>polytricha</w:t>
            </w:r>
            <w:proofErr w:type="spellEnd"/>
            <w:r w:rsidRPr="00E9180C">
              <w:rPr>
                <w:rFonts w:ascii="Calibri" w:eastAsia="Times New Roman" w:hAnsi="Calibri" w:cs="Times New Roman"/>
                <w:b w:val="0"/>
                <w:bCs w:val="0"/>
                <w:i/>
                <w:iCs/>
                <w:color w:val="000000"/>
                <w:lang w:eastAsia="en-GB"/>
              </w:rPr>
              <w:t xml:space="preserve"> </w:t>
            </w:r>
            <w:r w:rsidRPr="00E9180C">
              <w:rPr>
                <w:rFonts w:ascii="Calibri" w:eastAsia="Times New Roman" w:hAnsi="Calibri" w:cs="Times New Roman"/>
                <w:b w:val="0"/>
                <w:bCs w:val="0"/>
                <w:color w:val="000000"/>
                <w:lang w:eastAsia="en-GB"/>
              </w:rPr>
              <w:t>(</w:t>
            </w:r>
            <w:proofErr w:type="spellStart"/>
            <w:r w:rsidR="002C231B">
              <w:rPr>
                <w:rFonts w:ascii="Calibri" w:eastAsia="Times New Roman" w:hAnsi="Calibri" w:cs="Times New Roman"/>
                <w:b w:val="0"/>
                <w:bCs w:val="0"/>
                <w:color w:val="000000"/>
                <w:lang w:eastAsia="en-GB"/>
              </w:rPr>
              <w:t>Erapol</w:t>
            </w:r>
            <w:proofErr w:type="spellEnd"/>
            <w:r w:rsidR="002C231B">
              <w:rPr>
                <w:rFonts w:ascii="Calibri" w:eastAsia="Times New Roman" w:hAnsi="Calibri" w:cs="Times New Roman"/>
                <w:b w:val="0"/>
                <w:bCs w:val="0"/>
                <w:color w:val="000000"/>
                <w:lang w:eastAsia="en-GB"/>
              </w:rPr>
              <w:t xml:space="preserve">; </w:t>
            </w:r>
            <w:proofErr w:type="spellStart"/>
            <w:r w:rsidRPr="00E9180C">
              <w:rPr>
                <w:rFonts w:ascii="Calibri" w:eastAsia="Times New Roman" w:hAnsi="Calibri" w:cs="Times New Roman"/>
                <w:b w:val="0"/>
                <w:bCs w:val="0"/>
                <w:color w:val="000000"/>
                <w:lang w:eastAsia="en-GB"/>
              </w:rPr>
              <w:t>Poaceae</w:t>
            </w:r>
            <w:proofErr w:type="spellEnd"/>
            <w:r w:rsidRPr="00E9180C">
              <w:rPr>
                <w:rFonts w:ascii="Calibri" w:eastAsia="Times New Roman" w:hAnsi="Calibri" w:cs="Times New Roman"/>
                <w:b w:val="0"/>
                <w:bCs w:val="0"/>
                <w:color w:val="000000"/>
                <w:lang w:eastAsia="en-GB"/>
              </w:rPr>
              <w:t>)</w:t>
            </w:r>
          </w:p>
        </w:tc>
        <w:tc>
          <w:tcPr>
            <w:tcW w:w="670" w:type="dxa"/>
            <w:tcBorders>
              <w:left w:val="double" w:sz="4" w:space="0" w:color="auto"/>
              <w:right w:val="single" w:sz="4" w:space="0" w:color="auto"/>
            </w:tcBorders>
          </w:tcPr>
          <w:p w14:paraId="6DE0C757" w14:textId="77777777" w:rsidR="00DC4CA8" w:rsidRDefault="00DC4CA8"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tcBorders>
          </w:tcPr>
          <w:p w14:paraId="634C33FD" w14:textId="77777777" w:rsidR="00DC4CA8" w:rsidRDefault="00DC4CA8"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7D735396" w14:textId="77777777" w:rsidR="00DC4CA8" w:rsidRDefault="00DC4CA8"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right w:val="single" w:sz="4" w:space="0" w:color="auto"/>
            </w:tcBorders>
          </w:tcPr>
          <w:p w14:paraId="4C5AAA29" w14:textId="77777777" w:rsidR="00DC4CA8" w:rsidRDefault="00DC4CA8"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right w:val="single" w:sz="4" w:space="0" w:color="auto"/>
            </w:tcBorders>
          </w:tcPr>
          <w:p w14:paraId="4D3ECCB9" w14:textId="139597AE" w:rsidR="00DC4CA8" w:rsidRDefault="00710B22"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left w:val="single" w:sz="4" w:space="0" w:color="auto"/>
              <w:right w:val="single" w:sz="4" w:space="0" w:color="auto"/>
            </w:tcBorders>
          </w:tcPr>
          <w:p w14:paraId="7D40A946" w14:textId="6CE8B8E9" w:rsidR="00DC4CA8" w:rsidRDefault="00DC4CA8"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tcBorders>
          </w:tcPr>
          <w:p w14:paraId="34AADAFE" w14:textId="77777777" w:rsidR="00DC4CA8" w:rsidRDefault="00DC4CA8"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199FFFCB" w14:textId="77777777" w:rsidR="00DC4CA8" w:rsidRDefault="00DC4CA8"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right w:val="double" w:sz="4" w:space="0" w:color="auto"/>
            </w:tcBorders>
          </w:tcPr>
          <w:p w14:paraId="2A24C718" w14:textId="77777777" w:rsidR="00DC4CA8" w:rsidRDefault="00DC4CA8"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double" w:sz="4" w:space="0" w:color="auto"/>
            </w:tcBorders>
          </w:tcPr>
          <w:p w14:paraId="5FF6ADF9" w14:textId="77777777" w:rsidR="00DC4CA8" w:rsidRDefault="00DC4CA8"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r>
      <w:tr w:rsidR="004D665F" w14:paraId="727AF4F2" w14:textId="77777777" w:rsidTr="00E9180C">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492D6AC8" w14:textId="6E4A29A2" w:rsidR="00437EC0" w:rsidRPr="00E9180C" w:rsidRDefault="00437EC0" w:rsidP="00F74804">
            <w:pPr>
              <w:spacing w:line="360" w:lineRule="auto"/>
              <w:rPr>
                <w:rFonts w:ascii="Calibri" w:eastAsia="Times New Roman" w:hAnsi="Calibri" w:cs="Times New Roman"/>
                <w:b w:val="0"/>
                <w:bCs w:val="0"/>
                <w:i/>
                <w:iCs/>
                <w:color w:val="000000"/>
                <w:lang w:eastAsia="en-GB"/>
              </w:rPr>
            </w:pPr>
            <w:r w:rsidRPr="00E9180C">
              <w:rPr>
                <w:rFonts w:ascii="Calibri" w:eastAsia="Times New Roman" w:hAnsi="Calibri" w:cs="Times New Roman"/>
                <w:b w:val="0"/>
                <w:bCs w:val="0"/>
                <w:i/>
                <w:iCs/>
                <w:color w:val="000000"/>
                <w:lang w:eastAsia="en-GB"/>
              </w:rPr>
              <w:t>Euterpe edulis</w:t>
            </w:r>
            <w:r w:rsidRPr="00E9180C">
              <w:rPr>
                <w:rFonts w:ascii="Calibri" w:eastAsia="Times New Roman" w:hAnsi="Calibri" w:cs="Times New Roman"/>
                <w:b w:val="0"/>
                <w:bCs w:val="0"/>
                <w:color w:val="000000"/>
                <w:lang w:eastAsia="en-GB"/>
              </w:rPr>
              <w:t xml:space="preserve"> (</w:t>
            </w:r>
            <w:proofErr w:type="spellStart"/>
            <w:r w:rsidR="002C231B">
              <w:rPr>
                <w:rFonts w:ascii="Calibri" w:eastAsia="Times New Roman" w:hAnsi="Calibri" w:cs="Times New Roman"/>
                <w:b w:val="0"/>
                <w:bCs w:val="0"/>
                <w:color w:val="000000"/>
                <w:lang w:eastAsia="en-GB"/>
              </w:rPr>
              <w:t>Eutedu</w:t>
            </w:r>
            <w:proofErr w:type="spellEnd"/>
            <w:r w:rsidR="002C231B">
              <w:rPr>
                <w:rFonts w:ascii="Calibri" w:eastAsia="Times New Roman" w:hAnsi="Calibri" w:cs="Times New Roman"/>
                <w:b w:val="0"/>
                <w:bCs w:val="0"/>
                <w:color w:val="000000"/>
                <w:lang w:eastAsia="en-GB"/>
              </w:rPr>
              <w:t xml:space="preserve">; </w:t>
            </w:r>
            <w:proofErr w:type="spellStart"/>
            <w:r w:rsidRPr="00E9180C">
              <w:rPr>
                <w:rFonts w:ascii="Calibri" w:eastAsia="Times New Roman" w:hAnsi="Calibri" w:cs="Times New Roman"/>
                <w:b w:val="0"/>
                <w:bCs w:val="0"/>
                <w:color w:val="000000"/>
                <w:lang w:eastAsia="en-GB"/>
              </w:rPr>
              <w:t>Arecaceae</w:t>
            </w:r>
            <w:proofErr w:type="spellEnd"/>
            <w:r w:rsidRPr="00E9180C">
              <w:rPr>
                <w:rFonts w:ascii="Calibri" w:eastAsia="Times New Roman" w:hAnsi="Calibri" w:cs="Times New Roman"/>
                <w:b w:val="0"/>
                <w:bCs w:val="0"/>
                <w:color w:val="000000"/>
                <w:lang w:eastAsia="en-GB"/>
              </w:rPr>
              <w:t>)</w:t>
            </w:r>
          </w:p>
        </w:tc>
        <w:tc>
          <w:tcPr>
            <w:tcW w:w="670" w:type="dxa"/>
            <w:tcBorders>
              <w:left w:val="double" w:sz="4" w:space="0" w:color="auto"/>
              <w:right w:val="single" w:sz="4" w:space="0" w:color="auto"/>
            </w:tcBorders>
          </w:tcPr>
          <w:p w14:paraId="6E6665E0"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tcBorders>
          </w:tcPr>
          <w:p w14:paraId="695F3FCE"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061F9E60"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right w:val="single" w:sz="4" w:space="0" w:color="auto"/>
            </w:tcBorders>
          </w:tcPr>
          <w:p w14:paraId="060B88DE"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right w:val="single" w:sz="4" w:space="0" w:color="auto"/>
            </w:tcBorders>
          </w:tcPr>
          <w:p w14:paraId="038E64C6"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right w:val="single" w:sz="4" w:space="0" w:color="auto"/>
            </w:tcBorders>
          </w:tcPr>
          <w:p w14:paraId="08BCB548"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tcBorders>
          </w:tcPr>
          <w:p w14:paraId="4A834B38" w14:textId="559F3108" w:rsidR="00437EC0" w:rsidRDefault="00813106"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Pr>
          <w:p w14:paraId="29E988CC" w14:textId="2FC88C98" w:rsidR="00437EC0" w:rsidRDefault="00AD39F8"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Borders>
              <w:right w:val="double" w:sz="4" w:space="0" w:color="auto"/>
            </w:tcBorders>
          </w:tcPr>
          <w:p w14:paraId="7F31D1B2" w14:textId="23C86F82" w:rsidR="00437EC0" w:rsidRDefault="00C8129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Borders>
              <w:left w:val="double" w:sz="4" w:space="0" w:color="auto"/>
            </w:tcBorders>
          </w:tcPr>
          <w:p w14:paraId="3546A6D4"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r>
      <w:tr w:rsidR="00BF0A99" w14:paraId="5BA3B94B" w14:textId="77777777" w:rsidTr="00E918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66DBAB4D" w14:textId="0497D719" w:rsidR="000443DD" w:rsidRPr="00E9180C" w:rsidRDefault="000443DD" w:rsidP="00F74804">
            <w:pPr>
              <w:spacing w:line="360" w:lineRule="auto"/>
              <w:rPr>
                <w:rFonts w:ascii="Calibri" w:eastAsia="Times New Roman" w:hAnsi="Calibri" w:cs="Times New Roman"/>
                <w:b w:val="0"/>
                <w:bCs w:val="0"/>
                <w:color w:val="000000"/>
                <w:lang w:eastAsia="en-GB"/>
              </w:rPr>
            </w:pPr>
            <w:proofErr w:type="spellStart"/>
            <w:r w:rsidRPr="00E9180C">
              <w:rPr>
                <w:rFonts w:ascii="Calibri" w:eastAsia="Times New Roman" w:hAnsi="Calibri" w:cs="Times New Roman"/>
                <w:b w:val="0"/>
                <w:bCs w:val="0"/>
                <w:i/>
                <w:iCs/>
                <w:color w:val="000000"/>
                <w:lang w:eastAsia="en-GB"/>
              </w:rPr>
              <w:t>Hypochaeris</w:t>
            </w:r>
            <w:proofErr w:type="spellEnd"/>
            <w:r w:rsidRPr="00E9180C">
              <w:rPr>
                <w:rFonts w:ascii="Calibri" w:eastAsia="Times New Roman" w:hAnsi="Calibri" w:cs="Times New Roman"/>
                <w:b w:val="0"/>
                <w:bCs w:val="0"/>
                <w:i/>
                <w:iCs/>
                <w:color w:val="000000"/>
                <w:lang w:eastAsia="en-GB"/>
              </w:rPr>
              <w:t xml:space="preserve"> lutea </w:t>
            </w:r>
            <w:r w:rsidRPr="00E9180C">
              <w:rPr>
                <w:rFonts w:ascii="Calibri" w:eastAsia="Times New Roman" w:hAnsi="Calibri" w:cs="Times New Roman"/>
                <w:b w:val="0"/>
                <w:bCs w:val="0"/>
                <w:color w:val="000000"/>
                <w:lang w:eastAsia="en-GB"/>
              </w:rPr>
              <w:t>(</w:t>
            </w:r>
            <w:proofErr w:type="spellStart"/>
            <w:r w:rsidR="002C231B">
              <w:rPr>
                <w:rFonts w:ascii="Calibri" w:eastAsia="Times New Roman" w:hAnsi="Calibri" w:cs="Times New Roman"/>
                <w:b w:val="0"/>
                <w:bCs w:val="0"/>
                <w:color w:val="000000"/>
                <w:lang w:eastAsia="en-GB"/>
              </w:rPr>
              <w:t>Hyplut</w:t>
            </w:r>
            <w:proofErr w:type="spellEnd"/>
            <w:r w:rsidR="002C231B">
              <w:rPr>
                <w:rFonts w:ascii="Calibri" w:eastAsia="Times New Roman" w:hAnsi="Calibri" w:cs="Times New Roman"/>
                <w:b w:val="0"/>
                <w:bCs w:val="0"/>
                <w:color w:val="000000"/>
                <w:lang w:eastAsia="en-GB"/>
              </w:rPr>
              <w:t xml:space="preserve">; </w:t>
            </w:r>
            <w:r w:rsidRPr="00E9180C">
              <w:rPr>
                <w:rFonts w:ascii="Calibri" w:eastAsia="Times New Roman" w:hAnsi="Calibri" w:cs="Times New Roman"/>
                <w:b w:val="0"/>
                <w:bCs w:val="0"/>
                <w:color w:val="000000"/>
                <w:lang w:eastAsia="en-GB"/>
              </w:rPr>
              <w:t>Asteraceae)</w:t>
            </w:r>
          </w:p>
        </w:tc>
        <w:tc>
          <w:tcPr>
            <w:tcW w:w="670" w:type="dxa"/>
            <w:tcBorders>
              <w:left w:val="double" w:sz="4" w:space="0" w:color="auto"/>
              <w:right w:val="single" w:sz="4" w:space="0" w:color="auto"/>
            </w:tcBorders>
          </w:tcPr>
          <w:p w14:paraId="14479CF7" w14:textId="77777777" w:rsidR="000443DD" w:rsidRDefault="000443DD"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tcBorders>
          </w:tcPr>
          <w:p w14:paraId="1A5D6A1A" w14:textId="77777777" w:rsidR="000443DD" w:rsidRDefault="000443DD"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0CBC2E08" w14:textId="77777777" w:rsidR="000443DD" w:rsidRDefault="000443DD"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right w:val="single" w:sz="4" w:space="0" w:color="auto"/>
            </w:tcBorders>
          </w:tcPr>
          <w:p w14:paraId="2A3EA06E" w14:textId="77777777" w:rsidR="000443DD" w:rsidRDefault="000443DD"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right w:val="single" w:sz="4" w:space="0" w:color="auto"/>
            </w:tcBorders>
          </w:tcPr>
          <w:p w14:paraId="3F9D664A" w14:textId="336EAA2B" w:rsidR="000443DD" w:rsidRDefault="00710B22"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left w:val="single" w:sz="4" w:space="0" w:color="auto"/>
              <w:right w:val="single" w:sz="4" w:space="0" w:color="auto"/>
            </w:tcBorders>
          </w:tcPr>
          <w:p w14:paraId="146A05EB" w14:textId="370AC685" w:rsidR="000443DD" w:rsidRDefault="000443DD"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tcBorders>
          </w:tcPr>
          <w:p w14:paraId="4271C477" w14:textId="77777777" w:rsidR="000443DD" w:rsidRDefault="000443DD"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218AD6A2" w14:textId="77777777" w:rsidR="000443DD" w:rsidRDefault="000443DD"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right w:val="double" w:sz="4" w:space="0" w:color="auto"/>
            </w:tcBorders>
          </w:tcPr>
          <w:p w14:paraId="6658D0AD" w14:textId="77777777" w:rsidR="000443DD" w:rsidRDefault="000443DD"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double" w:sz="4" w:space="0" w:color="auto"/>
            </w:tcBorders>
          </w:tcPr>
          <w:p w14:paraId="784A7627" w14:textId="77777777" w:rsidR="000443DD" w:rsidRDefault="000443DD"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r>
      <w:tr w:rsidR="004D665F" w14:paraId="43D96557" w14:textId="77777777" w:rsidTr="00E9180C">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41FC0B9A" w14:textId="2C49DA6D" w:rsidR="00437EC0" w:rsidRPr="00E9180C" w:rsidRDefault="00437EC0" w:rsidP="00F74804">
            <w:pPr>
              <w:spacing w:line="360" w:lineRule="auto"/>
              <w:rPr>
                <w:rFonts w:ascii="Calibri" w:eastAsia="Times New Roman" w:hAnsi="Calibri" w:cs="Times New Roman"/>
                <w:b w:val="0"/>
                <w:bCs w:val="0"/>
                <w:i/>
                <w:iCs/>
                <w:color w:val="000000"/>
                <w:lang w:eastAsia="en-GB"/>
              </w:rPr>
            </w:pPr>
            <w:r w:rsidRPr="00E9180C">
              <w:rPr>
                <w:rFonts w:ascii="Calibri" w:eastAsia="Times New Roman" w:hAnsi="Calibri" w:cs="Times New Roman"/>
                <w:b w:val="0"/>
                <w:bCs w:val="0"/>
                <w:i/>
                <w:iCs/>
                <w:color w:val="000000"/>
                <w:lang w:eastAsia="en-GB"/>
              </w:rPr>
              <w:t xml:space="preserve">Ilex </w:t>
            </w:r>
            <w:proofErr w:type="spellStart"/>
            <w:r w:rsidRPr="00E9180C">
              <w:rPr>
                <w:rFonts w:ascii="Calibri" w:eastAsia="Times New Roman" w:hAnsi="Calibri" w:cs="Times New Roman"/>
                <w:b w:val="0"/>
                <w:bCs w:val="0"/>
                <w:i/>
                <w:iCs/>
                <w:color w:val="000000"/>
                <w:lang w:eastAsia="en-GB"/>
              </w:rPr>
              <w:t>microdonta</w:t>
            </w:r>
            <w:proofErr w:type="spellEnd"/>
            <w:r w:rsidRPr="00E9180C">
              <w:rPr>
                <w:rFonts w:ascii="Calibri" w:eastAsia="Times New Roman" w:hAnsi="Calibri" w:cs="Times New Roman"/>
                <w:b w:val="0"/>
                <w:bCs w:val="0"/>
                <w:color w:val="000000"/>
                <w:lang w:eastAsia="en-GB"/>
              </w:rPr>
              <w:t xml:space="preserve"> (</w:t>
            </w:r>
            <w:proofErr w:type="spellStart"/>
            <w:r w:rsidR="002C231B">
              <w:rPr>
                <w:rFonts w:ascii="Calibri" w:eastAsia="Times New Roman" w:hAnsi="Calibri" w:cs="Times New Roman"/>
                <w:b w:val="0"/>
                <w:bCs w:val="0"/>
                <w:color w:val="000000"/>
                <w:lang w:eastAsia="en-GB"/>
              </w:rPr>
              <w:t>Ilemic</w:t>
            </w:r>
            <w:proofErr w:type="spellEnd"/>
            <w:r w:rsidR="002C231B">
              <w:rPr>
                <w:rFonts w:ascii="Calibri" w:eastAsia="Times New Roman" w:hAnsi="Calibri" w:cs="Times New Roman"/>
                <w:b w:val="0"/>
                <w:bCs w:val="0"/>
                <w:color w:val="000000"/>
                <w:lang w:eastAsia="en-GB"/>
              </w:rPr>
              <w:t xml:space="preserve">; </w:t>
            </w:r>
            <w:r w:rsidRPr="00E9180C">
              <w:rPr>
                <w:rFonts w:ascii="Calibri" w:eastAsia="Times New Roman" w:hAnsi="Calibri" w:cs="Times New Roman"/>
                <w:b w:val="0"/>
                <w:bCs w:val="0"/>
                <w:color w:val="000000"/>
                <w:lang w:eastAsia="en-GB"/>
              </w:rPr>
              <w:t>Aquifoliaceae)</w:t>
            </w:r>
          </w:p>
        </w:tc>
        <w:tc>
          <w:tcPr>
            <w:tcW w:w="670" w:type="dxa"/>
            <w:tcBorders>
              <w:left w:val="double" w:sz="4" w:space="0" w:color="auto"/>
              <w:right w:val="single" w:sz="4" w:space="0" w:color="auto"/>
            </w:tcBorders>
          </w:tcPr>
          <w:p w14:paraId="7D55F95E"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tcBorders>
          </w:tcPr>
          <w:p w14:paraId="664C96F6"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23485979"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right w:val="single" w:sz="4" w:space="0" w:color="auto"/>
            </w:tcBorders>
          </w:tcPr>
          <w:p w14:paraId="299D4555"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right w:val="single" w:sz="4" w:space="0" w:color="auto"/>
            </w:tcBorders>
          </w:tcPr>
          <w:p w14:paraId="1179A792" w14:textId="378302E5"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right w:val="single" w:sz="4" w:space="0" w:color="auto"/>
            </w:tcBorders>
          </w:tcPr>
          <w:p w14:paraId="031E4FC7" w14:textId="3812EBC6" w:rsidR="00437EC0" w:rsidRDefault="00710B22"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Borders>
              <w:left w:val="single" w:sz="4" w:space="0" w:color="auto"/>
            </w:tcBorders>
          </w:tcPr>
          <w:p w14:paraId="3CE74090"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0EA4A1CB"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right w:val="double" w:sz="4" w:space="0" w:color="auto"/>
            </w:tcBorders>
          </w:tcPr>
          <w:p w14:paraId="5CDFAC2E"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double" w:sz="4" w:space="0" w:color="auto"/>
            </w:tcBorders>
          </w:tcPr>
          <w:p w14:paraId="0BDD4CD6" w14:textId="5F8FD19F" w:rsidR="00437EC0" w:rsidRDefault="00727C5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r>
      <w:tr w:rsidR="00BF0A99" w14:paraId="12D78722" w14:textId="77777777" w:rsidTr="00E918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22F317E7" w14:textId="5BFD92E2" w:rsidR="00437EC0" w:rsidRPr="00E9180C" w:rsidRDefault="00437EC0" w:rsidP="00F74804">
            <w:pPr>
              <w:spacing w:line="360" w:lineRule="auto"/>
              <w:rPr>
                <w:rFonts w:ascii="Calibri" w:eastAsia="Times New Roman" w:hAnsi="Calibri" w:cs="Times New Roman"/>
                <w:b w:val="0"/>
                <w:bCs w:val="0"/>
                <w:i/>
                <w:iCs/>
                <w:color w:val="000000"/>
                <w:lang w:eastAsia="en-GB"/>
              </w:rPr>
            </w:pPr>
            <w:proofErr w:type="spellStart"/>
            <w:r w:rsidRPr="00E9180C">
              <w:rPr>
                <w:rFonts w:ascii="Calibri" w:eastAsia="Times New Roman" w:hAnsi="Calibri" w:cs="Times New Roman"/>
                <w:b w:val="0"/>
                <w:bCs w:val="0"/>
                <w:i/>
                <w:iCs/>
                <w:color w:val="000000"/>
                <w:lang w:eastAsia="en-GB"/>
              </w:rPr>
              <w:t>Lithraea</w:t>
            </w:r>
            <w:proofErr w:type="spellEnd"/>
            <w:r w:rsidRPr="00E9180C">
              <w:rPr>
                <w:rFonts w:ascii="Calibri" w:eastAsia="Times New Roman" w:hAnsi="Calibri" w:cs="Times New Roman"/>
                <w:b w:val="0"/>
                <w:bCs w:val="0"/>
                <w:i/>
                <w:iCs/>
                <w:color w:val="000000"/>
                <w:lang w:eastAsia="en-GB"/>
              </w:rPr>
              <w:t xml:space="preserve"> </w:t>
            </w:r>
            <w:proofErr w:type="spellStart"/>
            <w:r w:rsidRPr="00E9180C">
              <w:rPr>
                <w:rFonts w:ascii="Calibri" w:eastAsia="Times New Roman" w:hAnsi="Calibri" w:cs="Times New Roman"/>
                <w:b w:val="0"/>
                <w:bCs w:val="0"/>
                <w:i/>
                <w:iCs/>
                <w:color w:val="000000"/>
                <w:lang w:eastAsia="en-GB"/>
              </w:rPr>
              <w:t>brasiliensis</w:t>
            </w:r>
            <w:proofErr w:type="spellEnd"/>
            <w:r w:rsidRPr="00E9180C">
              <w:rPr>
                <w:rFonts w:ascii="Calibri" w:eastAsia="Times New Roman" w:hAnsi="Calibri" w:cs="Times New Roman"/>
                <w:b w:val="0"/>
                <w:bCs w:val="0"/>
                <w:color w:val="000000"/>
                <w:lang w:eastAsia="en-GB"/>
              </w:rPr>
              <w:t xml:space="preserve"> (</w:t>
            </w:r>
            <w:proofErr w:type="spellStart"/>
            <w:r w:rsidR="002C231B">
              <w:rPr>
                <w:rFonts w:ascii="Calibri" w:eastAsia="Times New Roman" w:hAnsi="Calibri" w:cs="Times New Roman"/>
                <w:b w:val="0"/>
                <w:bCs w:val="0"/>
                <w:color w:val="000000"/>
                <w:lang w:eastAsia="en-GB"/>
              </w:rPr>
              <w:t>Litbra</w:t>
            </w:r>
            <w:proofErr w:type="spellEnd"/>
            <w:r w:rsidR="002C231B">
              <w:rPr>
                <w:rFonts w:ascii="Calibri" w:eastAsia="Times New Roman" w:hAnsi="Calibri" w:cs="Times New Roman"/>
                <w:b w:val="0"/>
                <w:bCs w:val="0"/>
                <w:color w:val="000000"/>
                <w:lang w:eastAsia="en-GB"/>
              </w:rPr>
              <w:t xml:space="preserve">; </w:t>
            </w:r>
            <w:proofErr w:type="spellStart"/>
            <w:r w:rsidRPr="00E9180C">
              <w:rPr>
                <w:rFonts w:ascii="Calibri" w:eastAsia="Times New Roman" w:hAnsi="Calibri" w:cs="Times New Roman"/>
                <w:b w:val="0"/>
                <w:bCs w:val="0"/>
                <w:color w:val="000000"/>
                <w:lang w:eastAsia="en-GB"/>
              </w:rPr>
              <w:t>Anacardiaceae</w:t>
            </w:r>
            <w:proofErr w:type="spellEnd"/>
            <w:r w:rsidRPr="00E9180C">
              <w:rPr>
                <w:rFonts w:ascii="Calibri" w:eastAsia="Times New Roman" w:hAnsi="Calibri" w:cs="Times New Roman"/>
                <w:b w:val="0"/>
                <w:bCs w:val="0"/>
                <w:color w:val="000000"/>
                <w:lang w:eastAsia="en-GB"/>
              </w:rPr>
              <w:t>)</w:t>
            </w:r>
          </w:p>
        </w:tc>
        <w:tc>
          <w:tcPr>
            <w:tcW w:w="670" w:type="dxa"/>
            <w:tcBorders>
              <w:left w:val="double" w:sz="4" w:space="0" w:color="auto"/>
              <w:right w:val="single" w:sz="4" w:space="0" w:color="auto"/>
            </w:tcBorders>
          </w:tcPr>
          <w:p w14:paraId="62E8BA2E"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tcBorders>
          </w:tcPr>
          <w:p w14:paraId="153B5892" w14:textId="42F01E2F" w:rsidR="00437EC0" w:rsidRDefault="003715D7"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Pr>
          <w:p w14:paraId="20C1950F" w14:textId="0468C8E8" w:rsidR="00437EC0" w:rsidRDefault="003715D7"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right w:val="single" w:sz="4" w:space="0" w:color="auto"/>
            </w:tcBorders>
          </w:tcPr>
          <w:p w14:paraId="3D8026E2"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right w:val="single" w:sz="4" w:space="0" w:color="auto"/>
            </w:tcBorders>
          </w:tcPr>
          <w:p w14:paraId="78607C0C"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right w:val="single" w:sz="4" w:space="0" w:color="auto"/>
            </w:tcBorders>
          </w:tcPr>
          <w:p w14:paraId="2883D14C"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tcBorders>
          </w:tcPr>
          <w:p w14:paraId="64010AAD"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17038649"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right w:val="double" w:sz="4" w:space="0" w:color="auto"/>
            </w:tcBorders>
          </w:tcPr>
          <w:p w14:paraId="7D436686"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double" w:sz="4" w:space="0" w:color="auto"/>
            </w:tcBorders>
          </w:tcPr>
          <w:p w14:paraId="1DC111E0" w14:textId="2B69A0E5" w:rsidR="00437EC0" w:rsidRDefault="00727C5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r>
      <w:tr w:rsidR="004D665F" w14:paraId="10BA0884" w14:textId="77777777" w:rsidTr="00E9180C">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34A35835" w14:textId="547CEEBF" w:rsidR="00437EC0" w:rsidRPr="00E9180C" w:rsidRDefault="00437EC0" w:rsidP="00F74804">
            <w:pPr>
              <w:spacing w:line="360" w:lineRule="auto"/>
              <w:rPr>
                <w:rFonts w:ascii="Calibri" w:eastAsia="Times New Roman" w:hAnsi="Calibri" w:cs="Times New Roman"/>
                <w:b w:val="0"/>
                <w:bCs w:val="0"/>
                <w:i/>
                <w:iCs/>
                <w:color w:val="000000"/>
                <w:lang w:eastAsia="en-GB"/>
              </w:rPr>
            </w:pPr>
            <w:proofErr w:type="spellStart"/>
            <w:r w:rsidRPr="00E9180C">
              <w:rPr>
                <w:rFonts w:ascii="Calibri" w:eastAsia="Times New Roman" w:hAnsi="Calibri" w:cs="Times New Roman"/>
                <w:b w:val="0"/>
                <w:bCs w:val="0"/>
                <w:i/>
                <w:iCs/>
                <w:color w:val="000000"/>
                <w:lang w:eastAsia="en-GB"/>
              </w:rPr>
              <w:t>Luehea</w:t>
            </w:r>
            <w:proofErr w:type="spellEnd"/>
            <w:r w:rsidRPr="00E9180C">
              <w:rPr>
                <w:rFonts w:ascii="Calibri" w:eastAsia="Times New Roman" w:hAnsi="Calibri" w:cs="Times New Roman"/>
                <w:b w:val="0"/>
                <w:bCs w:val="0"/>
                <w:i/>
                <w:iCs/>
                <w:color w:val="000000"/>
                <w:lang w:eastAsia="en-GB"/>
              </w:rPr>
              <w:t xml:space="preserve"> </w:t>
            </w:r>
            <w:proofErr w:type="spellStart"/>
            <w:r w:rsidRPr="00E9180C">
              <w:rPr>
                <w:rFonts w:ascii="Calibri" w:eastAsia="Times New Roman" w:hAnsi="Calibri" w:cs="Times New Roman"/>
                <w:b w:val="0"/>
                <w:bCs w:val="0"/>
                <w:i/>
                <w:iCs/>
                <w:color w:val="000000"/>
                <w:lang w:eastAsia="en-GB"/>
              </w:rPr>
              <w:t>divaricata</w:t>
            </w:r>
            <w:proofErr w:type="spellEnd"/>
            <w:r w:rsidRPr="00E9180C">
              <w:rPr>
                <w:rFonts w:ascii="Calibri" w:eastAsia="Times New Roman" w:hAnsi="Calibri" w:cs="Times New Roman"/>
                <w:b w:val="0"/>
                <w:bCs w:val="0"/>
                <w:color w:val="000000"/>
                <w:lang w:eastAsia="en-GB"/>
              </w:rPr>
              <w:t xml:space="preserve"> (</w:t>
            </w:r>
            <w:proofErr w:type="spellStart"/>
            <w:r w:rsidR="002C231B">
              <w:rPr>
                <w:rFonts w:ascii="Calibri" w:eastAsia="Times New Roman" w:hAnsi="Calibri" w:cs="Times New Roman"/>
                <w:b w:val="0"/>
                <w:bCs w:val="0"/>
                <w:color w:val="000000"/>
                <w:lang w:eastAsia="en-GB"/>
              </w:rPr>
              <w:t>Luediv</w:t>
            </w:r>
            <w:proofErr w:type="spellEnd"/>
            <w:r w:rsidR="002C231B">
              <w:rPr>
                <w:rFonts w:ascii="Calibri" w:eastAsia="Times New Roman" w:hAnsi="Calibri" w:cs="Times New Roman"/>
                <w:b w:val="0"/>
                <w:bCs w:val="0"/>
                <w:color w:val="000000"/>
                <w:lang w:eastAsia="en-GB"/>
              </w:rPr>
              <w:t xml:space="preserve">; </w:t>
            </w:r>
            <w:proofErr w:type="spellStart"/>
            <w:r w:rsidRPr="00E9180C">
              <w:rPr>
                <w:rFonts w:ascii="Calibri" w:eastAsia="Times New Roman" w:hAnsi="Calibri" w:cs="Times New Roman"/>
                <w:b w:val="0"/>
                <w:bCs w:val="0"/>
                <w:color w:val="000000"/>
                <w:lang w:eastAsia="en-GB"/>
              </w:rPr>
              <w:t>Malvaceae</w:t>
            </w:r>
            <w:proofErr w:type="spellEnd"/>
            <w:r w:rsidRPr="00E9180C">
              <w:rPr>
                <w:rFonts w:ascii="Calibri" w:eastAsia="Times New Roman" w:hAnsi="Calibri" w:cs="Times New Roman"/>
                <w:b w:val="0"/>
                <w:bCs w:val="0"/>
                <w:color w:val="000000"/>
                <w:lang w:eastAsia="en-GB"/>
              </w:rPr>
              <w:t>)</w:t>
            </w:r>
          </w:p>
        </w:tc>
        <w:tc>
          <w:tcPr>
            <w:tcW w:w="670" w:type="dxa"/>
            <w:tcBorders>
              <w:left w:val="double" w:sz="4" w:space="0" w:color="auto"/>
              <w:right w:val="single" w:sz="4" w:space="0" w:color="auto"/>
            </w:tcBorders>
          </w:tcPr>
          <w:p w14:paraId="797BB4DA" w14:textId="10C2C9DE" w:rsidR="00437EC0" w:rsidRDefault="003715D7"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Borders>
              <w:left w:val="single" w:sz="4" w:space="0" w:color="auto"/>
            </w:tcBorders>
          </w:tcPr>
          <w:p w14:paraId="19D619F7"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45AEDB7E"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right w:val="single" w:sz="4" w:space="0" w:color="auto"/>
            </w:tcBorders>
          </w:tcPr>
          <w:p w14:paraId="6027448B"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right w:val="single" w:sz="4" w:space="0" w:color="auto"/>
            </w:tcBorders>
          </w:tcPr>
          <w:p w14:paraId="5D7D652E"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right w:val="single" w:sz="4" w:space="0" w:color="auto"/>
            </w:tcBorders>
          </w:tcPr>
          <w:p w14:paraId="2E9F8A00"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tcBorders>
          </w:tcPr>
          <w:p w14:paraId="397DF83E"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30A93EFC"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right w:val="double" w:sz="4" w:space="0" w:color="auto"/>
            </w:tcBorders>
          </w:tcPr>
          <w:p w14:paraId="67E228EE"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double" w:sz="4" w:space="0" w:color="auto"/>
            </w:tcBorders>
          </w:tcPr>
          <w:p w14:paraId="6A491510" w14:textId="68089638" w:rsidR="00437EC0" w:rsidRDefault="00207611"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r>
      <w:tr w:rsidR="00BF0A99" w14:paraId="4C9792FF" w14:textId="77777777" w:rsidTr="00E918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4B229C53" w14:textId="6B2F05F0" w:rsidR="00437EC0" w:rsidRPr="00E9180C" w:rsidRDefault="00437EC0" w:rsidP="00F74804">
            <w:pPr>
              <w:spacing w:line="360" w:lineRule="auto"/>
              <w:rPr>
                <w:rFonts w:ascii="Calibri" w:eastAsia="Times New Roman" w:hAnsi="Calibri" w:cs="Times New Roman"/>
                <w:b w:val="0"/>
                <w:bCs w:val="0"/>
                <w:i/>
                <w:iCs/>
                <w:color w:val="000000"/>
                <w:lang w:eastAsia="en-GB"/>
              </w:rPr>
            </w:pPr>
            <w:proofErr w:type="spellStart"/>
            <w:r w:rsidRPr="00E9180C">
              <w:rPr>
                <w:rFonts w:ascii="Calibri" w:eastAsia="Times New Roman" w:hAnsi="Calibri" w:cs="Times New Roman"/>
                <w:b w:val="0"/>
                <w:bCs w:val="0"/>
                <w:i/>
                <w:iCs/>
                <w:color w:val="000000"/>
                <w:lang w:eastAsia="en-GB"/>
              </w:rPr>
              <w:t>Matayba</w:t>
            </w:r>
            <w:proofErr w:type="spellEnd"/>
            <w:r w:rsidRPr="00E9180C">
              <w:rPr>
                <w:rFonts w:ascii="Calibri" w:eastAsia="Times New Roman" w:hAnsi="Calibri" w:cs="Times New Roman"/>
                <w:b w:val="0"/>
                <w:bCs w:val="0"/>
                <w:i/>
                <w:iCs/>
                <w:color w:val="000000"/>
                <w:lang w:eastAsia="en-GB"/>
              </w:rPr>
              <w:t xml:space="preserve"> </w:t>
            </w:r>
            <w:proofErr w:type="spellStart"/>
            <w:r w:rsidRPr="00E9180C">
              <w:rPr>
                <w:rFonts w:ascii="Calibri" w:eastAsia="Times New Roman" w:hAnsi="Calibri" w:cs="Times New Roman"/>
                <w:b w:val="0"/>
                <w:bCs w:val="0"/>
                <w:i/>
                <w:iCs/>
                <w:color w:val="000000"/>
                <w:lang w:eastAsia="en-GB"/>
              </w:rPr>
              <w:t>elaeagnoides</w:t>
            </w:r>
            <w:proofErr w:type="spellEnd"/>
            <w:r w:rsidRPr="00E9180C">
              <w:rPr>
                <w:rFonts w:ascii="Calibri" w:eastAsia="Times New Roman" w:hAnsi="Calibri" w:cs="Times New Roman"/>
                <w:b w:val="0"/>
                <w:bCs w:val="0"/>
                <w:color w:val="000000"/>
                <w:lang w:eastAsia="en-GB"/>
              </w:rPr>
              <w:t xml:space="preserve"> (</w:t>
            </w:r>
            <w:r w:rsidR="002C231B">
              <w:rPr>
                <w:rFonts w:ascii="Calibri" w:eastAsia="Times New Roman" w:hAnsi="Calibri" w:cs="Times New Roman"/>
                <w:b w:val="0"/>
                <w:bCs w:val="0"/>
                <w:color w:val="000000"/>
                <w:lang w:eastAsia="en-GB"/>
              </w:rPr>
              <w:t xml:space="preserve">Matela; </w:t>
            </w:r>
            <w:proofErr w:type="spellStart"/>
            <w:r w:rsidRPr="00E9180C">
              <w:rPr>
                <w:rFonts w:ascii="Calibri" w:eastAsia="Times New Roman" w:hAnsi="Calibri" w:cs="Times New Roman"/>
                <w:b w:val="0"/>
                <w:bCs w:val="0"/>
                <w:color w:val="000000"/>
                <w:lang w:eastAsia="en-GB"/>
              </w:rPr>
              <w:t>Sapindaceae</w:t>
            </w:r>
            <w:proofErr w:type="spellEnd"/>
            <w:r w:rsidRPr="00E9180C">
              <w:rPr>
                <w:rFonts w:ascii="Calibri" w:eastAsia="Times New Roman" w:hAnsi="Calibri" w:cs="Times New Roman"/>
                <w:b w:val="0"/>
                <w:bCs w:val="0"/>
                <w:color w:val="000000"/>
                <w:lang w:eastAsia="en-GB"/>
              </w:rPr>
              <w:t>)</w:t>
            </w:r>
          </w:p>
        </w:tc>
        <w:tc>
          <w:tcPr>
            <w:tcW w:w="670" w:type="dxa"/>
            <w:tcBorders>
              <w:left w:val="double" w:sz="4" w:space="0" w:color="auto"/>
              <w:right w:val="single" w:sz="4" w:space="0" w:color="auto"/>
            </w:tcBorders>
          </w:tcPr>
          <w:p w14:paraId="09D3E98F" w14:textId="4E29FEF2" w:rsidR="00437EC0" w:rsidRDefault="00321474"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left w:val="single" w:sz="4" w:space="0" w:color="auto"/>
            </w:tcBorders>
          </w:tcPr>
          <w:p w14:paraId="21B3B86A" w14:textId="3C2676EF" w:rsidR="00437EC0" w:rsidRDefault="00321474"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Pr>
          <w:p w14:paraId="06B68D75" w14:textId="2AAD93AE" w:rsidR="00437EC0" w:rsidRDefault="00321474"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right w:val="single" w:sz="4" w:space="0" w:color="auto"/>
            </w:tcBorders>
          </w:tcPr>
          <w:p w14:paraId="245D77E7"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right w:val="single" w:sz="4" w:space="0" w:color="auto"/>
            </w:tcBorders>
          </w:tcPr>
          <w:p w14:paraId="30CDADD0"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right w:val="single" w:sz="4" w:space="0" w:color="auto"/>
            </w:tcBorders>
          </w:tcPr>
          <w:p w14:paraId="5D91D6AF"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tcBorders>
          </w:tcPr>
          <w:p w14:paraId="3EE5D469"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12129C02"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right w:val="double" w:sz="4" w:space="0" w:color="auto"/>
            </w:tcBorders>
          </w:tcPr>
          <w:p w14:paraId="6EF7C6B9"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double" w:sz="4" w:space="0" w:color="auto"/>
            </w:tcBorders>
          </w:tcPr>
          <w:p w14:paraId="328FAAC8" w14:textId="6007406B" w:rsidR="00437EC0" w:rsidRDefault="00321474"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r>
      <w:tr w:rsidR="00DC4CA8" w14:paraId="2885E431" w14:textId="77777777" w:rsidTr="00E9180C">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634798A0" w14:textId="79A99D1F" w:rsidR="00DC4CA8" w:rsidRPr="00E9180C" w:rsidRDefault="00DC4CA8" w:rsidP="00F74804">
            <w:pPr>
              <w:spacing w:line="360" w:lineRule="auto"/>
              <w:rPr>
                <w:rFonts w:ascii="Calibri" w:eastAsia="Times New Roman" w:hAnsi="Calibri" w:cs="Times New Roman"/>
                <w:b w:val="0"/>
                <w:bCs w:val="0"/>
                <w:color w:val="000000"/>
                <w:lang w:eastAsia="en-GB"/>
              </w:rPr>
            </w:pPr>
            <w:r w:rsidRPr="00E9180C">
              <w:rPr>
                <w:rFonts w:ascii="Calibri" w:eastAsia="Times New Roman" w:hAnsi="Calibri" w:cs="Times New Roman"/>
                <w:b w:val="0"/>
                <w:bCs w:val="0"/>
                <w:i/>
                <w:iCs/>
                <w:color w:val="000000"/>
                <w:lang w:eastAsia="en-GB"/>
              </w:rPr>
              <w:t xml:space="preserve">Mikania </w:t>
            </w:r>
            <w:proofErr w:type="spellStart"/>
            <w:r w:rsidRPr="00E9180C">
              <w:rPr>
                <w:rFonts w:ascii="Calibri" w:eastAsia="Times New Roman" w:hAnsi="Calibri" w:cs="Times New Roman"/>
                <w:b w:val="0"/>
                <w:bCs w:val="0"/>
                <w:i/>
                <w:iCs/>
                <w:color w:val="000000"/>
                <w:lang w:eastAsia="en-GB"/>
              </w:rPr>
              <w:t>decumbens</w:t>
            </w:r>
            <w:proofErr w:type="spellEnd"/>
            <w:r w:rsidRPr="00E9180C">
              <w:rPr>
                <w:rFonts w:ascii="Calibri" w:eastAsia="Times New Roman" w:hAnsi="Calibri" w:cs="Times New Roman"/>
                <w:b w:val="0"/>
                <w:bCs w:val="0"/>
                <w:i/>
                <w:iCs/>
                <w:color w:val="000000"/>
                <w:lang w:eastAsia="en-GB"/>
              </w:rPr>
              <w:t xml:space="preserve"> </w:t>
            </w:r>
            <w:r w:rsidRPr="00E9180C">
              <w:rPr>
                <w:rFonts w:ascii="Calibri" w:eastAsia="Times New Roman" w:hAnsi="Calibri" w:cs="Times New Roman"/>
                <w:b w:val="0"/>
                <w:bCs w:val="0"/>
                <w:color w:val="000000"/>
                <w:lang w:eastAsia="en-GB"/>
              </w:rPr>
              <w:t>(</w:t>
            </w:r>
            <w:proofErr w:type="spellStart"/>
            <w:r w:rsidR="002C231B">
              <w:rPr>
                <w:rFonts w:ascii="Calibri" w:eastAsia="Times New Roman" w:hAnsi="Calibri" w:cs="Times New Roman"/>
                <w:b w:val="0"/>
                <w:bCs w:val="0"/>
                <w:color w:val="000000"/>
                <w:lang w:eastAsia="en-GB"/>
              </w:rPr>
              <w:t>Mikdec</w:t>
            </w:r>
            <w:proofErr w:type="spellEnd"/>
            <w:r w:rsidR="002C231B">
              <w:rPr>
                <w:rFonts w:ascii="Calibri" w:eastAsia="Times New Roman" w:hAnsi="Calibri" w:cs="Times New Roman"/>
                <w:b w:val="0"/>
                <w:bCs w:val="0"/>
                <w:color w:val="000000"/>
                <w:lang w:eastAsia="en-GB"/>
              </w:rPr>
              <w:t xml:space="preserve">; </w:t>
            </w:r>
            <w:r w:rsidRPr="00E9180C">
              <w:rPr>
                <w:rFonts w:ascii="Calibri" w:eastAsia="Times New Roman" w:hAnsi="Calibri" w:cs="Times New Roman"/>
                <w:b w:val="0"/>
                <w:bCs w:val="0"/>
                <w:color w:val="000000"/>
                <w:lang w:eastAsia="en-GB"/>
              </w:rPr>
              <w:t>Asteraceae)</w:t>
            </w:r>
          </w:p>
        </w:tc>
        <w:tc>
          <w:tcPr>
            <w:tcW w:w="670" w:type="dxa"/>
            <w:tcBorders>
              <w:left w:val="double" w:sz="4" w:space="0" w:color="auto"/>
              <w:right w:val="single" w:sz="4" w:space="0" w:color="auto"/>
            </w:tcBorders>
          </w:tcPr>
          <w:p w14:paraId="4CB7218B" w14:textId="77777777" w:rsidR="00DC4CA8" w:rsidRDefault="00DC4CA8"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tcBorders>
          </w:tcPr>
          <w:p w14:paraId="288EAF29" w14:textId="77777777" w:rsidR="00DC4CA8" w:rsidRDefault="00DC4CA8"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04E26D53" w14:textId="77777777" w:rsidR="00DC4CA8" w:rsidRDefault="00DC4CA8"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right w:val="single" w:sz="4" w:space="0" w:color="auto"/>
            </w:tcBorders>
          </w:tcPr>
          <w:p w14:paraId="7D88A9D1" w14:textId="77777777" w:rsidR="00DC4CA8" w:rsidRDefault="00DC4CA8"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right w:val="single" w:sz="4" w:space="0" w:color="auto"/>
            </w:tcBorders>
          </w:tcPr>
          <w:p w14:paraId="7EE7BE9E" w14:textId="1D7A8251" w:rsidR="00DC4CA8" w:rsidRDefault="00710B22"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Borders>
              <w:left w:val="single" w:sz="4" w:space="0" w:color="auto"/>
              <w:right w:val="single" w:sz="4" w:space="0" w:color="auto"/>
            </w:tcBorders>
          </w:tcPr>
          <w:p w14:paraId="1B88B1CE" w14:textId="48EBE9F0" w:rsidR="00DC4CA8" w:rsidRDefault="00DC4CA8"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tcBorders>
          </w:tcPr>
          <w:p w14:paraId="6619EFCB" w14:textId="77777777" w:rsidR="00DC4CA8" w:rsidRDefault="00DC4CA8"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0C113549" w14:textId="77777777" w:rsidR="00DC4CA8" w:rsidRDefault="00DC4CA8"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right w:val="double" w:sz="4" w:space="0" w:color="auto"/>
            </w:tcBorders>
          </w:tcPr>
          <w:p w14:paraId="0B35F2A3" w14:textId="77777777" w:rsidR="00DC4CA8" w:rsidRDefault="00DC4CA8"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double" w:sz="4" w:space="0" w:color="auto"/>
            </w:tcBorders>
          </w:tcPr>
          <w:p w14:paraId="2FAA04C6" w14:textId="77777777" w:rsidR="00DC4CA8" w:rsidRDefault="00DC4CA8"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r>
      <w:tr w:rsidR="00BF0A99" w14:paraId="6AA02025" w14:textId="77777777" w:rsidTr="00E918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29A22039" w14:textId="362D5848" w:rsidR="00437EC0" w:rsidRPr="00E9180C" w:rsidRDefault="00437EC0" w:rsidP="00F74804">
            <w:pPr>
              <w:spacing w:line="360" w:lineRule="auto"/>
              <w:rPr>
                <w:rFonts w:ascii="Calibri" w:eastAsia="Times New Roman" w:hAnsi="Calibri" w:cs="Times New Roman"/>
                <w:b w:val="0"/>
                <w:bCs w:val="0"/>
                <w:i/>
                <w:iCs/>
                <w:color w:val="000000"/>
                <w:lang w:eastAsia="en-GB"/>
              </w:rPr>
            </w:pPr>
            <w:r w:rsidRPr="00E9180C">
              <w:rPr>
                <w:rFonts w:ascii="Calibri" w:eastAsia="Times New Roman" w:hAnsi="Calibri" w:cs="Times New Roman"/>
                <w:b w:val="0"/>
                <w:bCs w:val="0"/>
                <w:i/>
                <w:iCs/>
                <w:color w:val="000000"/>
                <w:lang w:eastAsia="en-GB"/>
              </w:rPr>
              <w:t xml:space="preserve">Mimosa </w:t>
            </w:r>
            <w:proofErr w:type="spellStart"/>
            <w:r w:rsidRPr="00E9180C">
              <w:rPr>
                <w:rFonts w:ascii="Calibri" w:eastAsia="Times New Roman" w:hAnsi="Calibri" w:cs="Times New Roman"/>
                <w:b w:val="0"/>
                <w:bCs w:val="0"/>
                <w:i/>
                <w:iCs/>
                <w:color w:val="000000"/>
                <w:lang w:eastAsia="en-GB"/>
              </w:rPr>
              <w:t>scabrella</w:t>
            </w:r>
            <w:proofErr w:type="spellEnd"/>
            <w:r w:rsidRPr="00E9180C">
              <w:rPr>
                <w:rFonts w:ascii="Calibri" w:eastAsia="Times New Roman" w:hAnsi="Calibri" w:cs="Times New Roman"/>
                <w:b w:val="0"/>
                <w:bCs w:val="0"/>
                <w:color w:val="000000"/>
                <w:lang w:eastAsia="en-GB"/>
              </w:rPr>
              <w:t xml:space="preserve"> (</w:t>
            </w:r>
            <w:proofErr w:type="spellStart"/>
            <w:r w:rsidR="002C231B">
              <w:rPr>
                <w:rFonts w:ascii="Calibri" w:eastAsia="Times New Roman" w:hAnsi="Calibri" w:cs="Times New Roman"/>
                <w:b w:val="0"/>
                <w:bCs w:val="0"/>
                <w:color w:val="000000"/>
                <w:lang w:eastAsia="en-GB"/>
              </w:rPr>
              <w:t>Mimsca</w:t>
            </w:r>
            <w:proofErr w:type="spellEnd"/>
            <w:r w:rsidR="002C231B">
              <w:rPr>
                <w:rFonts w:ascii="Calibri" w:eastAsia="Times New Roman" w:hAnsi="Calibri" w:cs="Times New Roman"/>
                <w:b w:val="0"/>
                <w:bCs w:val="0"/>
                <w:color w:val="000000"/>
                <w:lang w:eastAsia="en-GB"/>
              </w:rPr>
              <w:t xml:space="preserve">; </w:t>
            </w:r>
            <w:r w:rsidRPr="00E9180C">
              <w:rPr>
                <w:rFonts w:ascii="Calibri" w:eastAsia="Times New Roman" w:hAnsi="Calibri" w:cs="Times New Roman"/>
                <w:b w:val="0"/>
                <w:bCs w:val="0"/>
                <w:color w:val="000000"/>
                <w:lang w:eastAsia="en-GB"/>
              </w:rPr>
              <w:t>Fabaceae)</w:t>
            </w:r>
          </w:p>
        </w:tc>
        <w:tc>
          <w:tcPr>
            <w:tcW w:w="670" w:type="dxa"/>
            <w:tcBorders>
              <w:left w:val="double" w:sz="4" w:space="0" w:color="auto"/>
              <w:right w:val="single" w:sz="4" w:space="0" w:color="auto"/>
            </w:tcBorders>
          </w:tcPr>
          <w:p w14:paraId="4BBAFCAE"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tcBorders>
          </w:tcPr>
          <w:p w14:paraId="5F7C799C"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45524876" w14:textId="0A2082F5" w:rsidR="00437EC0" w:rsidRDefault="007C7223"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right w:val="single" w:sz="4" w:space="0" w:color="auto"/>
            </w:tcBorders>
          </w:tcPr>
          <w:p w14:paraId="00B2BB33" w14:textId="3F45C4BA" w:rsidR="00437EC0" w:rsidRDefault="00321474"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left w:val="single" w:sz="4" w:space="0" w:color="auto"/>
              <w:right w:val="single" w:sz="4" w:space="0" w:color="auto"/>
            </w:tcBorders>
          </w:tcPr>
          <w:p w14:paraId="63C44F51" w14:textId="4E6F6311"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right w:val="single" w:sz="4" w:space="0" w:color="auto"/>
            </w:tcBorders>
          </w:tcPr>
          <w:p w14:paraId="7D23D4AD" w14:textId="4EE8A876" w:rsidR="00437EC0" w:rsidRDefault="00710B22"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left w:val="single" w:sz="4" w:space="0" w:color="auto"/>
            </w:tcBorders>
          </w:tcPr>
          <w:p w14:paraId="62A2FEFC"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221CF96B"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right w:val="double" w:sz="4" w:space="0" w:color="auto"/>
            </w:tcBorders>
          </w:tcPr>
          <w:p w14:paraId="4C99389D"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double" w:sz="4" w:space="0" w:color="auto"/>
            </w:tcBorders>
          </w:tcPr>
          <w:p w14:paraId="2D1DC876" w14:textId="113F2A48" w:rsidR="00437EC0" w:rsidRDefault="00321474"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r>
      <w:tr w:rsidR="004D665F" w14:paraId="35BA98BD" w14:textId="77777777" w:rsidTr="00E9180C">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0AF4DD18" w14:textId="5B80AC73" w:rsidR="00437EC0" w:rsidRPr="00E9180C" w:rsidRDefault="00437EC0" w:rsidP="00F74804">
            <w:pPr>
              <w:spacing w:line="360" w:lineRule="auto"/>
              <w:rPr>
                <w:rFonts w:ascii="Calibri" w:eastAsia="Times New Roman" w:hAnsi="Calibri" w:cs="Times New Roman"/>
                <w:b w:val="0"/>
                <w:bCs w:val="0"/>
                <w:i/>
                <w:iCs/>
                <w:color w:val="000000"/>
                <w:lang w:eastAsia="en-GB"/>
              </w:rPr>
            </w:pPr>
            <w:proofErr w:type="spellStart"/>
            <w:r w:rsidRPr="00E9180C">
              <w:rPr>
                <w:rFonts w:ascii="Calibri" w:eastAsia="Times New Roman" w:hAnsi="Calibri" w:cs="Times New Roman"/>
                <w:b w:val="0"/>
                <w:bCs w:val="0"/>
                <w:i/>
                <w:iCs/>
                <w:color w:val="000000"/>
                <w:lang w:eastAsia="en-GB"/>
              </w:rPr>
              <w:lastRenderedPageBreak/>
              <w:t>Myrocarpus</w:t>
            </w:r>
            <w:proofErr w:type="spellEnd"/>
            <w:r w:rsidRPr="00E9180C">
              <w:rPr>
                <w:rFonts w:ascii="Calibri" w:eastAsia="Times New Roman" w:hAnsi="Calibri" w:cs="Times New Roman"/>
                <w:b w:val="0"/>
                <w:bCs w:val="0"/>
                <w:i/>
                <w:iCs/>
                <w:color w:val="000000"/>
                <w:lang w:eastAsia="en-GB"/>
              </w:rPr>
              <w:t xml:space="preserve"> </w:t>
            </w:r>
            <w:proofErr w:type="spellStart"/>
            <w:r w:rsidRPr="00E9180C">
              <w:rPr>
                <w:rFonts w:ascii="Calibri" w:eastAsia="Times New Roman" w:hAnsi="Calibri" w:cs="Times New Roman"/>
                <w:b w:val="0"/>
                <w:bCs w:val="0"/>
                <w:i/>
                <w:iCs/>
                <w:color w:val="000000"/>
                <w:lang w:eastAsia="en-GB"/>
              </w:rPr>
              <w:t>frondosus</w:t>
            </w:r>
            <w:proofErr w:type="spellEnd"/>
            <w:r w:rsidRPr="00E9180C">
              <w:rPr>
                <w:rFonts w:ascii="Calibri" w:eastAsia="Times New Roman" w:hAnsi="Calibri" w:cs="Times New Roman"/>
                <w:b w:val="0"/>
                <w:bCs w:val="0"/>
                <w:color w:val="000000"/>
                <w:lang w:eastAsia="en-GB"/>
              </w:rPr>
              <w:t xml:space="preserve"> (</w:t>
            </w:r>
            <w:proofErr w:type="spellStart"/>
            <w:r w:rsidR="002C231B">
              <w:rPr>
                <w:rFonts w:ascii="Calibri" w:eastAsia="Times New Roman" w:hAnsi="Calibri" w:cs="Times New Roman"/>
                <w:b w:val="0"/>
                <w:bCs w:val="0"/>
                <w:color w:val="000000"/>
                <w:lang w:eastAsia="en-GB"/>
              </w:rPr>
              <w:t>Myrfro</w:t>
            </w:r>
            <w:proofErr w:type="spellEnd"/>
            <w:r w:rsidR="002C231B">
              <w:rPr>
                <w:rFonts w:ascii="Calibri" w:eastAsia="Times New Roman" w:hAnsi="Calibri" w:cs="Times New Roman"/>
                <w:b w:val="0"/>
                <w:bCs w:val="0"/>
                <w:color w:val="000000"/>
                <w:lang w:eastAsia="en-GB"/>
              </w:rPr>
              <w:t xml:space="preserve">; </w:t>
            </w:r>
            <w:r w:rsidRPr="00E9180C">
              <w:rPr>
                <w:rFonts w:ascii="Calibri" w:eastAsia="Times New Roman" w:hAnsi="Calibri" w:cs="Times New Roman"/>
                <w:b w:val="0"/>
                <w:bCs w:val="0"/>
                <w:color w:val="000000"/>
                <w:lang w:eastAsia="en-GB"/>
              </w:rPr>
              <w:t>Fabaceae)</w:t>
            </w:r>
          </w:p>
        </w:tc>
        <w:tc>
          <w:tcPr>
            <w:tcW w:w="670" w:type="dxa"/>
            <w:tcBorders>
              <w:left w:val="double" w:sz="4" w:space="0" w:color="auto"/>
              <w:right w:val="single" w:sz="4" w:space="0" w:color="auto"/>
            </w:tcBorders>
          </w:tcPr>
          <w:p w14:paraId="6ED28682" w14:textId="7298F2BA" w:rsidR="00437EC0" w:rsidRDefault="00321474"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Borders>
              <w:left w:val="single" w:sz="4" w:space="0" w:color="auto"/>
            </w:tcBorders>
          </w:tcPr>
          <w:p w14:paraId="1D7F0A30"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2DB688B7"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right w:val="single" w:sz="4" w:space="0" w:color="auto"/>
            </w:tcBorders>
          </w:tcPr>
          <w:p w14:paraId="4EA78D93"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right w:val="single" w:sz="4" w:space="0" w:color="auto"/>
            </w:tcBorders>
          </w:tcPr>
          <w:p w14:paraId="0CEF29FB"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right w:val="single" w:sz="4" w:space="0" w:color="auto"/>
            </w:tcBorders>
          </w:tcPr>
          <w:p w14:paraId="4E2A3309"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tcBorders>
          </w:tcPr>
          <w:p w14:paraId="43F4CA98"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210CF965"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right w:val="double" w:sz="4" w:space="0" w:color="auto"/>
            </w:tcBorders>
          </w:tcPr>
          <w:p w14:paraId="09C858CF"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double" w:sz="4" w:space="0" w:color="auto"/>
            </w:tcBorders>
          </w:tcPr>
          <w:p w14:paraId="6603AAC1"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r>
      <w:tr w:rsidR="00BF0A99" w14:paraId="0505774C" w14:textId="77777777" w:rsidTr="00E918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55E84F02" w14:textId="2416F92A" w:rsidR="00437EC0" w:rsidRPr="00E9180C" w:rsidRDefault="00437EC0" w:rsidP="00F74804">
            <w:pPr>
              <w:spacing w:line="360" w:lineRule="auto"/>
              <w:rPr>
                <w:rFonts w:ascii="Calibri" w:eastAsia="Times New Roman" w:hAnsi="Calibri" w:cs="Times New Roman"/>
                <w:b w:val="0"/>
                <w:bCs w:val="0"/>
                <w:i/>
                <w:iCs/>
                <w:color w:val="000000"/>
                <w:lang w:eastAsia="en-GB"/>
              </w:rPr>
            </w:pPr>
            <w:r w:rsidRPr="00E9180C">
              <w:rPr>
                <w:rFonts w:ascii="Calibri" w:eastAsia="Times New Roman" w:hAnsi="Calibri" w:cs="Times New Roman"/>
                <w:b w:val="0"/>
                <w:bCs w:val="0"/>
                <w:i/>
                <w:iCs/>
                <w:color w:val="000000"/>
                <w:lang w:eastAsia="en-GB"/>
              </w:rPr>
              <w:t xml:space="preserve">Ocotea </w:t>
            </w:r>
            <w:proofErr w:type="spellStart"/>
            <w:r w:rsidRPr="00E9180C">
              <w:rPr>
                <w:rFonts w:ascii="Calibri" w:eastAsia="Times New Roman" w:hAnsi="Calibri" w:cs="Times New Roman"/>
                <w:b w:val="0"/>
                <w:bCs w:val="0"/>
                <w:i/>
                <w:iCs/>
                <w:color w:val="000000"/>
                <w:lang w:eastAsia="en-GB"/>
              </w:rPr>
              <w:t>catharinensis</w:t>
            </w:r>
            <w:proofErr w:type="spellEnd"/>
            <w:r w:rsidRPr="00E9180C">
              <w:rPr>
                <w:rFonts w:ascii="Calibri" w:eastAsia="Times New Roman" w:hAnsi="Calibri" w:cs="Times New Roman"/>
                <w:b w:val="0"/>
                <w:bCs w:val="0"/>
                <w:color w:val="000000"/>
                <w:lang w:eastAsia="en-GB"/>
              </w:rPr>
              <w:t xml:space="preserve"> (</w:t>
            </w:r>
            <w:proofErr w:type="spellStart"/>
            <w:r w:rsidR="002C231B">
              <w:rPr>
                <w:rFonts w:ascii="Calibri" w:eastAsia="Times New Roman" w:hAnsi="Calibri" w:cs="Times New Roman"/>
                <w:b w:val="0"/>
                <w:bCs w:val="0"/>
                <w:color w:val="000000"/>
                <w:lang w:eastAsia="en-GB"/>
              </w:rPr>
              <w:t>Ococat</w:t>
            </w:r>
            <w:proofErr w:type="spellEnd"/>
            <w:r w:rsidR="002C231B">
              <w:rPr>
                <w:rFonts w:ascii="Calibri" w:eastAsia="Times New Roman" w:hAnsi="Calibri" w:cs="Times New Roman"/>
                <w:b w:val="0"/>
                <w:bCs w:val="0"/>
                <w:color w:val="000000"/>
                <w:lang w:eastAsia="en-GB"/>
              </w:rPr>
              <w:t xml:space="preserve">; </w:t>
            </w:r>
            <w:proofErr w:type="spellStart"/>
            <w:r w:rsidRPr="00E9180C">
              <w:rPr>
                <w:rFonts w:ascii="Calibri" w:eastAsia="Times New Roman" w:hAnsi="Calibri" w:cs="Times New Roman"/>
                <w:b w:val="0"/>
                <w:bCs w:val="0"/>
                <w:color w:val="000000"/>
                <w:lang w:eastAsia="en-GB"/>
              </w:rPr>
              <w:t>Lauraceae</w:t>
            </w:r>
            <w:proofErr w:type="spellEnd"/>
            <w:r w:rsidRPr="00E9180C">
              <w:rPr>
                <w:rFonts w:ascii="Calibri" w:eastAsia="Times New Roman" w:hAnsi="Calibri" w:cs="Times New Roman"/>
                <w:b w:val="0"/>
                <w:bCs w:val="0"/>
                <w:color w:val="000000"/>
                <w:lang w:eastAsia="en-GB"/>
              </w:rPr>
              <w:t>)</w:t>
            </w:r>
          </w:p>
        </w:tc>
        <w:tc>
          <w:tcPr>
            <w:tcW w:w="670" w:type="dxa"/>
            <w:tcBorders>
              <w:left w:val="double" w:sz="4" w:space="0" w:color="auto"/>
              <w:right w:val="single" w:sz="4" w:space="0" w:color="auto"/>
            </w:tcBorders>
          </w:tcPr>
          <w:p w14:paraId="4C2BF1C4"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tcBorders>
          </w:tcPr>
          <w:p w14:paraId="4CE6D793"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4EE90768"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right w:val="single" w:sz="4" w:space="0" w:color="auto"/>
            </w:tcBorders>
          </w:tcPr>
          <w:p w14:paraId="5CCDF4ED"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right w:val="single" w:sz="4" w:space="0" w:color="auto"/>
            </w:tcBorders>
          </w:tcPr>
          <w:p w14:paraId="643A0143" w14:textId="4E93A3BD"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right w:val="single" w:sz="4" w:space="0" w:color="auto"/>
            </w:tcBorders>
          </w:tcPr>
          <w:p w14:paraId="204F4707" w14:textId="10FD6095" w:rsidR="00437EC0" w:rsidRDefault="00710B22"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left w:val="single" w:sz="4" w:space="0" w:color="auto"/>
            </w:tcBorders>
          </w:tcPr>
          <w:p w14:paraId="1C64894C" w14:textId="54E94189" w:rsidR="00437EC0" w:rsidRDefault="00281AEB"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Pr>
          <w:p w14:paraId="57F3F376" w14:textId="5FEB8DC8" w:rsidR="00437EC0" w:rsidRDefault="003451D5"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right w:val="double" w:sz="4" w:space="0" w:color="auto"/>
            </w:tcBorders>
          </w:tcPr>
          <w:p w14:paraId="44CFE150"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double" w:sz="4" w:space="0" w:color="auto"/>
            </w:tcBorders>
          </w:tcPr>
          <w:p w14:paraId="7603A608"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r>
      <w:tr w:rsidR="004D665F" w14:paraId="4D9467A3" w14:textId="77777777" w:rsidTr="00E9180C">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4FABB8FB" w14:textId="3F1F51D7" w:rsidR="00437EC0" w:rsidRPr="00E9180C" w:rsidRDefault="00437EC0" w:rsidP="00F74804">
            <w:pPr>
              <w:spacing w:line="360" w:lineRule="auto"/>
              <w:rPr>
                <w:rFonts w:ascii="Calibri" w:eastAsia="Times New Roman" w:hAnsi="Calibri" w:cs="Times New Roman"/>
                <w:b w:val="0"/>
                <w:bCs w:val="0"/>
                <w:i/>
                <w:iCs/>
                <w:color w:val="000000"/>
                <w:lang w:eastAsia="en-GB"/>
              </w:rPr>
            </w:pPr>
            <w:r w:rsidRPr="00E9180C">
              <w:rPr>
                <w:rFonts w:ascii="Calibri" w:eastAsia="Times New Roman" w:hAnsi="Calibri" w:cs="Times New Roman"/>
                <w:b w:val="0"/>
                <w:bCs w:val="0"/>
                <w:i/>
                <w:iCs/>
                <w:color w:val="000000"/>
                <w:lang w:eastAsia="en-GB"/>
              </w:rPr>
              <w:t xml:space="preserve">Ocotea </w:t>
            </w:r>
            <w:proofErr w:type="spellStart"/>
            <w:r w:rsidRPr="00E9180C">
              <w:rPr>
                <w:rFonts w:ascii="Calibri" w:eastAsia="Times New Roman" w:hAnsi="Calibri" w:cs="Times New Roman"/>
                <w:b w:val="0"/>
                <w:bCs w:val="0"/>
                <w:i/>
                <w:iCs/>
                <w:color w:val="000000"/>
                <w:lang w:eastAsia="en-GB"/>
              </w:rPr>
              <w:t>puberula</w:t>
            </w:r>
            <w:proofErr w:type="spellEnd"/>
            <w:r w:rsidRPr="00E9180C">
              <w:rPr>
                <w:rFonts w:ascii="Calibri" w:eastAsia="Times New Roman" w:hAnsi="Calibri" w:cs="Times New Roman"/>
                <w:b w:val="0"/>
                <w:bCs w:val="0"/>
                <w:color w:val="000000"/>
                <w:lang w:eastAsia="en-GB"/>
              </w:rPr>
              <w:t xml:space="preserve"> (</w:t>
            </w:r>
            <w:proofErr w:type="spellStart"/>
            <w:r w:rsidR="002C231B">
              <w:rPr>
                <w:rFonts w:ascii="Calibri" w:eastAsia="Times New Roman" w:hAnsi="Calibri" w:cs="Times New Roman"/>
                <w:b w:val="0"/>
                <w:bCs w:val="0"/>
                <w:color w:val="000000"/>
                <w:lang w:eastAsia="en-GB"/>
              </w:rPr>
              <w:t>Ocopub</w:t>
            </w:r>
            <w:proofErr w:type="spellEnd"/>
            <w:r w:rsidR="002C231B">
              <w:rPr>
                <w:rFonts w:ascii="Calibri" w:eastAsia="Times New Roman" w:hAnsi="Calibri" w:cs="Times New Roman"/>
                <w:b w:val="0"/>
                <w:bCs w:val="0"/>
                <w:color w:val="000000"/>
                <w:lang w:eastAsia="en-GB"/>
              </w:rPr>
              <w:t xml:space="preserve">; </w:t>
            </w:r>
            <w:proofErr w:type="spellStart"/>
            <w:r w:rsidRPr="00E9180C">
              <w:rPr>
                <w:rFonts w:ascii="Calibri" w:eastAsia="Times New Roman" w:hAnsi="Calibri" w:cs="Times New Roman"/>
                <w:b w:val="0"/>
                <w:bCs w:val="0"/>
                <w:color w:val="000000"/>
                <w:lang w:eastAsia="en-GB"/>
              </w:rPr>
              <w:t>Lauraceae</w:t>
            </w:r>
            <w:proofErr w:type="spellEnd"/>
            <w:r w:rsidRPr="00E9180C">
              <w:rPr>
                <w:rFonts w:ascii="Calibri" w:eastAsia="Times New Roman" w:hAnsi="Calibri" w:cs="Times New Roman"/>
                <w:b w:val="0"/>
                <w:bCs w:val="0"/>
                <w:color w:val="000000"/>
                <w:lang w:eastAsia="en-GB"/>
              </w:rPr>
              <w:t>)</w:t>
            </w:r>
          </w:p>
        </w:tc>
        <w:tc>
          <w:tcPr>
            <w:tcW w:w="670" w:type="dxa"/>
            <w:tcBorders>
              <w:left w:val="double" w:sz="4" w:space="0" w:color="auto"/>
              <w:right w:val="single" w:sz="4" w:space="0" w:color="auto"/>
            </w:tcBorders>
          </w:tcPr>
          <w:p w14:paraId="09E466A1" w14:textId="1383FEB0" w:rsidR="00437EC0" w:rsidRDefault="00281AEB"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Borders>
              <w:left w:val="single" w:sz="4" w:space="0" w:color="auto"/>
            </w:tcBorders>
          </w:tcPr>
          <w:p w14:paraId="1A41E21E" w14:textId="49CE5837" w:rsidR="00437EC0" w:rsidRDefault="00281AEB"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Pr>
          <w:p w14:paraId="6C8C5224"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right w:val="single" w:sz="4" w:space="0" w:color="auto"/>
            </w:tcBorders>
          </w:tcPr>
          <w:p w14:paraId="5E382696"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right w:val="single" w:sz="4" w:space="0" w:color="auto"/>
            </w:tcBorders>
          </w:tcPr>
          <w:p w14:paraId="2B2D3DE8"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right w:val="single" w:sz="4" w:space="0" w:color="auto"/>
            </w:tcBorders>
          </w:tcPr>
          <w:p w14:paraId="01ACB8F7"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tcBorders>
          </w:tcPr>
          <w:p w14:paraId="5A407A60"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76A399E1"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right w:val="double" w:sz="4" w:space="0" w:color="auto"/>
            </w:tcBorders>
          </w:tcPr>
          <w:p w14:paraId="7D5337E2"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double" w:sz="4" w:space="0" w:color="auto"/>
            </w:tcBorders>
          </w:tcPr>
          <w:p w14:paraId="7C93CFB6"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r>
      <w:tr w:rsidR="00BF0A99" w14:paraId="359F4803" w14:textId="77777777" w:rsidTr="00E918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0F8CD585" w14:textId="19E7161B" w:rsidR="00437EC0" w:rsidRPr="00E9180C" w:rsidRDefault="00437EC0" w:rsidP="00F74804">
            <w:pPr>
              <w:spacing w:line="360" w:lineRule="auto"/>
              <w:rPr>
                <w:rFonts w:ascii="Calibri" w:eastAsia="Times New Roman" w:hAnsi="Calibri" w:cs="Times New Roman"/>
                <w:b w:val="0"/>
                <w:bCs w:val="0"/>
                <w:i/>
                <w:iCs/>
                <w:color w:val="000000"/>
                <w:lang w:eastAsia="en-GB"/>
              </w:rPr>
            </w:pPr>
            <w:r w:rsidRPr="00E9180C">
              <w:rPr>
                <w:rFonts w:ascii="Calibri" w:eastAsia="Times New Roman" w:hAnsi="Calibri" w:cs="Times New Roman"/>
                <w:b w:val="0"/>
                <w:bCs w:val="0"/>
                <w:i/>
                <w:iCs/>
                <w:color w:val="000000"/>
                <w:lang w:eastAsia="en-GB"/>
              </w:rPr>
              <w:t xml:space="preserve">Podocarpus </w:t>
            </w:r>
            <w:proofErr w:type="spellStart"/>
            <w:r w:rsidRPr="00E9180C">
              <w:rPr>
                <w:rFonts w:ascii="Calibri" w:eastAsia="Times New Roman" w:hAnsi="Calibri" w:cs="Times New Roman"/>
                <w:b w:val="0"/>
                <w:bCs w:val="0"/>
                <w:i/>
                <w:iCs/>
                <w:color w:val="000000"/>
                <w:lang w:eastAsia="en-GB"/>
              </w:rPr>
              <w:t>lambertii</w:t>
            </w:r>
            <w:proofErr w:type="spellEnd"/>
            <w:r w:rsidRPr="00E9180C">
              <w:rPr>
                <w:rFonts w:ascii="Calibri" w:eastAsia="Times New Roman" w:hAnsi="Calibri" w:cs="Times New Roman"/>
                <w:b w:val="0"/>
                <w:bCs w:val="0"/>
                <w:color w:val="000000"/>
                <w:lang w:eastAsia="en-GB"/>
              </w:rPr>
              <w:t xml:space="preserve"> (</w:t>
            </w:r>
            <w:proofErr w:type="spellStart"/>
            <w:r w:rsidR="002C231B">
              <w:rPr>
                <w:rFonts w:ascii="Calibri" w:eastAsia="Times New Roman" w:hAnsi="Calibri" w:cs="Times New Roman"/>
                <w:b w:val="0"/>
                <w:bCs w:val="0"/>
                <w:color w:val="000000"/>
                <w:lang w:eastAsia="en-GB"/>
              </w:rPr>
              <w:t>Podlam</w:t>
            </w:r>
            <w:proofErr w:type="spellEnd"/>
            <w:r w:rsidR="002C231B">
              <w:rPr>
                <w:rFonts w:ascii="Calibri" w:eastAsia="Times New Roman" w:hAnsi="Calibri" w:cs="Times New Roman"/>
                <w:b w:val="0"/>
                <w:bCs w:val="0"/>
                <w:color w:val="000000"/>
                <w:lang w:eastAsia="en-GB"/>
              </w:rPr>
              <w:t xml:space="preserve">; </w:t>
            </w:r>
            <w:proofErr w:type="spellStart"/>
            <w:r w:rsidRPr="00E9180C">
              <w:rPr>
                <w:rFonts w:ascii="Calibri" w:eastAsia="Times New Roman" w:hAnsi="Calibri" w:cs="Times New Roman"/>
                <w:b w:val="0"/>
                <w:bCs w:val="0"/>
                <w:color w:val="000000"/>
                <w:lang w:eastAsia="en-GB"/>
              </w:rPr>
              <w:t>Podocarpaceae</w:t>
            </w:r>
            <w:proofErr w:type="spellEnd"/>
            <w:r w:rsidRPr="00E9180C">
              <w:rPr>
                <w:rFonts w:ascii="Calibri" w:eastAsia="Times New Roman" w:hAnsi="Calibri" w:cs="Times New Roman"/>
                <w:b w:val="0"/>
                <w:bCs w:val="0"/>
                <w:color w:val="000000"/>
                <w:lang w:eastAsia="en-GB"/>
              </w:rPr>
              <w:t>)</w:t>
            </w:r>
          </w:p>
        </w:tc>
        <w:tc>
          <w:tcPr>
            <w:tcW w:w="670" w:type="dxa"/>
            <w:tcBorders>
              <w:left w:val="double" w:sz="4" w:space="0" w:color="auto"/>
              <w:right w:val="single" w:sz="4" w:space="0" w:color="auto"/>
            </w:tcBorders>
          </w:tcPr>
          <w:p w14:paraId="28E81A2C"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tcBorders>
          </w:tcPr>
          <w:p w14:paraId="6B40CF11"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3054AB26"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right w:val="single" w:sz="4" w:space="0" w:color="auto"/>
            </w:tcBorders>
          </w:tcPr>
          <w:p w14:paraId="3B36A0E7" w14:textId="0C1B0B41" w:rsidR="00437EC0" w:rsidRDefault="00281AEB"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left w:val="single" w:sz="4" w:space="0" w:color="auto"/>
              <w:right w:val="single" w:sz="4" w:space="0" w:color="auto"/>
            </w:tcBorders>
          </w:tcPr>
          <w:p w14:paraId="39C79E6D"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right w:val="single" w:sz="4" w:space="0" w:color="auto"/>
            </w:tcBorders>
          </w:tcPr>
          <w:p w14:paraId="3A1593A4" w14:textId="7ACA047C" w:rsidR="00437EC0" w:rsidRDefault="00C643B6"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left w:val="single" w:sz="4" w:space="0" w:color="auto"/>
            </w:tcBorders>
          </w:tcPr>
          <w:p w14:paraId="68CDBE76"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3810A470"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right w:val="double" w:sz="4" w:space="0" w:color="auto"/>
            </w:tcBorders>
          </w:tcPr>
          <w:p w14:paraId="718121EB"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double" w:sz="4" w:space="0" w:color="auto"/>
            </w:tcBorders>
          </w:tcPr>
          <w:p w14:paraId="01FF2E49" w14:textId="048B64DB" w:rsidR="00437EC0" w:rsidRDefault="00281AEB"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r>
      <w:tr w:rsidR="004D665F" w14:paraId="1397BBEC" w14:textId="77777777" w:rsidTr="00E9180C">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18631E46" w14:textId="325E4922" w:rsidR="00437EC0" w:rsidRPr="00E9180C" w:rsidRDefault="00437EC0" w:rsidP="00F74804">
            <w:pPr>
              <w:spacing w:line="360" w:lineRule="auto"/>
              <w:rPr>
                <w:rFonts w:ascii="Calibri" w:eastAsia="Times New Roman" w:hAnsi="Calibri" w:cs="Times New Roman"/>
                <w:b w:val="0"/>
                <w:bCs w:val="0"/>
                <w:i/>
                <w:iCs/>
                <w:color w:val="000000"/>
                <w:lang w:eastAsia="en-GB"/>
              </w:rPr>
            </w:pPr>
            <w:r w:rsidRPr="00E9180C">
              <w:rPr>
                <w:rFonts w:ascii="Calibri" w:eastAsia="Times New Roman" w:hAnsi="Calibri" w:cs="Times New Roman"/>
                <w:b w:val="0"/>
                <w:bCs w:val="0"/>
                <w:i/>
                <w:iCs/>
                <w:color w:val="000000"/>
                <w:lang w:eastAsia="en-GB"/>
              </w:rPr>
              <w:t xml:space="preserve">Podocarpus </w:t>
            </w:r>
            <w:proofErr w:type="spellStart"/>
            <w:r w:rsidRPr="00E9180C">
              <w:rPr>
                <w:rFonts w:ascii="Calibri" w:eastAsia="Times New Roman" w:hAnsi="Calibri" w:cs="Times New Roman"/>
                <w:b w:val="0"/>
                <w:bCs w:val="0"/>
                <w:i/>
                <w:iCs/>
                <w:color w:val="000000"/>
                <w:lang w:eastAsia="en-GB"/>
              </w:rPr>
              <w:t>sellowii</w:t>
            </w:r>
            <w:proofErr w:type="spellEnd"/>
            <w:r w:rsidRPr="00E9180C">
              <w:rPr>
                <w:rFonts w:ascii="Calibri" w:eastAsia="Times New Roman" w:hAnsi="Calibri" w:cs="Times New Roman"/>
                <w:b w:val="0"/>
                <w:bCs w:val="0"/>
                <w:color w:val="000000"/>
                <w:lang w:eastAsia="en-GB"/>
              </w:rPr>
              <w:t xml:space="preserve"> (</w:t>
            </w:r>
            <w:proofErr w:type="spellStart"/>
            <w:r w:rsidR="002C231B">
              <w:rPr>
                <w:rFonts w:ascii="Calibri" w:eastAsia="Times New Roman" w:hAnsi="Calibri" w:cs="Times New Roman"/>
                <w:b w:val="0"/>
                <w:bCs w:val="0"/>
                <w:color w:val="000000"/>
                <w:lang w:eastAsia="en-GB"/>
              </w:rPr>
              <w:t>Podsel</w:t>
            </w:r>
            <w:proofErr w:type="spellEnd"/>
            <w:r w:rsidR="002C231B">
              <w:rPr>
                <w:rFonts w:ascii="Calibri" w:eastAsia="Times New Roman" w:hAnsi="Calibri" w:cs="Times New Roman"/>
                <w:b w:val="0"/>
                <w:bCs w:val="0"/>
                <w:color w:val="000000"/>
                <w:lang w:eastAsia="en-GB"/>
              </w:rPr>
              <w:t xml:space="preserve">; </w:t>
            </w:r>
            <w:proofErr w:type="spellStart"/>
            <w:r w:rsidRPr="00E9180C">
              <w:rPr>
                <w:rFonts w:ascii="Calibri" w:eastAsia="Times New Roman" w:hAnsi="Calibri" w:cs="Times New Roman"/>
                <w:b w:val="0"/>
                <w:bCs w:val="0"/>
                <w:color w:val="000000"/>
                <w:lang w:eastAsia="en-GB"/>
              </w:rPr>
              <w:t>Podocarpaceae</w:t>
            </w:r>
            <w:proofErr w:type="spellEnd"/>
            <w:r w:rsidRPr="00E9180C">
              <w:rPr>
                <w:rFonts w:ascii="Calibri" w:eastAsia="Times New Roman" w:hAnsi="Calibri" w:cs="Times New Roman"/>
                <w:b w:val="0"/>
                <w:bCs w:val="0"/>
                <w:color w:val="000000"/>
                <w:lang w:eastAsia="en-GB"/>
              </w:rPr>
              <w:t>)</w:t>
            </w:r>
          </w:p>
        </w:tc>
        <w:tc>
          <w:tcPr>
            <w:tcW w:w="670" w:type="dxa"/>
            <w:tcBorders>
              <w:left w:val="double" w:sz="4" w:space="0" w:color="auto"/>
              <w:right w:val="single" w:sz="4" w:space="0" w:color="auto"/>
            </w:tcBorders>
          </w:tcPr>
          <w:p w14:paraId="2D8D1602"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tcBorders>
          </w:tcPr>
          <w:p w14:paraId="18921582"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374FDA58"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right w:val="single" w:sz="4" w:space="0" w:color="auto"/>
            </w:tcBorders>
          </w:tcPr>
          <w:p w14:paraId="0D782BB4"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right w:val="single" w:sz="4" w:space="0" w:color="auto"/>
            </w:tcBorders>
          </w:tcPr>
          <w:p w14:paraId="563141AD" w14:textId="636EDC3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right w:val="single" w:sz="4" w:space="0" w:color="auto"/>
            </w:tcBorders>
          </w:tcPr>
          <w:p w14:paraId="3AB166E9" w14:textId="2F030AA4" w:rsidR="00437EC0" w:rsidRDefault="00710B22"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Borders>
              <w:left w:val="single" w:sz="4" w:space="0" w:color="auto"/>
            </w:tcBorders>
          </w:tcPr>
          <w:p w14:paraId="42C5C30C"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37D88B5C"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right w:val="double" w:sz="4" w:space="0" w:color="auto"/>
            </w:tcBorders>
          </w:tcPr>
          <w:p w14:paraId="096726C3"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double" w:sz="4" w:space="0" w:color="auto"/>
            </w:tcBorders>
          </w:tcPr>
          <w:p w14:paraId="5546AE40" w14:textId="72A8C76C" w:rsidR="00437EC0" w:rsidRDefault="00281AEB"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r>
      <w:tr w:rsidR="00BF0A99" w14:paraId="7CF33620" w14:textId="77777777" w:rsidTr="00E918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53CEF30D" w14:textId="4FFF3931" w:rsidR="00B74F2E" w:rsidRPr="00E9180C" w:rsidRDefault="00B74F2E" w:rsidP="00F74804">
            <w:pPr>
              <w:spacing w:line="360" w:lineRule="auto"/>
              <w:rPr>
                <w:rFonts w:ascii="Calibri" w:eastAsia="Times New Roman" w:hAnsi="Calibri" w:cs="Times New Roman"/>
                <w:b w:val="0"/>
                <w:bCs w:val="0"/>
                <w:color w:val="000000"/>
                <w:lang w:eastAsia="en-GB"/>
              </w:rPr>
            </w:pPr>
            <w:proofErr w:type="spellStart"/>
            <w:r w:rsidRPr="00E9180C">
              <w:rPr>
                <w:rFonts w:ascii="Calibri" w:eastAsia="Times New Roman" w:hAnsi="Calibri" w:cs="Times New Roman"/>
                <w:b w:val="0"/>
                <w:bCs w:val="0"/>
                <w:i/>
                <w:iCs/>
                <w:color w:val="000000"/>
                <w:lang w:eastAsia="en-GB"/>
              </w:rPr>
              <w:t>Schizachyrium</w:t>
            </w:r>
            <w:proofErr w:type="spellEnd"/>
            <w:r w:rsidRPr="00E9180C">
              <w:rPr>
                <w:rFonts w:ascii="Calibri" w:eastAsia="Times New Roman" w:hAnsi="Calibri" w:cs="Times New Roman"/>
                <w:b w:val="0"/>
                <w:bCs w:val="0"/>
                <w:i/>
                <w:iCs/>
                <w:color w:val="000000"/>
                <w:lang w:eastAsia="en-GB"/>
              </w:rPr>
              <w:t xml:space="preserve"> </w:t>
            </w:r>
            <w:proofErr w:type="spellStart"/>
            <w:r w:rsidRPr="00E9180C">
              <w:rPr>
                <w:rFonts w:ascii="Calibri" w:eastAsia="Times New Roman" w:hAnsi="Calibri" w:cs="Times New Roman"/>
                <w:b w:val="0"/>
                <w:bCs w:val="0"/>
                <w:i/>
                <w:iCs/>
                <w:color w:val="000000"/>
                <w:lang w:eastAsia="en-GB"/>
              </w:rPr>
              <w:t>tenerum</w:t>
            </w:r>
            <w:proofErr w:type="spellEnd"/>
            <w:r w:rsidRPr="00E9180C">
              <w:rPr>
                <w:rFonts w:ascii="Calibri" w:eastAsia="Times New Roman" w:hAnsi="Calibri" w:cs="Times New Roman"/>
                <w:b w:val="0"/>
                <w:bCs w:val="0"/>
                <w:i/>
                <w:iCs/>
                <w:color w:val="000000"/>
                <w:lang w:eastAsia="en-GB"/>
              </w:rPr>
              <w:t xml:space="preserve"> </w:t>
            </w:r>
            <w:r w:rsidRPr="00E9180C">
              <w:rPr>
                <w:rFonts w:ascii="Calibri" w:eastAsia="Times New Roman" w:hAnsi="Calibri" w:cs="Times New Roman"/>
                <w:b w:val="0"/>
                <w:bCs w:val="0"/>
                <w:color w:val="000000"/>
                <w:lang w:eastAsia="en-GB"/>
              </w:rPr>
              <w:t>(</w:t>
            </w:r>
            <w:proofErr w:type="spellStart"/>
            <w:r w:rsidR="002C231B">
              <w:rPr>
                <w:rFonts w:ascii="Calibri" w:eastAsia="Times New Roman" w:hAnsi="Calibri" w:cs="Times New Roman"/>
                <w:b w:val="0"/>
                <w:bCs w:val="0"/>
                <w:color w:val="000000"/>
                <w:lang w:eastAsia="en-GB"/>
              </w:rPr>
              <w:t>Schten</w:t>
            </w:r>
            <w:proofErr w:type="spellEnd"/>
            <w:r w:rsidR="002C231B">
              <w:rPr>
                <w:rFonts w:ascii="Calibri" w:eastAsia="Times New Roman" w:hAnsi="Calibri" w:cs="Times New Roman"/>
                <w:b w:val="0"/>
                <w:bCs w:val="0"/>
                <w:color w:val="000000"/>
                <w:lang w:eastAsia="en-GB"/>
              </w:rPr>
              <w:t xml:space="preserve">; </w:t>
            </w:r>
            <w:proofErr w:type="spellStart"/>
            <w:r w:rsidRPr="00E9180C">
              <w:rPr>
                <w:rFonts w:ascii="Calibri" w:eastAsia="Times New Roman" w:hAnsi="Calibri" w:cs="Times New Roman"/>
                <w:b w:val="0"/>
                <w:bCs w:val="0"/>
                <w:color w:val="000000"/>
                <w:lang w:eastAsia="en-GB"/>
              </w:rPr>
              <w:t>Poaceae</w:t>
            </w:r>
            <w:proofErr w:type="spellEnd"/>
            <w:r w:rsidRPr="00E9180C">
              <w:rPr>
                <w:rFonts w:ascii="Calibri" w:eastAsia="Times New Roman" w:hAnsi="Calibri" w:cs="Times New Roman"/>
                <w:b w:val="0"/>
                <w:bCs w:val="0"/>
                <w:color w:val="000000"/>
                <w:lang w:eastAsia="en-GB"/>
              </w:rPr>
              <w:t>)</w:t>
            </w:r>
          </w:p>
        </w:tc>
        <w:tc>
          <w:tcPr>
            <w:tcW w:w="670" w:type="dxa"/>
            <w:tcBorders>
              <w:left w:val="double" w:sz="4" w:space="0" w:color="auto"/>
              <w:right w:val="single" w:sz="4" w:space="0" w:color="auto"/>
            </w:tcBorders>
          </w:tcPr>
          <w:p w14:paraId="454F2EC3" w14:textId="77777777" w:rsidR="00B74F2E" w:rsidRDefault="00B74F2E"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tcBorders>
          </w:tcPr>
          <w:p w14:paraId="09C1BE0B" w14:textId="77777777" w:rsidR="00B74F2E" w:rsidRDefault="00B74F2E"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68A45F3F" w14:textId="77777777" w:rsidR="00B74F2E" w:rsidRDefault="00B74F2E"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right w:val="single" w:sz="4" w:space="0" w:color="auto"/>
            </w:tcBorders>
          </w:tcPr>
          <w:p w14:paraId="04E6D705" w14:textId="77777777" w:rsidR="00B74F2E" w:rsidRDefault="00B74F2E"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right w:val="single" w:sz="4" w:space="0" w:color="auto"/>
            </w:tcBorders>
          </w:tcPr>
          <w:p w14:paraId="26D39A35" w14:textId="1FBA3ACF" w:rsidR="00B74F2E" w:rsidRDefault="00710B22"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left w:val="single" w:sz="4" w:space="0" w:color="auto"/>
              <w:right w:val="single" w:sz="4" w:space="0" w:color="auto"/>
            </w:tcBorders>
          </w:tcPr>
          <w:p w14:paraId="1ECFB05C" w14:textId="22BBF532" w:rsidR="00B74F2E" w:rsidRDefault="00B74F2E"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tcBorders>
          </w:tcPr>
          <w:p w14:paraId="20AD6961" w14:textId="77777777" w:rsidR="00B74F2E" w:rsidRDefault="00B74F2E"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37B06B4E" w14:textId="77777777" w:rsidR="00B74F2E" w:rsidRDefault="00B74F2E"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right w:val="double" w:sz="4" w:space="0" w:color="auto"/>
            </w:tcBorders>
          </w:tcPr>
          <w:p w14:paraId="06116A9A" w14:textId="77777777" w:rsidR="00B74F2E" w:rsidRDefault="00B74F2E"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double" w:sz="4" w:space="0" w:color="auto"/>
            </w:tcBorders>
          </w:tcPr>
          <w:p w14:paraId="6533528F" w14:textId="77777777" w:rsidR="00B74F2E" w:rsidRDefault="00B74F2E"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r>
      <w:tr w:rsidR="004D665F" w14:paraId="174D3E15" w14:textId="77777777" w:rsidTr="00E9180C">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6774E97C" w14:textId="04EF4E00" w:rsidR="00437EC0" w:rsidRPr="00E9180C" w:rsidRDefault="00437EC0" w:rsidP="00F74804">
            <w:pPr>
              <w:spacing w:line="360" w:lineRule="auto"/>
              <w:rPr>
                <w:rFonts w:ascii="Calibri" w:eastAsia="Times New Roman" w:hAnsi="Calibri" w:cs="Times New Roman"/>
                <w:b w:val="0"/>
                <w:bCs w:val="0"/>
                <w:i/>
                <w:iCs/>
                <w:color w:val="000000"/>
                <w:lang w:eastAsia="en-GB"/>
              </w:rPr>
            </w:pPr>
            <w:proofErr w:type="spellStart"/>
            <w:r w:rsidRPr="00E9180C">
              <w:rPr>
                <w:rFonts w:ascii="Calibri" w:eastAsia="Times New Roman" w:hAnsi="Calibri" w:cs="Times New Roman"/>
                <w:b w:val="0"/>
                <w:bCs w:val="0"/>
                <w:i/>
                <w:iCs/>
                <w:color w:val="000000"/>
                <w:lang w:eastAsia="en-GB"/>
              </w:rPr>
              <w:t>Sloanea</w:t>
            </w:r>
            <w:proofErr w:type="spellEnd"/>
            <w:r w:rsidRPr="00E9180C">
              <w:rPr>
                <w:rFonts w:ascii="Calibri" w:eastAsia="Times New Roman" w:hAnsi="Calibri" w:cs="Times New Roman"/>
                <w:b w:val="0"/>
                <w:bCs w:val="0"/>
                <w:i/>
                <w:iCs/>
                <w:color w:val="000000"/>
                <w:lang w:eastAsia="en-GB"/>
              </w:rPr>
              <w:t xml:space="preserve"> </w:t>
            </w:r>
            <w:proofErr w:type="spellStart"/>
            <w:r w:rsidRPr="00E9180C">
              <w:rPr>
                <w:rFonts w:ascii="Calibri" w:eastAsia="Times New Roman" w:hAnsi="Calibri" w:cs="Times New Roman"/>
                <w:b w:val="0"/>
                <w:bCs w:val="0"/>
                <w:i/>
                <w:iCs/>
                <w:color w:val="000000"/>
                <w:lang w:eastAsia="en-GB"/>
              </w:rPr>
              <w:t>guianensis</w:t>
            </w:r>
            <w:proofErr w:type="spellEnd"/>
            <w:r w:rsidRPr="00E9180C">
              <w:rPr>
                <w:rFonts w:ascii="Calibri" w:eastAsia="Times New Roman" w:hAnsi="Calibri" w:cs="Times New Roman"/>
                <w:b w:val="0"/>
                <w:bCs w:val="0"/>
                <w:i/>
                <w:iCs/>
                <w:color w:val="000000"/>
                <w:lang w:eastAsia="en-GB"/>
              </w:rPr>
              <w:t xml:space="preserve"> </w:t>
            </w:r>
            <w:r w:rsidRPr="00E9180C">
              <w:rPr>
                <w:rFonts w:ascii="Calibri" w:eastAsia="Times New Roman" w:hAnsi="Calibri" w:cs="Times New Roman"/>
                <w:b w:val="0"/>
                <w:bCs w:val="0"/>
                <w:color w:val="000000"/>
                <w:lang w:eastAsia="en-GB"/>
              </w:rPr>
              <w:t>(</w:t>
            </w:r>
            <w:proofErr w:type="spellStart"/>
            <w:r w:rsidR="002C231B">
              <w:rPr>
                <w:rFonts w:ascii="Calibri" w:eastAsia="Times New Roman" w:hAnsi="Calibri" w:cs="Times New Roman"/>
                <w:b w:val="0"/>
                <w:bCs w:val="0"/>
                <w:color w:val="000000"/>
                <w:lang w:eastAsia="en-GB"/>
              </w:rPr>
              <w:t>Slogui</w:t>
            </w:r>
            <w:proofErr w:type="spellEnd"/>
            <w:r w:rsidR="002C231B">
              <w:rPr>
                <w:rFonts w:ascii="Calibri" w:eastAsia="Times New Roman" w:hAnsi="Calibri" w:cs="Times New Roman"/>
                <w:b w:val="0"/>
                <w:bCs w:val="0"/>
                <w:color w:val="000000"/>
                <w:lang w:eastAsia="en-GB"/>
              </w:rPr>
              <w:t xml:space="preserve">; </w:t>
            </w:r>
            <w:proofErr w:type="spellStart"/>
            <w:r w:rsidRPr="00E9180C">
              <w:rPr>
                <w:rFonts w:ascii="Calibri" w:eastAsia="Times New Roman" w:hAnsi="Calibri" w:cs="Times New Roman"/>
                <w:b w:val="0"/>
                <w:bCs w:val="0"/>
                <w:color w:val="000000"/>
                <w:lang w:eastAsia="en-GB"/>
              </w:rPr>
              <w:t>Elaeocarpaceae</w:t>
            </w:r>
            <w:proofErr w:type="spellEnd"/>
            <w:r w:rsidRPr="00E9180C">
              <w:rPr>
                <w:rFonts w:ascii="Calibri" w:eastAsia="Times New Roman" w:hAnsi="Calibri" w:cs="Times New Roman"/>
                <w:b w:val="0"/>
                <w:bCs w:val="0"/>
                <w:color w:val="000000"/>
                <w:lang w:eastAsia="en-GB"/>
              </w:rPr>
              <w:t>)</w:t>
            </w:r>
          </w:p>
        </w:tc>
        <w:tc>
          <w:tcPr>
            <w:tcW w:w="670" w:type="dxa"/>
            <w:tcBorders>
              <w:left w:val="double" w:sz="4" w:space="0" w:color="auto"/>
              <w:right w:val="single" w:sz="4" w:space="0" w:color="auto"/>
            </w:tcBorders>
          </w:tcPr>
          <w:p w14:paraId="0B2E21C0"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tcBorders>
          </w:tcPr>
          <w:p w14:paraId="03D18537"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17F046E1"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right w:val="single" w:sz="4" w:space="0" w:color="auto"/>
            </w:tcBorders>
          </w:tcPr>
          <w:p w14:paraId="77DBEC8B"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right w:val="single" w:sz="4" w:space="0" w:color="auto"/>
            </w:tcBorders>
          </w:tcPr>
          <w:p w14:paraId="4B0E8349"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right w:val="single" w:sz="4" w:space="0" w:color="auto"/>
            </w:tcBorders>
          </w:tcPr>
          <w:p w14:paraId="06CF6BDA"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tcBorders>
          </w:tcPr>
          <w:p w14:paraId="5E6945FD" w14:textId="3235B6F0"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07AED2CE" w14:textId="06E8FD34" w:rsidR="00437EC0" w:rsidRDefault="00C05D99"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Borders>
              <w:right w:val="double" w:sz="4" w:space="0" w:color="auto"/>
            </w:tcBorders>
          </w:tcPr>
          <w:p w14:paraId="58D9DEC8" w14:textId="33465F20" w:rsidR="00437EC0" w:rsidRDefault="00C05D99"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Borders>
              <w:left w:val="double" w:sz="4" w:space="0" w:color="auto"/>
            </w:tcBorders>
          </w:tcPr>
          <w:p w14:paraId="39449678" w14:textId="3810E398" w:rsidR="00437EC0" w:rsidRDefault="00F64A8C"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r>
      <w:tr w:rsidR="00BF0A99" w14:paraId="0BE3DF63" w14:textId="77777777" w:rsidTr="00E918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7BD47BDD" w14:textId="4AE2BB98" w:rsidR="00B869A2" w:rsidRPr="00E9180C" w:rsidRDefault="00B869A2" w:rsidP="00F74804">
            <w:pPr>
              <w:spacing w:line="360" w:lineRule="auto"/>
              <w:rPr>
                <w:rFonts w:ascii="Calibri" w:eastAsia="Times New Roman" w:hAnsi="Calibri" w:cs="Times New Roman"/>
                <w:b w:val="0"/>
                <w:bCs w:val="0"/>
                <w:color w:val="000000"/>
                <w:lang w:eastAsia="en-GB"/>
              </w:rPr>
            </w:pPr>
            <w:r w:rsidRPr="00E9180C">
              <w:rPr>
                <w:rFonts w:ascii="Calibri" w:eastAsia="Times New Roman" w:hAnsi="Calibri" w:cs="Times New Roman"/>
                <w:b w:val="0"/>
                <w:bCs w:val="0"/>
                <w:i/>
                <w:iCs/>
                <w:color w:val="000000"/>
                <w:lang w:eastAsia="en-GB"/>
              </w:rPr>
              <w:t xml:space="preserve">Trifolium </w:t>
            </w:r>
            <w:proofErr w:type="spellStart"/>
            <w:r w:rsidRPr="00E9180C">
              <w:rPr>
                <w:rFonts w:ascii="Calibri" w:eastAsia="Times New Roman" w:hAnsi="Calibri" w:cs="Times New Roman"/>
                <w:b w:val="0"/>
                <w:bCs w:val="0"/>
                <w:i/>
                <w:iCs/>
                <w:color w:val="000000"/>
                <w:lang w:eastAsia="en-GB"/>
              </w:rPr>
              <w:t>riograndense</w:t>
            </w:r>
            <w:proofErr w:type="spellEnd"/>
            <w:r w:rsidRPr="00E9180C">
              <w:rPr>
                <w:rFonts w:ascii="Calibri" w:eastAsia="Times New Roman" w:hAnsi="Calibri" w:cs="Times New Roman"/>
                <w:b w:val="0"/>
                <w:bCs w:val="0"/>
                <w:i/>
                <w:iCs/>
                <w:color w:val="000000"/>
                <w:lang w:eastAsia="en-GB"/>
              </w:rPr>
              <w:t xml:space="preserve"> </w:t>
            </w:r>
            <w:r w:rsidRPr="00E9180C">
              <w:rPr>
                <w:rFonts w:ascii="Calibri" w:eastAsia="Times New Roman" w:hAnsi="Calibri" w:cs="Times New Roman"/>
                <w:b w:val="0"/>
                <w:bCs w:val="0"/>
                <w:color w:val="000000"/>
                <w:lang w:eastAsia="en-GB"/>
              </w:rPr>
              <w:t>(</w:t>
            </w:r>
            <w:proofErr w:type="spellStart"/>
            <w:r w:rsidR="002C231B">
              <w:rPr>
                <w:rFonts w:ascii="Calibri" w:eastAsia="Times New Roman" w:hAnsi="Calibri" w:cs="Times New Roman"/>
                <w:b w:val="0"/>
                <w:bCs w:val="0"/>
                <w:color w:val="000000"/>
                <w:lang w:eastAsia="en-GB"/>
              </w:rPr>
              <w:t>Tririo</w:t>
            </w:r>
            <w:proofErr w:type="spellEnd"/>
            <w:r w:rsidR="002C231B">
              <w:rPr>
                <w:rFonts w:ascii="Calibri" w:eastAsia="Times New Roman" w:hAnsi="Calibri" w:cs="Times New Roman"/>
                <w:b w:val="0"/>
                <w:bCs w:val="0"/>
                <w:color w:val="000000"/>
                <w:lang w:eastAsia="en-GB"/>
              </w:rPr>
              <w:t xml:space="preserve">; </w:t>
            </w:r>
            <w:r w:rsidRPr="00E9180C">
              <w:rPr>
                <w:rFonts w:ascii="Calibri" w:eastAsia="Times New Roman" w:hAnsi="Calibri" w:cs="Times New Roman"/>
                <w:b w:val="0"/>
                <w:bCs w:val="0"/>
                <w:color w:val="000000"/>
                <w:lang w:eastAsia="en-GB"/>
              </w:rPr>
              <w:t>Fabaceae)</w:t>
            </w:r>
          </w:p>
        </w:tc>
        <w:tc>
          <w:tcPr>
            <w:tcW w:w="670" w:type="dxa"/>
            <w:tcBorders>
              <w:left w:val="double" w:sz="4" w:space="0" w:color="auto"/>
              <w:right w:val="single" w:sz="4" w:space="0" w:color="auto"/>
            </w:tcBorders>
          </w:tcPr>
          <w:p w14:paraId="21A0D0DD" w14:textId="77777777" w:rsidR="00B869A2" w:rsidRDefault="00B869A2"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tcBorders>
          </w:tcPr>
          <w:p w14:paraId="31796043" w14:textId="77777777" w:rsidR="00B869A2" w:rsidRDefault="00B869A2"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186ECA1A" w14:textId="77777777" w:rsidR="00B869A2" w:rsidRDefault="00B869A2"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right w:val="single" w:sz="4" w:space="0" w:color="auto"/>
            </w:tcBorders>
          </w:tcPr>
          <w:p w14:paraId="6D4C002A" w14:textId="77777777" w:rsidR="00B869A2" w:rsidRDefault="00B869A2"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right w:val="single" w:sz="4" w:space="0" w:color="auto"/>
            </w:tcBorders>
          </w:tcPr>
          <w:p w14:paraId="17AF385B" w14:textId="26C079B9" w:rsidR="00B869A2" w:rsidRDefault="00710B22"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left w:val="single" w:sz="4" w:space="0" w:color="auto"/>
              <w:right w:val="single" w:sz="4" w:space="0" w:color="auto"/>
            </w:tcBorders>
          </w:tcPr>
          <w:p w14:paraId="3811C085" w14:textId="466EE127" w:rsidR="00B869A2" w:rsidRDefault="00B869A2"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tcBorders>
          </w:tcPr>
          <w:p w14:paraId="1C137068" w14:textId="77777777" w:rsidR="00B869A2" w:rsidRDefault="00B869A2"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30CC0133" w14:textId="77777777" w:rsidR="00B869A2" w:rsidRDefault="00B869A2"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right w:val="double" w:sz="4" w:space="0" w:color="auto"/>
            </w:tcBorders>
          </w:tcPr>
          <w:p w14:paraId="1D56DCF1" w14:textId="77777777" w:rsidR="00B869A2" w:rsidRDefault="00B869A2"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double" w:sz="4" w:space="0" w:color="auto"/>
            </w:tcBorders>
          </w:tcPr>
          <w:p w14:paraId="2866D41B" w14:textId="77777777" w:rsidR="00B869A2" w:rsidRDefault="00B869A2"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r>
      <w:tr w:rsidR="004D665F" w14:paraId="50C5B050" w14:textId="77777777" w:rsidTr="00E9180C">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380CDCD9" w14:textId="50BD9D54" w:rsidR="00437EC0" w:rsidRPr="00E9180C" w:rsidRDefault="00437EC0" w:rsidP="00F74804">
            <w:pPr>
              <w:spacing w:line="360" w:lineRule="auto"/>
              <w:rPr>
                <w:rFonts w:ascii="Calibri" w:eastAsia="Times New Roman" w:hAnsi="Calibri" w:cs="Times New Roman"/>
                <w:b w:val="0"/>
                <w:bCs w:val="0"/>
                <w:i/>
                <w:iCs/>
                <w:color w:val="000000"/>
                <w:lang w:eastAsia="en-GB"/>
              </w:rPr>
            </w:pPr>
            <w:proofErr w:type="spellStart"/>
            <w:r w:rsidRPr="00E9180C">
              <w:rPr>
                <w:rFonts w:ascii="Calibri" w:eastAsia="Times New Roman" w:hAnsi="Calibri" w:cs="Times New Roman"/>
                <w:b w:val="0"/>
                <w:bCs w:val="0"/>
                <w:i/>
                <w:iCs/>
                <w:color w:val="000000"/>
                <w:lang w:eastAsia="en-GB"/>
              </w:rPr>
              <w:t>Weinmannia</w:t>
            </w:r>
            <w:proofErr w:type="spellEnd"/>
            <w:r w:rsidRPr="00E9180C">
              <w:rPr>
                <w:rFonts w:ascii="Calibri" w:eastAsia="Times New Roman" w:hAnsi="Calibri" w:cs="Times New Roman"/>
                <w:b w:val="0"/>
                <w:bCs w:val="0"/>
                <w:i/>
                <w:iCs/>
                <w:color w:val="000000"/>
                <w:lang w:eastAsia="en-GB"/>
              </w:rPr>
              <w:t xml:space="preserve"> humilis</w:t>
            </w:r>
            <w:r w:rsidRPr="00E9180C">
              <w:rPr>
                <w:rFonts w:ascii="Calibri" w:eastAsia="Times New Roman" w:hAnsi="Calibri" w:cs="Times New Roman"/>
                <w:b w:val="0"/>
                <w:bCs w:val="0"/>
                <w:color w:val="000000"/>
                <w:lang w:eastAsia="en-GB"/>
              </w:rPr>
              <w:t xml:space="preserve"> (</w:t>
            </w:r>
            <w:proofErr w:type="spellStart"/>
            <w:r w:rsidR="002C231B">
              <w:rPr>
                <w:rFonts w:ascii="Calibri" w:eastAsia="Times New Roman" w:hAnsi="Calibri" w:cs="Times New Roman"/>
                <w:b w:val="0"/>
                <w:bCs w:val="0"/>
                <w:color w:val="000000"/>
                <w:lang w:eastAsia="en-GB"/>
              </w:rPr>
              <w:t>Weihum</w:t>
            </w:r>
            <w:proofErr w:type="spellEnd"/>
            <w:r w:rsidR="002C231B">
              <w:rPr>
                <w:rFonts w:ascii="Calibri" w:eastAsia="Times New Roman" w:hAnsi="Calibri" w:cs="Times New Roman"/>
                <w:b w:val="0"/>
                <w:bCs w:val="0"/>
                <w:color w:val="000000"/>
                <w:lang w:eastAsia="en-GB"/>
              </w:rPr>
              <w:t xml:space="preserve">; </w:t>
            </w:r>
            <w:proofErr w:type="spellStart"/>
            <w:r w:rsidRPr="00E9180C">
              <w:rPr>
                <w:rFonts w:ascii="Calibri" w:eastAsia="Times New Roman" w:hAnsi="Calibri" w:cs="Times New Roman"/>
                <w:b w:val="0"/>
                <w:bCs w:val="0"/>
                <w:color w:val="000000"/>
                <w:lang w:eastAsia="en-GB"/>
              </w:rPr>
              <w:t>Cunoniaceae</w:t>
            </w:r>
            <w:proofErr w:type="spellEnd"/>
            <w:r w:rsidRPr="00E9180C">
              <w:rPr>
                <w:rFonts w:ascii="Calibri" w:eastAsia="Times New Roman" w:hAnsi="Calibri" w:cs="Times New Roman"/>
                <w:b w:val="0"/>
                <w:bCs w:val="0"/>
                <w:color w:val="000000"/>
                <w:lang w:eastAsia="en-GB"/>
              </w:rPr>
              <w:t>)</w:t>
            </w:r>
          </w:p>
        </w:tc>
        <w:tc>
          <w:tcPr>
            <w:tcW w:w="670" w:type="dxa"/>
            <w:tcBorders>
              <w:left w:val="double" w:sz="4" w:space="0" w:color="auto"/>
              <w:right w:val="single" w:sz="4" w:space="0" w:color="auto"/>
            </w:tcBorders>
          </w:tcPr>
          <w:p w14:paraId="60813DA2"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tcBorders>
          </w:tcPr>
          <w:p w14:paraId="592650A8"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2DF130F2"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right w:val="single" w:sz="4" w:space="0" w:color="auto"/>
            </w:tcBorders>
          </w:tcPr>
          <w:p w14:paraId="18EF8DAE" w14:textId="0D65EF53" w:rsidR="00437EC0" w:rsidRDefault="00C05D99"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Borders>
              <w:left w:val="single" w:sz="4" w:space="0" w:color="auto"/>
              <w:right w:val="single" w:sz="4" w:space="0" w:color="auto"/>
            </w:tcBorders>
          </w:tcPr>
          <w:p w14:paraId="391B16EA" w14:textId="410A7EE8"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single" w:sz="4" w:space="0" w:color="auto"/>
              <w:right w:val="single" w:sz="4" w:space="0" w:color="auto"/>
            </w:tcBorders>
          </w:tcPr>
          <w:p w14:paraId="5F4AEC84" w14:textId="4AB355CF" w:rsidR="00437EC0" w:rsidRDefault="00710B22"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c>
          <w:tcPr>
            <w:tcW w:w="0" w:type="auto"/>
            <w:tcBorders>
              <w:left w:val="single" w:sz="4" w:space="0" w:color="auto"/>
            </w:tcBorders>
          </w:tcPr>
          <w:p w14:paraId="5860782A"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07EED8E6"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right w:val="double" w:sz="4" w:space="0" w:color="auto"/>
            </w:tcBorders>
          </w:tcPr>
          <w:p w14:paraId="7103A9C5" w14:textId="77777777" w:rsidR="00437EC0" w:rsidRDefault="00437EC0" w:rsidP="00F74804">
            <w:pPr>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Borders>
              <w:left w:val="double" w:sz="4" w:space="0" w:color="auto"/>
            </w:tcBorders>
          </w:tcPr>
          <w:p w14:paraId="3494EFF1" w14:textId="1A9AEF70" w:rsidR="00437EC0" w:rsidRDefault="00C05D99" w:rsidP="00F74804">
            <w:pPr>
              <w:spacing w:line="360" w:lineRule="auto"/>
              <w:jc w:val="center"/>
              <w:cnfStyle w:val="000000000000" w:firstRow="0" w:lastRow="0" w:firstColumn="0" w:lastColumn="0" w:oddVBand="0" w:evenVBand="0" w:oddHBand="0" w:evenHBand="0" w:firstRowFirstColumn="0" w:firstRowLastColumn="0" w:lastRowFirstColumn="0" w:lastRowLastColumn="0"/>
            </w:pPr>
            <w:r>
              <w:t>Y</w:t>
            </w:r>
          </w:p>
        </w:tc>
      </w:tr>
      <w:tr w:rsidR="00BF0A99" w14:paraId="7B0563F5" w14:textId="77777777" w:rsidTr="00E918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right w:val="double" w:sz="4" w:space="0" w:color="auto"/>
            </w:tcBorders>
          </w:tcPr>
          <w:p w14:paraId="3FCB43B9" w14:textId="16587899" w:rsidR="00437EC0" w:rsidRPr="00E9180C" w:rsidRDefault="00437EC0" w:rsidP="00F74804">
            <w:pPr>
              <w:spacing w:line="360" w:lineRule="auto"/>
              <w:rPr>
                <w:rFonts w:ascii="Calibri" w:eastAsia="Times New Roman" w:hAnsi="Calibri" w:cs="Times New Roman"/>
                <w:b w:val="0"/>
                <w:bCs w:val="0"/>
                <w:i/>
                <w:iCs/>
                <w:color w:val="000000"/>
                <w:lang w:eastAsia="en-GB"/>
              </w:rPr>
            </w:pPr>
            <w:proofErr w:type="spellStart"/>
            <w:r w:rsidRPr="00E9180C">
              <w:rPr>
                <w:rFonts w:ascii="Calibri" w:eastAsia="Times New Roman" w:hAnsi="Calibri" w:cs="Times New Roman"/>
                <w:b w:val="0"/>
                <w:bCs w:val="0"/>
                <w:i/>
                <w:iCs/>
                <w:color w:val="000000"/>
                <w:lang w:eastAsia="en-GB"/>
              </w:rPr>
              <w:t>Weinmannia</w:t>
            </w:r>
            <w:proofErr w:type="spellEnd"/>
            <w:r w:rsidRPr="00E9180C">
              <w:rPr>
                <w:rFonts w:ascii="Calibri" w:eastAsia="Times New Roman" w:hAnsi="Calibri" w:cs="Times New Roman"/>
                <w:b w:val="0"/>
                <w:bCs w:val="0"/>
                <w:i/>
                <w:iCs/>
                <w:color w:val="000000"/>
                <w:lang w:eastAsia="en-GB"/>
              </w:rPr>
              <w:t xml:space="preserve"> </w:t>
            </w:r>
            <w:proofErr w:type="spellStart"/>
            <w:r w:rsidRPr="00E9180C">
              <w:rPr>
                <w:rFonts w:ascii="Calibri" w:eastAsia="Times New Roman" w:hAnsi="Calibri" w:cs="Times New Roman"/>
                <w:b w:val="0"/>
                <w:bCs w:val="0"/>
                <w:i/>
                <w:iCs/>
                <w:color w:val="000000"/>
                <w:lang w:eastAsia="en-GB"/>
              </w:rPr>
              <w:t>pau</w:t>
            </w:r>
            <w:r w:rsidR="00CB680A">
              <w:rPr>
                <w:rFonts w:ascii="Calibri" w:eastAsia="Times New Roman" w:hAnsi="Calibri" w:cs="Times New Roman"/>
                <w:b w:val="0"/>
                <w:bCs w:val="0"/>
                <w:i/>
                <w:iCs/>
                <w:color w:val="000000"/>
                <w:lang w:eastAsia="en-GB"/>
              </w:rPr>
              <w:t>l</w:t>
            </w:r>
            <w:r w:rsidRPr="00E9180C">
              <w:rPr>
                <w:rFonts w:ascii="Calibri" w:eastAsia="Times New Roman" w:hAnsi="Calibri" w:cs="Times New Roman"/>
                <w:b w:val="0"/>
                <w:bCs w:val="0"/>
                <w:i/>
                <w:iCs/>
                <w:color w:val="000000"/>
                <w:lang w:eastAsia="en-GB"/>
              </w:rPr>
              <w:t>liniifolia</w:t>
            </w:r>
            <w:proofErr w:type="spellEnd"/>
            <w:r w:rsidRPr="00E9180C">
              <w:rPr>
                <w:rFonts w:ascii="Calibri" w:eastAsia="Times New Roman" w:hAnsi="Calibri" w:cs="Times New Roman"/>
                <w:b w:val="0"/>
                <w:bCs w:val="0"/>
                <w:color w:val="000000"/>
                <w:lang w:eastAsia="en-GB"/>
              </w:rPr>
              <w:t xml:space="preserve"> (</w:t>
            </w:r>
            <w:proofErr w:type="spellStart"/>
            <w:r w:rsidR="002C231B">
              <w:rPr>
                <w:rFonts w:ascii="Calibri" w:eastAsia="Times New Roman" w:hAnsi="Calibri" w:cs="Times New Roman"/>
                <w:b w:val="0"/>
                <w:bCs w:val="0"/>
                <w:color w:val="000000"/>
                <w:lang w:eastAsia="en-GB"/>
              </w:rPr>
              <w:t>Weipau</w:t>
            </w:r>
            <w:proofErr w:type="spellEnd"/>
            <w:r w:rsidR="002C231B">
              <w:rPr>
                <w:rFonts w:ascii="Calibri" w:eastAsia="Times New Roman" w:hAnsi="Calibri" w:cs="Times New Roman"/>
                <w:b w:val="0"/>
                <w:bCs w:val="0"/>
                <w:color w:val="000000"/>
                <w:lang w:eastAsia="en-GB"/>
              </w:rPr>
              <w:t xml:space="preserve">; </w:t>
            </w:r>
            <w:proofErr w:type="spellStart"/>
            <w:r w:rsidRPr="00E9180C">
              <w:rPr>
                <w:rFonts w:ascii="Calibri" w:eastAsia="Times New Roman" w:hAnsi="Calibri" w:cs="Times New Roman"/>
                <w:b w:val="0"/>
                <w:bCs w:val="0"/>
                <w:color w:val="000000"/>
                <w:lang w:eastAsia="en-GB"/>
              </w:rPr>
              <w:t>Cunoniaceae</w:t>
            </w:r>
            <w:proofErr w:type="spellEnd"/>
            <w:r w:rsidRPr="00E9180C">
              <w:rPr>
                <w:rFonts w:ascii="Calibri" w:eastAsia="Times New Roman" w:hAnsi="Calibri" w:cs="Times New Roman"/>
                <w:b w:val="0"/>
                <w:bCs w:val="0"/>
                <w:color w:val="000000"/>
                <w:lang w:eastAsia="en-GB"/>
              </w:rPr>
              <w:t>)</w:t>
            </w:r>
          </w:p>
        </w:tc>
        <w:tc>
          <w:tcPr>
            <w:tcW w:w="670" w:type="dxa"/>
            <w:tcBorders>
              <w:left w:val="double" w:sz="4" w:space="0" w:color="auto"/>
              <w:right w:val="single" w:sz="4" w:space="0" w:color="auto"/>
            </w:tcBorders>
          </w:tcPr>
          <w:p w14:paraId="73F1D690"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tcBorders>
          </w:tcPr>
          <w:p w14:paraId="1FC141A9"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5400A0DF"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right w:val="single" w:sz="4" w:space="0" w:color="auto"/>
            </w:tcBorders>
          </w:tcPr>
          <w:p w14:paraId="372878DC" w14:textId="63644A61" w:rsidR="00437EC0" w:rsidRDefault="00404CA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left w:val="single" w:sz="4" w:space="0" w:color="auto"/>
              <w:right w:val="single" w:sz="4" w:space="0" w:color="auto"/>
            </w:tcBorders>
          </w:tcPr>
          <w:p w14:paraId="26B14E57" w14:textId="5CEFC3A2"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single" w:sz="4" w:space="0" w:color="auto"/>
              <w:right w:val="single" w:sz="4" w:space="0" w:color="auto"/>
            </w:tcBorders>
          </w:tcPr>
          <w:p w14:paraId="7B171ED7" w14:textId="75310B18" w:rsidR="00437EC0" w:rsidRDefault="00710B22"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Borders>
              <w:left w:val="single" w:sz="4" w:space="0" w:color="auto"/>
            </w:tcBorders>
          </w:tcPr>
          <w:p w14:paraId="410729FF" w14:textId="5DD7CC1D" w:rsidR="00437EC0" w:rsidRDefault="00D26FC8"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c>
          <w:tcPr>
            <w:tcW w:w="0" w:type="auto"/>
          </w:tcPr>
          <w:p w14:paraId="4AE2FA45"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right w:val="double" w:sz="4" w:space="0" w:color="auto"/>
            </w:tcBorders>
          </w:tcPr>
          <w:p w14:paraId="00A812B8" w14:textId="77777777" w:rsidR="00437EC0" w:rsidRDefault="00437EC0" w:rsidP="00F74804">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Borders>
              <w:left w:val="double" w:sz="4" w:space="0" w:color="auto"/>
            </w:tcBorders>
          </w:tcPr>
          <w:p w14:paraId="4AE2D4AA" w14:textId="44E05C93" w:rsidR="00437EC0" w:rsidRDefault="00C05D99" w:rsidP="00F74804">
            <w:pPr>
              <w:spacing w:line="360" w:lineRule="auto"/>
              <w:jc w:val="center"/>
              <w:cnfStyle w:val="000000100000" w:firstRow="0" w:lastRow="0" w:firstColumn="0" w:lastColumn="0" w:oddVBand="0" w:evenVBand="0" w:oddHBand="1" w:evenHBand="0" w:firstRowFirstColumn="0" w:firstRowLastColumn="0" w:lastRowFirstColumn="0" w:lastRowLastColumn="0"/>
            </w:pPr>
            <w:r>
              <w:t>Y</w:t>
            </w:r>
          </w:p>
        </w:tc>
      </w:tr>
    </w:tbl>
    <w:p w14:paraId="0E436DD5" w14:textId="26A3FEFB" w:rsidR="009C1E2C" w:rsidRDefault="00E278B8" w:rsidP="00F74804">
      <w:pPr>
        <w:spacing w:line="360" w:lineRule="auto"/>
        <w:rPr>
          <w:i/>
          <w:iCs/>
          <w:sz w:val="20"/>
          <w:szCs w:val="20"/>
        </w:rPr>
      </w:pPr>
      <w:r>
        <w:rPr>
          <w:i/>
          <w:iCs/>
          <w:sz w:val="20"/>
          <w:szCs w:val="20"/>
        </w:rPr>
        <w:t xml:space="preserve">Table </w:t>
      </w:r>
      <w:r w:rsidR="002A1F13">
        <w:rPr>
          <w:i/>
          <w:iCs/>
          <w:sz w:val="20"/>
          <w:szCs w:val="20"/>
        </w:rPr>
        <w:t>1</w:t>
      </w:r>
      <w:r>
        <w:rPr>
          <w:i/>
          <w:iCs/>
          <w:sz w:val="20"/>
          <w:szCs w:val="20"/>
        </w:rPr>
        <w:t xml:space="preserve">: </w:t>
      </w:r>
      <w:r w:rsidR="008F556C">
        <w:rPr>
          <w:i/>
          <w:iCs/>
          <w:sz w:val="20"/>
          <w:szCs w:val="20"/>
        </w:rPr>
        <w:t>Modelled species and their importance in the ecosystems of southern Brazil’s Atlantic Forest</w:t>
      </w:r>
      <w:r w:rsidR="00816FA9">
        <w:rPr>
          <w:i/>
          <w:iCs/>
          <w:sz w:val="20"/>
          <w:szCs w:val="20"/>
        </w:rPr>
        <w:t xml:space="preserve"> (</w:t>
      </w:r>
      <w:r w:rsidR="004706E6">
        <w:rPr>
          <w:i/>
          <w:iCs/>
          <w:sz w:val="20"/>
          <w:szCs w:val="20"/>
        </w:rPr>
        <w:t xml:space="preserve">SDF = Seasonally Deciduous Forest, AMF = Araucaria Mixed Forest, </w:t>
      </w:r>
      <w:r w:rsidR="00816FA9">
        <w:rPr>
          <w:i/>
          <w:iCs/>
          <w:sz w:val="20"/>
          <w:szCs w:val="20"/>
        </w:rPr>
        <w:t xml:space="preserve">CAM = Campos, </w:t>
      </w:r>
      <w:r w:rsidR="00756D4D">
        <w:rPr>
          <w:i/>
          <w:iCs/>
          <w:sz w:val="20"/>
          <w:szCs w:val="20"/>
        </w:rPr>
        <w:t xml:space="preserve">CLD </w:t>
      </w:r>
      <w:r w:rsidR="00816FA9">
        <w:rPr>
          <w:i/>
          <w:iCs/>
          <w:sz w:val="20"/>
          <w:szCs w:val="20"/>
        </w:rPr>
        <w:t>= Cloud Forest</w:t>
      </w:r>
      <w:r w:rsidR="004706E6">
        <w:rPr>
          <w:i/>
          <w:iCs/>
          <w:sz w:val="20"/>
          <w:szCs w:val="20"/>
        </w:rPr>
        <w:t xml:space="preserve">, </w:t>
      </w:r>
      <w:r w:rsidR="006135E4">
        <w:rPr>
          <w:i/>
          <w:iCs/>
          <w:sz w:val="20"/>
          <w:szCs w:val="20"/>
        </w:rPr>
        <w:t>ARF = Atlantic Rainforest</w:t>
      </w:r>
      <w:r w:rsidR="00816FA9">
        <w:rPr>
          <w:i/>
          <w:iCs/>
          <w:sz w:val="20"/>
          <w:szCs w:val="20"/>
        </w:rPr>
        <w:t>)</w:t>
      </w:r>
      <w:r w:rsidR="008F556C">
        <w:rPr>
          <w:i/>
          <w:iCs/>
          <w:sz w:val="20"/>
          <w:szCs w:val="20"/>
        </w:rPr>
        <w:t xml:space="preserve"> </w:t>
      </w:r>
      <w:r w:rsidR="00075BAA" w:rsidRPr="001F2114">
        <w:rPr>
          <w:i/>
          <w:iCs/>
          <w:sz w:val="20"/>
          <w:szCs w:val="20"/>
        </w:rPr>
        <w:fldChar w:fldCharType="begin" w:fldLock="1"/>
      </w:r>
      <w:r w:rsidR="007F330C">
        <w:rPr>
          <w:i/>
          <w:iCs/>
          <w:sz w:val="20"/>
          <w:szCs w:val="20"/>
        </w:rPr>
        <w:instrText>ADDIN CSL_CITATION {"citationItems":[{"id":"ITEM-1","itemData":{"DOI":"10.1111/avsc.12413","ISSN":"1402-2001","abstract":"Aims: We offer a first classification of South Brazilian grasslands (Campos Sulinos) based on quantitative vegetation data and describing grassland types in terms of dominant and indicator species. Location: South Brazilian grasslands (Paraná, Santa Catarina, Rio Grande do Sul states). Methods: We described vegetation plots in 167 sampling units throughout the region using a stratified nested design, totalizing 1,502 1 m² quadrats. We classified vegetation using cluster analysis based on Bray-Curtis dissimilarities, establishing three vegetation types and ten subtypes. We conducted indicator species analysis within the resulting subtypes, and for all possible combinations of subtypes. Results: In the cluster analyses, a clear separation of poorly drained grasslands from the drier sites appeared. Further, a clear distinction between grasslands in the South Brazilian highland region, situated in the Atlantic Forest biome, and the grasslands of the Pampa biome, to the south, emerged, reflecting climatic and management differences. Highland grasslands showed lower species cover dominance, while in the","author":[{"dropping-particle":"","family":"Andrade","given":"Bianca O","non-dropping-particle":"","parse-names":false,"suffix":""},{"dropping-particle":"","family":"Bonilha","given":"Camila L","non-dropping-particle":"","parse-names":false,"suffix":""},{"dropping-particle":"","family":"Overbeck","given":"Gerhard E","non-dropping-particle":"","parse-names":false,"suffix":""},{"dropping-particle":"","family":"Vélez‐Martin","given":"Eduardo","non-dropping-particle":"","parse-names":false,"suffix":""},{"dropping-particle":"","family":"Rolim","given":"Rosângela G","non-dropping-particle":"","parse-names":false,"suffix":""},{"dropping-particle":"","family":"Bordignon","given":"Sérgio Augusto L.","non-dropping-particle":"","parse-names":false,"suffix":""},{"dropping-particle":"","family":"Schneider","given":"Angelo A","non-dropping-particle":"","parse-names":false,"suffix":""},{"dropping-particle":"","family":"Vogel Ely","given":"Cleusa","non-dropping-particle":"","parse-names":false,"suffix":""},{"dropping-particle":"","family":"Lucas","given":"Dióber B.","non-dropping-particle":"","parse-names":false,"suffix":""},{"dropping-particle":"","family":"Garcia","given":"Élen N","non-dropping-particle":"","parse-names":false,"suffix":""},{"dropping-particle":"","family":"Santos","given":"Emily D.","non-dropping-particle":"dos","parse-names":false,"suffix":""},{"dropping-particle":"","family":"Torchelsen","given":"Fábio P.","non-dropping-particle":"","parse-names":false,"suffix":""},{"dropping-particle":"","family":"Vieira","given":"Mariana S","non-dropping-particle":"","parse-names":false,"suffix":""},{"dropping-particle":"","family":"Silva Filho","given":"Pedro J. S.","non-dropping-particle":"","parse-names":false,"suffix":""},{"dropping-particle":"","family":"Ferreira","given":"Pedro M A","non-dropping-particle":"","parse-names":false,"suffix":""},{"dropping-particle":"","family":"Trevisan","given":"Rafael","non-dropping-particle":"","parse-names":false,"suffix":""},{"dropping-particle":"","family":"Hollas","given":"Raquel","non-dropping-particle":"","parse-names":false,"suffix":""},{"dropping-particle":"","family":"Campestrini","given":"Sérgio","non-dropping-particle":"","parse-names":false,"suffix":""},{"dropping-particle":"","family":"Pillar","given":"Valério D.","non-dropping-particle":"","parse-names":false,"suffix":""},{"dropping-particle":"","family":"Boldrini","given":"Ilsi I.","non-dropping-particle":"","parse-names":false,"suffix":""}],"container-title":"Applied Vegetation Science","editor":[{"dropping-particle":"","family":"Jansen","given":"Florian","non-dropping-particle":"","parse-names":false,"suffix":""}],"id":"ITEM-1","issue":"1","issued":{"date-parts":[["2019","1","30"]]},"note":"Description of pampas and campos grasslands from survey methodology. The two are distinct, with subgroups distinguished between. Highlights some indicator spp - useful for modelling","page":"168-184","publisher":"PPG","title":"Classification of South Brazilian grasslands: Implications for conservation","type":"article-journal","volume":"22"},"prefix":"from","uris":["http://www.mendeley.com/documents/?uuid=b5095eef-d85b-3509-a93c-8bb5e5eb030e"]},{"id":"ITEM-2","itemData":{"DOI":"10.1007/s10531-011-0129-6","ISSN":"0960-3115","abstract":"In a previous study near the summit of Mt. Cuscuzeiro (Ubatuba, SP) (820-1270 m), on the SE Brazilian coast, we found two floristically different forests, one above 1120 m, that appears to have a number of features typical of cloud forests, and another on the lower altitude slopes below. Taking these two forests as reference points, we addressed two questions: (1) What are their floristic relationships with other Atlantic forest subtypes in S-SE Brazil?; (2) Do the cloud forests in this region constitute a particular floristic-phytogeographic formation or are they a subset of their surrounding community? Species from 109 surveys (including Mount Cuscuzeiro) of 83 locations in S-SE Brazil were compiled into a binary (presence-absence) floristic matrix. Analyses of similarity among these samples using clustering (UPGMA, TWINSPAN) and ordination (DCA, PCO and CA) methods were performed. The surveys were divided into six main groups: (1) Cloud Forests; (2) \"Salesópolis\" group (3) Coastal Forests, subdivided between (a) Slope Forests and (b) Coastal Plain (\"Restinga\") Forests and Mountaintop Forests (not included in the Cloud Forests group); (4) Araucaria Forests; (5) Inland Seasonal Forests (from below ca. 700 m); and (6) Inland Montane Forests (from above ca. 700 m). The preferential and indicator species of the Cloud Forest group produced by TWINSPAN are presented. The Mount Cuscuzeiro forests from above and from below 1120 m were clustered with the Cloud Forests and the coastal Slope Forests groups, respectively. We concluded that Cloud forests comprise a distinct phytogeographic formation in Brazilian S-SE region. © 2011 Springer Science+Business Media B.V.","author":[{"dropping-particle":"","family":"Bertoncello","given":"Ricardo","non-dropping-particle":"","parse-names":false,"suffix":""},{"dropping-particle":"","family":"Yamamoto","given":"Kikyo","non-dropping-particle":"","parse-names":false,"suffix":""},{"dropping-particle":"","family":"Meireles","given":"Leonardo Dias","non-dropping-particle":"","parse-names":false,"suffix":""},{"dropping-particle":"","family":"Shepherd","given":"George John","non-dropping-particle":"","parse-names":false,"suffix":""}],"container-title":"Biodiversity and Conservation","id":"ITEM-2","issue":"14","issued":{"date-parts":[["2011","12","18"]]},"page":"3413-3433","publisher":"Springer Netherlands","title":"A phytogeographic analysis of cloud forests and other forest subtypes amidst the Atlantic forests in south and southeast Brazil","type":"article-journal","volume":"20"},"uris":["http://www.mendeley.com/documents/?uuid=872f0e06-2440-3501-8238-a8ea7c4743c9"]},{"id":"ITEM-3","itemData":{"author":[{"dropping-particle":"","family":"Klein","given":"Roberto M.","non-dropping-particle":"","parse-names":false,"suffix":""}],"container-title":"Boletim Paranaense de Geociências","id":"ITEM-3","issued":{"date-parts":[["1975"]]},"page":"67-88","title":"Southern Brazilian phytogeographic features and the probable influence of upper Quaternary climatic changes in the floristic distribution","type":"article-journal","volume":"33"},"uris":["http://www.mendeley.com/documents/?uuid=96f58c7d-b821-4664-ab3d-2a469bfc2a28"]},{"id":"ITEM-4","itemData":{"abstract":"2013. In: (eds.). Blumenau. Edifurb.","author":[{"dropping-particle":"","family":"Lingner","given":"D.V.","non-dropping-particle":"","parse-names":false,"suffix":""},{"dropping-particle":"","family":"Schorn","given":"L.A.","non-dropping-particle":"","parse-names":false,"suffix":""},{"dropping-particle":"","family":"Vibrans","given":"A.C.","non-dropping-particle":"","parse-names":false,"suffix":""},{"dropping-particle":"","family":"Meyer","given":"L.","non-dropping-particle":"","parse-names":false,"suffix":""},{"dropping-particle":"","family":"Sevegnani","given":"L.","non-dropping-particle":"","parse-names":false,"suffix":""},{"dropping-particle":"de","family":"Gasper","given":"A.L.","non-dropping-particle":"","parse-names":false,"suffix":""},{"dropping-particle":"","family":"Sobral","given":"M.G.","non-dropping-particle":"","parse-names":false,"suffix":""},{"dropping-particle":"","family":"Krüger","given":"A","non-dropping-particle":"","parse-names":false,"suffix":""},{"dropping-particle":"","family":"Klemz","given":"G.","non-dropping-particle":"","parse-names":false,"suffix":""},{"dropping-particle":"","family":"Schmidt","given":"R.","non-dropping-particle":"","parse-names":false,"suffix":""},{"dropping-particle":"","family":"Anastácio Junior","given":"C.","non-dropping-particle":"","parse-names":false,"suffix":""},{"dropping-particle":"","family":"Pasqualli","given":"V.R.","non-dropping-particle":"","parse-names":false,"suffix":""}],"chapter-number":"6","container-title":"Inventário Florístico Florestal de Santa Catarina, Vol. IV, Floresta Ombrófla Densa.","editor":[{"dropping-particle":"","family":"Vibrans","given":"A.C.","non-dropping-particle":"","parse-names":false,"suffix":""},{"dropping-particle":"","family":"Sevegnani","given":"L.","non-dropping-particle":"","parse-names":false,"suffix":""},{"dropping-particle":"de","family":"Gasper","given":"A.L.","non-dropping-particle":"","parse-names":false,"suffix":""},{"dropping-particle":"","family":"Lingner","given":"D.V.","non-dropping-particle":"","parse-names":false,"suffix":""}],"id":"ITEM-4","issued":{"date-parts":[["2013"]]},"page":"159-200","publisher":"Edifurb","publisher-place":"Blumenau","title":"Fitossociologia do componente arbóreo/arbustivo da Floresta Ombrófla Densa no Estado de Santa Catarina.","type":"chapter"},"uris":["http://www.mendeley.com/documents/?uuid=f0062aad-efc1-43bf-ba2a-97192d367b7a"]},{"id":"ITEM-5","itemData":{"author":[{"dropping-particle":"","family":"Meyer","given":"L.","non-dropping-particle":"","parse-names":false,"suffix":""},{"dropping-particle":"","family":"Sevegnani","given":"L.","non-dropping-particle":"","parse-names":false,"suffix":""},{"dropping-particle":"de","family":"Gasper","given":"A.L.","non-dropping-particle":"","parse-names":false,"suffix":""},{"dropping-particle":"","family":"Schorn","given":"L.A.","non-dropping-particle":"","parse-names":false,"suffix":""},{"dropping-particle":"","family":"Vibrans","given":"A.C.","non-dropping-particle":"","parse-names":false,"suffix":""},{"dropping-particle":"","family":"Lingner","given":"D.V.","non-dropping-particle":"","parse-names":false,"suffix":""},{"dropping-particle":"","family":"Sobral","given":"M.G.","non-dropping-particle":"","parse-names":false,"suffix":""},{"dropping-particle":"","family":"Klemz","given":"G.","non-dropping-particle":"","parse-names":false,"suffix":""},{"dropping-particle":"","family":"Schmdt","given":"R.","non-dropping-particle":"","parse-names":false,"suffix":""},{"dropping-particle":"","family":"Anastácio Junior","given":"C.","non-dropping-particle":"","parse-names":false,"suffix":""},{"dropping-particle":"","family":"Brongi","given":"E.","non-dropping-particle":"","parse-names":false,"suffix":""}],"chapter-number":"6","container-title":"Inventário Florístico Florestal de Santa Catarina, Vol. III, Floresta Ombrófila Mista.","editor":[{"dropping-particle":"","family":"Vibrans","given":"A.C.","non-dropping-particle":"","parse-names":false,"suffix":""},{"dropping-particle":"","family":"Sevegnani","given":"L.","non-dropping-particle":"","parse-names":false,"suffix":""},{"dropping-particle":"de","family":"Gasper","given":"A.L.","non-dropping-particle":"","parse-names":false,"suffix":""},{"dropping-particle":"","family":"Lingner","given":"D.V.","non-dropping-particle":"","parse-names":false,"suffix":""}],"id":"ITEM-5","issued":{"date-parts":[["2013"]]},"page":"157-189","publisher":"Edifurb","publisher-place":"Blumenau","title":"Fitossociologia do componente arbóreo/arbustivo da Floresta Ombrófila Mista em Santa Catarina.","type":"chapter"},"uris":["http://www.mendeley.com/documents/?uuid=bb0833f1-a145-4b23-bed1-425e8fbffcf5"]},{"id":"ITEM-6","itemData":{"ISBN":"9788571143319","author":[{"dropping-particle":"","family":"Schorn","given":"Lauri Amândio","non-dropping-particle":"","parse-names":false,"suffix":""},{"dropping-particle":"","family":"Lingner","given":"D.V.","non-dropping-particle":"","parse-names":false,"suffix":""},{"dropping-particle":"","family":"Vibrans","given":"A.C.","non-dropping-particle":"","parse-names":false,"suffix":""},{"dropping-particle":"de","family":"Gasper","given":"A.L.","non-dropping-particle":"","parse-names":false,"suffix":""},{"dropping-particle":"","family":"Sevegnani","given":"L.","non-dropping-particle":"","parse-names":false,"suffix":""},{"dropping-particle":"","family":"Sobral","given":"M.","non-dropping-particle":"","parse-names":false,"suffix":""},{"dropping-particle":"","family":"Meyer","given":"L.","non-dropping-particle":"","parse-names":false,"suffix":""},{"dropping-particle":"","family":"Klemz","given":"G.","non-dropping-particle":"","parse-names":false,"suffix":""},{"dropping-particle":"","family":"Schmitt","given":"R.","non-dropping-particle":"","parse-names":false,"suffix":""},{"dropping-particle":"","family":"Anastacio-Jr","given":"C.","non-dropping-particle":"","parse-names":false,"suffix":""},{"dropping-particle":"","family":"Pasqualli","given":"V.R.","non-dropping-particle":"","parse-names":false,"suffix":""}],"container-title":"Volume II - Floresta Estacional Decidual","id":"ITEM-6","issue":"January","issued":{"date-parts":[["2012"]]},"page":"139-159","title":"Estrutura do componente arbóreo/arbustivo da Floresta Estacional Decidual em Santa Catarina","type":"article-journal","volume":"II"},"uris":["http://www.mendeley.com/documents/?uuid=9a7d7c1d-e031-44be-a486-69e6c9761183"]},{"id":"ITEM-7","itemData":{"ISSN":"19805098 01039954","abstract":"This study aimed to evaluate the species composition and structure of Seasonal Deciduous Forest in the southern Brazilian state of Santa Catarina, including the tree/shrub component and the natural regeneration. We also compared the floristic composition between the components and discussed about the conservation condition of forests. The study was based on sample plots established by the Floristic and Forest Inventory of Santa Catarina state. Tree/shrub component was sampled by 78 plots placed systematically with 4,000 m² of sample area each, were individuals with DBH (diameter at breast height) ≥ 10 cm was measured. Regeneration (DBH &lt;10 cm and height &gt;1.50 m) was sampled in subplots of 100 m² each. Structure and diversity of sample plots were analyzed in both components; species were classified by their ecologic group. To test the association between components was made a Non-metric Multidimensional Scaling (NMSD) and Mantel test. We sampled 245 species, among them 215 in the tree/shrub component (79 of them exclusive), 165 species in the natural regeneration (30 exclusive ones) and 136 species common to the two components. The association between components was confirmed with NMSD and Mantel test (r = 0.34; p = 0.001). Species with major importance value were mostly early secondary species that emphasizes the consequences of long term exploitation and degradation of Seasonal Deciduous Forest in Santa Catarina.","author":[{"dropping-particle":"","family":"Schorn","given":"Lauri Amândio","non-dropping-particle":"","parse-names":false,"suffix":""},{"dropping-particle":"","family":"Meyer","given":"Leila","non-dropping-particle":"","parse-names":false,"suffix":""},{"dropping-particle":"","family":"Sevegnani","given":"Lucia","non-dropping-particle":"","parse-names":false,"suffix":""},{"dropping-particle":"","family":"Vibrans","given":"A.C.","non-dropping-particle":"","parse-names":false,"suffix":""},{"dropping-particle":"","family":"Vanessa","given":"Débora","non-dropping-particle":"","parse-names":false,"suffix":""},{"dropping-particle":"","family":"Gasper","given":"L.A.L.","non-dropping-particle":"de","parse-names":false,"suffix":""},{"dropping-particle":"","family":"Uhlmann","given":"Alexandre","non-dropping-particle":"","parse-names":false,"suffix":""},{"dropping-particle":"","family":"Verdi","given":"Márcio","non-dropping-particle":"","parse-names":false,"suffix":""},{"dropping-particle":"","family":"Stival-Santos","given":"Anita","non-dropping-particle":"","parse-names":false,"suffix":""}],"container-title":"Ciencia Florestal","id":"ITEM-7","issue":"4","issued":{"date-parts":[["2014"]]},"page":"821-831","title":"Fitossociologia de fragmentos de floresta estacional decidual no estado de Santa Catarina – Brasil","type":"article-journal","volume":"24"},"uris":["http://www.mendeley.com/documents/?uuid=012ef659-01f6-3251-a7a7-b70ca34bac2c"]}],"mendeley":{"formattedCitation":"(from Andrade et al., 2019; Bertoncello et al., 2011; Klein, 1975; Lingner et al., 2013a; Meyer et al., 2013; Schorn et al., 2014, 2012)","plainTextFormattedCitation":"(from Andrade et al., 2019; Bertoncello et al., 2011; Klein, 1975; Lingner et al., 2013a; Meyer et al., 2013; Schorn et al., 2014, 2012)","previouslyFormattedCitation":"(from Andrade et al., 2019; Bertoncello et al., 2011; Klein, 1975; Lingner et al., 2013a; Meyer et al., 2013; Schorn et al., 2014, 2012)"},"properties":{"noteIndex":0},"schema":"https://github.com/citation-style-language/schema/raw/master/csl-citation.json"}</w:instrText>
      </w:r>
      <w:r w:rsidR="00075BAA" w:rsidRPr="001F2114">
        <w:rPr>
          <w:i/>
          <w:iCs/>
          <w:sz w:val="20"/>
          <w:szCs w:val="20"/>
        </w:rPr>
        <w:fldChar w:fldCharType="separate"/>
      </w:r>
      <w:r w:rsidR="005944BB" w:rsidRPr="005944BB">
        <w:rPr>
          <w:iCs/>
          <w:noProof/>
          <w:sz w:val="20"/>
          <w:szCs w:val="20"/>
        </w:rPr>
        <w:t>(from Andrade et al., 2019; Bertoncello et al., 2011; Klein, 1975; Lingner et al., 2013a; Meyer et al., 2013; Schorn et al., 2014, 2012)</w:t>
      </w:r>
      <w:r w:rsidR="00075BAA" w:rsidRPr="001F2114">
        <w:rPr>
          <w:i/>
          <w:iCs/>
          <w:sz w:val="20"/>
          <w:szCs w:val="20"/>
        </w:rPr>
        <w:fldChar w:fldCharType="end"/>
      </w:r>
      <w:r w:rsidR="00F2280C">
        <w:rPr>
          <w:i/>
          <w:iCs/>
          <w:sz w:val="20"/>
          <w:szCs w:val="20"/>
        </w:rPr>
        <w:t>.</w:t>
      </w:r>
      <w:r w:rsidR="00E0392D">
        <w:rPr>
          <w:i/>
          <w:iCs/>
          <w:sz w:val="20"/>
          <w:szCs w:val="20"/>
        </w:rPr>
        <w:t xml:space="preserve"> </w:t>
      </w:r>
      <w:r w:rsidR="003B600E">
        <w:rPr>
          <w:i/>
          <w:iCs/>
          <w:sz w:val="20"/>
          <w:szCs w:val="20"/>
        </w:rPr>
        <w:t xml:space="preserve">Fossil pollen importance generalised from </w:t>
      </w:r>
      <w:r w:rsidR="00023245">
        <w:rPr>
          <w:i/>
          <w:iCs/>
          <w:sz w:val="20"/>
          <w:szCs w:val="20"/>
        </w:rPr>
        <w:t xml:space="preserve">pollen taxa (genus level or below) </w:t>
      </w:r>
      <w:r w:rsidR="00737557">
        <w:rPr>
          <w:i/>
          <w:iCs/>
          <w:sz w:val="20"/>
          <w:szCs w:val="20"/>
        </w:rPr>
        <w:t xml:space="preserve">in </w:t>
      </w:r>
      <w:r w:rsidR="003B600E">
        <w:rPr>
          <w:i/>
          <w:iCs/>
          <w:sz w:val="20"/>
          <w:szCs w:val="20"/>
        </w:rPr>
        <w:t>published proxy sites</w:t>
      </w:r>
      <w:r w:rsidR="00737557">
        <w:rPr>
          <w:i/>
          <w:iCs/>
          <w:sz w:val="20"/>
          <w:szCs w:val="20"/>
        </w:rPr>
        <w:t xml:space="preserve"> listed in</w:t>
      </w:r>
      <w:r w:rsidR="003B600E">
        <w:rPr>
          <w:i/>
          <w:iCs/>
          <w:sz w:val="20"/>
          <w:szCs w:val="20"/>
        </w:rPr>
        <w:t xml:space="preserve"> </w:t>
      </w:r>
      <w:r w:rsidR="00D66341">
        <w:rPr>
          <w:i/>
          <w:iCs/>
          <w:sz w:val="20"/>
          <w:szCs w:val="20"/>
        </w:rPr>
        <w:t>T</w:t>
      </w:r>
      <w:r w:rsidR="003B600E">
        <w:rPr>
          <w:i/>
          <w:iCs/>
          <w:sz w:val="20"/>
          <w:szCs w:val="20"/>
        </w:rPr>
        <w:t xml:space="preserve">able </w:t>
      </w:r>
      <w:r w:rsidR="00D66341">
        <w:rPr>
          <w:i/>
          <w:iCs/>
          <w:sz w:val="20"/>
          <w:szCs w:val="20"/>
        </w:rPr>
        <w:t xml:space="preserve">S2. </w:t>
      </w:r>
      <w:r w:rsidR="00E0392D">
        <w:rPr>
          <w:i/>
          <w:iCs/>
          <w:sz w:val="20"/>
          <w:szCs w:val="20"/>
        </w:rPr>
        <w:t xml:space="preserve">‘Y’ indicates </w:t>
      </w:r>
      <w:r w:rsidR="00F87B09">
        <w:rPr>
          <w:i/>
          <w:iCs/>
          <w:sz w:val="20"/>
          <w:szCs w:val="20"/>
        </w:rPr>
        <w:t>very high</w:t>
      </w:r>
      <w:r w:rsidR="00E0392D">
        <w:rPr>
          <w:i/>
          <w:iCs/>
          <w:sz w:val="20"/>
          <w:szCs w:val="20"/>
        </w:rPr>
        <w:t xml:space="preserve"> importance/</w:t>
      </w:r>
      <w:r w:rsidR="00F87B09">
        <w:rPr>
          <w:i/>
          <w:iCs/>
          <w:sz w:val="20"/>
          <w:szCs w:val="20"/>
        </w:rPr>
        <w:t xml:space="preserve">frequent </w:t>
      </w:r>
      <w:r w:rsidR="00E0392D">
        <w:rPr>
          <w:i/>
          <w:iCs/>
          <w:sz w:val="20"/>
          <w:szCs w:val="20"/>
        </w:rPr>
        <w:t>presence</w:t>
      </w:r>
      <w:r w:rsidR="00F87B09">
        <w:rPr>
          <w:i/>
          <w:iCs/>
          <w:sz w:val="20"/>
          <w:szCs w:val="20"/>
        </w:rPr>
        <w:t>, and ‘(Y)’ indicates somewhat high importance/frequent presence.</w:t>
      </w:r>
    </w:p>
    <w:p w14:paraId="4187789E" w14:textId="3D5AC28E" w:rsidR="003059A1" w:rsidRDefault="003059A1" w:rsidP="00F74804">
      <w:pPr>
        <w:spacing w:line="360" w:lineRule="auto"/>
      </w:pPr>
      <w:r>
        <w:t xml:space="preserve">Locality data for </w:t>
      </w:r>
      <w:r w:rsidR="00583C27">
        <w:t>these species w</w:t>
      </w:r>
      <w:r w:rsidR="003E1770">
        <w:t>ere</w:t>
      </w:r>
      <w:r>
        <w:t xml:space="preserve"> drawn from two sources: the Santa Catarina Forest Floristic Inventory (IFFSC) </w:t>
      </w:r>
      <w:r>
        <w:fldChar w:fldCharType="begin" w:fldLock="1"/>
      </w:r>
      <w:r w:rsidR="007F330C">
        <w:instrText>ADDIN CSL_CITATION {"citationItems":[{"id":"ITEM-1","itemData":{"DOI":"10.4336/2010.pfb.64.291","abstract":"The purpose of this study is to contribute to the discussion on regional and national forest inventories, aiming mainly on aspects of methodos and operational. The Floristic and Forest Inventory of Santa Catarina State (IFFSC) is an initiative of the state government and it was conceived in order to attend requirements of environmental laws. A pilot inventory took place in 2005; then the methodology was fitted to the proposal of the National Forest Inventory (IFN-BR) in discussion at the time. IFFSC is carried out since 2007 in all natural forest formations all over the state’s territory, including floristic sampling (collection of fertile trees, shrubs and herbs within the sample unit and in its surroundings) and survey of vascular epiphytes by specialized crews. The inventory applies a systematic sampling, with sample units containing clusters of four crosswise 1,000 m² plots (20 m x 50 m), distributed systematically at the intersections of a 10 km x 10 km grid all over the state’s territory (a 5 km x 5 km grid is applied on highly fragmentized Seasonal Deciduous Forests). Methodological details and some important operational issues are discussed beyond the four years experience of IFFSC. Major sampling intensity and lower diameter and height thresholds (in the arboreal and regeneration strata) than in the nationwide inventory proposal (IFN-BR), as well as the execution of a floristic survey within and around the sample plots, showed to be important to record plant diversity of Santa Catarina’s forests.","author":[{"dropping-particle":"","family":"Vibrans","given":"Alexander Christian","non-dropping-particle":"","parse-names":false,"suffix":""},{"dropping-particle":"","family":"Sevegnani","given":"Lúcia","non-dropping-particle":"","parse-names":false,"suffix":""},{"dropping-particle":"","family":"Lingner","given":"Débora Vanessa","non-dropping-particle":"","parse-names":false,"suffix":""},{"dropping-particle":"","family":"Gasper","given":"André Luís","non-dropping-particle":"de","parse-names":false,"suffix":""},{"dropping-particle":"","family":"Sabbagh","given":"Shams","non-dropping-particle":"","parse-names":false,"suffix":""}],"container-title":"Pesquisa Florestal Brasileira","id":"ITEM-1","issue":"64","issued":{"date-parts":[["2010"]]},"page":"291-302","title":"Inventário florístico florestal de Santa Catarina (IFFSC): aspectos metodológicos e operacionais","type":"article-journal","volume":"30"},"uris":["http://www.mendeley.com/documents/?uuid=373f3df7-0ac2-3c2f-982b-59c479bdbbcb"]},{"id":"ITEM-2","itemData":{"DOI":"10.1590/1678-992x-2018-0036","ISSN":"1678992X","abstract":"A key issue in large-area inventories is defining a suitable sampling design and the effort required to obtain reliable estimates of species richness and forest attributes, especially in species-diverse forests. To address this issue, data from 418 systematically distributed 0.4 ha plots were collected. Estimators of nonparametric species richness were employed to assess the floristic representativeness of data collected in three forest types in the Brazilian Atlantic Forest. The sampling sufficiency of forest attributes was evaluated as a function of sample size. Altogether, 831 tree/shrub species were recorded. The data acquired through the systematic sampling design were representative of both species richness and basal area. The confidence intervals’ length would not substantially decrease by using more than 70% of the reference sample (n = 364), thereby reaching a length of ~5% of the sample mean. Nevertheless, reliable estimates of species richness for diverse forests demand a thorough sampling approach far more exacting so as to achieve acceptable population estimates of forest attributes. Though the study area is regarded as a biodiversity hotspot, the forest stands showed diminished species richness, basal area, stem volume and biomass when compared to old-growth stands. As regards species richness, the data provided evidence of contrasting great γ-diversity (at the forest type level) and small α-diversity (at the forest stand level). Amongst anthropic impacts, illegal logging and extensive cattle grazing within stands are undoubtedly key factors that threaten forest conservation in the study area.","author":[{"dropping-particle":"","family":"Vibrans","given":"Alexander Christian","non-dropping-particle":"","parse-names":false,"suffix":""},{"dropping-particle":"","family":"Gasper","given":"André Luís","non-dropping-particle":"De","parse-names":false,"suffix":""},{"dropping-particle":"","family":"Moser","given":"Paolo","non-dropping-particle":"","parse-names":false,"suffix":""},{"dropping-particle":"","family":"Oliveira","given":"Laio Zimermann","non-dropping-particle":"","parse-names":false,"suffix":""},{"dropping-particle":"","family":"Lingner","given":"Débora Vanessa","non-dropping-particle":"","parse-names":false,"suffix":""},{"dropping-particle":"","family":"Sevegnani","given":"Lucia","non-dropping-particle":"","parse-names":false,"suffix":""}],"container-title":"Scientia Agricola","id":"ITEM-2","issue":"1","issued":{"date-parts":[["2020"]]},"publisher":"Scientia Agricola","title":"Insights from a large-scale inventory in the southern Brazilian Atlantic Forest","type":"article-journal","volume":"77"},"uris":["http://www.mendeley.com/documents/?uuid=7eedcf07-b116-3afc-b8cc-5e691b952677"]}],"mendeley":{"formattedCitation":"(Vibrans et al., 2020, 2010)","plainTextFormattedCitation":"(Vibrans et al., 2020, 2010)","previouslyFormattedCitation":"(Vibrans et al., 2020, 2010)"},"properties":{"noteIndex":0},"schema":"https://github.com/citation-style-language/schema/raw/master/csl-citation.json"}</w:instrText>
      </w:r>
      <w:r>
        <w:fldChar w:fldCharType="separate"/>
      </w:r>
      <w:r w:rsidR="005944BB" w:rsidRPr="005944BB">
        <w:rPr>
          <w:noProof/>
        </w:rPr>
        <w:t>(Vibrans et al., 2020, 2010)</w:t>
      </w:r>
      <w:r>
        <w:fldChar w:fldCharType="end"/>
      </w:r>
      <w:r>
        <w:t>, and the Global Biodiversity Information Facility for records outside Santa Catarina</w:t>
      </w:r>
      <w:r w:rsidR="0053016D">
        <w:t xml:space="preserve"> (</w:t>
      </w:r>
      <w:hyperlink r:id="rId15" w:history="1">
        <w:r w:rsidR="002A1F13">
          <w:rPr>
            <w:rStyle w:val="Hyperlink"/>
          </w:rPr>
          <w:t>https://doi.org/10.15468/dl.0l64p1</w:t>
        </w:r>
      </w:hyperlink>
      <w:r w:rsidR="002A1F13">
        <w:t xml:space="preserve">, </w:t>
      </w:r>
      <w:hyperlink r:id="rId16" w:history="1">
        <w:r w:rsidR="002A1F13">
          <w:rPr>
            <w:rStyle w:val="Hyperlink"/>
          </w:rPr>
          <w:t>https://doi.org/10.15468/dl.o97owq</w:t>
        </w:r>
      </w:hyperlink>
      <w:r w:rsidR="002A1F13">
        <w:t xml:space="preserve">, </w:t>
      </w:r>
      <w:hyperlink r:id="rId17" w:history="1">
        <w:r w:rsidR="002A1F13">
          <w:rPr>
            <w:rStyle w:val="Hyperlink"/>
          </w:rPr>
          <w:t>https://doi.org/10.15468/dl.nxy2cp</w:t>
        </w:r>
      </w:hyperlink>
      <w:r>
        <w:t xml:space="preserve">). </w:t>
      </w:r>
      <w:r w:rsidR="00141F25">
        <w:t xml:space="preserve">GBIF records </w:t>
      </w:r>
      <w:r w:rsidR="00AE64BE">
        <w:t>w</w:t>
      </w:r>
      <w:r w:rsidR="00141F25">
        <w:t>ere</w:t>
      </w:r>
      <w:r w:rsidR="00AE64BE">
        <w:t xml:space="preserve"> taken from 15-</w:t>
      </w:r>
      <w:r w:rsidR="00A808B7">
        <w:t>4</w:t>
      </w:r>
      <w:r w:rsidR="00AE64BE">
        <w:t>5</w:t>
      </w:r>
      <w:r w:rsidR="00AE64BE">
        <w:rPr>
          <w:vertAlign w:val="superscript"/>
        </w:rPr>
        <w:t>o</w:t>
      </w:r>
      <w:r w:rsidR="00AE64BE">
        <w:t xml:space="preserve"> S</w:t>
      </w:r>
      <w:r w:rsidR="0012137C">
        <w:t xml:space="preserve"> and</w:t>
      </w:r>
      <w:r w:rsidR="00AE64BE">
        <w:t xml:space="preserve"> 6</w:t>
      </w:r>
      <w:r w:rsidR="00A808B7">
        <w:t>7.5</w:t>
      </w:r>
      <w:r w:rsidR="00AE64BE">
        <w:t>-3</w:t>
      </w:r>
      <w:r w:rsidR="00A808B7">
        <w:t>5</w:t>
      </w:r>
      <w:r w:rsidR="00AE64BE">
        <w:rPr>
          <w:vertAlign w:val="superscript"/>
        </w:rPr>
        <w:t>o</w:t>
      </w:r>
      <w:r w:rsidR="00AE64BE">
        <w:t>W</w:t>
      </w:r>
      <w:r w:rsidR="00141F25">
        <w:t>,</w:t>
      </w:r>
      <w:r w:rsidR="00AE64BE">
        <w:t xml:space="preserve"> </w:t>
      </w:r>
      <w:r w:rsidR="002E5508">
        <w:t>where</w:t>
      </w:r>
      <w:r>
        <w:t xml:space="preserve"> present-day conditions generally encompass those </w:t>
      </w:r>
      <w:r w:rsidR="00095496">
        <w:t>experienced by</w:t>
      </w:r>
      <w:r>
        <w:t xml:space="preserve"> our study area over the last 21,000 years</w:t>
      </w:r>
      <w:r w:rsidR="00FE49AD">
        <w:t>, then c</w:t>
      </w:r>
      <w:r>
        <w:t>oordinates</w:t>
      </w:r>
      <w:r w:rsidR="003E5FA1">
        <w:t xml:space="preserve"> </w:t>
      </w:r>
      <w:r w:rsidR="002A1F13">
        <w:t xml:space="preserve">were </w:t>
      </w:r>
      <w:r w:rsidR="003E5FA1">
        <w:t>cleaned</w:t>
      </w:r>
      <w:r w:rsidR="00FE49AD">
        <w:t xml:space="preserve"> and thinned</w:t>
      </w:r>
      <w:r>
        <w:t xml:space="preserve">. Because true absences were only available from the IFFSC, which covers only a subset of the geographic and climatic space our models were trained on and lacks data on </w:t>
      </w:r>
      <w:proofErr w:type="gramStart"/>
      <w:r>
        <w:t>Campos</w:t>
      </w:r>
      <w:proofErr w:type="gramEnd"/>
      <w:r>
        <w:t xml:space="preserve"> species, we added 1,000 randomly located pseudo-absence points for each </w:t>
      </w:r>
      <w:r w:rsidR="00FE068D">
        <w:t>species</w:t>
      </w:r>
      <w:r>
        <w:t xml:space="preserve">. </w:t>
      </w:r>
    </w:p>
    <w:p w14:paraId="3F6B1EA3" w14:textId="575E62D9" w:rsidR="000451C7" w:rsidRDefault="000451C7" w:rsidP="00F74804">
      <w:pPr>
        <w:spacing w:line="360" w:lineRule="auto"/>
      </w:pPr>
      <w:r>
        <w:lastRenderedPageBreak/>
        <w:t>Modelling used the package ‘biomod2’ in R v3.5</w:t>
      </w:r>
      <w:r w:rsidR="008366B8">
        <w:t xml:space="preserve"> </w:t>
      </w:r>
      <w:r>
        <w:fldChar w:fldCharType="begin" w:fldLock="1"/>
      </w:r>
      <w:r w:rsidR="005363AA">
        <w:instrText>ADDIN CSL_CITATION {"citationItems":[{"id":"ITEM-1","itemData":{"author":[{"dropping-particle":"","family":"Thuiller","given":"Wilfried","non-dropping-particle":"","parse-names":false,"suffix":""},{"dropping-particle":"","family":"Georges","given":"Damien","non-dropping-particle":"","parse-names":false,"suffix":""},{"dropping-particle":"","family":"Engler","given":"Robert","non-dropping-particle":"","parse-names":false,"suffix":""},{"dropping-particle":"","family":"Breiner","given":"Frank","non-dropping-particle":"","parse-names":false,"suffix":""}],"id":"ITEM-1","issued":{"date-parts":[["2016"]]},"number":"R package version 3.3-7","title":"biomod2: Ensemble Platform for Species Distribution Modeling","type":"article"},"uris":["http://www.mendeley.com/documents/?uuid=02285539-04a4-4602-a164-a1b4e9d4f963"]},{"id":"ITEM-2","itemData":{"author":[{"dropping-particle":"","family":"R Core Team","given":"","non-dropping-particle":"","parse-names":false,"suffix":""}],"id":"ITEM-2","issued":{"date-parts":[["2018"]]},"number":"3.5","publisher":"R Foundation for Statistical Computing","publisher-place":"Vienna, Austria","title":"R: a Language and Environment for Statistical Computing","type":"article"},"uris":["http://www.mendeley.com/documents/?uuid=524ca0d2-2d48-4a63-8704-e5365a413e3a"]}],"mendeley":{"formattedCitation":"(R Core Team, 2018; Thuiller et al., 2016)","plainTextFormattedCitation":"(R Core Team, 2018; Thuiller et al., 2016)","previouslyFormattedCitation":"(R Core Team, 2018; Thuiller et al., 2016)"},"properties":{"noteIndex":0},"schema":"https://github.com/citation-style-language/schema/raw/master/csl-citation.json"}</w:instrText>
      </w:r>
      <w:r>
        <w:fldChar w:fldCharType="separate"/>
      </w:r>
      <w:r w:rsidR="00585D24" w:rsidRPr="00585D24">
        <w:rPr>
          <w:noProof/>
        </w:rPr>
        <w:t>(R Core Team, 2018; Thuiller et al., 2016)</w:t>
      </w:r>
      <w:r>
        <w:fldChar w:fldCharType="end"/>
      </w:r>
      <w:r>
        <w:t xml:space="preserve">. For each species a randomly selected 25% of the location data was set aside for model evaluation, with the remaining 75% used for training and </w:t>
      </w:r>
      <w:proofErr w:type="gramStart"/>
      <w:r>
        <w:t>cross-validating</w:t>
      </w:r>
      <w:proofErr w:type="gramEnd"/>
      <w:r>
        <w:t xml:space="preserve"> the models. We used an ensemble modelling approach built from seven individual modelling algorithms</w:t>
      </w:r>
      <w:r w:rsidR="003F427B">
        <w:t xml:space="preserve"> (see</w:t>
      </w:r>
      <w:r w:rsidR="00913588">
        <w:t xml:space="preserve"> Supplementary </w:t>
      </w:r>
      <w:r w:rsidR="003F3480">
        <w:t>Methods</w:t>
      </w:r>
      <w:r w:rsidR="003F427B">
        <w:t>).</w:t>
      </w:r>
      <w:r>
        <w:t xml:space="preserve"> For each species, each algorithm was run ten times and evaluated using the metrics AUC (area under the receiver operating curve) and TSS (true skill statistic)</w:t>
      </w:r>
      <w:r w:rsidR="00D262BC">
        <w:t xml:space="preserve"> </w:t>
      </w:r>
      <w:r>
        <w:fldChar w:fldCharType="begin" w:fldLock="1"/>
      </w:r>
      <w:r w:rsidR="005363AA">
        <w:instrText>ADDIN CSL_CITATION {"citationItems":[{"id":"ITEM-1","itemData":{"DOI":"10.1111/j.1365-2664.2006.01214.x","ISBN":"1365-2664","ISSN":"00218901","PMID":"6607","abstract":"In recent years the use of species distribution models by ecologists and conservation managers has increased considerably, along with an awareness of the need to provide accuracy assessment for predictions of such models. The kappa statistic is the most widely used measure for the performance of models generating presence2013absence predictions, but several studies have criticized it for being inherently dependent on prevalence, and argued that this dependency introduces statistical artefacts to estimates of predictive accuracy. This criticism has been supported recently by computer simulations showing that kappa responds to the prevalence of the modelled species in a unimodal fashion. In this paper we provide a theoretical explanation for the observed dependence of kappa on prevalence, and introduce into ecology an alternative measure of accuracy, the true skill statistic (TSS), which corrects for this dependence while still keeping all the advantages of kappa. We also compare the responses of kappa and TSS to prevalence using empirical data, by modelling distribution patterns of 128 species of woody plant in Israel. The theoretical analysis shows that kappa responds in a unimodal fashion to variation in prevalence and that the level of prevalence that maximizes kappa depends on the ratio between sensitivity (the proportion of correctly predicted presences) and specificity (the proportion of correctly predicted absences). In contrast, TSS is independent of prevalence. When the two measures of accuracy were compared using empirical data, kappa showed a unimodal response to prevalence, in agreement with the theoretical analysis. TSS showed a decreasing linear response to prevalence, a result we interpret as reflecting true ecological phenomena rather than a statistical artefact. This interpretation is supported by the fact that a similar pattern was found for the area under the ROC curve, a measure known to be independent of prevalence. Synthesis and applications. Our results provide theoretical and empirical evidence that kappa, one of the most widely used measures of model performance in ecology, has serious limitations that make it unsuitable for such applications. The alternative we suggest, TSS, compensates for the shortcomings of kappa while keeping all of its advantages. We therefore recommend the TSS as a simple and intuitive measure for the performance of species distribution models when predictions are expressed as presence2013absence maps. Jou…","author":[{"dropping-particle":"","family":"Allouche","given":"Omri","non-dropping-particle":"","parse-names":false,"suffix":""},{"dropping-particle":"","family":"Tsoar","given":"Asaf","non-dropping-particle":"","parse-names":false,"suffix":""},{"dropping-particle":"","family":"Kadmon","given":"Ronen","non-dropping-particle":"","parse-names":false,"suffix":""}],"container-title":"Journal of Applied Ecology","id":"ITEM-1","issue":"6","issued":{"date-parts":[["2006"]]},"page":"1223-1232","title":"Assessing the accuracy of species distribution models: Prevalence, kappa and the true skill statistic (TSS)","type":"article-journal","volume":"43"},"uris":["http://www.mendeley.com/documents/?uuid=5b52f18a-cf9e-4332-b405-3ba27dc44945"]}],"mendeley":{"formattedCitation":"(Allouche et al., 2006)","plainTextFormattedCitation":"(Allouche et al., 2006)","previouslyFormattedCitation":"(Allouche et al., 2006)"},"properties":{"noteIndex":0},"schema":"https://github.com/citation-style-language/schema/raw/master/csl-citation.json"}</w:instrText>
      </w:r>
      <w:r>
        <w:fldChar w:fldCharType="separate"/>
      </w:r>
      <w:r w:rsidR="00585D24" w:rsidRPr="00585D24">
        <w:rPr>
          <w:noProof/>
        </w:rPr>
        <w:t>(Allouche et al., 2006)</w:t>
      </w:r>
      <w:r>
        <w:fldChar w:fldCharType="end"/>
      </w:r>
      <w:r>
        <w:t xml:space="preserve">. These evaluation scores were </w:t>
      </w:r>
      <w:proofErr w:type="gramStart"/>
      <w:r>
        <w:t>ranked</w:t>
      </w:r>
      <w:proofErr w:type="gramEnd"/>
      <w:r>
        <w:t xml:space="preserve"> and their ranks summed, with a species’ ten top-ranked models </w:t>
      </w:r>
      <w:r w:rsidR="008366B8">
        <w:t>combined</w:t>
      </w:r>
      <w:r>
        <w:t xml:space="preserve"> into a</w:t>
      </w:r>
      <w:r w:rsidR="003F3480">
        <w:t>n</w:t>
      </w:r>
      <w:r>
        <w:t xml:space="preserve"> ensemble prediction, which was </w:t>
      </w:r>
      <w:r w:rsidR="003F3480">
        <w:t>projected</w:t>
      </w:r>
      <w:r>
        <w:t xml:space="preserve"> to the past and future time</w:t>
      </w:r>
      <w:r w:rsidR="00D01F38">
        <w:t xml:space="preserve"> </w:t>
      </w:r>
      <w:r>
        <w:t>slices. If more than one model run tied for the tenth-highest position, the ensemble was produced from more than ten runs</w:t>
      </w:r>
      <w:r w:rsidR="00FA13BF">
        <w:t xml:space="preserve"> (</w:t>
      </w:r>
      <w:r w:rsidR="002E5508">
        <w:t>Table S1</w:t>
      </w:r>
      <w:r w:rsidR="00FA13BF">
        <w:t>)</w:t>
      </w:r>
      <w:r>
        <w:t>.</w:t>
      </w:r>
      <w:r w:rsidR="0006526F">
        <w:t xml:space="preserve"> </w:t>
      </w:r>
    </w:p>
    <w:p w14:paraId="2907E0AC" w14:textId="5F543387" w:rsidR="00A72D0C" w:rsidRDefault="0009268F" w:rsidP="00F74804">
      <w:pPr>
        <w:pStyle w:val="Heading2"/>
        <w:numPr>
          <w:ilvl w:val="1"/>
          <w:numId w:val="5"/>
        </w:numPr>
        <w:spacing w:line="360" w:lineRule="auto"/>
      </w:pPr>
      <w:r>
        <w:t>Floristic a</w:t>
      </w:r>
      <w:r w:rsidR="00A72D0C">
        <w:t>ssemblage analysis</w:t>
      </w:r>
    </w:p>
    <w:p w14:paraId="42485ADD" w14:textId="060ED235" w:rsidR="005B76C3" w:rsidRDefault="00F91317" w:rsidP="00F74804">
      <w:pPr>
        <w:spacing w:line="360" w:lineRule="auto"/>
      </w:pPr>
      <w:r>
        <w:t xml:space="preserve">‘Stacking’ our models’ </w:t>
      </w:r>
      <w:r w:rsidR="0054747B">
        <w:t xml:space="preserve">projections </w:t>
      </w:r>
      <w:r>
        <w:t>across</w:t>
      </w:r>
      <w:r w:rsidR="0054747B">
        <w:t xml:space="preserve"> all 30 species and nine time slices</w:t>
      </w:r>
      <w:r w:rsidR="00452C28">
        <w:t xml:space="preserve"> produced 43,023 unique combinations of species presence and absence. </w:t>
      </w:r>
      <w:r w:rsidR="0049355A">
        <w:t xml:space="preserve">These combinations were aggregated to 34 </w:t>
      </w:r>
      <w:r w:rsidR="00452C28">
        <w:t xml:space="preserve">potential </w:t>
      </w:r>
      <w:r w:rsidR="000E565A">
        <w:t xml:space="preserve">floristic </w:t>
      </w:r>
      <w:r w:rsidR="00452C28">
        <w:t>assemblages us</w:t>
      </w:r>
      <w:r w:rsidR="00DB5125">
        <w:t>ing</w:t>
      </w:r>
      <w:r w:rsidR="00452C28">
        <w:t xml:space="preserve"> hierarchical clustering with the R package ‘vegan’</w:t>
      </w:r>
      <w:r w:rsidR="000E3E32">
        <w:t xml:space="preserve"> </w:t>
      </w:r>
      <w:r w:rsidR="00452C28">
        <w:fldChar w:fldCharType="begin" w:fldLock="1"/>
      </w:r>
      <w:r w:rsidR="00D5427C">
        <w:instrText>ADDIN CSL_CITATION {"citationItems":[{"id":"ITEM-1","itemData":{"author":[{"dropping-particle":"","family":"Oksanen","given":"J.","non-dropping-particle":"","parse-names":false,"suffix":""},{"dropping-particle":"","family":"Blanchet","given":"F.G.","non-dropping-particle":"","parse-names":false,"suffix":""},{"dropping-particle":"","family":"Friendly","given":"M.","non-dropping-particle":"","parse-names":false,"suffix":""},{"dropping-particle":"","family":"Kindt","given":"R.","non-dropping-particle":"","parse-names":false,"suffix":""},{"dropping-particle":"","family":"Legendre","given":"P.","non-dropping-particle":"","parse-names":false,"suffix":""},{"dropping-particle":"","family":"McGlinn","given":"D.","non-dropping-particle":"","parse-names":false,"suffix":""},{"dropping-particle":"","family":"Minchin","given":"P.R.","non-dropping-particle":"","parse-names":false,"suffix":""},{"dropping-particle":"","family":"O'Hara","given":"R.B.","non-dropping-particle":"","parse-names":false,"suffix":""},{"dropping-particle":"","family":"Simpson","given":"G.L.","non-dropping-particle":"","parse-names":false,"suffix":""},{"dropping-particle":"","family":"Solymos","given":"P.","non-dropping-particle":"","parse-names":false,"suffix":""},{"dropping-particle":"","family":"Stevens","given":"M.H.H.","non-dropping-particle":"","parse-names":false,"suffix":""},{"dropping-particle":"","family":"Szoecs","given":"E.","non-dropping-particle":"","parse-names":false,"suffix":""},{"dropping-particle":"","family":"Wagner","given":"H.","non-dropping-particle":"","parse-names":false,"suffix":""}],"id":"ITEM-1","issued":{"date-parts":[["2019"]]},"number":"R package version 2.5-6","title":"vegan: Community Ecology Package","type":"article"},"uris":["http://www.mendeley.com/documents/?uuid=7931fdf3-08b0-426d-86d7-0434b8d3159e"]}],"mendeley":{"formattedCitation":"(Oksanen et al., 2019)","plainTextFormattedCitation":"(Oksanen et al., 2019)","previouslyFormattedCitation":"(Oksanen et al., 2019)"},"properties":{"noteIndex":0},"schema":"https://github.com/citation-style-language/schema/raw/master/csl-citation.json"}</w:instrText>
      </w:r>
      <w:r w:rsidR="00452C28">
        <w:fldChar w:fldCharType="separate"/>
      </w:r>
      <w:r w:rsidR="0049355A" w:rsidRPr="0049355A">
        <w:rPr>
          <w:noProof/>
        </w:rPr>
        <w:t>(Oksanen et al., 2019)</w:t>
      </w:r>
      <w:r w:rsidR="00452C28">
        <w:fldChar w:fldCharType="end"/>
      </w:r>
      <w:r w:rsidR="0049355A">
        <w:t xml:space="preserve"> – </w:t>
      </w:r>
      <w:r w:rsidR="0049355A" w:rsidRPr="0049355A">
        <w:t>see supplementary methods for further details</w:t>
      </w:r>
      <w:r w:rsidR="00452C28">
        <w:t xml:space="preserve">. </w:t>
      </w:r>
      <w:r w:rsidR="005B76C3">
        <w:t xml:space="preserve">Potential </w:t>
      </w:r>
      <w:r w:rsidR="00956340">
        <w:t>as</w:t>
      </w:r>
      <w:r w:rsidR="005B76C3">
        <w:t xml:space="preserve">semblages/communities which never occupy </w:t>
      </w:r>
      <w:r w:rsidR="00321778">
        <w:t>≥</w:t>
      </w:r>
      <w:r w:rsidR="005B76C3">
        <w:t>5% of any time</w:t>
      </w:r>
      <w:r w:rsidR="00D01F38">
        <w:t xml:space="preserve"> </w:t>
      </w:r>
      <w:r w:rsidR="005B76C3">
        <w:t xml:space="preserve">slice’s land area </w:t>
      </w:r>
      <w:r w:rsidR="007B3432">
        <w:t>we</w:t>
      </w:r>
      <w:r w:rsidR="005B76C3">
        <w:t>re excluded from further analysis</w:t>
      </w:r>
      <w:r w:rsidR="00A214A0">
        <w:t xml:space="preserve"> (fig. S2)</w:t>
      </w:r>
      <w:r w:rsidR="005B76C3">
        <w:t>.</w:t>
      </w:r>
      <w:r w:rsidR="00D32874">
        <w:t xml:space="preserve"> Assemblages </w:t>
      </w:r>
      <w:r w:rsidR="008E0C52">
        <w:t xml:space="preserve">are characterised by the prevalence of the modelled species within them, averaged across all time slices </w:t>
      </w:r>
      <w:r w:rsidR="002F321B">
        <w:t xml:space="preserve">and </w:t>
      </w:r>
      <w:r w:rsidR="008E0C52">
        <w:t>ranging from 0</w:t>
      </w:r>
      <w:r w:rsidR="002F321B">
        <w:t xml:space="preserve"> (</w:t>
      </w:r>
      <w:r w:rsidR="008E0C52">
        <w:t xml:space="preserve">absent from all </w:t>
      </w:r>
      <w:r w:rsidR="0071050F">
        <w:t>pixels of an</w:t>
      </w:r>
      <w:r w:rsidR="008E0C52">
        <w:t xml:space="preserve"> assemblage</w:t>
      </w:r>
      <w:r w:rsidR="002F321B">
        <w:t>)</w:t>
      </w:r>
      <w:r w:rsidR="008E0C52">
        <w:t xml:space="preserve"> to 1</w:t>
      </w:r>
      <w:r w:rsidR="002F321B">
        <w:t xml:space="preserve"> (</w:t>
      </w:r>
      <w:r w:rsidR="0071050F">
        <w:t>present in all the assemblage’s pixels</w:t>
      </w:r>
      <w:r w:rsidR="002F321B">
        <w:t xml:space="preserve">; see fig. </w:t>
      </w:r>
      <w:r w:rsidR="00CD2FFE">
        <w:t>4</w:t>
      </w:r>
      <w:r w:rsidR="0071050F">
        <w:t>).</w:t>
      </w:r>
    </w:p>
    <w:p w14:paraId="0E701BC9" w14:textId="2B281B0E" w:rsidR="00452C28" w:rsidRDefault="007F7424" w:rsidP="00F74804">
      <w:pPr>
        <w:pStyle w:val="Heading2"/>
        <w:numPr>
          <w:ilvl w:val="1"/>
          <w:numId w:val="5"/>
        </w:numPr>
        <w:spacing w:line="360" w:lineRule="auto"/>
      </w:pPr>
      <w:proofErr w:type="spellStart"/>
      <w:r>
        <w:t>Palaeo</w:t>
      </w:r>
      <w:proofErr w:type="spellEnd"/>
      <w:r w:rsidR="00535527">
        <w:t>-</w:t>
      </w:r>
      <w:r w:rsidR="00ED76DB">
        <w:t>data - model</w:t>
      </w:r>
      <w:r>
        <w:t xml:space="preserve"> comparison</w:t>
      </w:r>
    </w:p>
    <w:p w14:paraId="0F821F0E" w14:textId="2C7100C1" w:rsidR="00485071" w:rsidRDefault="00A05F4C" w:rsidP="004F4F54">
      <w:pPr>
        <w:spacing w:line="360" w:lineRule="auto"/>
      </w:pPr>
      <w:r>
        <w:t xml:space="preserve">To compare our modelled predictions against palaeoecological data we compiled a comprehensive list of previously studied sites, </w:t>
      </w:r>
      <w:r w:rsidR="00770A59">
        <w:t>drawing on</w:t>
      </w:r>
      <w:r>
        <w:t xml:space="preserve"> the Latin American Pollen Database </w:t>
      </w:r>
      <w:r>
        <w:fldChar w:fldCharType="begin" w:fldLock="1"/>
      </w:r>
      <w:r w:rsidR="004620AF">
        <w:instrText>ADDIN CSL_CITATION {"citationItems":[{"id":"ITEM-1","itemData":{"DOI":"10.1016/j.revpalbo.2015.09.008","ISBN":"0034-6667","ISSN":"00346667","abstract":"The updated inventory of the Latin American Pollen Database (LAPD) offers a wide range of new insights. This paper presents a systematic compilation of palynological research in Latin America. A comprehensive inventory of publications in peer-reviewed and grey literature shows a major expansion of studies over the last decades. The inventory includes 1379 cores and sections with paleoecological data and more than 4800 modern samples from throughout the continent. Through the years, pollen datasets extend over increasing spans of time and show improved taxonomic and temporal resolution. Currently, these datasets are from 12 modern biomes and 30 countries, covering an altitudinal range of 0 to 6300. m asl. The most densely sampled regions are the Colombian Andes, the southeast coast of Brazil, and Patagonia. Underrepresented biomes are the warm temperate mixed forest (3%), dry forests (3%), and warm temperate rainforest (1%); whereas steppe, tropical rainforest, and cool grass shrublands, such as the páramos, are generally well represented (all &gt;. 17%). There are 126 records that span the late Pleistocene to the Last Glacial Maximum transition (21,000. cal. yr BP), and &gt;. 20% of the records cover the Younger Dryas interval and the Pleistocene/Holocene transition. Reanalysis of numerous sites using multiproxy tools emphasize the informative value of this approach in paleoenvironmental reconstruction. We make suggestions for several pollen sites and regions to be visited again; similarly we identify some key research questions that have yet to be answered. The updated LAPD now provides the platform to support an exciting new phase of global palynological research in which multi-site data are being integrated to address current cutting-edge research questions. The LAPD compilation of sites and the literature database will be available through the Neotoma Paleoecology Database website and a new LAPD website by the end of 2015.","author":[{"dropping-particle":"","family":"Flantua","given":"Suzette G A","non-dropping-particle":"","parse-names":false,"suffix":""},{"dropping-particle":"","family":"Hooghiemstra","given":"Henry","non-dropping-particle":"","parse-names":false,"suffix":""},{"dropping-particle":"","family":"Grimm","given":"Eric C.","non-dropping-particle":"","parse-names":false,"suffix":""},{"dropping-particle":"","family":"Behling","given":"Hermann","non-dropping-particle":"","parse-names":false,"suffix":""},{"dropping-particle":"","family":"Bush","given":"Mark B.","non-dropping-particle":"","parse-names":false,"suffix":""},{"dropping-particle":"","family":"González-Arango","given":"Catalina","non-dropping-particle":"","parse-names":false,"suffix":""},{"dropping-particle":"","family":"Gosling","given":"William D.","non-dropping-particle":"","parse-names":false,"suffix":""},{"dropping-particle":"","family":"Ledru","given":"Marie Pierre","non-dropping-particle":"","parse-names":false,"suffix":""},{"dropping-particle":"","family":"Lozano-García","given":"Socorro","non-dropping-particle":"","parse-names":false,"suffix":""},{"dropping-particle":"","family":"Maldonado","given":"Antonio","non-dropping-particle":"","parse-names":false,"suffix":""},{"dropping-particle":"","family":"Prieto","given":"Aldo R.","non-dropping-particle":"","parse-names":false,"suffix":""},{"dropping-particle":"","family":"Rull","given":"Valentí","non-dropping-particle":"","parse-names":false,"suffix":""},{"dropping-particle":"","family":"Boxel","given":"John H.","non-dropping-particle":"Van","parse-names":false,"suffix":""}],"container-title":"Review of Palaeobotany and Palynology","id":"ITEM-1","issued":{"date-parts":[["2015"]]},"note":"Overview of the palaeoecological work that's been done in Latin America to date. Some important things to remember in study design/writing up","page":"104-115","publisher":"The Authors","title":"Updated site compilation of the Latin American Pollen Database","type":"article-journal","volume":"223"},"uris":["http://www.mendeley.com/documents/?uuid=c29aad6a-5748-4244-af83-f6822170be23"]}],"mendeley":{"formattedCitation":"(Flantua et al., 2015)","plainTextFormattedCitation":"(Flantua et al., 2015)","previouslyFormattedCitation":"(Flantua et al., 2015)"},"properties":{"noteIndex":0},"schema":"https://github.com/citation-style-language/schema/raw/master/csl-citation.json"}</w:instrText>
      </w:r>
      <w:r>
        <w:fldChar w:fldCharType="separate"/>
      </w:r>
      <w:r w:rsidR="00986B47" w:rsidRPr="00986B47">
        <w:rPr>
          <w:noProof/>
        </w:rPr>
        <w:t>(Flantua et al., 2015)</w:t>
      </w:r>
      <w:r>
        <w:fldChar w:fldCharType="end"/>
      </w:r>
      <w:r>
        <w:t xml:space="preserve">, </w:t>
      </w:r>
      <w:r w:rsidR="001422E0">
        <w:t xml:space="preserve">the Temperature 12k Database </w:t>
      </w:r>
      <w:r w:rsidR="001422E0">
        <w:fldChar w:fldCharType="begin" w:fldLock="1"/>
      </w:r>
      <w:r w:rsidR="00E62253">
        <w:instrText>ADDIN CSL_CITATION {"citationItems":[{"id":"ITEM-1","itemData":{"DOI":"10.1038/s41597-020-0445-3","ISSN":"2052-4463","PMID":"32286335","abstract":"A comprehensive database of paleoclimate records is needed to place recent warming into the longer-term context of natural climate variability. We present a global compilation of quality-controlled, published, temperature-sensitive proxy records extending back 12,000 years through the Holocene. Data were compiled from 679 sites where time series cover at least 4000 years, are resolved at sub-millennial scale (median spacing of 400 years or finer) and have at least one age control point every 3000 years, with cut-off values slackened in data-sparse regions. The data derive from lake sediment (51%), marine sediment (31%), peat (11%), glacier ice (3%), and other natural archives. The database contains 1319 records, including 157 from the Southern Hemisphere. The multi-proxy database comprises paleotemperature time series based on ecological assemblages, as well as biophysical and geochemical indicators that reflect mean annual or seasonal temperatures, as encoded in the database. This database can be used to reconstruct the spatiotemporal evolution of Holocene temperature at global to regional scales, and is publicly available in Linked Paleo Data (LiPD) format.","author":[{"dropping-particle":"","family":"Kaufman","given":"Darrell","non-dropping-particle":"","parse-names":false,"suffix":""},{"dropping-particle":"","family":"McKay","given":"Nicholas","non-dropping-particle":"","parse-names":false,"suffix":""},{"dropping-particle":"","family":"Routson","given":"Cody","non-dropping-particle":"","parse-names":false,"suffix":""},{"dropping-particle":"","family":"Erb","given":"Michael","non-dropping-particle":"","parse-names":false,"suffix":""},{"dropping-particle":"","family":"Davis","given":"Basil","non-dropping-particle":"","parse-names":false,"suffix":""},{"dropping-particle":"","family":"Heiri","given":"Oliver","non-dropping-particle":"","parse-names":false,"suffix":""},{"dropping-particle":"","family":"Jaccard","given":"Samuel","non-dropping-particle":"","parse-names":false,"suffix":""},{"dropping-particle":"","family":"Tierney","given":"Jessica","non-dropping-particle":"","parse-names":false,"suffix":""},{"dropping-particle":"","family":"Dätwyler","given":"Christoph","non-dropping-particle":"","parse-names":false,"suffix":""},{"dropping-particle":"","family":"Axford","given":"Yarrow","non-dropping-particle":"","parse-names":false,"suffix":""},{"dropping-particle":"","family":"Brussel","given":"Thomas","non-dropping-particle":"","parse-names":false,"suffix":""},{"dropping-particle":"","family":"Cartapanis","given":"Olivier","non-dropping-particle":"","parse-names":false,"suffix":""},{"dropping-particle":"","family":"Chase","given":"Brian","non-dropping-particle":"","parse-names":false,"suffix":""},{"dropping-particle":"","family":"Dawson","given":"Andria","non-dropping-particle":"","parse-names":false,"suffix":""},{"dropping-particle":"","family":"Vernal","given":"Anne","non-dropping-particle":"de","parse-names":false,"suffix":""},{"dropping-particle":"","family":"Engels","given":"Stefan","non-dropping-particle":"","parse-names":false,"suffix":""},{"dropping-particle":"","family":"Jonkers","given":"Lukas","non-dropping-particle":"","parse-names":false,"suffix":""},{"dropping-particle":"","family":"Marsicek","given":"Jeremiah","non-dropping-particle":"","parse-names":false,"suffix":""},{"dropping-particle":"","family":"Moffa-Sánchez","given":"Paola","non-dropping-particle":"","parse-names":false,"suffix":""},{"dropping-particle":"","family":"Morrill","given":"Carrie","non-dropping-particle":"","parse-names":false,"suffix":""},{"dropping-particle":"","family":"Orsi","given":"Anais","non-dropping-particle":"","parse-names":false,"suffix":""},{"dropping-particle":"","family":"Rehfeld","given":"Kira","non-dropping-particle":"","parse-names":false,"suffix":""},{"dropping-particle":"","family":"Saunders","given":"Krystyna","non-dropping-particle":"","parse-names":false,"suffix":""},{"dropping-particle":"","family":"Sommer","given":"Philipp S.","non-dropping-particle":"","parse-names":false,"suffix":""},{"dropping-particle":"","family":"Thomas","given":"Elizabeth","non-dropping-particle":"","parse-names":false,"suffix":""},{"dropping-particle":"","family":"Tonello","given":"Marcela","non-dropping-particle":"","parse-names":false,"suffix":""},{"dropping-particle":"","family":"Tóth","given":"Mónika","non-dropping-particle":"","parse-names":false,"suffix":""},{"dropping-particle":"","family":"Vachula","given":"Richard","non-dropping-particle":"","parse-names":false,"suffix":""},{"dropping-particle":"","family":"Andreev","given":"Andrei","non-dropping-particle":"","parse-names":false,"suffix":""},{"dropping-particle":"","family":"Bertrand","given":"Sebastien","non-dropping-particle":"","parse-names":false,"suffix":""},{"dropping-particle":"","family":"Biskaborn","given":"Boris","non-dropping-particle":"","parse-names":false,"suffix":""},{"dropping-particle":"","family":"Bringué","given":"Manuel","non-dropping-particle":"","parse-names":false,"suffix":""},{"dropping-particle":"","family":"Brooks","given":"Stephen","non-dropping-particle":"","parse-names":false,"suffix":""},{"dropping-particle":"","family":"Caniupán","given":"Magaly","non-dropping-particle":"","parse-names":false,"suffix":""},{"dropping-particle":"","family":"Chevalier","given":"Manuel","non-dropping-particle":"","parse-names":false,"suffix":""},{"dropping-particle":"","family":"Cwynar","given":"Les","non-dropping-particle":"","parse-names":false,"suffix":""},{"dropping-particle":"","family":"Emile-Geay","given":"Julien","non-dropping-particle":"","parse-names":false,"suffix":""},{"dropping-particle":"","family":"Fegyveresi","given":"John","non-dropping-particle":"","parse-names":false,"suffix":""},{"dropping-particle":"","family":"Feurdean","given":"Angelica","non-dropping-particle":"","parse-names":false,"suffix":""},{"dropping-particle":"","family":"Finsinger","given":"Walter","non-dropping-particle":"","parse-names":false,"suffix":""},{"dropping-particle":"","family":"Fortin","given":"Marie-Claude","non-dropping-particle":"","parse-names":false,"suffix":""},{"dropping-particle":"","family":"Foster","given":"Louise","non-dropping-particle":"","parse-names":false,"suffix":""},{"dropping-particle":"","family":"Fox","given":"Mathew","non-dropping-particle":"","parse-names":false,"suffix":""},{"dropping-particle":"","family":"Gajewski","given":"Konrad","non-dropping-particle":"","parse-names":false,"suffix":""},{"dropping-particle":"","family":"Grosjean","given":"Martin","non-dropping-particle":"","parse-names":false,"suffix":""},{"dropping-particle":"","family":"Hausmann","given":"Sonja","non-dropping-particle":"","parse-names":false,"suffix":""},{"dropping-particle":"","family":"Heinrichs","given":"Markus","non-dropping-particle":"","parse-names":false,"suffix":""},{"dropping-particle":"","family":"Holmes","given":"Naomi","non-dropping-particle":"","parse-names":false,"suffix":""},{"dropping-particle":"","family":"Ilyashuk","given":"Boris","non-dropping-particle":"","parse-names":false,"suffix":""},{"dropping-particle":"","family":"Ilyashuk","given":"Elena","non-dropping-particle":"","parse-names":false,"suffix":""},{"dropping-particle":"","family":"Juggins","given":"Steve","non-dropping-particle":"","parse-names":false,"suffix":""},{"dropping-particle":"","family":"Khider","given":"Deborah","non-dropping-particle":"","parse-names":false,"suffix":""},{"dropping-particle":"","family":"Koinig","given":"Karin","non-dropping-particle":"","parse-names":false,"suffix":""},{"dropping-particle":"","family":"Langdon","given":"Peter","non-dropping-particle":"","parse-names":false,"suffix":""},{"dropping-particle":"","family":"Larocque-Tobler","given":"Isabelle","non-dropping-particle":"","parse-names":false,"suffix":""},{"dropping-particle":"","family":"Li","given":"Jianyong","non-dropping-particle":"","parse-names":false,"suffix":""},{"dropping-particle":"","family":"Lotter","given":"André","non-dropping-particle":"","parse-names":false,"suffix":""},{"dropping-particle":"","family":"Luoto","given":"Tomi","non-dropping-particle":"","parse-names":false,"suffix":""},{"dropping-particle":"","family":"Mackay","given":"Anson","non-dropping-particle":"","parse-names":false,"suffix":""},{"dropping-particle":"","family":"Magyari","given":"Eniko","non-dropping-particle":"","parse-names":false,"suffix":""},{"dropping-particle":"","family":"Malevich","given":"Steven","non-dropping-particle":"","parse-names":false,"suffix":""},{"dropping-particle":"","family":"Mark","given":"Bryan","non-dropping-particle":"","parse-names":false,"suffix":""},{"dropping-particle":"","family":"Massaferro","given":"Julieta","non-dropping-particle":"","parse-names":false,"suffix":""},{"dropping-particle":"","family":"Montade","given":"Vincent","non-dropping-particle":"","parse-names":false,"suffix":""},{"dropping-particle":"","family":"Nazarova","given":"Larisa","non-dropping-particle":"","parse-names":false,"suffix":""},{"dropping-particle":"","family":"Novenko","given":"Elena","non-dropping-particle":"","parse-names":false,"suffix":""},{"dropping-particle":"","family":"Pařil","given":"Petr","non-dropping-particle":"","parse-names":false,"suffix":""},{"dropping-particle":"","family":"Pearson","given":"Emma","non-dropping-particle":"","parse-names":false,"suffix":""},{"dropping-particle":"","family":"Peros","given":"Matthew","non-dropping-particle":"","parse-names":false,"suffix":""},{"dropping-particle":"","family":"Pienitz","given":"Reinhard","non-dropping-particle":"","parse-names":false,"suffix":""},{"dropping-particle":"","family":"Płóciennik","given":"Mateusz","non-dropping-particle":"","parse-names":false,"suffix":""},{"dropping-particle":"","family":"Porinchu","given":"David","non-dropping-particle":"","parse-names":false,"suffix":""},{"dropping-particle":"","family":"Potito","given":"Aaron","non-dropping-particle":"","parse-names":false,"suffix":""},{"dropping-particle":"","family":"Rees","given":"Andrew","non-dropping-particle":"","parse-names":false,"suffix":""},{"dropping-particle":"","family":"Reinemann","given":"Scott","non-dropping-particle":"","parse-names":false,"suffix":""},{"dropping-particle":"","family":"Roberts","given":"Stephen","non-dropping-particle":"","parse-names":false,"suffix":""},{"dropping-particle":"","family":"Rolland","given":"Nicolas","non-dropping-particle":"","parse-names":false,"suffix":""},{"dropping-particle":"","family":"Salonen","given":"Sakari","non-dropping-particle":"","parse-names":false,"suffix":""},{"dropping-particle":"","family":"Self","given":"Angela","non-dropping-particle":"","parse-names":false,"suffix":""},{"dropping-particle":"","family":"Seppä","given":"Heikki","non-dropping-particle":"","parse-names":false,"suffix":""},{"dropping-particle":"","family":"Shala","given":"Shyhrete","non-dropping-particle":"","parse-names":false,"suffix":""},{"dropping-particle":"","family":"St-Jacques","given":"Jeannine-Marie","non-dropping-particle":"","parse-names":false,"suffix":""},{"dropping-particle":"","family":"Stenni","given":"Barbara","non-dropping-particle":"","parse-names":false,"suffix":""},{"dropping-particle":"","family":"Syrykh","given":"Liudmila","non-dropping-particle":"","parse-names":false,"suffix":""},{"dropping-particle":"","family":"Tarrats","given":"Pol","non-dropping-particle":"","parse-names":false,"suffix":""},{"dropping-particle":"","family":"Taylor","given":"Karen","non-dropping-particle":"",</w:instrText>
      </w:r>
      <w:r w:rsidR="00E62253" w:rsidRPr="00A82061">
        <w:rPr>
          <w:lang w:val="sv-SE"/>
        </w:rPr>
        <w:instrText>"parse-names":false,"suffix":""},{"dropping-particle":"","family":"Bos","given":"Valerie","non-dropping-particle":"van den","parse-names":false,"suffix":""},{"dropping-particle":"","family":"Velle","given":"Gaute","non-dropping-particle":"","parse-names":false,"suffix":""},{"dropping-particle":"","family":"Wahl","given":"Eugene","non-dropping-particle":"","parse-names":false,"suffix":""},{"dropping-particle":"","family":"Walker","given":"Ian","non-dropping-particle":"","parse-names":false,"suffix":""},{"dropping-particle":"","family":"Wilmshurst","given":"Janet","non-dropping-particle":"","parse-names":false,"suffix":""},{"dropping-particle":"","family":"Zhang","given":"Enlou","non-dropping-particle":"","parse-names":false,"suffix":""},{"dropping-particle":"","family":"Zhilich","given":"Snezhana","non-dropping-particle":"","parse-names":false,"suffix":""}],"container-title":"Scientific Data","id":"ITEM-1","issue":"1","issued":{"date-parts":[["2020","12","14"]]},"page":"115","publisher":"Nature Research","title":"A global database of Holocene paleotemperature records","type":"article-journal","volume":"7"},"uris":["http://www.mendeley.com/documents/?uuid=13bcb26e-1410-3843-9b6c-330ba2e8560d"]}],"mendeley":{"formattedCitation":"(Kaufman et al., 2020)","plainTextFormattedCitation":"(Kaufman et al., 2020)","previouslyFormattedCitation":"(Kaufman et al., 2020)"},"properties":{"noteIndex":0},"schema":"https://github.com/citation-style-language/schema/raw/master/csl-citation.json"}</w:instrText>
      </w:r>
      <w:r w:rsidR="001422E0">
        <w:fldChar w:fldCharType="separate"/>
      </w:r>
      <w:r w:rsidR="001422E0" w:rsidRPr="00A82061">
        <w:rPr>
          <w:noProof/>
          <w:lang w:val="sv-SE"/>
        </w:rPr>
        <w:t>(Kaufman et al., 2020)</w:t>
      </w:r>
      <w:r w:rsidR="001422E0">
        <w:fldChar w:fldCharType="end"/>
      </w:r>
      <w:r w:rsidR="001422E0" w:rsidRPr="00A82061">
        <w:rPr>
          <w:lang w:val="sv-SE"/>
        </w:rPr>
        <w:t xml:space="preserve">, </w:t>
      </w:r>
      <w:r w:rsidR="003A0C13" w:rsidRPr="00A82061">
        <w:rPr>
          <w:lang w:val="sv-SE"/>
        </w:rPr>
        <w:t xml:space="preserve">Smith &amp; Mayle </w:t>
      </w:r>
      <w:r w:rsidR="003A0C13">
        <w:fldChar w:fldCharType="begin" w:fldLock="1"/>
      </w:r>
      <w:r w:rsidR="00C9675E" w:rsidRPr="00A82061">
        <w:rPr>
          <w:lang w:val="sv-SE"/>
        </w:rPr>
        <w:instrText>ADDIN CSL_CITATION {"citationItems":[{"id":"ITEM-1","itemData":{"DOI":"10.1017/qua.2017.89","ISSN":"0033-5894","abstract":"A multi-proxy paleo-data synthesis of 110 sites is presented, exploring the impact of mid- to late Holocene precipitation changes upon vegetation across Southern Hemisphere tropical South America. We show that the most significant vegetation changes occurred in southwest Amazonia and southeast Brazil, regions reliant on precipitation derived from the South American summer monsoon (SASM). A drier mid-Holocene in these regions, linked to a weaker SASM, favored more open vegetation (savannah/grasslands) than present, while increased late-Holocene precipitation drove expansion of humid forests (e.g., evergreen tropical forest in southwest Amazonia, Araucaria forests in southeast Brazil). The tropical forests of central, western and eastern Amazonia remained largely intact throughout this 6000-year period. Northeastern Brazil’s climate is “antiphased” with the rest of tropical South America, but a lack of paleo-data limits our understanding of how vegetation responded to a wetter (drier) mid-(late) Holocene. From this paleo-data perspective, we conclude that ecotonal forests already close to their climatic thresholds are most vulnerable to predicted future drought, but the forest biome in the core of Amazonia is likely to be more resilient. Of greater concern are widespread deforestation and uncontrolled anthropogenic burning, which will decrease ecosystem resilience, making them more vulnerable than they might be without current anthropogenic pressures.","author":[{"dropping-particle":"","family":"Smith","given":"Richard J","non-dropping-particle":"","parse-names":false,"suffix":""},{"dropping-particle":"","family":"Mayle","given":"Francis E","non-dropping-particle":"","parse-names":false,"suffix":""}],"container-title":"Quaternary Research","id":"ITEM-1","issued":{"date-parts":[["2017"]]},"note":"Overview of palaeo sites and their records since 6ka. Uses authors' descriptions to define vegetation types, and for the most part uses original chronologies. Good descriptions of climate and its influence through time, and useful as a guide to the region's late-Holocene vegetation changes","page":"1-22","title":"Impact of mid- to late Holocene precipitation changes on vegetation across lowland tropical South America: a paleo-data synthesis","type":"article-journal","volume":"89"},"suppress-author":1,"uris":["http://www.mendeley.com/documents/?uuid=00863797-c004-39e6-8980-198be3cd12a9"]}],"mendeley":{"formattedCitation":"(2017)","plainTextFormattedCitation":"(2017)","previouslyFormattedCitation":"(2017)"},"properties":{"noteIndex":0},"schema":"https://github.com/citation-style-language/schema/raw/master/csl-citation.json"}</w:instrText>
      </w:r>
      <w:r w:rsidR="003A0C13">
        <w:fldChar w:fldCharType="separate"/>
      </w:r>
      <w:r w:rsidR="003A0C13" w:rsidRPr="00A82061">
        <w:rPr>
          <w:noProof/>
          <w:lang w:val="sv-SE"/>
        </w:rPr>
        <w:t>(2017)</w:t>
      </w:r>
      <w:r w:rsidR="003A0C13">
        <w:fldChar w:fldCharType="end"/>
      </w:r>
      <w:r w:rsidR="00D63FB1" w:rsidRPr="00A82061">
        <w:rPr>
          <w:lang w:val="sv-SE"/>
        </w:rPr>
        <w:t xml:space="preserve">, </w:t>
      </w:r>
      <w:r w:rsidRPr="00A82061">
        <w:rPr>
          <w:lang w:val="sv-SE"/>
        </w:rPr>
        <w:t>and extensive literature searches</w:t>
      </w:r>
      <w:r w:rsidR="002E5508" w:rsidRPr="00A82061">
        <w:rPr>
          <w:lang w:val="sv-SE"/>
        </w:rPr>
        <w:t xml:space="preserve"> (see Supplementary Methods)</w:t>
      </w:r>
      <w:r w:rsidRPr="00A82061">
        <w:rPr>
          <w:lang w:val="sv-SE"/>
        </w:rPr>
        <w:t xml:space="preserve">. </w:t>
      </w:r>
      <w:r>
        <w:t>The final list (</w:t>
      </w:r>
      <w:r w:rsidR="002E5508">
        <w:t>Table S2</w:t>
      </w:r>
      <w:r w:rsidR="003A0C13">
        <w:t xml:space="preserve"> and </w:t>
      </w:r>
      <w:r w:rsidR="002E5508">
        <w:t xml:space="preserve">Fig. </w:t>
      </w:r>
      <w:r w:rsidR="00F634A4">
        <w:t>3</w:t>
      </w:r>
      <w:r>
        <w:t xml:space="preserve">) </w:t>
      </w:r>
      <w:r w:rsidR="000144F3">
        <w:t>comprises</w:t>
      </w:r>
      <w:r>
        <w:t xml:space="preserve"> </w:t>
      </w:r>
      <w:r w:rsidR="00F82918">
        <w:t>6</w:t>
      </w:r>
      <w:r w:rsidR="0070001B">
        <w:t>7</w:t>
      </w:r>
      <w:r w:rsidR="00F82918">
        <w:t xml:space="preserve"> sites</w:t>
      </w:r>
      <w:r w:rsidR="002C5195">
        <w:t xml:space="preserve"> (47 of them within our study area)</w:t>
      </w:r>
      <w:r w:rsidR="000144F3">
        <w:t xml:space="preserve">, </w:t>
      </w:r>
      <w:r w:rsidR="00CD425B">
        <w:t xml:space="preserve">including </w:t>
      </w:r>
      <w:r w:rsidR="001D7E3E">
        <w:t xml:space="preserve">eight independent palaeoclimate archives </w:t>
      </w:r>
      <w:r w:rsidR="009956C1">
        <w:t>(</w:t>
      </w:r>
      <w:r w:rsidR="00CD425B">
        <w:t xml:space="preserve">six </w:t>
      </w:r>
      <w:r w:rsidR="00DD651C">
        <w:t xml:space="preserve">for </w:t>
      </w:r>
      <w:r w:rsidR="001D7E3E">
        <w:t>t</w:t>
      </w:r>
      <w:r w:rsidR="00CD425B">
        <w:t xml:space="preserve">emperature and two </w:t>
      </w:r>
      <w:r w:rsidR="00DD651C">
        <w:t xml:space="preserve">for </w:t>
      </w:r>
      <w:r w:rsidR="000C5BF1">
        <w:t>precipitation</w:t>
      </w:r>
      <w:r w:rsidR="009956C1">
        <w:t>)</w:t>
      </w:r>
      <w:r w:rsidR="000144F3">
        <w:t xml:space="preserve">. </w:t>
      </w:r>
      <w:r w:rsidR="00347F19">
        <w:t xml:space="preserve">Selected sites outside our study area are included to </w:t>
      </w:r>
      <w:r w:rsidR="000B0456">
        <w:t xml:space="preserve">provide a </w:t>
      </w:r>
      <w:r w:rsidR="00347F19">
        <w:t xml:space="preserve">broader regional </w:t>
      </w:r>
      <w:r w:rsidR="000B0456">
        <w:t xml:space="preserve">context for patterns </w:t>
      </w:r>
      <w:r w:rsidR="00347F19">
        <w:t>of vegetation change</w:t>
      </w:r>
      <w:r w:rsidR="000B0456">
        <w:t xml:space="preserve"> </w:t>
      </w:r>
      <w:r w:rsidR="008C68E5">
        <w:t xml:space="preserve">and to help interpret records within our study area. </w:t>
      </w:r>
      <w:r w:rsidR="000144F3">
        <w:t>Th</w:t>
      </w:r>
      <w:r w:rsidR="0093003B">
        <w:t xml:space="preserve">is </w:t>
      </w:r>
      <w:r>
        <w:t>compare</w:t>
      </w:r>
      <w:r w:rsidR="0093003B">
        <w:t>s</w:t>
      </w:r>
      <w:r>
        <w:t xml:space="preserve"> favourably </w:t>
      </w:r>
      <w:r w:rsidR="00ED76DB">
        <w:t>with</w:t>
      </w:r>
      <w:r>
        <w:t xml:space="preserve"> the 110 sites used across lowland tropical and subtropical South America by</w:t>
      </w:r>
      <w:r w:rsidR="003A0C13">
        <w:t xml:space="preserve"> Smith &amp; Mayle</w:t>
      </w:r>
      <w:r>
        <w:t xml:space="preserve"> </w:t>
      </w:r>
      <w:r>
        <w:fldChar w:fldCharType="begin" w:fldLock="1"/>
      </w:r>
      <w:r w:rsidR="00C9675E">
        <w:instrText>ADDIN CSL_CITATION {"citationItems":[{"id":"ITEM-1","itemData":{"DOI":"10.1017/qua.2017.89","ISSN":"0033-5894","abstract":"A multi-proxy paleo-data synthesis of 110 sites is presented, exploring the impact of mid- to late Holocene precipitation changes upon vegetation across Southern Hemisphere tropical South America. We show that the most significant vegetation changes occurred in southwest Amazonia and southeast Brazil, regions reliant on precipitation derived from the South American summer monsoon (SASM). A drier mid-Holocene in these regions, linked to a weaker SASM, favored more open vegetation (savannah/grasslands) than present, while increased late-Holocene precipitation drove expansion of humid forests (e.g., evergreen tropical forest in southwest Amazonia, Araucaria forests in southeast Brazil). The tropical forests of central, western and eastern Amazonia remained largely intact throughout this 6000-year period. Northeastern Brazil’s climate is “antiphased” with the rest of tropical South America, but a lack of paleo-data limits our understanding of how vegetation responded to a wetter (drier) mid-(late) Holocene. From this paleo-data perspective, we conclude that ecotonal forests already close to their climatic thresholds are most vulnerable to predicted future drought, but the forest biome in the core of Amazonia is likely to be more resilient. Of greater concern are widespread deforestation and uncontrolled anthropogenic burning, which will decrease ecosystem resilience, making them more vulnerable than they might be without current anthropogenic pressures.","author":[{"dropping-particle":"","family":"Smith","given":"Richard J","non-dropping-particle":"","parse-names":false,"suffix":""},{"dropping-particle":"","family":"Mayle","given":"Francis E","non-dropping-particle":"","parse-names":false,"suffix":""}],"container-title":"Quaternary Research","id":"ITEM-1","issued":{"date-parts":[["2017"]]},"note":"Overview of palaeo sites and their records since 6ka. Uses authors' descriptions to define vegetation types, and for the most part uses original chronologies. Good descriptions of climate and its influence through time, and useful as a guide to the region's late-Holocene vegetation changes","page":"1-22","title":"Impact of mid- to late Holocene precipitation changes on vegetation across lowland tropical South America: a paleo-data synthesis","type":"article-journal","volume":"89"},"suppress-author":1,"uris":["http://www.mendeley.com/documents/?uuid=00863797-c004-39e6-8980-198be3cd12a9"]}],"mendeley":{"formattedCitation":"(2017)","plainTextFormattedCitation":"(2017)","previouslyFormattedCitation":"(2017)"},"properties":{"noteIndex":0},"schema":"https://github.com/citation-style-language/schema/raw/master/csl-citation.json"}</w:instrText>
      </w:r>
      <w:r>
        <w:fldChar w:fldCharType="separate"/>
      </w:r>
      <w:r w:rsidR="003A0C13" w:rsidRPr="003A0C13">
        <w:rPr>
          <w:noProof/>
        </w:rPr>
        <w:t>(2017)</w:t>
      </w:r>
      <w:r>
        <w:fldChar w:fldCharType="end"/>
      </w:r>
      <w:r>
        <w:t xml:space="preserve"> and greatly exceeds the density used as controls in other past modelling studies in the region.</w:t>
      </w:r>
      <w:r w:rsidR="00E06AB2">
        <w:t xml:space="preserve"> </w:t>
      </w:r>
      <w:r w:rsidR="009D3A15">
        <w:t xml:space="preserve">We generated new age-depth models for </w:t>
      </w:r>
      <w:r w:rsidR="0031400E">
        <w:t xml:space="preserve">all pollen </w:t>
      </w:r>
      <w:r w:rsidR="009D3A15">
        <w:t xml:space="preserve">sites </w:t>
      </w:r>
      <w:r w:rsidR="0031400E">
        <w:t xml:space="preserve">using the R package </w:t>
      </w:r>
      <w:r w:rsidR="00E75FDA">
        <w:t>‘</w:t>
      </w:r>
      <w:proofErr w:type="spellStart"/>
      <w:r w:rsidR="0031400E">
        <w:t>rbacon</w:t>
      </w:r>
      <w:proofErr w:type="spellEnd"/>
      <w:r w:rsidR="00E75FDA">
        <w:t>’</w:t>
      </w:r>
      <w:r w:rsidR="00986B47">
        <w:t xml:space="preserve"> </w:t>
      </w:r>
      <w:r w:rsidR="00986B47">
        <w:fldChar w:fldCharType="begin" w:fldLock="1"/>
      </w:r>
      <w:r w:rsidR="007F330C">
        <w:instrText>ADDIN CSL_CITATION {"citationItems":[{"id":"ITEM-1","itemData":{"DOI":"10.1214/11-BA618","ISSN":"1936-0975","abstract":"Radiocarbon dating is routinely used in paleoecology to build chronolo-gies of lake and peat sediments, aiming at inferring a model that would relate the sediment depth with its age. We present a new approach for chronology building (called \"Bacon\") that has received enthusiastic attention by paleoecologists. Our methodology is based on controlling core accumulation rates using a gamma au-toregressive semiparametric model with an arbitrary number of subdivisions along the sediment. Using prior knowledge about accumulation rates is crucial and in-formative priors are routinely used. Since many sediment cores are currently ana-lyzed, using different data sets and prior distributions, a robust (adaptive) MCMC is very useful. We use the t-walk (Christen and Fox, 2010), a self adjusting, robust MCMC sampling algorithm, that works acceptably well in many situations. Out-liers are also addressed using a recent approach that considers a Student-t model for radiocarbon data. Two examples are presented here, that of a peat core and a core from a lake, and our results are compared with other approaches. © 2011 International Society for Bayesian Analysis.","author":[{"dropping-particle":"","family":"Blaauw","given":"Maarten","non-dropping-particle":"","parse-names":false,"suffix":""},{"dropping-particle":"","family":"Christen","given":"J. Andrés","non-dropping-particle":"","parse-names":false,"suffix":""}],"container-title":"Bayesian Analysis","id":"ITEM-1","issue":"3","issued":{"date-parts":[["2011","9"]]},"page":"457-474","publisher":"International Society for Bayesian Analysis","title":"Flexible paleoclimate age-depth models using an autoregressive gamma process","type":"article-journal","volume":"6"},"uris":["http://www.mendeley.com/documents/?uuid=5b5e0ed6-edb7-3d98-be73-0c3fb397442e"]},{"id":"ITEM-2","itemData":{"author":[{"dropping-particle":"","family":"Blaauw","given":"Maarten","non-dropping-particle":"","parse-names":false,"suffix":""},{"dropping-particle":"","family":"Christen","given":"J. Andrés","non-dropping-particle":"","parse-names":false,"suffix":""},{"dropping-particle":"","family":"Aquino L.","given":"M.A.","non-dropping-particle":"","parse-names":false,"suffix":""},{"dropping-particle":"","family":"Esquivel Vazquez","given":"J.","non-dropping-particle":"","parse-names":false,"suffix":""},{"dropping-particle":"","family":"Gonzalez","given":"O.M.V.","non-dropping-particle":"","parse-names":false,"suffix":""},{"dropping-particle":"","family":"Belding","given":"T.","non-dropping-particle":"","parse-names":false,"suffix":""},{"dropping-particle":"","family":"Theiler","given":"J.","non-dropping-particle":"","parse-names":false,"suffix":""},{"dropping-particle":"","family":"Gough","given":"B.","non-dropping-particle":"","parse-names":false,"suffix":""},{"dropping-particle":"","family":"Karney","given":"C.","non-dropping-particle":"","parse-names":false,"suffix":""}],"id":"ITEM-2","issued":{"date-parts":[["2020"]]},"number":"R package version 2.4.2","title":"rbacon: Age-Depth Modelling using Bayesian Statistics","type":"article"},"uris":["http://www.mendeley.com/documents/?uuid=c88114f0-181c-438f-9e7f-8cd648773bd5"]}],"mendeley":{"formattedCitation":"(Blaauw et al., 2020; Blaauw and Christen, 2011)","plainTextFormattedCitation":"(Blaauw et al., 2020; Blaauw and Christen, 2011)","previouslyFormattedCitation":"(Blaauw et al., 2020; Blaauw and Christen, 2011)"},"properties":{"noteIndex":0},"schema":"https://github.com/citation-style-language/schema/raw/master/csl-citation.json"}</w:instrText>
      </w:r>
      <w:r w:rsidR="00986B47">
        <w:fldChar w:fldCharType="separate"/>
      </w:r>
      <w:r w:rsidR="005944BB" w:rsidRPr="005944BB">
        <w:rPr>
          <w:noProof/>
        </w:rPr>
        <w:t>(Blaauw et al., 2020; Blaauw and Christen, 2011)</w:t>
      </w:r>
      <w:r w:rsidR="00986B47">
        <w:fldChar w:fldCharType="end"/>
      </w:r>
      <w:r w:rsidR="00950588">
        <w:t>; age-depth models were generally not created for soil profiles</w:t>
      </w:r>
      <w:r w:rsidR="004B48F5">
        <w:t xml:space="preserve"> (see Supplementary Methods for further </w:t>
      </w:r>
      <w:r w:rsidR="004B48F5">
        <w:lastRenderedPageBreak/>
        <w:t>information)</w:t>
      </w:r>
      <w:r w:rsidR="00986B47">
        <w:t>.</w:t>
      </w:r>
      <w:r w:rsidR="0031400E">
        <w:t xml:space="preserve"> </w:t>
      </w:r>
      <w:r w:rsidR="0015426D">
        <w:t xml:space="preserve">Fossil pollen data </w:t>
      </w:r>
      <w:r w:rsidR="00393A01">
        <w:t>a</w:t>
      </w:r>
      <w:r w:rsidR="0015426D">
        <w:t>re summarised as percentages of forest and grassland pollen</w:t>
      </w:r>
      <w:r w:rsidR="002F321B">
        <w:t>,</w:t>
      </w:r>
      <w:r w:rsidR="0015426D">
        <w:t xml:space="preserve"> and </w:t>
      </w:r>
      <w:r w:rsidR="00EE4000">
        <w:t xml:space="preserve">soil carbon isotope values are generalised </w:t>
      </w:r>
      <w:r w:rsidR="00141B78">
        <w:t>following</w:t>
      </w:r>
      <w:r w:rsidR="00EE4000">
        <w:t xml:space="preserve"> </w:t>
      </w:r>
      <w:r w:rsidR="00A81B06">
        <w:t>Silva &amp; Anand</w:t>
      </w:r>
      <w:r w:rsidR="00E409D4">
        <w:t xml:space="preserve"> </w:t>
      </w:r>
      <w:r w:rsidR="00C9675E">
        <w:fldChar w:fldCharType="begin" w:fldLock="1"/>
      </w:r>
      <w:r w:rsidR="007C2965">
        <w:instrText>ADDIN CSL_CITATION {"citationItems":[{"id":"ITEM-1","itemData":{"DOI":"10.1007/s10021-011-9486-y","ISBN":"1432-9840","ISSN":"14329840","abstract":"Recent studies have shown that tropical and subtropical forests expanded during the late Holocene, but rates and mechanisms of expansion are still unknown. Here, we investigate how a forest-grassland mosaic changed over the past 10,000 years at the southernmost limit of the Brazilian Atlantic forest. We used soil organic matter carbon isotopes (δ 13C and 14C) to quantify and date changes in vegetation, examining soil properties and leaf traits of tree species (nutrient content, δ 13C, δ 15N, and specific leaf area-SLA) to describe potential mechanisms of expansion. Our results show that after several millennia of stability, forests have been expanding over grasslands through continuous, but very slow, border dynamics and patch formation (&lt;100 m since ~4,000 YBP). This process of expansion coincided with past changes in climate, but biotic feedback mechanisms also appear to be important for the long-term persistence and expansion of forests. Soil fertility and microbial biomass match current rather than past vegetation distribution, increasing progressively across the gradient: grasslands &lt; isolated trees &lt; forest patches &lt; forests. Foliar δ 15N values of trees that are able to colonize the grassland are consistently lower across this vegetation gradient, suggesting an increasingly greater reliance on symbiotic nutrient uptake from grasslands to forests. No significant relationships were found between soil and leaf nutrients, but SLA explained variation in leaf N, P, and K (positive relationships) and in leaf δ 13C (negative relationship). These findings suggest that a tradeoff between tree growth and water use efficiency is an important regulator of forest-grassland dynamics in the study region. © 2011 Springer Science+Business Media, LLC.","author":[{"dropping-particle":"","family":"Silva","given":"Lucas C R","non-dropping-particle":"","parse-names":false,"suffix":""},{"dropping-particle":"","family":"Anand","given":"Madhur","non-dropping-particle":"","parse-names":false,"suffix":""}],"container-title":"Ecosystems","id":"ITEM-1","issue":"8","issued":{"date-parts":[["2011"]]},"note":"Interesting paper on expansion of ARF over 9,000 years. Good diagrams showing how and when the patches and forest areas expanded. Expansion speeds suggested, with implications for refugia and past humans mentioned. Thoughts in notes.","page":"1354-1371","title":"Mechanisms of Araucaria (Atlantic) Forest Expansion into Southern Brazilian Grasslands","type":"article-journal","volume":"14"},"suppress-author":1,"uris":["http://www.mendeley.com/documents/?uuid=26302ea3-b67e-3725-bd0a-3f81476d906b"]}],"mendeley":{"formattedCitation":"(2011)","plainTextFormattedCitation":"(2011)","previouslyFormattedCitation":"(2011)"},"properties":{"noteIndex":0},"schema":"https://github.com/citation-style-language/schema/raw/master/csl-citation.json"}</w:instrText>
      </w:r>
      <w:r w:rsidR="00C9675E">
        <w:fldChar w:fldCharType="separate"/>
      </w:r>
      <w:r w:rsidR="00C9675E" w:rsidRPr="00C9675E">
        <w:rPr>
          <w:noProof/>
        </w:rPr>
        <w:t>(2011)</w:t>
      </w:r>
      <w:r w:rsidR="00C9675E">
        <w:fldChar w:fldCharType="end"/>
      </w:r>
      <w:r w:rsidR="00335B6F">
        <w:t>.</w:t>
      </w:r>
    </w:p>
    <w:p w14:paraId="2EBA0416" w14:textId="77777777" w:rsidR="00790EB3" w:rsidRDefault="00790EB3" w:rsidP="00F74804">
      <w:pPr>
        <w:spacing w:line="360" w:lineRule="auto"/>
        <w:rPr>
          <w:noProof/>
        </w:rPr>
      </w:pPr>
    </w:p>
    <w:p w14:paraId="4E0A812D" w14:textId="77777777" w:rsidR="00DF4A57" w:rsidRDefault="00DF4A57" w:rsidP="00F74804">
      <w:pPr>
        <w:spacing w:line="360" w:lineRule="auto"/>
        <w:rPr>
          <w:noProof/>
        </w:rPr>
      </w:pPr>
    </w:p>
    <w:p w14:paraId="7FB4D3DF" w14:textId="7DB5A27C" w:rsidR="00D91482" w:rsidRDefault="000442E5" w:rsidP="00F74804">
      <w:pPr>
        <w:spacing w:line="360" w:lineRule="auto"/>
      </w:pPr>
      <w:r>
        <w:rPr>
          <w:noProof/>
          <w:lang w:val="sv-SE" w:eastAsia="sv-SE"/>
        </w:rPr>
        <w:drawing>
          <wp:inline distT="0" distB="0" distL="0" distR="0" wp14:anchorId="1AE1900A" wp14:editId="0CFB2F38">
            <wp:extent cx="5314974" cy="362085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14974" cy="3620856"/>
                    </a:xfrm>
                    <a:prstGeom prst="rect">
                      <a:avLst/>
                    </a:prstGeom>
                  </pic:spPr>
                </pic:pic>
              </a:graphicData>
            </a:graphic>
          </wp:inline>
        </w:drawing>
      </w:r>
    </w:p>
    <w:p w14:paraId="73B076C7" w14:textId="72FE6225" w:rsidR="005C6BE2" w:rsidRDefault="005C6BE2" w:rsidP="00F74804">
      <w:pPr>
        <w:spacing w:line="360" w:lineRule="auto"/>
        <w:rPr>
          <w:i/>
          <w:iCs/>
          <w:sz w:val="20"/>
          <w:szCs w:val="20"/>
        </w:rPr>
      </w:pPr>
      <w:r w:rsidRPr="00135482">
        <w:rPr>
          <w:i/>
          <w:iCs/>
          <w:sz w:val="20"/>
          <w:szCs w:val="20"/>
        </w:rPr>
        <w:t xml:space="preserve">Fig. </w:t>
      </w:r>
      <w:r w:rsidR="00C8580C">
        <w:rPr>
          <w:i/>
          <w:iCs/>
          <w:sz w:val="20"/>
          <w:szCs w:val="20"/>
        </w:rPr>
        <w:t>3</w:t>
      </w:r>
      <w:r>
        <w:rPr>
          <w:i/>
          <w:iCs/>
          <w:sz w:val="20"/>
          <w:szCs w:val="20"/>
        </w:rPr>
        <w:t xml:space="preserve">: Map showing </w:t>
      </w:r>
      <w:proofErr w:type="spellStart"/>
      <w:r w:rsidR="00BD1BEC">
        <w:rPr>
          <w:i/>
          <w:iCs/>
          <w:sz w:val="20"/>
          <w:szCs w:val="20"/>
        </w:rPr>
        <w:t>palaeo</w:t>
      </w:r>
      <w:proofErr w:type="spellEnd"/>
      <w:r w:rsidR="00BD1BEC">
        <w:rPr>
          <w:i/>
          <w:iCs/>
          <w:sz w:val="20"/>
          <w:szCs w:val="20"/>
        </w:rPr>
        <w:t>-</w:t>
      </w:r>
      <w:r w:rsidR="0012623C">
        <w:rPr>
          <w:i/>
          <w:iCs/>
          <w:sz w:val="20"/>
          <w:szCs w:val="20"/>
        </w:rPr>
        <w:t>data</w:t>
      </w:r>
      <w:r w:rsidR="00BD1BEC">
        <w:rPr>
          <w:i/>
          <w:iCs/>
          <w:sz w:val="20"/>
          <w:szCs w:val="20"/>
        </w:rPr>
        <w:t xml:space="preserve"> sites included in this study. </w:t>
      </w:r>
      <w:r w:rsidR="00EC23BC">
        <w:rPr>
          <w:i/>
          <w:iCs/>
          <w:sz w:val="20"/>
          <w:szCs w:val="20"/>
        </w:rPr>
        <w:t xml:space="preserve">For further details on the sites, see </w:t>
      </w:r>
      <w:r w:rsidR="00D57F96">
        <w:rPr>
          <w:i/>
          <w:iCs/>
          <w:sz w:val="20"/>
          <w:szCs w:val="20"/>
        </w:rPr>
        <w:t>table S2</w:t>
      </w:r>
      <w:r w:rsidR="00EC23BC">
        <w:rPr>
          <w:i/>
          <w:iCs/>
          <w:sz w:val="20"/>
          <w:szCs w:val="20"/>
        </w:rPr>
        <w:t>.</w:t>
      </w:r>
    </w:p>
    <w:p w14:paraId="2249C152" w14:textId="78E8A0E8" w:rsidR="000D5D8B" w:rsidRDefault="00300BAE" w:rsidP="00F74804">
      <w:pPr>
        <w:pStyle w:val="Heading1"/>
        <w:numPr>
          <w:ilvl w:val="0"/>
          <w:numId w:val="5"/>
        </w:numPr>
        <w:spacing w:line="360" w:lineRule="auto"/>
      </w:pPr>
      <w:r>
        <w:t>Results</w:t>
      </w:r>
      <w:r w:rsidR="002A3445">
        <w:t xml:space="preserve"> </w:t>
      </w:r>
    </w:p>
    <w:p w14:paraId="40D2D60E" w14:textId="55189058" w:rsidR="009203EF" w:rsidRPr="009203EF" w:rsidRDefault="009203EF" w:rsidP="00F74804">
      <w:pPr>
        <w:pStyle w:val="Heading2"/>
        <w:numPr>
          <w:ilvl w:val="1"/>
          <w:numId w:val="5"/>
        </w:numPr>
        <w:spacing w:line="360" w:lineRule="auto"/>
      </w:pPr>
      <w:r>
        <w:t>Palaeoclimate data</w:t>
      </w:r>
      <w:r w:rsidR="00856254">
        <w:t xml:space="preserve"> validation</w:t>
      </w:r>
    </w:p>
    <w:p w14:paraId="135A498E" w14:textId="67C6FA9E" w:rsidR="0086121B" w:rsidRDefault="000E71A5" w:rsidP="00F74804">
      <w:pPr>
        <w:spacing w:line="360" w:lineRule="auto"/>
      </w:pPr>
      <w:r>
        <w:t xml:space="preserve">Our downscaled palaeoclimate data broadly agree with </w:t>
      </w:r>
      <w:r w:rsidR="009203EF">
        <w:t>proxies of past temperature and precipitation (</w:t>
      </w:r>
      <w:r w:rsidR="00ED7E13">
        <w:t>Figs. S</w:t>
      </w:r>
      <w:r w:rsidR="00E04122">
        <w:t>3</w:t>
      </w:r>
      <w:r w:rsidR="00ED7E13">
        <w:t>-S</w:t>
      </w:r>
      <w:r w:rsidR="00E04122">
        <w:t>7</w:t>
      </w:r>
      <w:r w:rsidR="009203EF">
        <w:t xml:space="preserve">). </w:t>
      </w:r>
      <w:r w:rsidR="007175A2">
        <w:t>The LGM (21,000</w:t>
      </w:r>
      <w:r w:rsidR="0055131E">
        <w:t>-18,000</w:t>
      </w:r>
      <w:r w:rsidR="007175A2">
        <w:t xml:space="preserve"> BP) is reconstructed </w:t>
      </w:r>
      <w:r w:rsidR="000E7417">
        <w:t xml:space="preserve">with higher and </w:t>
      </w:r>
      <w:r w:rsidR="0039568B">
        <w:t xml:space="preserve">more seasonal </w:t>
      </w:r>
      <w:r w:rsidR="00912277">
        <w:t xml:space="preserve">precipitation </w:t>
      </w:r>
      <w:r w:rsidR="0039568B">
        <w:t>than the present</w:t>
      </w:r>
      <w:r w:rsidR="0014087C">
        <w:t xml:space="preserve">, </w:t>
      </w:r>
      <w:r w:rsidR="0039568B">
        <w:t>especially in the west of our study area</w:t>
      </w:r>
      <w:r w:rsidR="004C275B">
        <w:t xml:space="preserve">, </w:t>
      </w:r>
      <w:r w:rsidR="00E61D15">
        <w:t xml:space="preserve">and </w:t>
      </w:r>
      <w:r w:rsidR="00FC47F9">
        <w:t>mostly</w:t>
      </w:r>
      <w:r w:rsidR="00E61D15">
        <w:t xml:space="preserve"> 3-4°C cooler</w:t>
      </w:r>
      <w:r w:rsidR="0047196E">
        <w:t xml:space="preserve">. This aligns with speleothem evidence from </w:t>
      </w:r>
      <w:proofErr w:type="spellStart"/>
      <w:r w:rsidR="0047196E">
        <w:t>Botuverá</w:t>
      </w:r>
      <w:proofErr w:type="spellEnd"/>
      <w:r w:rsidR="0047196E">
        <w:t xml:space="preserve"> and Santana caves</w:t>
      </w:r>
      <w:r w:rsidR="00E62253">
        <w:t xml:space="preserve"> </w:t>
      </w:r>
      <w:r w:rsidR="00E62253">
        <w:fldChar w:fldCharType="begin" w:fldLock="1"/>
      </w:r>
      <w:r w:rsidR="007F330C">
        <w:instrText>ADDIN CSL_CITATION {"citationItems":[{"id":"ITEM-1","itemData":{"DOI":"10.1016/j.gca.2007.02.005","ISBN":"0016-7037","ISSN":"00167037","abstract":"Trace element ratios in the Bt2 stalagmite from Botuverá cave, Southern Brazil, are explored as a proxy for changes in the local rainfall recharge during the last 116 ky. BP Mg/Ca and Sr/Ca ratios, measured with an electron microprobe, are significantly positively correlated with one another throughout the entire record, and vary in a way that is very consistent with variations of δ18O in the same speleothem during the last glacial period. We suggest that prior calcite precipitation in the vadose zone of the cave system is the main factor affecting the incorporation of Mg and Sr into calcite of the stalagmite. This interpretation is supported by trace element correlation patterns and by results from a hydrochemistry study performed in a cave located in the same region and in a similar environmental setting. Therefore, we conclude that higher (lower) Mg/Ca and Sr/Ca values are associated with lower (higher) levels of recharge into the karstic aquifer, as such conditions lead to an increase (decrease) in the volume of calcite precipitated in the unsaturated zone above the cave during dry (wet) climate periods. Trace element variations point to generally dryer (wetter) conditions during lower (high) phases of summer insolation in the southern hemisphere. These periods coincide with decreased (increased) activity of the South American summer monsoon, as revealed by δ18O stalagmite records. In addition trace element variations show that rather wet conditions persisted throughout most of the last glacial period from approximately 70 to 17 ky BP. We suggest that during this period the glacial boundary conditions, especially ice volume buildup in the northern hemisphere, played an important role for monsoon rainfall intensification in the region. © 2007 Elsevier Ltd. All rights reserved.","author":[{"dropping-particle":"","family":"Cruz","given":"Francisco W.","non-dropping-particle":"","parse-names":false,"suffix":""},{"dropping-particle":"","family":"Burns","given":"Stephen J.","non-dropping-particle":"","parse-names":false,"suffix":""},{"dropping-particle":"","family":"Jercinovic","given":"Michael","non-dropping-particle":"","parse-names":false,"suffix":""},{"dropping-particle":"","family":"Karmann","given":"Ivo","non-dropping-particle":"","parse-names":false,"suffix":""},{"dropping-particle":"","family":"Sharp","given":"Warren D.","non-dropping-particle":"","parse-names":false,"suffix":""},{"dropping-particle":"","family":"Vuille","given":"Mathias","non-dropping-particle":"","parse-names":false,"suffix":""}],"container-title":"Geochimica et Cosmochimica Acta","id":"ITEM-1","issue":"9","issued":{"date-parts":[["2007","5"]]},"note":"A list of pleistocene animals found as fossils in RS; brief chat about climatic/vegetation conditions they'd have needed","page":"2250-2263","title":"Evidence of rainfall variations in Southern Brazil from trace element ratios (Mg/Ca and Sr/Ca) in a Late Pleistocene stalagmite","type":"article-journal","volume":"71"},"uris":["http://www.mendeley.com/documents/?uuid=7d93d300-2a32-40e6-a5ac-717987ad900f"]},{"id":"ITEM-2","itemData":{"DOI":"10.1038/nature03365","ISSN":"0028-0836","abstract":"During the last glacial period, large millennial-scale temperature oscillations—the 'Dansgaard/Oeschger' cycles—were the primary climate signal in Northern Hemisphere climate archives from the high latitudes to the tropics1, 2, 3, 4, 5, 6. But whether the influence of these abrupt climate changes extended to the tropical and subtropical Southern Hemisphere, where changes in insolation are thought to be the main direct forcing of climate, has remained unclear. Here we present a high-resolution oxygen isotope record of a U/Th-dated stalagmite from subtropical southern Brazil, covering the past 116,200 years. The oxygen isotope signature varies with shifts in the source region and amount of rainfall in the area, and hence records changes in atmospheric circulation and convective intensity over South America. We find that these variations in rainfall source and amount are primarily driven by summer solar radiation, which is controlled by the Earth's precessional cycle. The Dansgaard/Oeschger cycles can be detected in our record and therefore we confirm that they also affect the tropical hydrological cycle, but that in southern subtropical Brazil, millennial-scale climate changes are not as dominant as they are in the Northern Hemisphere","author":[{"dropping-particle":"","family":"Cruz","given":"Francisco W.","non-dropping-particle":"","parse-names":false,"suffix":""},{"dropping-particle":"","family":"Burns","given":"Stephen J.","non-dropping-particle":"","parse-names":false,"suffix":""},{"dropping-particle":"","family":"Karmann","given":"Ivo","non-dropping-particle":"","parse-names":false,"suffix":""},{"dropping-particle":"","family":"Sharp","given":"Warren D.","non-dropping-particle":"","parse-names":false,"suffix":""},{"dropping-particle":"","family":"Vuille","given":"Mathias","non-dropping-particle":"","parse-names":false,"suffix":""},{"dropping-particle":"","family":"Cardoso","given":"Andrea O.","non-dropping-particle":"","parse-names":false,"suffix":""},{"dropping-particle":"","family":"Ferrari","given":"José A.","non-dropping-particle":"","parse-names":false,"suffix":""},{"dropping-particle":"","family":"Silva Dias","given":"Pedro L.","non-dropping-particle":"","parse-names":false,"suffix":""},{"dropping-particle":"","family":"Viana","given":"Oduvaldo","non-dropping-particle":"","parse-names":false,"suffix":""}],"container-title":"Nature","id":"ITEM-2","issue":"7029","issued":{"date-parts":[["2005","3","3"]]},"note":"116,200 years of d18O from Bt2 speleothem. Rainfall was mainly driven by precessional cycle-driven insolation. Some info on current and palaeo climate drivers\n\nDansgaard/Oeschger cycles are important and rapid climate cycles from the last glacial period (similar things in the Holocene are called Bond events). In the northern hemisphere they involve rapid warming (maybe 8degC in 40 years) then gradual cooling.\nD/O cycles did occur in tropics and affect rainfall. However, summer insolation from wobbly orbits/axis is the main source of variation in rainfall amount and origin","page":"63-66","publisher":"Nature Publishing Group","title":"Insolation-driven changes in atmospheric circulation over the past 116,000 years in subtropical Brazil","type":"article-journal","volume":"434"},"uris":["http://www.mendeley.com/documents/?uuid=0241cd9b-53ba-365e-8e16-9bb90d047b08"]},{"id":"ITEM-3","itemData":{"DOI":"10.1016/j.epsl.2006.06.019","ISSN":"0012821X","abstract":"Two high-resolution oxygen isotope records of speleothems from caves located in subtropical Brazil provide a broad view of regional climate variations and related forcing during the late Pleistocene and Holocene. Here, we present a new record precisely dated by U-series extending back to 131 kyr BP from a speleothem collected in Santana Cave. Comparison with the 116 kyr BP record from Botuverá Cave confirms that the seasonal change in regional rainfall distribution is primarily controlled by variations in summer insolation on Milankovitch timescales. However, significant negative anomalies of δ18O from 60 kyr BP to 10 kyr BP in the records suggest that the Northern Hemisphere glacial boundary conditions, in particular Heinrich events, impacted the mean location and/or convective activity of the South American summer monsoon (SASM), resulting in enhanced transport of depleted moisture from the Amazon Basin into the region. In addition, comparison of the two records indicates a steep north-south gradient in δ18O of rainfall throughout, which is interpreted as reflecting different relative contribution of extratropical and monsoonal precipitation to the two locations. For some time periods, more pronounced negative δ18O anomalies occur in the northern part and more positive anomalies in the southern part of the region, which appear to be associated with more abundant monsoonal and extratropical rainfall, respectively. The last interglacial period is characterized by the highest δ18O values in the entire St8 record, indicating a dominance of extratropical winter rainfall and thus, the most northward position of the summer SASM for the last 131 kyr BP. © 2006 Elsevier B.V. All rights reserved.","author":[{"dropping-particle":"","family":"Cruz","given":"Francisco W.","non-dropping-particle":"","parse-names":false,"suffix":""},{"dropping-particle":"","family":"Burns","given":"S.J.","non-dropping-particle":"","parse-names":false,"suffix":""},{"dropping-particle":"","family":"Karmann","given":"I.","non-dropping-particle":"","parse-names":false,"suffix":""},{"dropping-particle":"","family":"Sharp","given":"W.D.","non-dropping-particle":"","parse-names":false,"suffix":""},{"dropping-particle":"","family":"Vuille","given":"M.","non-dropping-particle":"","parse-names":false,"suffix":""}],"container-title":"Earth and Planetary Science Letters","id":"ITEM-3","issue":"1-2","issued":{"date-parts":[["2006","8"]]},"note":"Santana speleothem St8, and comparison with Bt2 from Botuvera. Bt2 has consistently higher d18O values because of greater relative contribution of extratropical (winter) rainfall than at St8. Chats about anomalies and potential explanations for why they might exist. See data sent by FW Cruz.","page":"495-507","title":"Reconstruction of regional atmospheric circulation features during the late Pleistocene in subtropical Brazil from oxygen isotope composition of speleothems","type":"article-journal","volume":"248"},"uris":["http://www.mendeley.com/documents/?uuid=76eb9f2b-d7c7-3866-a313-d6d8525b9188"]}],"mendeley":{"formattedCitation":"(Cruz et al., 2007, 2006, 2005)","plainTextFormattedCitation":"(Cruz et al., 2007, 2006, 2005)","previouslyFormattedCitation":"(Cruz et al., 2007, 2006, 2005)"},"properties":{"noteIndex":0},"schema":"https://github.com/citation-style-language/schema/raw/master/csl-citation.json"}</w:instrText>
      </w:r>
      <w:r w:rsidR="00E62253">
        <w:fldChar w:fldCharType="separate"/>
      </w:r>
      <w:r w:rsidR="005944BB" w:rsidRPr="005944BB">
        <w:rPr>
          <w:noProof/>
        </w:rPr>
        <w:t>(Cruz et al., 2007, 2006, 2005)</w:t>
      </w:r>
      <w:r w:rsidR="00E62253">
        <w:fldChar w:fldCharType="end"/>
      </w:r>
      <w:r w:rsidR="0047196E">
        <w:t>, as well as proxies of air and sea surface temperatures</w:t>
      </w:r>
      <w:r w:rsidR="002B0330">
        <w:t xml:space="preserve"> from </w:t>
      </w:r>
      <w:proofErr w:type="spellStart"/>
      <w:r w:rsidR="002B0330">
        <w:t>Colônia</w:t>
      </w:r>
      <w:proofErr w:type="spellEnd"/>
      <w:r w:rsidR="00131E72">
        <w:t xml:space="preserve"> </w:t>
      </w:r>
      <w:r w:rsidR="002B0330">
        <w:t xml:space="preserve">and marine </w:t>
      </w:r>
      <w:proofErr w:type="spellStart"/>
      <w:r w:rsidR="002B0330">
        <w:t>cores</w:t>
      </w:r>
      <w:proofErr w:type="spellEnd"/>
      <w:r w:rsidR="0099636E">
        <w:t xml:space="preserve"> </w:t>
      </w:r>
      <w:r w:rsidR="0099636E">
        <w:fldChar w:fldCharType="begin" w:fldLock="1"/>
      </w:r>
      <w:r w:rsidR="007F330C">
        <w:instrText xml:space="preserve">ADDIN CSL_CITATION {"citationItems":[{"id":"ITEM-1","itemData":{"DOI":"10.1038/s41598-020-62888-x","ISSN":"2045-2322","PMID":"32296075","abstract":"We analysed changes in mean annual air temperature (MAAT), vegetation and biomass burning on a long and continuous lake-peat sediment record from the Colônia basin, southeastern Brazil, examining the responses of a wet tropical rainforest over the last 180 ka. Stronger southern atmospheric circulation up to the latitude of Colônia was found for the penultimate glacial with lower temperatures than during the last glacial, while strengthening of the South American summer monsoon (SASM) circulation started during the last interglacial and progressively enhanced a longer wet summer season from 95 ka until the present. Past MAAT variations and fire history were possibly modulated by eccentricity, although with signatures which differ in average and in amplitude between the last 180 ka. Vegetation responses were driven by the interplay between the SASM and southern circulation linked to Antarctic ice volume, inferred by the presence of a cool mixed evergreen forest from 180 to 45 ka progressively replaced by a rainforest. We report cooler temperatures during the marine isotope stage 3 (MIS 3: 57-29 ka) than during the Last Glacial Maximum (LGM: 23–19 ka). Our findings show that tropical forest dynamics display different patterns than mid-latitude during the last 180 ka.","author":[{"dropping-particle":"","family":"Rodríguez-Zorro","given":"Paula A.","non-dropping-particle":"","parse-names":false,"suffix":""},{"dropping-particle":"","family":"Ledru","given":"Marie-Pierre","non-dropping-particle":"","parse-names":false,"suffix":""},{"dropping-particle":"","family":"Bard","given":"Edouard","non-dropping-particle":"","parse-names":false,"suffix":""},{"dropping-particle":"","family":"Aquino-Alfonso","given":"Olga","non-dropping-particle":"","parse-names":false,"suffix":""},{"dropping-particle":"","family":"Camejo","given":"Adriana","non-dropping-particle":"","parse-names":false,"suffix":""},{"dropping-particle":"","family":"Daniau","given":"Anne-Laure","non-dropping-particle":"","parse-names":false,"suffix":""},{"dropping-particle":"","family":"Favier","given":"Charly","non-dropping-particle":"","parse-names":false,"suffix":""},{"dropping-particle":"","family":"Garcia","given":"Marta","non-dropping-particle":"","parse-names":false,"suffix":""},{"dropping-particle":"","family":"Mineli","given":"Thays D.","non-dropping-particle":"","parse-names":false,"suffix":""},{"dropping-particle":"","family":"Rostek","given":"Frauke","non-dropping-particle":"","parse-names":false,"suffix":""},{"dropping-particle":"","family":"Ricardi-Branco","given":"Fresia","non-dropping-particle":"","parse-names":false,"suffix":""},{"dropping-particle":"","family":"Sawakuchi","given":"André Oliveira","non-dropping-particle":"","parse-names":false,"suffix":""},{"dropping-particle":"","family":"Simon","given":"Quentin","non-dropping-particle":"","parse-names":false,"suffix":""},{"dropping-particle":"","family":"Tachikawa","given":"Kazuyo","non-dropping-particle":"","parse-names":false,"suffix":""},{"dropping-particle":"","family":"Thouveny","given":"Nicolas","non-dropping-particle":"","parse-names":false,"suffix":""}],"container-title":"Scientific Reports","id":"ITEM-1","issue":"1","issued":{"date-parts":[["2020","12","15"]]},"page":"6275","publisher":"Nature Research","title":"Shut down of the South American summer monsoon during the penultimate glacial","type":"article-journal","volume":"10"},"uris":["http://www.mendeley.com/documents/?uuid=5b653ca7-27fa-371d-a789-1f41439d87ce"]},{"id":"ITEM-2","itemData":{"DOI":"10.1016/j.palaeo.2013.01.014","ISSN":"00310182","abstract":"In this paper we present a paleoceanographic reconstruction of the southwestern South Atlantic for the past 13. kyr based on faunal and isotopic analysis of planktonic foraminifera from a high-resolution core retrieved at the South Brazil Bight continental slope. Our record indicates that oceanographic changes in the southwestern South Atlantic during the onset of the Holocene were comparable in strength to those that occurred during the Younger Dryas. Full interglacial conditions started abruptly after 8.2. kyr. BP with a sharp change in faunal composition and surface hydrography (SST and SSS). Part of the observed events may be explained in terms of changes in thermohaline circulation while the other part suggests a dominant role of winds. Our data indicate that during the Early Holocene upwelling was significantly strengthened in the South Brazil Bight promoting high productivity and preventing the establishment of the typically interglacial menardiiform species. In general terms, oceanographic changes recorded by core KF02 occurred in synchrony with Antarctica's climate. © 2013 Elsevier B.V.","author":[{"dropping-particle":"","family":"Pivel","given":"M.A.G.","non-dropping-particle":"","parse-names":false,"suffix":""},{"dropping-particle":"","family":"Santarosa","given":"A.C.A.","non-dropping-particle":"","parse-names":false,"suffix":""},{"dropping-particle":"","family":"Toledo","given":"F.A.L.","non-dropping-particle":"","parse-names":false,"suffix":""},{"dropping-particle":"","family":"Costa","given":"K.B.","non-dropping-particle":"","parse-names":false,"suffix":""}],"container-title":"Palaeogeography, Palaeoclimatology, Palaeoecology","id":"ITEM-2","issued":{"date-parts":[["2013","3","15"]]},"page":"164-172","publisher":"Elsevier","title":"The Holocene onset in the southwestern South Atlantic","type":"article-journal","volume":"374"},"uris":["http://www.mendeley.com/documents/?uuid=e130d158-73d3-3703-b870-a6fbd8036975"]},{"id":"ITEM-3","itemData":{"DOI":"10.1016/j.palaeo.2013.12.005","ISSN":"00310182","abstract":"Our understanding of the centennial-scale variability of the Brazil Current (BC) during the late Holocene is elusive because of the lack of appropriate records. Here we used the Mg/Ca and oxygen isotopic composition of planktonic foraminifera from two marine sediment cores collected at 27°S and 33°S off southeastern South America to assess the late Holocene variability in the upper water column of the BC. Our results show in phase fluctuations of up to 3. °C in sea surface temperatures (SST), and 0.8% in oxygen isotopic composition of surface sea water, a proxy for relative sea surface salinity (SSS). Time-series analyses of our records indicate a cyclicity with a period of ca. 730. yr. We suggest that the observed cyclicity reflects variability in the strength of the BC associated to changes in the Atlantic meridional overturning circulation (AMOC). Positive (negative) SST and SSS anomalies are related to a strong (weak) BC and a weak (strong) AMOC. Moreover, periods of peak strength in the BC occur synchronously to a weak North Brazil Current, negative SST anomalies in the high latitudes of the North Atlantic, and positive (negative) precipitation anomalies over southeastern South America (equatorial Africa), further corroborating our hypothesis. This study shows a tight coupling between the variability of the BC and the high latitudes of the North Atlantic mediated by the AMOC even under late Holocene boundary conditions.","author":[{"dropping-particle":"","family":"Chiessi","given":"Cristiano M.","non-dropping-particle":"","parse-names":false,"suffix":""},{"dropping-particle":"","family":"Mulitza","given":"Stefan","non-dropping-particle":"","parse-names":false,"suffix":""},{"dropping-particle":"","family":"Groeneveld","given":"Jeroen","non-dropping-particle":"","parse-names":false,"suffix":""},{"dropping-particle":"","family":"Silva","given":"Juliana B.","non-dropping-particle":"","parse-names":false,"suffix":""},{"dropping-particle":"","family":"Campos","given":"Marília C.","non-dropping-particle":"","parse-names":false,"suffix":""},{"dropping-particle":"","family":"Gurgel","given":"Marcio H.C.","non-dropping-particle":"","parse-names":false,"suffix":""}],"container-title":"Palaeogeography, Palaeoclimatology, Palaeoecology","id":"ITEM-3","issued":{"date-parts":[["2014"]]},"page":"28-36","publisher":"Elsevier B.V.","title":"Variability of the Brazil Current during the late Holocene","type":"article-journal","volume":"415"},"uris":["http://www.mendeley.com/documents/?uuid=3dd63eb8-53eb-4585-8b8e-b63fca8e1495"]},{"id":"ITEM-4","itemData":{"DOI":"10.5194/cp-11-915-2015","ISSN":"18149332","abstract":"During Termination 1, millennial-scale weakening events of the Atlantic meridional overturning circulation (AMOC) supposedly produced major changes in sea surface temperatures (SSTs) of the western South Atlantic, and in mean air temperatures (MATs) over southeastern South America. It has been suggested, for instance, that the Brazil Current (BC) would strengthen (weaken) and the North Brazil Current (NBC) would weaken (strengthen) during slowdown (speed-up) events of the AMOC. This anti-phase pattern was claimed to be a necessary response to the decreased North Atlantic heat piracy during periods of weak AMOC. However, the thermal evolution of the western South Atlantic and the adjacent continent is so far largely unknown. Here we address this issue, presenting high-temporal-resolution SST and MAT records from the BC and southeastern South America, respectively. We identify a warming in the western South Atlantic during Heinrich Stadial 1 (HS1), which is followed first by a drop and then by increasing temperatures during the Bolling-Allerod, in phase with an existing SST record from the NBC. Additionally, a similar SST evolution is shown by a southernmost eastern South Atlantic record, suggesting a South Atlantic-wide pattern in SST evolution during most of Termination 1. Over southeastern South America, our MAT record shows a two-step increase during Termination 1, synchronous with atmospheric CO2 rise (i.e., during the second half of HS1 and during the Younger Dryas), and lagging abrupt SST changes by several thousand years. This delay corroborates the notion that the long duration of HS1 was fundamental in driving the Earth out of the last glacial.","author":[{"dropping-particle":"","family":"Chiessi","given":"Cristiano M.","non-dropping-particle":"","parse-names":false,"suffix":""},{"dropping-particle":"","family":"Mulitza","given":"S.","non-dropping-particle":"","parse-names":false,"suffix":""},{"dropping-particle":"","family":"Mollenhauer","given":"G.","non-dropping-particle":"","parse-names":false,"suffix":""},{"dropping-particle":"","family":"Silva","given":"J. B.","non-dropping-particle":"","parse-names":false,"suffix":""},{"dropping-particle":"","family":"Groeneveld","given":"J.","non-dropping-particle":"","parse-names":false,"suffix":""},{"dropping-particle":"","family":"Prange","given":"M.","non-dropping-particle":"","parse-names":false,"suffix":""}],"container-title":"Climate of the Past","id":"ITEM-4","issue":"6","issued":{"date-parts":[["2015"]]},"page":"915-929","title":"Thermal evolution of the western South Atlantic and the adjacent continent during Termination 1","type":"article-journal","volume":"11"},"uris":["http://www.mendeley.com/documents/?uuid=94342ae7-5ac3-4a7b-8158-fb8a1fbd8079"]},{"id":"ITEM-5","itemData":{"DOI":"10.1130/G25080A.1","ISBN":"0091-7613","ISSN":"0091-7613","abstract":"During the last deglaciation (ca. 21–10 ka), freshening of the North Atlantic surface likely caused reductions in Atlantic meridional overturning circulation (AMOC); the mechanisms related to AMOC recovery remain poorly understood. Here we present three new deglacial surface temperature and δ18 Oseawater (δ18 Osw ) reconstructions from the western subtropical North and South Atlantic. Similarities to tropical Caribbean and western Atlantic δ18 Osw records suggest that a salty surface water mass accumulated in the western Atlantic from 27°S to 33°N during periods of reduced AMOC. However, δ18 Osw decreases led deep AMOC resumption by hundreds of years. We suggest that the northward export of salt previously trapped in the western Atlantic resulted in the early establishment of a shallow overturning circulation that eventually culminated in deep AMOC resumption, implying that AMOC may constitute a self-limiting system. INTRODUCTION","author":[{"dropping-particle":"","family":"Carlson","given":"Anders E.","non-dropping-particle":"","parse-names":false,"suffix":""},{"dropping-particle":"","family":"Oppo","given":"Delia W.","non-dropping-particle":"","parse-names":false,"suffix":""},{"dropping-particle":"","family":"Came","given":"Rosemarie E.","non-dropping-particle":"","parse-names":false,"suffix":""},{"dropping-particle":"","family":"LeGrande","given":"Allegra N.","non-dropping-particle":"","parse-names":false,"suffix":""},{"dropping-particle":"","family":"Keigwin","given":"Lloyd D.","non-dropping-particle":"","parse-names":false,"suffix":""},{"dropping-particle":"","family":"Curry","given":"William B.","non-dropping-particle":"","parse-names":false,"suffix":""}],"container-title":"Geology","id":"ITEM-5","issue":"12","issued":{"date-parts":[["2008"]]},"note":"Has data on reconstructing LGM-Holocene calcification temperature and ocean salinity from near SC coast","page":"991","title":"Subtropical Atlantic salinity variability and Atlantic meridional circulation during the last deglaciation","type":"article-journal","volume":"36"},"uris":["http://www.mendeley.com/documents/?uuid=4f8f791b-eb22-37c5-b433-02debd2f541d"]},{"id":"ITEM-6","itemData":{"DOI":"10.1016/j.marmicro.2007.03.001","ISSN":"03778398","abstract":"Micropaleontological and geochemical analyses from western South Atlantic core SAN-76 (off Southeast Brazil) revealed changes in stable isotope values, and in the assemblages of calcareous nannoplankton and planktonic foraminifera during the past 25 kyr that point to significant paleoceanographic and climatic changes leading to an increase in productivity during the last deglaciation. The enhanced surface productivity was clearly indicated by increased relative abundances of the planktonic foraminifera Globigerina bulloides and Neogloboquadrina dutertrei and the decreased values of δ13C in planktonic foraminiferal tests. A coeval shoaling of the nutricline and thermocline was indicated by decreased relative abundances of the calcareous nannoplankton Florisphaera profunda and an increased relative abundance of the planktonic foraminifera Globorotalia truncatulinoides (right coiling). We speculate that these changes are related to N-S shifts of the Atlantic Intertropical Convergence Zone (ITCZ). A significant increase in the Cd/Ca ratio and decrease in δ13C values in the benthic foraminifer Hoeglundina elegans, along with a significant increase in the relative abundance of ascidian spicules during the deglaciation suggest that benthic communities in this area strongly benefited from increased surface water productivity. © 2007 Elsevier B.V. All rights reserved.","author":[{"dropping-particle":"","family":"Toledo","given":"Felipe A.L.","non-dropping-particle":"","parse-names":false,"suffix":""},{"dropping-particle":"","family":"Cachão","given":"Mario","non-dropping-particle":"","parse-names":false,"suffix":""},{"dropping-particle":"","family":"Costa","given":"Karen B.","non-dropping-particle":"","parse-names":false,"suffix":""},{"dropping-particle":"","family":"Pivel","given":"M.A.G.","non-dropping-particle":"","parse-names":false,"suffix":""}],"container-title":"Marine Micropaleontology","id":"ITEM-6","issue":"1-2","issued":{"date-parts":[["2007"]]},"page":"67-79","title":"Planktonic foraminifera, calcareous nannoplankton and ascidian variations during the last 25 kyr in the Southwestern Atlantic: A paleoproductivity signature?","type":"article-journal","volume":"64"},"uris":["http://www.mendeley.com/documents/?uuid=31639d44-bfb5-4a8b-8227-e22dd2ee0a61"]},{"id":"ITEM-7","itemData":{"DOI":"10.1016/j.quascirev.2019.04.020","ISSN":"02773791","abstract":"Millennial-scale oscillations are known to be important in the climatic evolution of the Atlantic basin, but which internal processes originates these oscillations are still uncertain. In this study, we investigated how the Greenland and Antarctic climates affect the SW Atlantic through basin-wide oceanographic features (such as the NADW formation and the Agulhas leakage). We reconstructed sea surface and subsurface temperatures (SST and subT) using three lipid-based biomarker proxies (UK’37, TEX86 and LDI indexes) from a sediment core (NAP 63-1) retrieved from the SW Atlantic slope (24.8°S, 44.3°W). This location allowed us to evaluate the temperature oscillations of the Brazil Current without any terrigenous or upwelling-derived biases. Both TEX86-based and LDI-based estimates represent the mean annual SST, while the UK’37-based estimates represent the subT (around 30 m water depth). The periods with the most well-mixed water column were observed during intervals of cooling orbital trends due to the time required to transfer the surface cooling to the subsurface. The temperature reconstructions showed a general colder MIS 3 when compared to the MIS 4. They also showed evidence of a late response to deglaciation, with its onset in the SW Atlantic occurring in the middle of the Last Glacial Maximum. Based on these reconstructions, the NAP 63-1 SST orbital-scale trend seems to be linked to the Antarctic climate, influenced by local insolation changes. These temperature records also presented a clear millennial periodicity around 8 kyr. On this timescale, the millennial oscillations in the SW Atlantic's SST are likely linked to the NADW formation.","author":[{"dropping-particle":"","family":"Dauner","given":"Ana Lúcia L.","non-dropping-particle":"","parse-names":false,"suffix":""},{"dropping-particle":"","family":"Mollenhauer","given":"Gesine","non-dropping-particle":"","parse-names":false,"suffix":""},{"dropping-particle":"","family":"Bícego","given":"Márcia Caruso","non-dropping-particle":"","parse-names":false,"suffix":""},{"dropping-particle":"","family":"Souza","given":"Mihael Machado","non-dropping-particle":"de","parse-names":false,"suffix":""},{"dropping-particle":"","family":"Nagai","given":"Renata Hanae","non-dropping-particle":"","parse-names":false,"suffix":""},{"dropping-particle":"","family":"Figueira","given":"Rubens César Lopes","non-dropping-particle":"","parse-names":false,"suffix":""},{"dropping-particle":"","family":"Mahiques","given":"Michel Michaelovitch","non-dropping-particle":"de","parse-names":false,"suffix":""},{"dropping-particle":"","family":"Sousa","given":"Silvia Helena de Mello e.","non-dropping-particle":"","parse-names":false,"suffix":""},{"dropping-particle":"","family":"Martins","given":"César C.","non-dropping-particle":"","parse-names":false,"suffix":""}],"container-title":"Quaternary Science Reviews","id":"ITEM-7","issued":{"date-parts":[["2019","7","1"]]},"page":"22-34","publisher":"Elsevier Ltd","title":"Multi-proxy reconstruction of sea surface and subsurface temperatures in the western South Atlantic over the last </w:instrText>
      </w:r>
      <w:r w:rsidR="007F330C">
        <w:rPr>
          <w:rFonts w:ascii="Cambria Math" w:hAnsi="Cambria Math" w:cs="Cambria Math"/>
        </w:rPr>
        <w:instrText>∼</w:instrText>
      </w:r>
      <w:r w:rsidR="007F330C">
        <w:instrText>75 kyr","type":"article-journal","volume":"215"},"uris":["http://www.mendeley.com/documents/?uuid=9e45e0f3-5dad-380f-976a-2cdea851cb30"]}],"mendeley":{"formattedCitation":"(Carlson et al., 2008; Chiessi et al., 2015, 2014; Dauner et al., 2019; Pivel et al., 2013; Rodríguez-Zorro et al., 2020; Toledo et al., 2007)","plainTextFormattedCitation":"(Carlson et al., 2008; Chiessi et al., 2015, 2014; Dauner et al., 2019; Pivel et al., 2013; Rodríguez-Zorro et al., 2020; Toledo et al., 2007)","previouslyFormattedCitation":"(Carlson et al., 2008; Chiessi et al., 2015, 2014; Dauner et al., 2019; Pivel et al., 2013; Rodríguez-Zorro et al., 2020; Toledo et al., 2007)"},"properties":{"noteIndex":0},"schema":"https://github.com/citation-style-language/schema/raw/master/csl-citation.json"}</w:instrText>
      </w:r>
      <w:r w:rsidR="0099636E">
        <w:fldChar w:fldCharType="separate"/>
      </w:r>
      <w:r w:rsidR="005944BB" w:rsidRPr="005944BB">
        <w:rPr>
          <w:noProof/>
        </w:rPr>
        <w:t>(Carlson et al., 2008; Chiessi et al., 2015, 2014; Dauner et al., 2019; Pivel et al., 2013; Rodríguez-Zorro et al., 2020; Toledo et al., 2007)</w:t>
      </w:r>
      <w:r w:rsidR="0099636E">
        <w:fldChar w:fldCharType="end"/>
      </w:r>
      <w:r w:rsidR="0047196E">
        <w:t>.</w:t>
      </w:r>
      <w:r w:rsidR="002B0330">
        <w:t xml:space="preserve"> </w:t>
      </w:r>
      <w:r w:rsidR="008E3D8A">
        <w:t xml:space="preserve">Conditions </w:t>
      </w:r>
      <w:r w:rsidR="00D01F38">
        <w:t xml:space="preserve">at </w:t>
      </w:r>
      <w:r w:rsidR="008E3D8A">
        <w:t xml:space="preserve">15,000 BP </w:t>
      </w:r>
      <w:r w:rsidR="0034424F">
        <w:t xml:space="preserve">are </w:t>
      </w:r>
      <w:r w:rsidR="004D51D4">
        <w:t>transitional between th</w:t>
      </w:r>
      <w:r w:rsidR="0034424F">
        <w:t>is</w:t>
      </w:r>
      <w:r w:rsidR="004D51D4">
        <w:t xml:space="preserve"> </w:t>
      </w:r>
      <w:r w:rsidR="00D01F38">
        <w:t>LGM</w:t>
      </w:r>
      <w:r w:rsidR="004D51D4">
        <w:t xml:space="preserve"> </w:t>
      </w:r>
      <w:r w:rsidR="0034424F">
        <w:t xml:space="preserve">climate </w:t>
      </w:r>
      <w:r w:rsidR="004D51D4">
        <w:t xml:space="preserve">and </w:t>
      </w:r>
      <w:r w:rsidR="0034424F">
        <w:t xml:space="preserve">a </w:t>
      </w:r>
      <w:r w:rsidR="002970DD">
        <w:t xml:space="preserve">markedly different early </w:t>
      </w:r>
      <w:r w:rsidR="004D51D4">
        <w:t>Holocene</w:t>
      </w:r>
      <w:r w:rsidR="0072751B">
        <w:t>.</w:t>
      </w:r>
      <w:r w:rsidR="004D51D4">
        <w:t xml:space="preserve"> </w:t>
      </w:r>
    </w:p>
    <w:p w14:paraId="7443149D" w14:textId="6A458181" w:rsidR="00CE0A2D" w:rsidRDefault="0072751B" w:rsidP="00F74804">
      <w:pPr>
        <w:spacing w:line="360" w:lineRule="auto"/>
      </w:pPr>
      <w:r>
        <w:t>A</w:t>
      </w:r>
      <w:r w:rsidR="002970DD">
        <w:t>t 12,000</w:t>
      </w:r>
      <w:r w:rsidR="00973E3D">
        <w:t xml:space="preserve"> </w:t>
      </w:r>
      <w:r w:rsidR="002970DD">
        <w:t>BP</w:t>
      </w:r>
      <w:r w:rsidR="009666EB">
        <w:t>, much of</w:t>
      </w:r>
      <w:r w:rsidR="002970DD">
        <w:t xml:space="preserve"> our study area was</w:t>
      </w:r>
      <w:r w:rsidR="000D1C48">
        <w:t xml:space="preserve"> somewhat drier </w:t>
      </w:r>
      <w:r>
        <w:t xml:space="preserve">and more seasonal </w:t>
      </w:r>
      <w:r w:rsidR="000D1C48">
        <w:t>than the present</w:t>
      </w:r>
      <w:r w:rsidR="006B1440">
        <w:t>; the north-east was 1-2°C cooler than present</w:t>
      </w:r>
      <w:r w:rsidR="00864160">
        <w:t xml:space="preserve"> and </w:t>
      </w:r>
      <w:r w:rsidR="006B1440">
        <w:t xml:space="preserve">the </w:t>
      </w:r>
      <w:r w:rsidR="00C36802">
        <w:t>south up to 1°C warmer</w:t>
      </w:r>
      <w:r w:rsidR="001F236F">
        <w:t xml:space="preserve">, </w:t>
      </w:r>
      <w:r w:rsidR="009867B3">
        <w:t xml:space="preserve">though most areas were </w:t>
      </w:r>
      <w:r w:rsidR="009867B3">
        <w:lastRenderedPageBreak/>
        <w:t xml:space="preserve">within 1°C of modern </w:t>
      </w:r>
      <w:r w:rsidR="004065E8">
        <w:t xml:space="preserve">average </w:t>
      </w:r>
      <w:r w:rsidR="009867B3">
        <w:t>temperatures.</w:t>
      </w:r>
      <w:r w:rsidR="00207B6F">
        <w:t xml:space="preserve"> </w:t>
      </w:r>
      <w:r w:rsidR="00C0496E">
        <w:t xml:space="preserve">Proxy evidence from </w:t>
      </w:r>
      <w:proofErr w:type="spellStart"/>
      <w:r w:rsidR="00C0496E">
        <w:t>Botuverá</w:t>
      </w:r>
      <w:proofErr w:type="spellEnd"/>
      <w:r w:rsidR="00C0496E">
        <w:t xml:space="preserve"> </w:t>
      </w:r>
      <w:r w:rsidR="009F6F92">
        <w:t xml:space="preserve">and Santana </w:t>
      </w:r>
      <w:r w:rsidR="00C0496E">
        <w:t xml:space="preserve">supports the </w:t>
      </w:r>
      <w:r w:rsidR="009F6F92">
        <w:t>early Holocene (</w:t>
      </w:r>
      <w:r w:rsidR="00C0496E">
        <w:t xml:space="preserve">12,000 </w:t>
      </w:r>
      <w:r w:rsidR="009F6F92">
        <w:t xml:space="preserve">– </w:t>
      </w:r>
      <w:r w:rsidR="00C0496E">
        <w:t>9,000 BP) being the driest in the study period, with the lowest contribution</w:t>
      </w:r>
      <w:r w:rsidR="00C64769">
        <w:t>s from the summer monsoon.</w:t>
      </w:r>
      <w:r w:rsidR="00D1043E">
        <w:t xml:space="preserve"> </w:t>
      </w:r>
      <w:r w:rsidR="004D234E">
        <w:t xml:space="preserve">Subsequent gradual and relatively minor increases in precipitation </w:t>
      </w:r>
      <w:r w:rsidR="006A020E">
        <w:t xml:space="preserve">in the proxy records are reflected in our downscaled data. </w:t>
      </w:r>
      <w:r w:rsidR="00A40971">
        <w:t>T</w:t>
      </w:r>
      <w:r w:rsidR="00D1043E">
        <w:t xml:space="preserve">emperature </w:t>
      </w:r>
      <w:r w:rsidR="001C1A6F">
        <w:t xml:space="preserve">proxies </w:t>
      </w:r>
      <w:r w:rsidR="00A40971">
        <w:t xml:space="preserve">generally </w:t>
      </w:r>
      <w:r w:rsidR="001C1A6F">
        <w:t xml:space="preserve">record 12,000 BP as </w:t>
      </w:r>
      <w:r w:rsidR="00C3630A">
        <w:t xml:space="preserve">being </w:t>
      </w:r>
      <w:proofErr w:type="gramStart"/>
      <w:r w:rsidR="003C1CEC">
        <w:t>similar to</w:t>
      </w:r>
      <w:proofErr w:type="gramEnd"/>
      <w:r w:rsidR="00FB7364">
        <w:t>,</w:t>
      </w:r>
      <w:r w:rsidR="003C1CEC">
        <w:t xml:space="preserve"> or </w:t>
      </w:r>
      <w:r w:rsidR="004678EA">
        <w:t>warm</w:t>
      </w:r>
      <w:r w:rsidR="00A40971">
        <w:t>er than</w:t>
      </w:r>
      <w:r w:rsidR="00FB7364">
        <w:t>,</w:t>
      </w:r>
      <w:r w:rsidR="00A40971">
        <w:t xml:space="preserve"> the preceding </w:t>
      </w:r>
      <w:r w:rsidR="003C1CEC">
        <w:t>time slices</w:t>
      </w:r>
      <w:r w:rsidR="00B644C0">
        <w:t xml:space="preserve">; </w:t>
      </w:r>
      <w:r w:rsidR="00C3630A">
        <w:t xml:space="preserve">several also show </w:t>
      </w:r>
      <w:r w:rsidR="00022488">
        <w:t xml:space="preserve">slight </w:t>
      </w:r>
      <w:r w:rsidR="00C3630A">
        <w:t>increas</w:t>
      </w:r>
      <w:r w:rsidR="00022488">
        <w:t>es</w:t>
      </w:r>
      <w:r w:rsidR="00C3630A">
        <w:t xml:space="preserve"> </w:t>
      </w:r>
      <w:r w:rsidR="002E4A05">
        <w:t xml:space="preserve">in </w:t>
      </w:r>
      <w:r w:rsidR="00C3630A">
        <w:t>temperatures through the Holocene</w:t>
      </w:r>
      <w:r w:rsidR="00247421">
        <w:t xml:space="preserve"> which are less </w:t>
      </w:r>
      <w:r w:rsidR="001D1456">
        <w:t>clear</w:t>
      </w:r>
      <w:r w:rsidR="00247421">
        <w:t xml:space="preserve"> in our </w:t>
      </w:r>
      <w:r w:rsidR="00BF69E1">
        <w:t>downscaled data</w:t>
      </w:r>
      <w:r w:rsidR="00247421">
        <w:t>.</w:t>
      </w:r>
      <w:r w:rsidR="00B644C0">
        <w:t xml:space="preserve"> </w:t>
      </w:r>
    </w:p>
    <w:p w14:paraId="393DED85" w14:textId="18EB22D0" w:rsidR="00300BAE" w:rsidRDefault="00D705D0" w:rsidP="00F74804">
      <w:pPr>
        <w:spacing w:line="360" w:lineRule="auto"/>
      </w:pPr>
      <w:r>
        <w:t>Our future scenario</w:t>
      </w:r>
      <w:r w:rsidR="000B4688">
        <w:t xml:space="preserve"> (2070, RCP8.5) has slightly higher precipitation than the present, though still less than experienced </w:t>
      </w:r>
      <w:r w:rsidR="001F236F">
        <w:t>during the LGM</w:t>
      </w:r>
      <w:r w:rsidR="00F71C5E">
        <w:t xml:space="preserve">, and </w:t>
      </w:r>
      <w:r w:rsidR="00E0451E">
        <w:t>significantly</w:t>
      </w:r>
      <w:r w:rsidR="00F71C5E">
        <w:t xml:space="preserve"> higher temperatures (</w:t>
      </w:r>
      <w:r w:rsidR="005401E0">
        <w:t>2</w:t>
      </w:r>
      <w:r w:rsidR="003D66FE">
        <w:t>-</w:t>
      </w:r>
      <w:r w:rsidR="005401E0">
        <w:t>3.5°C</w:t>
      </w:r>
      <w:r w:rsidR="003D66FE">
        <w:t xml:space="preserve"> warmer</w:t>
      </w:r>
      <w:r w:rsidR="005401E0">
        <w:t>)</w:t>
      </w:r>
      <w:r w:rsidR="00514E09">
        <w:t xml:space="preserve"> than at any </w:t>
      </w:r>
      <w:r w:rsidR="00564BDB">
        <w:t xml:space="preserve">other </w:t>
      </w:r>
      <w:r w:rsidR="00514E09">
        <w:t>modelled point.</w:t>
      </w:r>
    </w:p>
    <w:p w14:paraId="0DB52F4A" w14:textId="57896A8B" w:rsidR="00D37395" w:rsidRDefault="00D37395" w:rsidP="00F74804">
      <w:pPr>
        <w:spacing w:line="360" w:lineRule="auto"/>
      </w:pPr>
      <w:r>
        <w:t xml:space="preserve">The Köppen-Geiger climate classification system </w:t>
      </w:r>
      <w:r w:rsidR="00ED7E13">
        <w:t>(Fig. S</w:t>
      </w:r>
      <w:r w:rsidR="00E04122">
        <w:t>8</w:t>
      </w:r>
      <w:r w:rsidR="00ED7E13">
        <w:t xml:space="preserve">) </w:t>
      </w:r>
      <w:r>
        <w:t xml:space="preserve">shows that southern Brazil’s highlands have retained a subtropical climate with warm summers and no dry season since the LGM. This </w:t>
      </w:r>
      <w:proofErr w:type="spellStart"/>
      <w:r>
        <w:t>Cfb</w:t>
      </w:r>
      <w:proofErr w:type="spellEnd"/>
      <w:r>
        <w:t xml:space="preserve"> climate type covered almost </w:t>
      </w:r>
      <w:proofErr w:type="gramStart"/>
      <w:r>
        <w:t>all of</w:t>
      </w:r>
      <w:proofErr w:type="gramEnd"/>
      <w:r>
        <w:t xml:space="preserve"> southern Brazil’s current land area at the LGM. Increasing temperatures since then have seen </w:t>
      </w:r>
      <w:proofErr w:type="spellStart"/>
      <w:r>
        <w:t>Cfa</w:t>
      </w:r>
      <w:proofErr w:type="spellEnd"/>
      <w:r>
        <w:t xml:space="preserve"> (hot summers) progressively replacing </w:t>
      </w:r>
      <w:proofErr w:type="spellStart"/>
      <w:r>
        <w:t>Cfb</w:t>
      </w:r>
      <w:proofErr w:type="spellEnd"/>
      <w:r>
        <w:t xml:space="preserve"> from the east, south and west of our study area. </w:t>
      </w:r>
      <w:proofErr w:type="spellStart"/>
      <w:r>
        <w:t>Cfb’s</w:t>
      </w:r>
      <w:proofErr w:type="spellEnd"/>
      <w:r>
        <w:t xml:space="preserve"> present extent is the lowest in the studied period, and its near-total replacement by the 2070s under a high-emissions scenario is its largest reduction since at least the LGM. Relatively small areas of tropical rainforest climate (</w:t>
      </w:r>
      <w:proofErr w:type="spellStart"/>
      <w:r>
        <w:t>Af</w:t>
      </w:r>
      <w:proofErr w:type="spellEnd"/>
      <w:r>
        <w:t xml:space="preserve">) have been found along northern coastal areas since 15,000 </w:t>
      </w:r>
      <w:proofErr w:type="gramStart"/>
      <w:r>
        <w:t>BP, and</w:t>
      </w:r>
      <w:proofErr w:type="gramEnd"/>
      <w:r>
        <w:t xml:space="preserve"> are predicted to extend significantly to the south (and also develop in the north-west) later in the 21</w:t>
      </w:r>
      <w:r w:rsidRPr="00805AC0">
        <w:rPr>
          <w:vertAlign w:val="superscript"/>
        </w:rPr>
        <w:t>st</w:t>
      </w:r>
      <w:r>
        <w:t xml:space="preserve"> Century.</w:t>
      </w:r>
    </w:p>
    <w:p w14:paraId="7AE3D1AB" w14:textId="3635DAF8" w:rsidR="00D37395" w:rsidRDefault="00D37395" w:rsidP="00F74804">
      <w:pPr>
        <w:pStyle w:val="Heading2"/>
        <w:numPr>
          <w:ilvl w:val="1"/>
          <w:numId w:val="5"/>
        </w:numPr>
        <w:spacing w:line="360" w:lineRule="auto"/>
      </w:pPr>
      <w:r>
        <w:t>Modelled species and modern-day ecosystems</w:t>
      </w:r>
    </w:p>
    <w:p w14:paraId="77AD24A4" w14:textId="3CB700A2" w:rsidR="00557646" w:rsidRDefault="00D37395" w:rsidP="00F74804">
      <w:pPr>
        <w:spacing w:line="360" w:lineRule="auto"/>
      </w:pPr>
      <w:r>
        <w:t>The 30 key species modelled here effectively characterise the main ecosystems of southern Brazil’s Atlantic Forest; only the south-western corner of our study area, which is not part of the biome, had poor species coverage in the present (</w:t>
      </w:r>
      <w:r w:rsidR="00ED7E13">
        <w:t>Fig. 1, Figs. S</w:t>
      </w:r>
      <w:r w:rsidR="00A974FE">
        <w:t>9</w:t>
      </w:r>
      <w:r w:rsidR="00ED7E13">
        <w:t>-S1</w:t>
      </w:r>
      <w:r w:rsidR="00A974FE">
        <w:t>0</w:t>
      </w:r>
      <w:r>
        <w:t xml:space="preserve">). Several species transcend ecosystem boundaries (e.g. </w:t>
      </w:r>
      <w:r>
        <w:rPr>
          <w:i/>
          <w:iCs/>
        </w:rPr>
        <w:t xml:space="preserve">Ocotea </w:t>
      </w:r>
      <w:proofErr w:type="spellStart"/>
      <w:r>
        <w:rPr>
          <w:i/>
          <w:iCs/>
        </w:rPr>
        <w:t>puberula</w:t>
      </w:r>
      <w:proofErr w:type="spellEnd"/>
      <w:r>
        <w:rPr>
          <w:i/>
          <w:iCs/>
        </w:rPr>
        <w:t xml:space="preserve"> </w:t>
      </w:r>
      <w:r>
        <w:t xml:space="preserve">and </w:t>
      </w:r>
      <w:proofErr w:type="spellStart"/>
      <w:r>
        <w:rPr>
          <w:i/>
          <w:iCs/>
        </w:rPr>
        <w:t>Matayba</w:t>
      </w:r>
      <w:proofErr w:type="spellEnd"/>
      <w:r>
        <w:rPr>
          <w:i/>
          <w:iCs/>
        </w:rPr>
        <w:t xml:space="preserve"> </w:t>
      </w:r>
      <w:proofErr w:type="spellStart"/>
      <w:r>
        <w:rPr>
          <w:i/>
          <w:iCs/>
        </w:rPr>
        <w:t>elaeagnoides</w:t>
      </w:r>
      <w:proofErr w:type="spellEnd"/>
      <w:r>
        <w:rPr>
          <w:i/>
          <w:iCs/>
        </w:rPr>
        <w:t xml:space="preserve"> </w:t>
      </w:r>
      <w:r>
        <w:t>in S</w:t>
      </w:r>
      <w:r w:rsidR="003B172D">
        <w:t xml:space="preserve">easonally </w:t>
      </w:r>
      <w:r>
        <w:t>D</w:t>
      </w:r>
      <w:r w:rsidR="003B172D">
        <w:t xml:space="preserve">eciduous </w:t>
      </w:r>
      <w:r>
        <w:t>F</w:t>
      </w:r>
      <w:r w:rsidR="003B172D">
        <w:t>orest</w:t>
      </w:r>
      <w:r>
        <w:t xml:space="preserve"> and </w:t>
      </w:r>
      <w:r w:rsidR="003B172D">
        <w:t>Araucaria Mixed Forest</w:t>
      </w:r>
      <w:r>
        <w:t xml:space="preserve">, and </w:t>
      </w:r>
      <w:r>
        <w:rPr>
          <w:i/>
          <w:iCs/>
        </w:rPr>
        <w:t xml:space="preserve">Cedrela </w:t>
      </w:r>
      <w:proofErr w:type="spellStart"/>
      <w:r>
        <w:rPr>
          <w:i/>
          <w:iCs/>
        </w:rPr>
        <w:t>fissilis</w:t>
      </w:r>
      <w:proofErr w:type="spellEnd"/>
      <w:r>
        <w:rPr>
          <w:i/>
          <w:iCs/>
        </w:rPr>
        <w:t xml:space="preserve"> </w:t>
      </w:r>
      <w:r>
        <w:t xml:space="preserve">in </w:t>
      </w:r>
      <w:r w:rsidR="00E10B4C">
        <w:t>parts of these and Atlantic Rainforest</w:t>
      </w:r>
      <w:r>
        <w:t>), reflecting the compositional gradients between the region’s different forests (</w:t>
      </w:r>
      <w:r w:rsidR="00ED7E13">
        <w:t>T</w:t>
      </w:r>
      <w:r>
        <w:t xml:space="preserve">able </w:t>
      </w:r>
      <w:r w:rsidR="00ED7E13">
        <w:t>1, Fig. S</w:t>
      </w:r>
      <w:r w:rsidR="00A974FE">
        <w:t>9</w:t>
      </w:r>
      <w:r>
        <w:t xml:space="preserve">) </w:t>
      </w:r>
      <w:r>
        <w:fldChar w:fldCharType="begin" w:fldLock="1"/>
      </w:r>
      <w:r w:rsidR="007F330C">
        <w:instrText>ADDIN CSL_CITATION {"citationItems":[{"id":"ITEM-1","itemData":{"DOI":"10.1093/jpe/rtt058","ISBN":"2850","ISSN":"1752993X","abstract":"AimsWe analyse here the variations in species composition and richness and the geographic ranges of the tree species occurring in South American subtropical Atlantic and Pampean forests. Our goals were to assess (i) the floristic consistency of usual classifications based on vegetation physiognomy, climate and elevation; (ii) the leading role of temperature-related variables on the variations in species composition and richness; (iii) the predominance of species with tropical-subtropical ranges, possibly as a result of forest expansion over grasslands after the Last Glacial Maximum (LGM); (iv) the restriction of most subtropical endemics to stressful habitats as a possible result of past forest refuges during the LGM. MethodsThe region was defined by the Tropic of Capricorn to the north, the Rio de la Plata to the south, the Atlantic shoreline to the east and the catchment areas of the upper Parana and Uruguay Rivers to the west. Multivariate analyses, multiple regression modelling and variance partition analyses were performed on a database containing 63 994 occurrence records of 1555 tree species in 491 forest sites and 48 environmental variables. All species were also classified according to their known geographic range. Important FindingsA main differentiation in species composition and richness was observed between the eastern windward coastlands (rain and cloud forests) and western leeward hinterlands (Araucaria and semi-deciduous forests). Pre-defined forest types on both sides were consistent with variations in tree species composition, which were significantly related to both environmental variables and spatial proximity, with extremes of low temperature playing a chief role. Tree species richness declined substantially towards the south and also from rain to seasonal forests and towards the highland summits and sandy shores. Species richness was significantly correlated with both minimum temperature and actual evapotranspiration. About 91% of the subtropical flora is shared with the much richer tropical flora, probably extracting species that can cope with frost outbreaks. The 145 subtropical endemics were not concentrated in harsher habitats.","author":[{"dropping-particle":"","family":"Oliveira-Filho","given":"Ary T","non-dropping-particle":"","parse-names":false,"suffix":""},{"dropping-particle":"","family":"Budke","given":"Jean C","non-dropping-particle":"","parse-names":false,"suffix":""},{"dropping-particle":"","family":"Jarenkow","given":"Jo??o A","non-dropping-particle":"","parse-names":false,"suffix":""},{"dropping-particle":"V","family":"Eisenlohr","given":"Pedro","non-dropping-particle":"","parse-names":false,"suffix":""},{"dropping-particle":"","family":"Neves","given":"Danilo R M","non-dropping-particle":"","parse-names":false,"suffix":""}],"container-title":"Journal of Plant Ecology","id":"ITEM-1","issue":"3","issued":{"date-parts":[["2014","6","1"]]},"note":"Read this in a bit of a bitty fashion, but it's a big floristic study of the subtropical Atlantic Forest. There's an interesting fine classification of MOF, and stuff on how it's a continuum based on conditions (and what conditions segregates it from other forest types). It's also a kind of seasonal forest (like SDF), just with Aa. Lots of things in the discussion about the post-LGM development of the forests, some of which seem to contradict the general (?extrapolated) pollen story and might work favourably with my modelling","page":"242-260","title":"Delving into the variations in tree species composition and richness across South American subtropical Atlantic and Pampean forests","type":"article-journal","volume":"8"},"uris":["http://www.mendeley.com/documents/?uuid=d6a6382c-dd4b-3323-9d5e-12afd40294e2"]},{"id":"ITEM-2","itemData":{"DOI":"10.1371/journal.pone.0105043","ISBN":"1932-6203 (Electronic)\\r1932-6203 (Linking)","ISSN":"19326203","PMID":"25121495","abstract":"Phylobetadiversity is defined as the phylogenetic resemblance between communities or biomes. Analyzing phylobetadiversity patterns among different vegetation physiognomies within a single biome is crucial to understand the historical affinities between them. Based on the widely accepted idea that different forest physiognomies within the Southern Brazilian Atlantic Forest constitute different facies of a single biome, we hypothesize that more recent phylogenetic nodes should drive phylobetadiversity gradients between the different forest types within the Atlantic Forest, as the phylogenetic divergence among those forest types is biogeographically recent. We compiled information from 206 checklists describing the occurrence of shrub/tree species across three different forest physiognomies within the Southern Brazilian Atlantic Forest (Dense, Mixed and Seasonal forests). We analyzed intra-site phylogenetic structure (phylogenetic diversity, net relatedness index and nearest taxon index) and phylobetadiversity between plots located at different forest types, using five different methods differing in sensitivity to either basal or terminal nodes (phylogenetic fuzzy weighting, COMDIST, COMDISTNT, UniFrac and Rao's H). Mixed forests showed higher phylogenetic diversity and overdispersion than the other forest types. Furthermore, all forest types differed from each other in relation phylobetadiversity patterns, particularly when phylobetadiversity methods more sensitive to terminal nodes were employed. Mixed forests tended to show higher phylogenetic differentiation to Dense and Seasonal forests than these latter from each other. The higher phylogenetic diversity and phylobetadiversity levels found in Mixed forests when compared to the others likely result from the biogeographical origin of several taxa occurring in these forests. On one hand, Mixed forests shelter several temperate taxa, like the conifers Araucaria and Podocarpus. On the other hand, tropical groups, like Myrtaceae, are also very representative of this forest type. We point out to the need of more attention to Mixed forests as a conservation target within the Brazilian Atlantic Forest given their high phylogenetic uniqueness.","author":[{"dropping-particle":"","family":"Duarte","given":"Leandro Da Silva","non-dropping-particle":"","parse-names":false,"suffix":""},{"dropping-particle":"","family":"Bergamin","given":"Rodrigo Scarton","non-dropping-particle":"","parse-names":false,"suffix":""},{"dropping-particle":"","family":"Marcilio-Silva","given":"Vin??cius","non-dropping-particle":"","parse-names":false,"suffix":""},{"dropping-particle":"","family":"Seger","given":"Guilherme Dubal Dos Santos","non-dropping-particle":"","parse-names":false,"suffix":""},{"dropping-particle":"","family":"Marques","given":"M??rcia Cristina Mendes","non-dropping-particle":"","parse-names":false,"suffix":""}],"container-title":"PLoS ONE","id":"ITEM-2","issue":"8","issued":{"date-parts":[["2014"]]},"note":"Mixed forests are phylogenetically distinct (good quote on this) as a result of their biogeographic origins and therefore need conservation. They're more different to ATF and SDF than these two are to each other","title":"Phylobetadiversity among forest types in the Brazilian Atlantic Forest complex","type":"article-journal","volume":"9"},"uris":["http://www.mendeley.com/documents/?uuid=506a37b5-2d1f-3b7d-9643-fa4ce618b26f"]},{"id":"ITEM-3","itemData":{"DOI":"10.1111/j.1744-7429.2000.tb00619.x","ISBN":"0006-3606","ISSN":"0006-3606","abstract":"The tree flora of southeastern Brazilian Atlantic forests was investigated according to two main aspects: (a) the variations in floristic composition of both rain and semi-deciduous forests were analyzed in terms of geographic and climatic variables by performing multivariate analyses on 125 existing floristic checklists; and (b) the links of both rain and semi- deciduous forests to Amazonian forests and Cerrados (woody savanna) were assessed. All analyses were performed at the species, genus, and family levels. The information obtained for the 125 forest areas was organized into an environmental database containing geographic and climatic records, and a floristic database containing binary presence records for 2532 species, 520 genera, and 106 families. Canonical correspondence analyses (CCA) were utilized to assess the relationship between geographic and climatic variables, and tree flora composition. Venn diagrams and cluster analyses were used to assess the floristic links to Amazonian forests and Cerrados. The following patterns were detected at all three taxonomic levels: (a) the differentiation between rain and semi-deciduous forests is floristically consistent and strongly correlated with rainfall regime, although transitions may be abrupt to gradual; (b) a north–south differentiation exists for both rain and semi-deciduous forests, probably caused by variations in both temperature and rainfall regime; (c) The flora of semi- deciduous forests also changes with increasing distance from the ocean and the associated increasing rainfall seasonality; and (d) elevation and associated temperatures are strongly correlated with the internal differentiation of both rain and semi-deciduous forests. To a considerable extent, the tree flora of semi-deciduous forests is a subset of the rain forest flora, probably extracting species that are able to cope with a longer dry season. There is greater floristic similarity at the species level between Atlantic rain and semi-deciduous forests than between any of these and either Amazonian rain forests or Cerrados. Nevertheless, semi-deciduous forests and Cerrados show stronger links, particularly at the generic and familial levels. Therefore, there is little floristic ground for viewing Atlantic rain forests as being closer to their Amazonian counterparts than to the adjacent semi-deciduous forests. The most appropriate view of rain and semi- deciduous forests in southeastern Brazil is that of a continuum in tree spe…","author":[{"dropping-particle":"","family":"Oliveira‐Filho","given":"Ary T.","non-dropping-particle":"","parse-names":false,"suffix":""},{"dropping-particle":"","family":"Fontes","given":"Marco Aurelio L.","non-dropping-particle":"","parse-names":false,"suffix":""}],"container-title":"Biotropica","id":"ITEM-3","issue":"2","issued":{"date-parts":[["2000"]]},"note":"Examining the floristic definition and climatic controls on Atlantic forest sl. There's a gradient between semi-deciduous and rain forest, with N-S gradients for both. Rainfall seasonality and distance from the ocean affects sdf composition, and elevation and temperature affect both forest types. The paper gives a definition of Atlantic forest sensu lato that includes Araucaria forest.","page":"793-810","title":"Patterns of Floristic Differentiation among Atlantic Forests in Southeastern Brazil and the Influence of Climate","type":"article-journal","volume":"32"},"uris":["http://www.mendeley.com/documents/?uuid=c62f1d54-8fd7-492b-a951-29063256b00d"]},{"id":"ITEM-4","itemData":{"DOI":"10.1007/s10531-017-1315-y","ISSN":"0960-3115","abstract":"Understanding the processes that drive patterns of beta diversity is crucial for planning conservation policies and for designing networks of protected area (PAs). Beta diversity can be decomposed into two components: 1—species turnover, the replacement of species by others resulting in a low proportion of shared species; 2—species nestedness—the result of differences in species richness, when a poorer community is a subset of species from a richer community. We aimed to evaluate beta diversity patterns and how they are represented in the network of PAs in southern Brazilian, regarding three forest types: Atlantic Forest s.s., Araucaria Forest, and Seasonal Forest. Beta diversity was partitioned into the turnover and nestedness components. Additionally, we examined spatial patterns of site similarity using distance decay curves. Beta diversity was mainly caused by species turnover (approx. 86%), with only a small contribution of nestedness (approx. 5%) in all three forests types. The patterns of distance decay curves revealed that even at small distances (50–100 km), we found a considerable decrease in similarities, reinforcing turnover patterns. As turnover brought the larger contribution to beta diversity, additional conservation efforts must target an increase in the number of PAs, that should be spread across each one of the regions, to maximize the protection of species diversity. Most of the PAs are currently limited to the eastern region and prioritize the Atlantic Forest s.s. Thus Araucaria Forest and Seasonal Forest should deserve special priority in new conservation actions, as they also contain high levels of species turnover","author":[{"dropping-particle":"","family":"Bergamin","given":"Rodrigo Scarton","non-dropping-particle":"","parse-names":false,"suffix":""},{"dropping-particle":"","family":"Bastazini","given":"V. A. G.","non-dropping-particle":"","parse-names":false,"suffix":""},{"dropping-particle":"","family":"Vélez-Martin","given":"E.","non-dropping-particle":"","parse-names":false,"suffix":""},{"dropping-particle":"","family":"Debastiani","given":"V.","non-dropping-particle":"","parse-names":false,"suffix":""},{"dropping-particle":"","family":"Zanini","given":"K. J.","non-dropping-particle":"","parse-names":false,"suffix":""},{"dropping-particle":"","family":"Loyola","given":"R.","non-dropping-particle":"","parse-names":false,"suffix":""},{"dropping-particle":"","family":"Müller","given":"S. C.","non-dropping-particle":"","parse-names":false,"suffix":""}],"container-title":"Biodiversity and Conservation","id":"ITEM-4","issue":"7","issued":{"date-parts":[["2017","6","16"]]},"note":"ARF is in a worse conservation state than ATF (though SDF is even worse) in SC and RS. Evaluates the beta diversity patterns in the three forest types and how well it's covered by protected areas. ARF ends up in the middle, but species turnover between sites is significant, which means protected areas ideally need to be many and close by. At present they're averaging 201km between them","page":"1557-1568","publisher":"Springer Netherlands","title":"Linking beta diversity patterns to protected areas: lessons from the Brazilian Atlantic Rainforest","type":"article-journal","volume":"26"},"uris":["http://www.mendeley.com/documents/?uuid=263f322a-f778-3397-80ed-9bbf8adf4361"]}],"mendeley":{"formattedCitation":"(Bergamin et al., 2017; Duarte et al., 2014; Oliveira-Filho et al., 2014; Oliveira‐Filho and Fontes, 2000)","plainTextFormattedCitation":"(Bergamin et al., 2017; Duarte et al., 2014; Oliveira-Filho et al., 2014; Oliveira‐Filho and Fontes, 2000)","previouslyFormattedCitation":"(Bergamin et al., 2017; Duarte et al., 2014; Oliveira-Filho et al., 2014; Oliveira‐Filho and Fontes, 2000)"},"properties":{"noteIndex":0},"schema":"https://github.com/citation-style-language/schema/raw/master/csl-citation.json"}</w:instrText>
      </w:r>
      <w:r>
        <w:fldChar w:fldCharType="separate"/>
      </w:r>
      <w:r w:rsidR="005944BB" w:rsidRPr="005944BB">
        <w:rPr>
          <w:noProof/>
          <w:lang w:val="sv-SE"/>
        </w:rPr>
        <w:t>(Bergamin et al., 2017; Duarte et al., 2014; Oliveira-Filho et al., 2014; Oliveira‐Filho and Fontes, 2000)</w:t>
      </w:r>
      <w:r>
        <w:fldChar w:fldCharType="end"/>
      </w:r>
      <w:r w:rsidRPr="00A82061">
        <w:rPr>
          <w:lang w:val="sv-SE"/>
        </w:rPr>
        <w:t xml:space="preserve">. </w:t>
      </w:r>
      <w:r>
        <w:t xml:space="preserve">Most high-elevation areas are currently predicted to be suitable for combinations of </w:t>
      </w:r>
      <w:r w:rsidR="00907108">
        <w:t>A</w:t>
      </w:r>
      <w:r>
        <w:t xml:space="preserve">MF, </w:t>
      </w:r>
      <w:proofErr w:type="gramStart"/>
      <w:r>
        <w:t>Campos</w:t>
      </w:r>
      <w:proofErr w:type="gramEnd"/>
      <w:r>
        <w:t xml:space="preserve"> and Cloud Forest species; these ecosystems’ modern boundaries are not clearly delineated in their constituent species’ distributions. </w:t>
      </w:r>
    </w:p>
    <w:p w14:paraId="10EF7846" w14:textId="3DC8BDDE" w:rsidR="00D37395" w:rsidRDefault="00D37395" w:rsidP="00F74804">
      <w:pPr>
        <w:spacing w:line="360" w:lineRule="auto"/>
      </w:pPr>
      <w:r>
        <w:t xml:space="preserve">The stability of species associations – with one another and with their nominal ecosystem </w:t>
      </w:r>
      <w:r w:rsidRPr="00722704">
        <w:t>(</w:t>
      </w:r>
      <w:r w:rsidR="00722704" w:rsidRPr="00722704">
        <w:t>T</w:t>
      </w:r>
      <w:r w:rsidRPr="00722704">
        <w:t xml:space="preserve">able </w:t>
      </w:r>
      <w:r w:rsidR="00722704" w:rsidRPr="00722704">
        <w:t>1</w:t>
      </w:r>
      <w:r w:rsidRPr="00722704">
        <w:t>)</w:t>
      </w:r>
      <w:r>
        <w:t xml:space="preserve"> – differs between ecosystems and time</w:t>
      </w:r>
      <w:r w:rsidR="00731EA7">
        <w:t xml:space="preserve"> slice</w:t>
      </w:r>
      <w:r w:rsidR="00945106">
        <w:t>s</w:t>
      </w:r>
      <w:r>
        <w:t xml:space="preserve">. </w:t>
      </w:r>
      <w:r w:rsidR="00542F60">
        <w:t>For instance, i</w:t>
      </w:r>
      <w:r>
        <w:t xml:space="preserve">mportant </w:t>
      </w:r>
      <w:r w:rsidR="00907108">
        <w:t>ARF</w:t>
      </w:r>
      <w:r>
        <w:t xml:space="preserve"> species tend to co-occur from the LGM to the present, where they are rarely found outside </w:t>
      </w:r>
      <w:r w:rsidR="00907108">
        <w:t>ARF</w:t>
      </w:r>
      <w:r>
        <w:t xml:space="preserve"> areas, though non-</w:t>
      </w:r>
      <w:r w:rsidR="00907108">
        <w:t>AR</w:t>
      </w:r>
      <w:r>
        <w:t xml:space="preserve">F </w:t>
      </w:r>
      <w:r>
        <w:lastRenderedPageBreak/>
        <w:t xml:space="preserve">species sometimes overlap their distributions. </w:t>
      </w:r>
      <w:r w:rsidR="00542F60">
        <w:t xml:space="preserve">By contrast, </w:t>
      </w:r>
      <w:r w:rsidR="005F72BF">
        <w:t>AMF’s</w:t>
      </w:r>
      <w:r w:rsidR="00D84E0C">
        <w:t xml:space="preserve"> composition </w:t>
      </w:r>
      <w:r>
        <w:t xml:space="preserve">is more variable across its modern range – it contains significant floristic gradients </w:t>
      </w:r>
      <w:r>
        <w:fldChar w:fldCharType="begin" w:fldLock="1"/>
      </w:r>
      <w:r>
        <w:instrText>ADDIN CSL_CITATION {"citationItems":[{"id":"ITEM-1","itemData":{"DOI":"10.1371/journal.pone.0105043","ISBN":"1932-6203 (Electronic)\\r1932-6203 (Linking)","ISSN":"19326203","PMID":"25121495","abstract":"Phylobetadiversity is defined as the phylogenetic resemblance between communities or biomes. Analyzing phylobetadiversity patterns among different vegetation physiognomies within a single biome is crucial to understand the historical affinities between them. Based on the widely accepted idea that different forest physiognomies within the Southern Brazilian Atlantic Forest constitute different facies of a single biome, we hypothesize that more recent phylogenetic nodes should drive phylobetadiversity gradients between the different forest types within the Atlantic Forest, as the phylogenetic divergence among those forest types is biogeographically recent. We compiled information from 206 checklists describing the occurrence of shrub/tree species across three different forest physiognomies within the Southern Brazilian Atlantic Forest (Dense, Mixed and Seasonal forests). We analyzed intra-site phylogenetic structure (phylogenetic diversity, net relatedness index and nearest taxon index) and phylobetadiversity between plots located at different forest types, using five different methods differing in sensitivity to either basal or terminal nodes (phylogenetic fuzzy weighting, COMDIST, COMDISTNT, UniFrac and Rao's H). Mixed forests showed higher phylogenetic diversity and overdispersion than the other forest types. Furthermore, all forest types differed from each other in relation phylobetadiversity patterns, particularly when phylobetadiversity methods more sensitive to terminal nodes were employed. Mixed forests tended to show higher phylogenetic differentiation to Dense and Seasonal forests than these latter from each other. The higher phylogenetic diversity and phylobetadiversity levels found in Mixed forests when compared to the others likely result from the biogeographical origin of several taxa occurring in these forests. On one hand, Mixed forests shelter several temperate taxa, like the conifers Araucaria and Podocarpus. On the other hand, tropical groups, like Myrtaceae, are also very representative of this forest type. We point out to the need of more attention to Mixed forests as a conservation target within the Brazilian Atlantic Forest given their high phylogenetic uniqueness.","author":[{"dropping-particle":"","family":"Duarte","given":"Leandro Da Silva","non-dropping-particle":"","parse-names":false,"suffix":""},{"dropping-particle":"","family":"Bergamin","given":"Rodrigo Scarton","non-dropping-particle":"","parse-names":false,"suffix":""},{"dropping-particle":"","family":"Marcilio-Silva","given":"Vin??cius","non-dropping-particle":"","parse-names":false,"suffix":""},{"dropping-particle":"","family":"Seger","given":"Guilherme Dubal Dos Santos","non-dropping-particle":"","parse-names":false,"suffix":""},{"dropping-particle":"","family":"Marques","given":"M??rcia Cristina Mendes","non-dropping-particle":"","parse-names":false,"suffix":""}],"container-title":"PLoS ONE","id":"ITEM-1","issue":"8","issued":{"date-parts":[["2014"]]},"note":"Mixed forests are phylogenetically distinct (good quote on this) as a result of their biogeographic origins and therefore need conservation. They're more different to ATF and SDF than these two are to each other","title":"Phylobetadiversity among forest types in the Brazilian Atlantic Forest complex","type":"article-journal","volume":"9"},"uris":["http://www.mendeley.com/documents/?uuid=506a37b5-2d1f-3b7d-9643-fa4ce618b26f"]},{"id":"ITEM-2","itemData":{"DOI":"10.1093/jpe/rtt058","ISBN":"2850","ISSN":"1752993X","abstract":"AimsWe analyse here the variations in species composition and richness and the geographic ranges of the tree species occurring in South American subtropical Atlantic and Pampean forests. Our goals were to assess (i) the floristic consistency of usual classifications based on vegetation physiognomy, climate and elevation; (ii) the leading role of temperature-related variables on the variations in species composition and richness; (iii) the predominance of species with tropical-subtropical ranges, possibly as a result of forest expansion over grasslands after the Last Glacial Maximum (LGM); (iv) the restriction of most subtropical endemics to stressful habitats as a possible result of past forest refuges during the LGM. MethodsThe region was defined by the Tropic of Capricorn to the north, the Rio de la Plata to the south, the Atlantic shoreline to the east and the catchment areas of the upper Parana and Uruguay Rivers to the west. Multivariate analyses, multiple regression modelling and variance partition analyses were performed on a database containing 63 994 occurrence records of 1555 tree species in 491 forest sites and 48 environmental variables. All species were also classified according to their known geographic range. Important FindingsA main differentiation in species composition and richness was observed between the eastern windward coastlands (rain and cloud forests) and western leeward hinterlands (Araucaria and semi-deciduous forests). Pre-defined forest types on both sides were consistent with variations in tree species composition, which were significantly related to both environmental variables and spatial proximity, with extremes of low temperature playing a chief role. Tree species richness declined substantially towards the south and also from rain to seasonal forests and towards the highland summits and sandy shores. Species richness was significantly correlated with both minimum temperature and actual evapotranspiration. About 91% of the subtropical flora is shared with the much richer tropical flora, probably extracting species that can cope with frost outbreaks. The 145 subtropical endemics were not concentrated in harsher habitats.","author":[{"dropping-particle":"","family":"Oliveira-Filho","given":"Ary T","non-dropping-particle":"","parse-names":false,"suffix":""},{"dropping-particle":"","family":"Budke","given":"Jean C","non-dropping-particle":"","parse-names":false,"suffix":""},{"dropping-particle":"","family":"Jarenkow","given":"Jo??o A","non-dropping-particle":"","parse-names":false,"suffix":""},{"dropping-particle":"V","family":"Eisenlohr","given":"Pedro","non-dropping-particle":"","parse-names":false,"suffix":""},{"dropping-particle":"","family":"Neves","given":"Danilo R M","non-dropping-particle":"","parse-names":false,"suffix":""}],"container-title":"Journal of Plant Ecology","id":"ITEM-2","issue":"3","issued":{"date-parts":[["2014","6","1"]]},"note":"Read this in a bit of a bitty fashion, but it's a big floristic study of the subtropical Atlantic Forest. There's an interesting fine classification of MOF, and stuff on how it's a continuum based on conditions (and what conditions segregates it from other forest types). It's also a kind of seasonal forest (like SDF), just with Aa. Lots of things in the discussion about the post-LGM development of the forests, some of which seem to contradict the general (?extrapolated) pollen story and might work favourably with my modelling","page":"242-260","title":"Delving into the variations in tree species composition and richness across South American subtropical Atlantic and Pampean forests","type":"article-journal","volume":"8"},"uris":["http://www.mendeley.com/documents/?uuid=d6a6382c-dd4b-3323-9d5e-12afd40294e2"]}],"mendeley":{"formattedCitation":"(Duarte et al., 2014; Oliveira-Filho et al., 2014)","plainTextFormattedCitation":"(Duarte et al., 2014; Oliveira-Filho et al., 2014)","previouslyFormattedCitation":"(Duarte et al., 2014; Oliveira-Filho et al., 2014)"},"properties":{"noteIndex":0},"schema":"https://github.com/citation-style-language/schema/raw/master/csl-citation.json"}</w:instrText>
      </w:r>
      <w:r>
        <w:fldChar w:fldCharType="separate"/>
      </w:r>
      <w:r w:rsidRPr="001A4525">
        <w:rPr>
          <w:noProof/>
        </w:rPr>
        <w:t>(Duarte et al., 2014; Oliveira-Filho et al., 2014)</w:t>
      </w:r>
      <w:r>
        <w:fldChar w:fldCharType="end"/>
      </w:r>
      <w:r>
        <w:t xml:space="preserve"> – and, accordingly, its species associations are less stable through time (</w:t>
      </w:r>
      <w:r w:rsidR="00CA27D2">
        <w:t>Figs. S</w:t>
      </w:r>
      <w:r w:rsidR="00A974FE">
        <w:t>9</w:t>
      </w:r>
      <w:r w:rsidR="00CA27D2">
        <w:t>, S1</w:t>
      </w:r>
      <w:r w:rsidR="00A974FE">
        <w:t>1</w:t>
      </w:r>
      <w:r>
        <w:t xml:space="preserve">). </w:t>
      </w:r>
    </w:p>
    <w:p w14:paraId="4DE5BF50" w14:textId="43BFB716" w:rsidR="00D37395" w:rsidRPr="007427EA" w:rsidRDefault="00D37395" w:rsidP="00F74804">
      <w:pPr>
        <w:spacing w:line="360" w:lineRule="auto"/>
      </w:pPr>
      <w:r>
        <w:t xml:space="preserve">The clustering analysis identifies 34 potential </w:t>
      </w:r>
      <w:r w:rsidR="00FA5139">
        <w:t xml:space="preserve">floristic </w:t>
      </w:r>
      <w:r>
        <w:t>assemblages, divisible into three broad groups, which encompass these different expressions of our target ecosystems (</w:t>
      </w:r>
      <w:r w:rsidR="00CA27D2">
        <w:t xml:space="preserve">Fig. </w:t>
      </w:r>
      <w:r w:rsidR="00A60B05">
        <w:t>4</w:t>
      </w:r>
      <w:r>
        <w:t xml:space="preserve">): the small cluster </w:t>
      </w:r>
      <w:r w:rsidRPr="00524843">
        <w:rPr>
          <w:i/>
          <w:iCs/>
        </w:rPr>
        <w:t>a</w:t>
      </w:r>
      <w:r>
        <w:t xml:space="preserve"> that aligns closely with modern-day </w:t>
      </w:r>
      <w:r w:rsidR="00907108">
        <w:t>AR</w:t>
      </w:r>
      <w:r>
        <w:t xml:space="preserve">F (assemblages 3 and 2); cluster </w:t>
      </w:r>
      <w:r>
        <w:rPr>
          <w:i/>
          <w:iCs/>
        </w:rPr>
        <w:t>b</w:t>
      </w:r>
      <w:r w:rsidRPr="00C7669E">
        <w:t xml:space="preserve">, </w:t>
      </w:r>
      <w:r>
        <w:t xml:space="preserve">with one subsection dominated by </w:t>
      </w:r>
      <w:r w:rsidR="00973AD4">
        <w:t>mixtures of different forest and Campos species like those found currently on the highlands’ escarpment slopes (assemblages 9, 7, 8 and 26)</w:t>
      </w:r>
      <w:r>
        <w:t xml:space="preserve"> and another by</w:t>
      </w:r>
      <w:r w:rsidR="001F5E6A">
        <w:t xml:space="preserve"> SDF species (assemblages 5, 16, 6, 20 and 30)</w:t>
      </w:r>
      <w:r>
        <w:t xml:space="preserve">; and cluster </w:t>
      </w:r>
      <w:r>
        <w:rPr>
          <w:i/>
          <w:iCs/>
        </w:rPr>
        <w:t>c</w:t>
      </w:r>
      <w:r>
        <w:t xml:space="preserve">, with subsections dominated by </w:t>
      </w:r>
      <w:r w:rsidR="00B95AE1">
        <w:t>AM</w:t>
      </w:r>
      <w:r>
        <w:t xml:space="preserve">F/SDF/Campos species (assemblages 25, 27, 17 and 24), Campos and Cloud Forest (15 and 29), </w:t>
      </w:r>
      <w:r w:rsidR="00B95AE1">
        <w:t>AM</w:t>
      </w:r>
      <w:r>
        <w:t xml:space="preserve">F/Campos/Cloud Forest and some SDF (14, 13 and 33), and SDF/Campos (31 and 34). </w:t>
      </w:r>
    </w:p>
    <w:p w14:paraId="0FA33B70" w14:textId="77777777" w:rsidR="00D37395" w:rsidRDefault="00D37395" w:rsidP="00F74804">
      <w:pPr>
        <w:spacing w:line="360" w:lineRule="auto"/>
      </w:pPr>
    </w:p>
    <w:p w14:paraId="55FE2ECC" w14:textId="7A938DC5" w:rsidR="005700EA" w:rsidRDefault="005700EA" w:rsidP="00F74804">
      <w:pPr>
        <w:spacing w:line="360" w:lineRule="auto"/>
      </w:pPr>
      <w:r>
        <w:rPr>
          <w:noProof/>
        </w:rPr>
        <w:drawing>
          <wp:inline distT="0" distB="0" distL="0" distR="0" wp14:anchorId="207BB456" wp14:editId="26DECA58">
            <wp:extent cx="5731510" cy="2402840"/>
            <wp:effectExtent l="0" t="0" r="2540" b="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6"/>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5731510" cy="2402840"/>
                    </a:xfrm>
                    <a:prstGeom prst="rect">
                      <a:avLst/>
                    </a:prstGeom>
                  </pic:spPr>
                </pic:pic>
              </a:graphicData>
            </a:graphic>
          </wp:inline>
        </w:drawing>
      </w:r>
      <w:r w:rsidR="00F52175">
        <w:rPr>
          <w:noProof/>
        </w:rPr>
        <w:drawing>
          <wp:inline distT="0" distB="0" distL="0" distR="0" wp14:anchorId="09B2B1E2" wp14:editId="385EED44">
            <wp:extent cx="5731510" cy="2402840"/>
            <wp:effectExtent l="0" t="0" r="254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5731510" cy="2402840"/>
                    </a:xfrm>
                    <a:prstGeom prst="rect">
                      <a:avLst/>
                    </a:prstGeom>
                  </pic:spPr>
                </pic:pic>
              </a:graphicData>
            </a:graphic>
          </wp:inline>
        </w:drawing>
      </w:r>
    </w:p>
    <w:p w14:paraId="0E24669C" w14:textId="6244509B" w:rsidR="005700EA" w:rsidRPr="005C1764" w:rsidRDefault="005700EA" w:rsidP="00F74804">
      <w:pPr>
        <w:spacing w:line="360" w:lineRule="auto"/>
        <w:rPr>
          <w:i/>
          <w:iCs/>
        </w:rPr>
      </w:pPr>
      <w:r w:rsidRPr="005C1764">
        <w:rPr>
          <w:i/>
          <w:iCs/>
        </w:rPr>
        <w:lastRenderedPageBreak/>
        <w:t xml:space="preserve">Fig. </w:t>
      </w:r>
      <w:r w:rsidR="0023693A">
        <w:rPr>
          <w:i/>
          <w:iCs/>
        </w:rPr>
        <w:t>4</w:t>
      </w:r>
      <w:r w:rsidR="00D57F96" w:rsidRPr="005C1764">
        <w:rPr>
          <w:i/>
          <w:iCs/>
        </w:rPr>
        <w:t>:</w:t>
      </w:r>
      <w:r w:rsidR="00D57F96">
        <w:rPr>
          <w:i/>
          <w:iCs/>
        </w:rPr>
        <w:t xml:space="preserve"> </w:t>
      </w:r>
      <w:r w:rsidR="002E0798">
        <w:rPr>
          <w:i/>
          <w:iCs/>
        </w:rPr>
        <w:t>relationships (left</w:t>
      </w:r>
      <w:r w:rsidR="007E3297">
        <w:rPr>
          <w:i/>
          <w:iCs/>
        </w:rPr>
        <w:t>; see also fig. S</w:t>
      </w:r>
      <w:r w:rsidR="00662F39">
        <w:rPr>
          <w:i/>
          <w:iCs/>
        </w:rPr>
        <w:t>2</w:t>
      </w:r>
      <w:r w:rsidR="002E0798">
        <w:rPr>
          <w:i/>
          <w:iCs/>
        </w:rPr>
        <w:t>), distributions (centre</w:t>
      </w:r>
      <w:r w:rsidR="00662F39">
        <w:rPr>
          <w:i/>
          <w:iCs/>
        </w:rPr>
        <w:t xml:space="preserve">; see also fig. </w:t>
      </w:r>
      <w:r w:rsidR="00E73EC7">
        <w:rPr>
          <w:i/>
          <w:iCs/>
        </w:rPr>
        <w:t>6</w:t>
      </w:r>
      <w:r w:rsidR="002E0798">
        <w:rPr>
          <w:i/>
          <w:iCs/>
        </w:rPr>
        <w:t xml:space="preserve">), and </w:t>
      </w:r>
      <w:r w:rsidR="00F52175">
        <w:rPr>
          <w:i/>
          <w:iCs/>
        </w:rPr>
        <w:t xml:space="preserve">floristic </w:t>
      </w:r>
      <w:r w:rsidR="002E0798">
        <w:rPr>
          <w:i/>
          <w:iCs/>
        </w:rPr>
        <w:t>compositions (</w:t>
      </w:r>
      <w:r w:rsidR="00F52175">
        <w:rPr>
          <w:i/>
          <w:iCs/>
        </w:rPr>
        <w:t>right</w:t>
      </w:r>
      <w:r w:rsidR="00662F39">
        <w:rPr>
          <w:i/>
          <w:iCs/>
        </w:rPr>
        <w:t xml:space="preserve">; </w:t>
      </w:r>
      <w:r w:rsidR="0057408E">
        <w:rPr>
          <w:i/>
          <w:iCs/>
        </w:rPr>
        <w:t xml:space="preserve">each species’ average </w:t>
      </w:r>
      <w:r w:rsidR="00662F39">
        <w:rPr>
          <w:i/>
          <w:iCs/>
        </w:rPr>
        <w:t>predicted prevalence</w:t>
      </w:r>
      <w:r w:rsidR="00F52175">
        <w:rPr>
          <w:i/>
          <w:iCs/>
        </w:rPr>
        <w:t xml:space="preserve">) </w:t>
      </w:r>
      <w:r w:rsidR="002E0798">
        <w:rPr>
          <w:i/>
          <w:iCs/>
        </w:rPr>
        <w:t xml:space="preserve">of </w:t>
      </w:r>
      <w:r w:rsidR="00F52175">
        <w:rPr>
          <w:i/>
          <w:iCs/>
        </w:rPr>
        <w:t xml:space="preserve">predicted </w:t>
      </w:r>
      <w:r w:rsidR="002E0798">
        <w:rPr>
          <w:i/>
          <w:iCs/>
        </w:rPr>
        <w:t xml:space="preserve">assemblages </w:t>
      </w:r>
      <w:r w:rsidR="00F52175">
        <w:rPr>
          <w:i/>
          <w:iCs/>
        </w:rPr>
        <w:t>used in this study</w:t>
      </w:r>
      <w:r w:rsidR="00AB1851">
        <w:rPr>
          <w:i/>
          <w:iCs/>
        </w:rPr>
        <w:t xml:space="preserve"> (top, clusters a and b; bottom, cluster c)</w:t>
      </w:r>
      <w:r w:rsidR="00F52175">
        <w:rPr>
          <w:i/>
          <w:iCs/>
        </w:rPr>
        <w:t xml:space="preserve">. </w:t>
      </w:r>
      <w:r w:rsidR="00C133DF">
        <w:rPr>
          <w:i/>
          <w:iCs/>
        </w:rPr>
        <w:t>T</w:t>
      </w:r>
      <w:r w:rsidR="00061785">
        <w:rPr>
          <w:i/>
          <w:iCs/>
        </w:rPr>
        <w:t xml:space="preserve">he right-most panel </w:t>
      </w:r>
      <w:r w:rsidR="001B2055">
        <w:rPr>
          <w:i/>
          <w:iCs/>
        </w:rPr>
        <w:t xml:space="preserve">shows species’ average predicted prevalence in each assemblage, </w:t>
      </w:r>
      <w:r w:rsidR="00061785">
        <w:rPr>
          <w:i/>
          <w:iCs/>
        </w:rPr>
        <w:t xml:space="preserve">using </w:t>
      </w:r>
      <w:r w:rsidR="001B2055">
        <w:rPr>
          <w:i/>
          <w:iCs/>
        </w:rPr>
        <w:t xml:space="preserve">species’ </w:t>
      </w:r>
      <w:r w:rsidR="00061785">
        <w:rPr>
          <w:i/>
          <w:iCs/>
        </w:rPr>
        <w:t xml:space="preserve">six-letter codes </w:t>
      </w:r>
      <w:r w:rsidR="001B2055">
        <w:rPr>
          <w:i/>
          <w:iCs/>
        </w:rPr>
        <w:t>from</w:t>
      </w:r>
      <w:r w:rsidR="00061785">
        <w:rPr>
          <w:i/>
          <w:iCs/>
        </w:rPr>
        <w:t xml:space="preserve"> table 1 and </w:t>
      </w:r>
      <w:r w:rsidR="001B2055">
        <w:rPr>
          <w:i/>
          <w:iCs/>
        </w:rPr>
        <w:t>colours from</w:t>
      </w:r>
      <w:r w:rsidR="00061785">
        <w:rPr>
          <w:i/>
          <w:iCs/>
        </w:rPr>
        <w:t xml:space="preserve"> </w:t>
      </w:r>
      <w:r w:rsidR="00AE160E">
        <w:rPr>
          <w:i/>
          <w:iCs/>
        </w:rPr>
        <w:t>the ecosystem</w:t>
      </w:r>
      <w:r w:rsidR="001B2055">
        <w:rPr>
          <w:i/>
          <w:iCs/>
        </w:rPr>
        <w:t>s</w:t>
      </w:r>
      <w:r w:rsidR="00AE160E">
        <w:rPr>
          <w:i/>
          <w:iCs/>
        </w:rPr>
        <w:t xml:space="preserve"> in which </w:t>
      </w:r>
      <w:r w:rsidR="001B2055">
        <w:rPr>
          <w:i/>
          <w:iCs/>
        </w:rPr>
        <w:t xml:space="preserve">each species is </w:t>
      </w:r>
      <w:r w:rsidR="00AE160E">
        <w:rPr>
          <w:i/>
          <w:iCs/>
        </w:rPr>
        <w:t>currently most important (see table 1 and fig. 1).</w:t>
      </w:r>
      <w:r w:rsidR="00810E57">
        <w:rPr>
          <w:i/>
          <w:iCs/>
        </w:rPr>
        <w:t xml:space="preserve"> Dendrogram branches without additional detail </w:t>
      </w:r>
      <w:r w:rsidR="00B85DBC">
        <w:rPr>
          <w:i/>
          <w:iCs/>
        </w:rPr>
        <w:t>represent assemblages which never reach 5% of the land area in any time slice and which are excluded from further analysis</w:t>
      </w:r>
      <w:r w:rsidR="00F846BD">
        <w:rPr>
          <w:i/>
          <w:iCs/>
        </w:rPr>
        <w:t xml:space="preserve"> (see fig. S</w:t>
      </w:r>
      <w:r w:rsidR="00DC6E6D">
        <w:rPr>
          <w:i/>
          <w:iCs/>
        </w:rPr>
        <w:t>2)</w:t>
      </w:r>
      <w:r w:rsidR="00B85DBC">
        <w:rPr>
          <w:i/>
          <w:iCs/>
        </w:rPr>
        <w:t>.</w:t>
      </w:r>
    </w:p>
    <w:p w14:paraId="4BBEAEA6" w14:textId="01B0F2C7" w:rsidR="005444BE" w:rsidRPr="00EE4601" w:rsidRDefault="005444BE" w:rsidP="00F74804">
      <w:pPr>
        <w:spacing w:line="360" w:lineRule="auto"/>
      </w:pPr>
      <w:r>
        <w:t xml:space="preserve">The relationships between these cluster-derived </w:t>
      </w:r>
      <w:r w:rsidR="00EC7AF5">
        <w:t xml:space="preserve">floristic </w:t>
      </w:r>
      <w:r>
        <w:t xml:space="preserve">assemblages and the </w:t>
      </w:r>
      <w:r w:rsidR="00BE361D">
        <w:t xml:space="preserve">southern Atlantic Forest’s </w:t>
      </w:r>
      <w:r>
        <w:t xml:space="preserve">ecosystems </w:t>
      </w:r>
      <w:r w:rsidR="00C36A58">
        <w:t xml:space="preserve">are evident </w:t>
      </w:r>
      <w:r w:rsidR="006D466E">
        <w:t>from comparisons with</w:t>
      </w:r>
      <w:r>
        <w:t xml:space="preserve"> Brazil’s official</w:t>
      </w:r>
      <w:r w:rsidR="002E18F3">
        <w:t xml:space="preserve"> </w:t>
      </w:r>
      <w:r>
        <w:t xml:space="preserve">vegetation </w:t>
      </w:r>
      <w:r w:rsidR="006D466E">
        <w:t xml:space="preserve">map </w:t>
      </w:r>
      <w:r>
        <w:fldChar w:fldCharType="begin" w:fldLock="1"/>
      </w:r>
      <w:r>
        <w:instrText>ADDIN CSL_CITATION {"citationItems":[{"id":"ITEM-1","itemData":{"ISBN":"978-85-240-4272-0","author":[{"dropping-particle":"","family":"IBGE","given":"Instituto Brasileiro de Geografia e Estatística","non-dropping-particle":"","parse-names":false,"suffix":""}],"container-title":"Manuais Técnicos em Geociências","id":"ITEM-1","issued":{"date-parts":[["2012"]]},"number-of-pages":"271","publisher-place":"Rio de Janeiro","title":"Manual Técnico da Vegetação Brasileira","type":"report","volume":"1"},"uris":["http://www.mendeley.com/documents/?uuid=a6c14f80-dd2e-4c01-a58e-3e8b818498ef"]}],"mendeley":{"formattedCitation":"(IBGE, 2012)","plainTextFormattedCitation":"(IBGE, 2012)","previouslyFormattedCitation":"(IBGE, 2012)"},"properties":{"noteIndex":0},"schema":"https://github.com/citation-style-language/schema/raw/master/csl-citation.json"}</w:instrText>
      </w:r>
      <w:r>
        <w:fldChar w:fldCharType="separate"/>
      </w:r>
      <w:r w:rsidRPr="000F6490">
        <w:rPr>
          <w:noProof/>
        </w:rPr>
        <w:t>(IBGE, 2012)</w:t>
      </w:r>
      <w:r>
        <w:fldChar w:fldCharType="end"/>
      </w:r>
      <w:r>
        <w:t xml:space="preserve"> </w:t>
      </w:r>
      <w:r w:rsidR="006D466E">
        <w:t>(</w:t>
      </w:r>
      <w:r w:rsidR="00CA27D2">
        <w:t xml:space="preserve">Fig. </w:t>
      </w:r>
      <w:r w:rsidR="00BA1A80">
        <w:t>5</w:t>
      </w:r>
      <w:r w:rsidR="00CA27D2">
        <w:t>)</w:t>
      </w:r>
      <w:r>
        <w:t>.</w:t>
      </w:r>
      <w:r w:rsidR="00CD69A4">
        <w:t xml:space="preserve"> </w:t>
      </w:r>
      <w:r w:rsidR="00865EDA">
        <w:t>This shows that</w:t>
      </w:r>
      <w:r w:rsidR="005A68F8">
        <w:t xml:space="preserve">, while the associations are </w:t>
      </w:r>
      <w:r w:rsidR="00676351">
        <w:t>generally accurate</w:t>
      </w:r>
      <w:r w:rsidR="005A68F8">
        <w:t>,</w:t>
      </w:r>
      <w:r w:rsidR="00865EDA">
        <w:t xml:space="preserve"> cluster </w:t>
      </w:r>
      <w:r w:rsidR="00865EDA" w:rsidRPr="00865EDA">
        <w:rPr>
          <w:i/>
          <w:iCs/>
        </w:rPr>
        <w:t>c</w:t>
      </w:r>
      <w:r w:rsidR="00865EDA">
        <w:t xml:space="preserve">’s </w:t>
      </w:r>
      <w:r w:rsidR="00B95AE1">
        <w:t>A</w:t>
      </w:r>
      <w:r w:rsidR="00865EDA">
        <w:t xml:space="preserve">MF/Campos/Cloud Forest </w:t>
      </w:r>
      <w:r w:rsidR="00435ADB">
        <w:t>assemblages</w:t>
      </w:r>
      <w:r w:rsidR="00865EDA">
        <w:t xml:space="preserve"> </w:t>
      </w:r>
      <w:r w:rsidR="00B46817">
        <w:t>occupy only part of their expected extent in</w:t>
      </w:r>
      <w:r w:rsidR="00676351">
        <w:t xml:space="preserve"> </w:t>
      </w:r>
      <w:r w:rsidR="00B46817">
        <w:t xml:space="preserve">the east and </w:t>
      </w:r>
      <w:r w:rsidR="0083189A">
        <w:t>(</w:t>
      </w:r>
      <w:r w:rsidR="00B46817">
        <w:t>especially</w:t>
      </w:r>
      <w:r w:rsidR="0083189A">
        <w:t>)</w:t>
      </w:r>
      <w:r w:rsidR="00B46817">
        <w:t xml:space="preserve"> the west.</w:t>
      </w:r>
      <w:r w:rsidR="00863D68">
        <w:t xml:space="preserve"> A species-level analysis suggests different causes in each area</w:t>
      </w:r>
      <w:r w:rsidR="00237DC0">
        <w:t xml:space="preserve"> (</w:t>
      </w:r>
      <w:r w:rsidR="00CA27D2">
        <w:t>Fig. S</w:t>
      </w:r>
      <w:r w:rsidR="00BA1A80">
        <w:t>9</w:t>
      </w:r>
      <w:r w:rsidR="001C1923">
        <w:t>)</w:t>
      </w:r>
      <w:r w:rsidR="00863D68">
        <w:t>.</w:t>
      </w:r>
      <w:r w:rsidR="00B46817">
        <w:t xml:space="preserve"> In the</w:t>
      </w:r>
      <w:r w:rsidR="006B7A0D">
        <w:t xml:space="preserve"> east</w:t>
      </w:r>
      <w:r w:rsidR="00863D68">
        <w:t xml:space="preserve"> </w:t>
      </w:r>
      <w:r w:rsidR="001818ED">
        <w:t>this appears to be due to</w:t>
      </w:r>
      <w:r w:rsidR="004D221E">
        <w:t xml:space="preserve"> </w:t>
      </w:r>
      <w:r w:rsidR="00EB61EE">
        <w:t>AR</w:t>
      </w:r>
      <w:r w:rsidR="001818ED">
        <w:t xml:space="preserve">F species </w:t>
      </w:r>
      <w:r w:rsidR="004530BE">
        <w:t xml:space="preserve">such as </w:t>
      </w:r>
      <w:proofErr w:type="spellStart"/>
      <w:r w:rsidR="004530BE">
        <w:rPr>
          <w:i/>
          <w:iCs/>
        </w:rPr>
        <w:t>Alchornea</w:t>
      </w:r>
      <w:proofErr w:type="spellEnd"/>
      <w:r w:rsidR="004530BE">
        <w:rPr>
          <w:i/>
          <w:iCs/>
        </w:rPr>
        <w:t xml:space="preserve"> </w:t>
      </w:r>
      <w:proofErr w:type="spellStart"/>
      <w:r w:rsidR="004530BE">
        <w:rPr>
          <w:i/>
          <w:iCs/>
        </w:rPr>
        <w:t>triplinervia</w:t>
      </w:r>
      <w:proofErr w:type="spellEnd"/>
      <w:r w:rsidR="004530BE">
        <w:t xml:space="preserve"> </w:t>
      </w:r>
      <w:r w:rsidR="004D221E">
        <w:t>co-occurr</w:t>
      </w:r>
      <w:r w:rsidR="001818ED">
        <w:t>ing</w:t>
      </w:r>
      <w:r w:rsidR="006B7A0D">
        <w:t xml:space="preserve"> </w:t>
      </w:r>
      <w:r w:rsidR="001548E7">
        <w:t xml:space="preserve">with </w:t>
      </w:r>
      <w:r w:rsidR="00B95AE1">
        <w:t>A</w:t>
      </w:r>
      <w:r w:rsidR="001548E7">
        <w:t xml:space="preserve">MF, </w:t>
      </w:r>
      <w:proofErr w:type="gramStart"/>
      <w:r w:rsidR="001548E7">
        <w:t>Campos</w:t>
      </w:r>
      <w:proofErr w:type="gramEnd"/>
      <w:r w:rsidR="001548E7">
        <w:t xml:space="preserve"> and Cloud Forest taxa </w:t>
      </w:r>
      <w:r w:rsidR="004D221E">
        <w:t xml:space="preserve">at </w:t>
      </w:r>
      <w:r w:rsidR="003B63B4">
        <w:t xml:space="preserve">higher-elevation </w:t>
      </w:r>
      <w:r w:rsidR="003B38EE">
        <w:t>areas</w:t>
      </w:r>
      <w:r w:rsidR="004D221E">
        <w:t xml:space="preserve">, </w:t>
      </w:r>
      <w:r w:rsidR="006D466E">
        <w:t>forming</w:t>
      </w:r>
      <w:r w:rsidR="004D221E">
        <w:t xml:space="preserve"> the </w:t>
      </w:r>
      <w:r w:rsidR="000E72D2">
        <w:t>mixed</w:t>
      </w:r>
      <w:r w:rsidR="006D466E">
        <w:t>-ecosystem</w:t>
      </w:r>
      <w:r w:rsidR="000E72D2">
        <w:t xml:space="preserve"> </w:t>
      </w:r>
      <w:r w:rsidR="004D221E">
        <w:t xml:space="preserve">assemblage </w:t>
      </w:r>
      <w:r w:rsidR="000E72D2">
        <w:t>9.</w:t>
      </w:r>
      <w:r w:rsidR="00863D68">
        <w:t xml:space="preserve"> In the west, </w:t>
      </w:r>
      <w:r w:rsidR="004D6A7F">
        <w:t xml:space="preserve">by contrast, </w:t>
      </w:r>
      <w:r w:rsidR="00237DC0">
        <w:t xml:space="preserve">the </w:t>
      </w:r>
      <w:r w:rsidR="006D466E">
        <w:t xml:space="preserve">main cause is the </w:t>
      </w:r>
      <w:r w:rsidR="009E7DB1">
        <w:t>predicted</w:t>
      </w:r>
      <w:r w:rsidR="006D466E">
        <w:t xml:space="preserve"> absence of typical </w:t>
      </w:r>
      <w:r w:rsidR="00B95AE1">
        <w:t>A</w:t>
      </w:r>
      <w:r w:rsidR="006D466E">
        <w:t>MF species</w:t>
      </w:r>
      <w:r w:rsidR="009E7DB1">
        <w:t xml:space="preserve"> (except </w:t>
      </w:r>
      <w:proofErr w:type="spellStart"/>
      <w:r w:rsidR="009E7DB1">
        <w:rPr>
          <w:i/>
          <w:iCs/>
        </w:rPr>
        <w:t>Matayba</w:t>
      </w:r>
      <w:proofErr w:type="spellEnd"/>
      <w:r w:rsidR="009E7DB1">
        <w:rPr>
          <w:i/>
          <w:iCs/>
        </w:rPr>
        <w:t xml:space="preserve"> </w:t>
      </w:r>
      <w:proofErr w:type="spellStart"/>
      <w:r w:rsidR="009E7DB1" w:rsidRPr="009E7DB1">
        <w:rPr>
          <w:i/>
          <w:iCs/>
        </w:rPr>
        <w:t>elaeagnoides</w:t>
      </w:r>
      <w:proofErr w:type="spellEnd"/>
      <w:r w:rsidR="009E7DB1">
        <w:t xml:space="preserve">), without which these areas’ coverage with SDF and </w:t>
      </w:r>
      <w:r w:rsidR="006D466E">
        <w:t xml:space="preserve">low-elevation </w:t>
      </w:r>
      <w:r w:rsidR="00B95AE1">
        <w:t>A</w:t>
      </w:r>
      <w:r w:rsidR="006D466E">
        <w:t xml:space="preserve">MF </w:t>
      </w:r>
      <w:r w:rsidR="009E7DB1">
        <w:t>species (</w:t>
      </w:r>
      <w:r w:rsidR="009E7DB1">
        <w:rPr>
          <w:i/>
          <w:iCs/>
        </w:rPr>
        <w:t xml:space="preserve">M. </w:t>
      </w:r>
      <w:proofErr w:type="spellStart"/>
      <w:r w:rsidR="009E7DB1">
        <w:rPr>
          <w:i/>
          <w:iCs/>
        </w:rPr>
        <w:t>elaeagnoides</w:t>
      </w:r>
      <w:proofErr w:type="spellEnd"/>
      <w:r w:rsidR="009E7DB1">
        <w:rPr>
          <w:i/>
          <w:iCs/>
        </w:rPr>
        <w:t xml:space="preserve">, Cedrela </w:t>
      </w:r>
      <w:proofErr w:type="spellStart"/>
      <w:r w:rsidR="009E7DB1">
        <w:rPr>
          <w:i/>
          <w:iCs/>
        </w:rPr>
        <w:t>fissilis</w:t>
      </w:r>
      <w:proofErr w:type="spellEnd"/>
      <w:r w:rsidR="009E7DB1">
        <w:rPr>
          <w:i/>
          <w:iCs/>
        </w:rPr>
        <w:t xml:space="preserve">, </w:t>
      </w:r>
      <w:proofErr w:type="spellStart"/>
      <w:r w:rsidR="009E7DB1">
        <w:rPr>
          <w:i/>
          <w:iCs/>
        </w:rPr>
        <w:t>Cupania</w:t>
      </w:r>
      <w:proofErr w:type="spellEnd"/>
      <w:r w:rsidR="009E7DB1">
        <w:rPr>
          <w:i/>
          <w:iCs/>
        </w:rPr>
        <w:t xml:space="preserve"> </w:t>
      </w:r>
      <w:proofErr w:type="spellStart"/>
      <w:r w:rsidR="009E7DB1">
        <w:rPr>
          <w:i/>
          <w:iCs/>
        </w:rPr>
        <w:t>vernalis</w:t>
      </w:r>
      <w:proofErr w:type="spellEnd"/>
      <w:r w:rsidR="009E7DB1">
        <w:rPr>
          <w:i/>
          <w:iCs/>
        </w:rPr>
        <w:t xml:space="preserve">, </w:t>
      </w:r>
      <w:proofErr w:type="spellStart"/>
      <w:r w:rsidR="009E7DB1">
        <w:rPr>
          <w:i/>
          <w:iCs/>
        </w:rPr>
        <w:t>Luehea</w:t>
      </w:r>
      <w:proofErr w:type="spellEnd"/>
      <w:r w:rsidR="009E7DB1">
        <w:rPr>
          <w:i/>
          <w:iCs/>
        </w:rPr>
        <w:t xml:space="preserve"> </w:t>
      </w:r>
      <w:proofErr w:type="spellStart"/>
      <w:r w:rsidR="009E7DB1">
        <w:rPr>
          <w:i/>
          <w:iCs/>
        </w:rPr>
        <w:t>divaricata</w:t>
      </w:r>
      <w:proofErr w:type="spellEnd"/>
      <w:r w:rsidR="009E7DB1">
        <w:rPr>
          <w:i/>
          <w:iCs/>
        </w:rPr>
        <w:t xml:space="preserve">, </w:t>
      </w:r>
      <w:r w:rsidR="009E7DB1" w:rsidRPr="009E7DB1">
        <w:rPr>
          <w:i/>
          <w:iCs/>
        </w:rPr>
        <w:t xml:space="preserve">Ocotea </w:t>
      </w:r>
      <w:proofErr w:type="spellStart"/>
      <w:r w:rsidR="009E7DB1" w:rsidRPr="009E7DB1">
        <w:rPr>
          <w:i/>
          <w:iCs/>
        </w:rPr>
        <w:t>puberula</w:t>
      </w:r>
      <w:proofErr w:type="spellEnd"/>
      <w:r w:rsidR="009E7DB1">
        <w:t xml:space="preserve">) lead to their classification as </w:t>
      </w:r>
      <w:r w:rsidR="00237DC0">
        <w:t>SDF-like assemblages 5, 16 and 6</w:t>
      </w:r>
      <w:r w:rsidR="009E7DB1">
        <w:t>.</w:t>
      </w:r>
      <w:r w:rsidR="00AE5B66">
        <w:t xml:space="preserve"> </w:t>
      </w:r>
      <w:r w:rsidR="00B32DFC">
        <w:t>M</w:t>
      </w:r>
      <w:r w:rsidR="0031612F">
        <w:t xml:space="preserve">odern </w:t>
      </w:r>
      <w:r w:rsidR="00884C7F">
        <w:t>ecoton</w:t>
      </w:r>
      <w:r w:rsidR="0031612F">
        <w:t>al areas</w:t>
      </w:r>
      <w:r w:rsidR="00884C7F">
        <w:t xml:space="preserve"> combining SDF and </w:t>
      </w:r>
      <w:r w:rsidR="00B95AE1">
        <w:t>A</w:t>
      </w:r>
      <w:r w:rsidR="00884C7F">
        <w:t xml:space="preserve">MF species </w:t>
      </w:r>
      <w:r w:rsidR="0031612F">
        <w:t xml:space="preserve">are </w:t>
      </w:r>
      <w:r w:rsidR="00B32DFC">
        <w:t xml:space="preserve">best represented by assemblages </w:t>
      </w:r>
      <w:r w:rsidR="0031612F">
        <w:t>25</w:t>
      </w:r>
      <w:r w:rsidR="00225601">
        <w:t xml:space="preserve"> and 14 in the south </w:t>
      </w:r>
      <w:r w:rsidR="00E55B2F">
        <w:t xml:space="preserve">and north </w:t>
      </w:r>
      <w:r w:rsidR="00225601">
        <w:t>of our study area</w:t>
      </w:r>
      <w:r w:rsidR="00E55B2F">
        <w:t>, respectively</w:t>
      </w:r>
      <w:r w:rsidR="009E7DB1">
        <w:t xml:space="preserve"> – </w:t>
      </w:r>
      <w:r w:rsidR="000B55F0">
        <w:t xml:space="preserve">both found </w:t>
      </w:r>
      <w:r w:rsidR="001150FF">
        <w:t>considerably</w:t>
      </w:r>
      <w:r w:rsidR="00331FF5">
        <w:t xml:space="preserve"> uphill and to the east of </w:t>
      </w:r>
      <w:r w:rsidR="009E7DB1">
        <w:t xml:space="preserve">the official </w:t>
      </w:r>
      <w:r w:rsidR="007341A0">
        <w:t xml:space="preserve">boundary between SDF and </w:t>
      </w:r>
      <w:r w:rsidR="00B95AE1">
        <w:t>A</w:t>
      </w:r>
      <w:r w:rsidR="007341A0">
        <w:t>MF</w:t>
      </w:r>
      <w:r w:rsidR="00E55B2F">
        <w:t>.</w:t>
      </w:r>
    </w:p>
    <w:p w14:paraId="054CBDBC" w14:textId="3BB89470" w:rsidR="008F7692" w:rsidRDefault="002B5017" w:rsidP="00F74804">
      <w:pPr>
        <w:spacing w:line="360" w:lineRule="auto"/>
      </w:pPr>
      <w:r>
        <w:rPr>
          <w:noProof/>
          <w:lang w:val="sv-SE" w:eastAsia="sv-SE"/>
        </w:rPr>
        <w:drawing>
          <wp:inline distT="0" distB="0" distL="0" distR="0" wp14:anchorId="0880990F" wp14:editId="130F4AB4">
            <wp:extent cx="2844000" cy="2031428"/>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44000" cy="2031428"/>
                    </a:xfrm>
                    <a:prstGeom prst="rect">
                      <a:avLst/>
                    </a:prstGeom>
                  </pic:spPr>
                </pic:pic>
              </a:graphicData>
            </a:graphic>
          </wp:inline>
        </w:drawing>
      </w:r>
      <w:r w:rsidR="00C00801">
        <w:rPr>
          <w:noProof/>
          <w:lang w:val="sv-SE" w:eastAsia="sv-SE"/>
        </w:rPr>
        <w:drawing>
          <wp:inline distT="0" distB="0" distL="0" distR="0" wp14:anchorId="7976E715" wp14:editId="0B10B501">
            <wp:extent cx="2844000" cy="2031891"/>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44000" cy="2031891"/>
                    </a:xfrm>
                    <a:prstGeom prst="rect">
                      <a:avLst/>
                    </a:prstGeom>
                  </pic:spPr>
                </pic:pic>
              </a:graphicData>
            </a:graphic>
          </wp:inline>
        </w:drawing>
      </w:r>
    </w:p>
    <w:p w14:paraId="50309C71" w14:textId="4AFBD7E1" w:rsidR="00457EB3" w:rsidRDefault="00457EB3" w:rsidP="00F74804">
      <w:pPr>
        <w:spacing w:line="360" w:lineRule="auto"/>
        <w:rPr>
          <w:i/>
          <w:iCs/>
          <w:sz w:val="20"/>
          <w:szCs w:val="20"/>
        </w:rPr>
      </w:pPr>
      <w:r>
        <w:rPr>
          <w:i/>
          <w:iCs/>
          <w:sz w:val="20"/>
          <w:szCs w:val="20"/>
        </w:rPr>
        <w:t>Fig.</w:t>
      </w:r>
      <w:r w:rsidR="00CA27D2">
        <w:rPr>
          <w:i/>
          <w:iCs/>
          <w:sz w:val="20"/>
          <w:szCs w:val="20"/>
        </w:rPr>
        <w:t xml:space="preserve"> </w:t>
      </w:r>
      <w:r w:rsidR="00E73EC7">
        <w:rPr>
          <w:i/>
          <w:iCs/>
          <w:sz w:val="20"/>
          <w:szCs w:val="20"/>
        </w:rPr>
        <w:t>5</w:t>
      </w:r>
      <w:r>
        <w:rPr>
          <w:i/>
          <w:iCs/>
          <w:sz w:val="20"/>
          <w:szCs w:val="20"/>
        </w:rPr>
        <w:t xml:space="preserve">: overlay maps of modelled </w:t>
      </w:r>
      <w:r w:rsidR="00EC7AF5">
        <w:rPr>
          <w:i/>
          <w:iCs/>
          <w:sz w:val="20"/>
          <w:szCs w:val="20"/>
        </w:rPr>
        <w:t xml:space="preserve">floristic </w:t>
      </w:r>
      <w:r>
        <w:rPr>
          <w:i/>
          <w:iCs/>
          <w:sz w:val="20"/>
          <w:szCs w:val="20"/>
        </w:rPr>
        <w:t xml:space="preserve">assemblages and </w:t>
      </w:r>
      <w:r w:rsidR="009E7DB1">
        <w:rPr>
          <w:i/>
          <w:iCs/>
          <w:sz w:val="20"/>
          <w:szCs w:val="20"/>
        </w:rPr>
        <w:t xml:space="preserve">official </w:t>
      </w:r>
      <w:r w:rsidRPr="00CA27D2">
        <w:rPr>
          <w:i/>
          <w:iCs/>
          <w:sz w:val="20"/>
          <w:szCs w:val="20"/>
        </w:rPr>
        <w:t xml:space="preserve">vegetation </w:t>
      </w:r>
      <w:r w:rsidR="00901D0E" w:rsidRPr="00CA27D2">
        <w:rPr>
          <w:i/>
          <w:iCs/>
          <w:sz w:val="20"/>
          <w:szCs w:val="20"/>
        </w:rPr>
        <w:fldChar w:fldCharType="begin" w:fldLock="1"/>
      </w:r>
      <w:r w:rsidR="00FA46CE">
        <w:rPr>
          <w:i/>
          <w:iCs/>
          <w:sz w:val="20"/>
          <w:szCs w:val="20"/>
        </w:rPr>
        <w:instrText>ADDIN CSL_CITATION {"citationItems":[{"id":"ITEM-1","itemData":{"ISBN":"978-85-240-4272-0","author":[{"dropping-particle":"","family":"IBGE","given":"Instituto Brasileiro de Geografia e Estatística","non-dropping-particle":"","parse-names":false,"suffix":""}],"container-title":"Manuais Técnicos em Geociências","id":"ITEM-1","issued":{"date-parts":[["2012"]]},"number-of-pages":"271","publisher-place":"Rio de Janeiro","title":"Manual Técnico da Vegetação Brasileira","type":"report","volume":"1"},"suffix":"; see Fig. 1","uris":["http://www.mendeley.com/documents/?uuid=a6c14f80-dd2e-4c01-a58e-3e8b818498ef"]}],"mendeley":{"formattedCitation":"(IBGE, 2012; see Fig. 1)","plainTextFormattedCitation":"(IBGE, 2012; see Fig. 1)","previouslyFormattedCitation":"(IBGE, 2012; see Fig. 1)"},"properties":{"noteIndex":0},"schema":"https://github.com/citation-style-language/schema/raw/master/csl-citation.json"}</w:instrText>
      </w:r>
      <w:r w:rsidR="00901D0E" w:rsidRPr="00CA27D2">
        <w:rPr>
          <w:i/>
          <w:iCs/>
          <w:sz w:val="20"/>
          <w:szCs w:val="20"/>
        </w:rPr>
        <w:fldChar w:fldCharType="separate"/>
      </w:r>
      <w:r w:rsidR="00CA27D2" w:rsidRPr="00CA27D2">
        <w:rPr>
          <w:i/>
          <w:iCs/>
          <w:noProof/>
          <w:sz w:val="20"/>
          <w:szCs w:val="20"/>
        </w:rPr>
        <w:t>(IBGE, 2012; see Fig. 1)</w:t>
      </w:r>
      <w:r w:rsidR="00901D0E" w:rsidRPr="00CA27D2">
        <w:rPr>
          <w:i/>
          <w:iCs/>
          <w:sz w:val="20"/>
          <w:szCs w:val="20"/>
        </w:rPr>
        <w:fldChar w:fldCharType="end"/>
      </w:r>
      <w:r w:rsidR="00FF14C0">
        <w:rPr>
          <w:i/>
          <w:iCs/>
          <w:sz w:val="20"/>
          <w:szCs w:val="20"/>
        </w:rPr>
        <w:t xml:space="preserve">. Left: assemblages from clusters a and b </w:t>
      </w:r>
      <w:r w:rsidR="0017350B">
        <w:rPr>
          <w:i/>
          <w:iCs/>
          <w:sz w:val="20"/>
          <w:szCs w:val="20"/>
        </w:rPr>
        <w:t xml:space="preserve">compared </w:t>
      </w:r>
      <w:r w:rsidR="00FF14C0">
        <w:rPr>
          <w:i/>
          <w:iCs/>
          <w:sz w:val="20"/>
          <w:szCs w:val="20"/>
        </w:rPr>
        <w:t xml:space="preserve">with SDF and </w:t>
      </w:r>
      <w:r w:rsidR="00041C95">
        <w:rPr>
          <w:i/>
          <w:iCs/>
          <w:sz w:val="20"/>
          <w:szCs w:val="20"/>
        </w:rPr>
        <w:t>AR</w:t>
      </w:r>
      <w:r w:rsidR="00FF14C0">
        <w:rPr>
          <w:i/>
          <w:iCs/>
          <w:sz w:val="20"/>
          <w:szCs w:val="20"/>
        </w:rPr>
        <w:t xml:space="preserve">F </w:t>
      </w:r>
      <w:r w:rsidR="00585D99">
        <w:rPr>
          <w:i/>
          <w:iCs/>
          <w:sz w:val="20"/>
          <w:szCs w:val="20"/>
        </w:rPr>
        <w:t>(</w:t>
      </w:r>
      <w:r w:rsidR="0015646B">
        <w:rPr>
          <w:i/>
          <w:iCs/>
          <w:sz w:val="20"/>
          <w:szCs w:val="20"/>
        </w:rPr>
        <w:t>blue</w:t>
      </w:r>
      <w:r w:rsidR="00585D99">
        <w:rPr>
          <w:i/>
          <w:iCs/>
          <w:sz w:val="20"/>
          <w:szCs w:val="20"/>
        </w:rPr>
        <w:t>). Right</w:t>
      </w:r>
      <w:r w:rsidR="004C68BA">
        <w:rPr>
          <w:i/>
          <w:iCs/>
          <w:sz w:val="20"/>
          <w:szCs w:val="20"/>
        </w:rPr>
        <w:t>:</w:t>
      </w:r>
      <w:r w:rsidR="00585D99">
        <w:rPr>
          <w:i/>
          <w:iCs/>
          <w:sz w:val="20"/>
          <w:szCs w:val="20"/>
        </w:rPr>
        <w:t xml:space="preserve"> assemblages from cluster c </w:t>
      </w:r>
      <w:r w:rsidR="0017350B">
        <w:rPr>
          <w:i/>
          <w:iCs/>
          <w:sz w:val="20"/>
          <w:szCs w:val="20"/>
        </w:rPr>
        <w:t>compared with</w:t>
      </w:r>
      <w:r w:rsidR="00585D99">
        <w:rPr>
          <w:i/>
          <w:iCs/>
          <w:sz w:val="20"/>
          <w:szCs w:val="20"/>
        </w:rPr>
        <w:t xml:space="preserve"> grassland and </w:t>
      </w:r>
      <w:r w:rsidR="00B95AE1">
        <w:rPr>
          <w:i/>
          <w:iCs/>
          <w:sz w:val="20"/>
          <w:szCs w:val="20"/>
        </w:rPr>
        <w:t>A</w:t>
      </w:r>
      <w:r w:rsidR="00585D99">
        <w:rPr>
          <w:i/>
          <w:iCs/>
          <w:sz w:val="20"/>
          <w:szCs w:val="20"/>
        </w:rPr>
        <w:t>MF (</w:t>
      </w:r>
      <w:r w:rsidR="0015646B">
        <w:rPr>
          <w:i/>
          <w:iCs/>
          <w:sz w:val="20"/>
          <w:szCs w:val="20"/>
        </w:rPr>
        <w:t xml:space="preserve">dark </w:t>
      </w:r>
      <w:r w:rsidR="00585D99">
        <w:rPr>
          <w:i/>
          <w:iCs/>
          <w:sz w:val="20"/>
          <w:szCs w:val="20"/>
        </w:rPr>
        <w:t>grey).</w:t>
      </w:r>
      <w:r w:rsidR="00E16B21">
        <w:rPr>
          <w:i/>
          <w:iCs/>
          <w:sz w:val="20"/>
          <w:szCs w:val="20"/>
        </w:rPr>
        <w:t xml:space="preserve"> See </w:t>
      </w:r>
      <w:r w:rsidR="00CA27D2">
        <w:rPr>
          <w:i/>
          <w:iCs/>
          <w:sz w:val="20"/>
          <w:szCs w:val="20"/>
        </w:rPr>
        <w:t>Fig. S1</w:t>
      </w:r>
      <w:r w:rsidR="00F6079C">
        <w:rPr>
          <w:i/>
          <w:iCs/>
          <w:sz w:val="20"/>
          <w:szCs w:val="20"/>
        </w:rPr>
        <w:t>2</w:t>
      </w:r>
      <w:r w:rsidR="00E16B21">
        <w:rPr>
          <w:i/>
          <w:iCs/>
          <w:sz w:val="20"/>
          <w:szCs w:val="20"/>
        </w:rPr>
        <w:t xml:space="preserve"> for ecotonal areas</w:t>
      </w:r>
      <w:r w:rsidR="00D2448C">
        <w:rPr>
          <w:i/>
          <w:iCs/>
          <w:sz w:val="20"/>
          <w:szCs w:val="20"/>
        </w:rPr>
        <w:t xml:space="preserve"> and comparison with the future scenario</w:t>
      </w:r>
      <w:r w:rsidR="00E16B21">
        <w:rPr>
          <w:i/>
          <w:iCs/>
          <w:sz w:val="20"/>
          <w:szCs w:val="20"/>
        </w:rPr>
        <w:t>.</w:t>
      </w:r>
    </w:p>
    <w:p w14:paraId="78199E6A" w14:textId="7639B607" w:rsidR="008F11C3" w:rsidRDefault="003F1885" w:rsidP="00F74804">
      <w:pPr>
        <w:pStyle w:val="Heading2"/>
        <w:numPr>
          <w:ilvl w:val="1"/>
          <w:numId w:val="5"/>
        </w:numPr>
        <w:spacing w:line="360" w:lineRule="auto"/>
      </w:pPr>
      <w:r>
        <w:lastRenderedPageBreak/>
        <w:t>Changes through time</w:t>
      </w:r>
      <w:r w:rsidR="00856254">
        <w:t xml:space="preserve"> and proxy comparison</w:t>
      </w:r>
    </w:p>
    <w:p w14:paraId="41E918A9" w14:textId="3A95B1AC" w:rsidR="006C70F6" w:rsidRDefault="00FD051F" w:rsidP="00F74804">
      <w:pPr>
        <w:spacing w:line="360" w:lineRule="auto"/>
      </w:pPr>
      <w:r>
        <w:t xml:space="preserve">Our modelling suggests that the southern Atlantic Forest’s ecosystems have changed significantly in both distribution and composition </w:t>
      </w:r>
      <w:r w:rsidR="0037710F">
        <w:t xml:space="preserve">over the last 21,000 </w:t>
      </w:r>
      <w:proofErr w:type="gramStart"/>
      <w:r w:rsidR="0037710F">
        <w:t>years, and</w:t>
      </w:r>
      <w:proofErr w:type="gramEnd"/>
      <w:r w:rsidR="0037710F">
        <w:t xml:space="preserve"> are predicted to experience exceptionally drastic changes as a result of changing conditions over the coming decades </w:t>
      </w:r>
      <w:r w:rsidR="00497FFC">
        <w:t>(</w:t>
      </w:r>
      <w:r w:rsidR="00CA27D2">
        <w:t xml:space="preserve">Fig. </w:t>
      </w:r>
      <w:r w:rsidR="00F6079C">
        <w:t>6</w:t>
      </w:r>
      <w:r w:rsidR="00497FFC">
        <w:t>)</w:t>
      </w:r>
      <w:r w:rsidR="002778A1">
        <w:t>.</w:t>
      </w:r>
      <w:r>
        <w:t xml:space="preserve"> </w:t>
      </w:r>
    </w:p>
    <w:p w14:paraId="3F82E5A9" w14:textId="4EF1B26F" w:rsidR="005B2F23" w:rsidRDefault="005B2F23" w:rsidP="00F74804">
      <w:pPr>
        <w:pStyle w:val="Heading3"/>
        <w:numPr>
          <w:ilvl w:val="2"/>
          <w:numId w:val="5"/>
        </w:numPr>
        <w:spacing w:line="360" w:lineRule="auto"/>
      </w:pPr>
      <w:r>
        <w:t>Last Glacial Maximum (21,000 – 18,000 BP)</w:t>
      </w:r>
    </w:p>
    <w:p w14:paraId="0FC8317A" w14:textId="4D87352E" w:rsidR="00116C0B" w:rsidRDefault="00946B84" w:rsidP="00F74804">
      <w:pPr>
        <w:spacing w:line="360" w:lineRule="auto"/>
      </w:pPr>
      <w:r>
        <w:t xml:space="preserve">Between 21,000 and 18,000 BP, </w:t>
      </w:r>
      <w:r w:rsidR="00F27426">
        <w:t xml:space="preserve">the highlands were dominated by cold-adapted </w:t>
      </w:r>
      <w:r w:rsidR="00EC7AF5">
        <w:t xml:space="preserve">floristic </w:t>
      </w:r>
      <w:r w:rsidR="001F789A">
        <w:t>assemblages</w:t>
      </w:r>
      <w:r w:rsidR="001F6733">
        <w:t xml:space="preserve"> from cluster </w:t>
      </w:r>
      <w:r w:rsidR="001F6733" w:rsidRPr="001F6733">
        <w:rPr>
          <w:i/>
          <w:iCs/>
        </w:rPr>
        <w:t>c</w:t>
      </w:r>
      <w:r w:rsidR="00C43006">
        <w:t>, with relatively slight differences between the periods. Assemblages</w:t>
      </w:r>
      <w:r w:rsidR="001F789A">
        <w:t xml:space="preserve"> 15</w:t>
      </w:r>
      <w:r w:rsidR="00C43006">
        <w:t xml:space="preserve"> and</w:t>
      </w:r>
      <w:r w:rsidR="001F789A">
        <w:t xml:space="preserve"> 29</w:t>
      </w:r>
      <w:r w:rsidR="00C43006">
        <w:t xml:space="preserve"> (Campos and Cloud Forest species) occupy most of the centre, south and west of the plateau; assemblages</w:t>
      </w:r>
      <w:r w:rsidR="001C69BD">
        <w:t xml:space="preserve"> </w:t>
      </w:r>
      <w:r w:rsidR="00E30FE8">
        <w:t>13</w:t>
      </w:r>
      <w:r w:rsidR="00BA3ACE">
        <w:t xml:space="preserve"> and 33</w:t>
      </w:r>
      <w:r w:rsidR="00C43006">
        <w:t xml:space="preserve"> (which include more</w:t>
      </w:r>
      <w:r w:rsidR="000E587C">
        <w:t xml:space="preserve"> </w:t>
      </w:r>
      <w:r w:rsidR="00B95AE1">
        <w:t>A</w:t>
      </w:r>
      <w:r w:rsidR="001F789A">
        <w:t>MF</w:t>
      </w:r>
      <w:r w:rsidR="000E587C">
        <w:t xml:space="preserve"> </w:t>
      </w:r>
      <w:r w:rsidR="00C43006">
        <w:t>species)</w:t>
      </w:r>
      <w:r w:rsidR="00106B75">
        <w:t xml:space="preserve"> are found more to the</w:t>
      </w:r>
      <w:r w:rsidR="00C43006">
        <w:t xml:space="preserve"> highlands’</w:t>
      </w:r>
      <w:r w:rsidR="00106B75">
        <w:t xml:space="preserve"> east</w:t>
      </w:r>
      <w:r w:rsidR="00166ED4">
        <w:t>, especially at 18,000 BP</w:t>
      </w:r>
      <w:r w:rsidR="00867EBE">
        <w:t>.</w:t>
      </w:r>
      <w:r w:rsidR="00C60B29">
        <w:t xml:space="preserve"> </w:t>
      </w:r>
      <w:r w:rsidR="00C43006">
        <w:t>The north of the plateau transitions from assemblage 13 to 15 between the time</w:t>
      </w:r>
      <w:r w:rsidR="00FF589A">
        <w:t xml:space="preserve"> </w:t>
      </w:r>
      <w:r w:rsidR="00C43006">
        <w:t xml:space="preserve">slices, with the former assemblage </w:t>
      </w:r>
      <w:r w:rsidR="0078172A">
        <w:t xml:space="preserve">extending into the southern part of </w:t>
      </w:r>
      <w:r w:rsidR="00301139">
        <w:t>what today is Santa Catarina’s coastal plain.</w:t>
      </w:r>
      <w:r w:rsidR="009F6334">
        <w:t xml:space="preserve"> </w:t>
      </w:r>
      <w:r w:rsidR="00C43006">
        <w:t xml:space="preserve">Most of our modelled tree species, as well as several Campos herbs, are predicted to have occurred on continental shelf areas </w:t>
      </w:r>
      <w:r w:rsidR="0005463F">
        <w:t xml:space="preserve">exposed by sea levels 130m lower than present. </w:t>
      </w:r>
      <w:r w:rsidR="00C43006">
        <w:t>T</w:t>
      </w:r>
      <w:r w:rsidR="005C29E8">
        <w:t xml:space="preserve">his combination </w:t>
      </w:r>
      <w:r w:rsidR="00B605C0">
        <w:t>forms assemblage</w:t>
      </w:r>
      <w:r w:rsidR="002F683A">
        <w:t>s</w:t>
      </w:r>
      <w:r w:rsidR="00B605C0">
        <w:t xml:space="preserve"> </w:t>
      </w:r>
      <w:r w:rsidR="00202A02">
        <w:t>9</w:t>
      </w:r>
      <w:r w:rsidR="0025352D">
        <w:t xml:space="preserve"> (which covers almost </w:t>
      </w:r>
      <w:proofErr w:type="gramStart"/>
      <w:r w:rsidR="0025352D">
        <w:t>all of</w:t>
      </w:r>
      <w:proofErr w:type="gramEnd"/>
      <w:r w:rsidR="0025352D">
        <w:t xml:space="preserve"> the continental shelf)</w:t>
      </w:r>
      <w:r w:rsidR="005A0322">
        <w:t xml:space="preserve">, </w:t>
      </w:r>
      <w:r w:rsidR="002F683A">
        <w:t>7</w:t>
      </w:r>
      <w:r w:rsidR="00202A02">
        <w:t xml:space="preserve"> </w:t>
      </w:r>
      <w:r w:rsidR="005A0322">
        <w:t>and 8</w:t>
      </w:r>
      <w:r w:rsidR="0025352D">
        <w:t xml:space="preserve">: </w:t>
      </w:r>
      <w:r w:rsidR="00C43006">
        <w:t>c</w:t>
      </w:r>
      <w:r w:rsidR="00E14BAE">
        <w:t>old-adapted taxa are less prevalent in the latter</w:t>
      </w:r>
      <w:r w:rsidR="005A0322">
        <w:t xml:space="preserve"> two assemblages</w:t>
      </w:r>
      <w:r w:rsidR="00E14BAE">
        <w:t xml:space="preserve">, which </w:t>
      </w:r>
      <w:r w:rsidR="00805D83">
        <w:t xml:space="preserve">are </w:t>
      </w:r>
      <w:r w:rsidR="00E14BAE">
        <w:t xml:space="preserve">found </w:t>
      </w:r>
      <w:r w:rsidR="00805D83">
        <w:t xml:space="preserve">along and close to </w:t>
      </w:r>
      <w:r w:rsidR="00290D70">
        <w:t xml:space="preserve">the </w:t>
      </w:r>
      <w:r w:rsidR="006339AD">
        <w:t xml:space="preserve">present-day </w:t>
      </w:r>
      <w:r w:rsidR="00290D70">
        <w:t>northern coastal plain</w:t>
      </w:r>
      <w:r w:rsidR="006339AD">
        <w:t>s</w:t>
      </w:r>
      <w:r w:rsidR="00E42860">
        <w:t>.</w:t>
      </w:r>
    </w:p>
    <w:p w14:paraId="207ACDB3" w14:textId="25428E57" w:rsidR="005A757E" w:rsidRDefault="0025352D" w:rsidP="00F74804">
      <w:pPr>
        <w:spacing w:line="360" w:lineRule="auto"/>
        <w:rPr>
          <w:rFonts w:cstheme="minorHAnsi"/>
        </w:rPr>
      </w:pPr>
      <w:r>
        <w:t>Where th</w:t>
      </w:r>
      <w:r w:rsidR="00A5227D">
        <w:t xml:space="preserve">ese </w:t>
      </w:r>
      <w:r w:rsidR="005F34BB">
        <w:t xml:space="preserve">modelled </w:t>
      </w:r>
      <w:r w:rsidR="00A5227D">
        <w:t>assemblages are found in the present day</w:t>
      </w:r>
      <w:r>
        <w:t xml:space="preserve"> (generally on the plateau and its eastern escarpment), much of their extent is forested</w:t>
      </w:r>
      <w:r w:rsidR="00A5227D">
        <w:t xml:space="preserve">. </w:t>
      </w:r>
      <w:r>
        <w:t>H</w:t>
      </w:r>
      <w:r w:rsidR="00FF1F0A">
        <w:t xml:space="preserve">owever, </w:t>
      </w:r>
      <w:r w:rsidR="005B5CBA">
        <w:t>this does not appear to have been the case at the LGM as</w:t>
      </w:r>
      <w:r w:rsidR="00C26AAC">
        <w:t xml:space="preserve"> </w:t>
      </w:r>
      <w:r w:rsidR="001D7CD0">
        <w:t>grassland</w:t>
      </w:r>
      <w:r w:rsidR="00EE4FCE">
        <w:t xml:space="preserve"> proxie</w:t>
      </w:r>
      <w:r w:rsidR="001D7CD0">
        <w:t>s</w:t>
      </w:r>
      <w:r w:rsidR="006F712B">
        <w:t xml:space="preserve"> </w:t>
      </w:r>
      <w:r w:rsidR="005B5CBA">
        <w:t xml:space="preserve">generally </w:t>
      </w:r>
      <w:r w:rsidR="00236284">
        <w:t>dominate</w:t>
      </w:r>
      <w:r w:rsidR="00B1260A">
        <w:t>, though</w:t>
      </w:r>
      <w:r w:rsidR="00EC4A38">
        <w:t xml:space="preserve"> </w:t>
      </w:r>
      <w:r w:rsidR="00A24285">
        <w:t>p</w:t>
      </w:r>
      <w:r w:rsidR="00477EC1">
        <w:t>hytolith records do suggest some areas that might have had high</w:t>
      </w:r>
      <w:r w:rsidR="00F57CA7">
        <w:t>er</w:t>
      </w:r>
      <w:r w:rsidR="00477EC1">
        <w:t xml:space="preserve"> tree cover</w:t>
      </w:r>
      <w:r w:rsidR="00A24285">
        <w:t>.</w:t>
      </w:r>
      <w:r w:rsidR="00477EC1">
        <w:t xml:space="preserve"> </w:t>
      </w:r>
      <w:r w:rsidR="00A24285">
        <w:t>H</w:t>
      </w:r>
      <w:r w:rsidR="00477EC1">
        <w:t xml:space="preserve">alf or more of the phytoliths at </w:t>
      </w:r>
      <w:proofErr w:type="spellStart"/>
      <w:r w:rsidR="00477EC1">
        <w:t>Iap</w:t>
      </w:r>
      <w:r w:rsidR="00477EC1">
        <w:rPr>
          <w:rFonts w:cstheme="minorHAnsi"/>
        </w:rPr>
        <w:t>ó</w:t>
      </w:r>
      <w:proofErr w:type="spellEnd"/>
      <w:r w:rsidR="00477EC1">
        <w:t xml:space="preserve"> River </w:t>
      </w:r>
      <w:r w:rsidR="00477EC1">
        <w:fldChar w:fldCharType="begin" w:fldLock="1"/>
      </w:r>
      <w:r w:rsidR="00274C71">
        <w:instrText>ADDIN CSL_CITATION {"citationItems":[{"id":"ITEM-1","itemData":{"DOI":"10.26848/rbgf.v9.5.p1543-1558","ISSN":"1984-2295","abstract":"Este estudo teve como objetivo realizar a caracterização das condições paleoambientais na planície aluvial do rio Iapó, com base em um testemunho sedimentar obtido na margem esquerda do rio, situado próximo à área urbana de Castro, PR. Para tanto, ressalta-se a utilização de diferentes dados proxies (análise multiproxy), como espículas de esponjas continentais e fitólitos, associados à determinação dos valores isotópicos de δ13C, δ15N, razão C/N, datações absolutas (14C) e análises granulométricas. Foi possível a identificação, via gemoscleras preservadas no depósito estudado, de táxons de esponjas de água doce característicos de ambiente lótico e lêntico, além da detecção de exemplar vivo de Oncosclera schubarti Bonetto e Ezcurra de Drago, 1967, aderido em substrato rochoso do leito do rio Iapó. A datação absoluta (14C) apresentou os seguintes resultados: 18.371 anos cal. AP. (114 cm) e 2.006 anos cal. AP. (72 cm), portanto, com idades que remontam ao Pleistoceno Superior e Holoceno Superior, respectivamente. Os dados obtidos permitiram caracterizar três fases de evolução paleoambiental: i) fase de canal ativo há pelo menos 18 mil anos AP.; ii) fase de abandono de canal e início da formação de um meandro abandonado, com depósitos relacionados à evolução de barras em pontal; iii) condições paleoclimáticas próximas às atuais na região, com a retomada da umidade na planície e perturbações por pulsos de inundação. Normal 0 false false false PT-BR X-NONE X-NONE /* Style Definitions */ table.MsoNormalTable {mso-style-name:\"Tabela normal\"; mso-tstyle-rowband-size:0; mso-tstyle-colband-size:0; mso-style-noshow:yes; mso-style-priority:99; mso-style-parent:\"\"; mso-padding-alt:0in 5.4pt 0in 5.4pt; mso-para-margin-top:0in; mso-para-margin-right:0in; mso-para-margin-bottom:10.0pt; mso-para-margin-left:0in; line-height:115%; mso-pagination:widow-orphan; font-size:11.0pt; font-family:\"Calibri\",sans-serif; mso-ascii-font-family:Calibri; mso-ascii-theme-font:minor-latin; mso-hansi-font-family:Calibri; mso-hansi-theme-font:minor-latin; mso-ansi-language:PT-BR;} A B S T R A C T The objective of this study was to characterize the paleoenvironmental conditions in the alluvial plain of the Iapó River, based on a sedimentary sample obtained on the left bank of the river, near the urban area of Castro in the state of Parana. To this end, different proxy methods were used (multiproxy analysis), such as: continental sponge spicules and phytoliths associated with the determinati…","author":[{"dropping-particle":"","family":"Kalinovski","given":"Elaine Cristina Zavadovski","non-dropping-particle":"","parse-names":false,"suffix":""},{"dropping-particle":"","family":"Parolin","given":"Mauro","non-dropping-particle":"","parse-names":false,"suffix":""},{"dropping-particle":"","family":"Souza Filho","given":"Edvard Elias","non-dropping-particle":"de","parse-names":false,"suffix":""}],"container-title":"Revista Brasileira de Geografia Física","id":"ITEM-1","issue":"5","issued":{"date-parts":[["2016","9","12"]]},"note":"IapoR","page":"1543-1558","title":"Paleoambientes quaternários da planície do rio Iapó, Castro, Paraná","type":"article-journal","volume":"9"},"uris":["http://www.mendeley.com/documents/?uuid=1ff7cc06-fa0d-335e-a70d-2161a099d2c0"]}],"mendeley":{"formattedCitation":"(Kalinovski et al., 2016)","plainTextFormattedCitation":"(Kalinovski et al., 2016)","previouslyFormattedCitation":"(Kalinovski et al., 2016)"},"properties":{"noteIndex":0},"schema":"https://github.com/citation-style-language/schema/raw/master/csl-citation.json"}</w:instrText>
      </w:r>
      <w:r w:rsidR="00477EC1">
        <w:fldChar w:fldCharType="separate"/>
      </w:r>
      <w:r w:rsidR="00477EC1" w:rsidRPr="00477EC1">
        <w:rPr>
          <w:noProof/>
        </w:rPr>
        <w:t>(Kalinovski et al., 2016)</w:t>
      </w:r>
      <w:r w:rsidR="00477EC1">
        <w:fldChar w:fldCharType="end"/>
      </w:r>
      <w:r w:rsidR="00A24285">
        <w:t xml:space="preserve"> </w:t>
      </w:r>
      <w:r w:rsidR="00477EC1">
        <w:t>around 18,000 BP come from woody plants</w:t>
      </w:r>
      <w:r w:rsidR="00F24536">
        <w:t xml:space="preserve"> (though the site’s </w:t>
      </w:r>
      <w:r w:rsidR="00EF6223" w:rsidRPr="008B0F11">
        <w:rPr>
          <w:rFonts w:cstheme="minorHAnsi"/>
        </w:rPr>
        <w:t>δ</w:t>
      </w:r>
      <w:r w:rsidR="00EF6223" w:rsidRPr="008B0F11">
        <w:rPr>
          <w:vertAlign w:val="superscript"/>
        </w:rPr>
        <w:t>13</w:t>
      </w:r>
      <w:r w:rsidR="00EF6223" w:rsidRPr="008B0F11">
        <w:t>C</w:t>
      </w:r>
      <w:r w:rsidR="00EF6223">
        <w:t xml:space="preserve"> </w:t>
      </w:r>
      <w:r w:rsidR="00F24536">
        <w:t>signature is C4-dominated)</w:t>
      </w:r>
      <w:r w:rsidR="00477EC1">
        <w:t>, and s</w:t>
      </w:r>
      <w:r w:rsidR="00EC4A38">
        <w:t xml:space="preserve">ome samples from </w:t>
      </w:r>
      <w:r w:rsidR="00477EC1">
        <w:t>approximately</w:t>
      </w:r>
      <w:r w:rsidR="00EC4A38">
        <w:t xml:space="preserve"> </w:t>
      </w:r>
      <w:r w:rsidR="00477EC1">
        <w:t>the same time</w:t>
      </w:r>
      <w:r w:rsidR="00EC4A38">
        <w:t xml:space="preserve"> in Campo </w:t>
      </w:r>
      <w:proofErr w:type="spellStart"/>
      <w:r w:rsidR="00EC4A38">
        <w:t>Er</w:t>
      </w:r>
      <w:r w:rsidR="00EC4A38">
        <w:rPr>
          <w:rFonts w:cstheme="minorHAnsi"/>
        </w:rPr>
        <w:t>ê</w:t>
      </w:r>
      <w:proofErr w:type="spellEnd"/>
      <w:r w:rsidR="00EC4A38">
        <w:t xml:space="preserve"> </w:t>
      </w:r>
      <w:r w:rsidR="00EC4A38">
        <w:fldChar w:fldCharType="begin" w:fldLock="1"/>
      </w:r>
      <w:r w:rsidR="005944BB">
        <w:instrText>ADDIN CSL_CITATION {"citationItems":[{"id":"ITEM-1","itemData":{"abstract":"Phytoliths are microscopic particles of silica, or biomineralizations, formed during the growth of the plant, through the absorption of dissolved monosilicic acid (H4SiO4) solute from the soil. Phytoliths remain preserved in soil under certain environmental conditions making them a great ally in paleoenvironmental reconstruction studies. In South-West Paraná and North- West Santa Catarina, where there were large areas of Araucaria moist forests (AMF), the Genesis and Evolution of Geomorphological Surfaces and Surface Formations research group (GPGESGFS) has carried out dedicated research using diverse biological proxies, including phytoliths, in order to understand the principal factors and processes which were active in the formation of the current relief and in the evolution of the landscape of this region. Considering the hypothesis of environmental changes (climate and vegetation) in the South of Brazil during the Pleistocene/Holocene, the present study has as its main objective understanding the environmental dynamic during the Late Pleistocene and Holocene, which may have acted on the evolution of the landscape of Campo Erê (SC), incomplete planation surface VI. The results obtained through routine physical and chemical analyses of the phytolith assemblage, the ratios of the stable carbon isotopes and 14C dating of the humin fraction, have enabled us to conclude that the soil studied in Campo Erê (SC), a typical distroferric red nitosol with humic A horizon, developed in situ through pedogenic evolution from the material of origin, basalt. Since the middle of the last glacial maximum (18.060- 17.845 Years Cal. BP.) this profile developed beneath vegetation, possibly less leafy than the current vegetation, with a mixture of C3 (grasses, trees and bushes) and C4 (grasses) plants. This pattern of vegetation remained until the beginning of the Holocene (8.055-7.960 Years Cal. BP.) From the Middle Holocene on, there occurred an opening up of the vegetation, marked by greater participation of C4 grasses, possibly a campo sujo (a herbaceous layer with occasional small trees), shown as much by the isotopic signal as by the phytolith assemblage. This vegetation lasted until approximately 1.875-1.715 years Cal BP, once again becoming vegetation formed predominantly by C3 plant species of photosynthetic cycle, until the formation of the current AMF found in the study area. At no time were signs of dense tree formation detected, but instead leafy vegetation, …","author":[{"dropping-particle":"","family":"Cecchet","given":"Fernanda A","non-dropping-particle":"","parse-names":false,"suffix":""}],"id":"ITEM-1","issue":"45","issued":{"date-parts":[["2015"]]},"note":"From Duplicate 1 (Análise de Fitólitos Aplicada a Reconstrução Paleoambiental (Vegetação e Clima) na Superfície Incompletamente Aplainada VI - Campo Erê (SC) no Pleistoceno Tardio - Cecchet, Fernanda A)\n\nCampo Ere: 26deg 24' 40.4&amp;quot; S, 53deg 11' 19.4&amp;quot; W, 820masl","number-of-pages":"100","publisher":"Universidade Estadual do Oeste do Paraná","title":"Análise de Fitólitos Aplicada a Reconstrução Paleoambiental (Vegetação e Clima) na Superfície Incompletamente Aplainada VI - Campo Erê (SC) no Pleistoceno Tardio","type":"thesis"},"uris":["http://www.mendeley.com/documents/?uuid=31670784-a607-4095-8da5-b5fa286e4d30"]}],"mendeley":{"formattedCitation":"(Cecchet, 2015)","plainTextFormattedCitation":"(Cecchet, 2015)","previouslyFormattedCitation":"(Cecchet, 2015)"},"properties":{"noteIndex":0},"schema":"https://github.com/citation-style-language/schema/raw/master/csl-citation.json"}</w:instrText>
      </w:r>
      <w:r w:rsidR="00EC4A38">
        <w:fldChar w:fldCharType="separate"/>
      </w:r>
      <w:r w:rsidR="00EC4A38" w:rsidRPr="00EC4A38">
        <w:rPr>
          <w:noProof/>
        </w:rPr>
        <w:t>(Cecchet, 2015)</w:t>
      </w:r>
      <w:r w:rsidR="00EC4A38">
        <w:fldChar w:fldCharType="end"/>
      </w:r>
      <w:r w:rsidR="000A0071">
        <w:t xml:space="preserve"> </w:t>
      </w:r>
      <w:r w:rsidR="00EC4A38">
        <w:t>have modest contributions of eudicot and palm</w:t>
      </w:r>
      <w:r w:rsidR="00E9296B">
        <w:t xml:space="preserve"> </w:t>
      </w:r>
      <w:r w:rsidR="00EC4A38">
        <w:t>phytoliths, though precise ages and identification</w:t>
      </w:r>
      <w:r w:rsidR="00477EC1">
        <w:t>s are not available in the latter record</w:t>
      </w:r>
      <w:r w:rsidR="00EC4A38">
        <w:t xml:space="preserve">. </w:t>
      </w:r>
      <w:r w:rsidR="00580556">
        <w:t xml:space="preserve">Campo </w:t>
      </w:r>
      <w:proofErr w:type="spellStart"/>
      <w:r w:rsidR="00580556">
        <w:t>Er</w:t>
      </w:r>
      <w:r w:rsidR="00580556">
        <w:rPr>
          <w:rFonts w:cstheme="minorHAnsi"/>
        </w:rPr>
        <w:t>ê</w:t>
      </w:r>
      <w:proofErr w:type="spellEnd"/>
      <w:r w:rsidR="00C241ED">
        <w:rPr>
          <w:rFonts w:cstheme="minorHAnsi"/>
        </w:rPr>
        <w:t xml:space="preserve"> is also one of three</w:t>
      </w:r>
      <w:r w:rsidR="00E91FDA">
        <w:rPr>
          <w:rFonts w:cstheme="minorHAnsi"/>
        </w:rPr>
        <w:t xml:space="preserve"> LGM</w:t>
      </w:r>
      <w:r w:rsidR="00C241ED">
        <w:rPr>
          <w:rFonts w:cstheme="minorHAnsi"/>
        </w:rPr>
        <w:t xml:space="preserve"> sites in our study area (</w:t>
      </w:r>
      <w:r w:rsidR="001009C0">
        <w:rPr>
          <w:rFonts w:cstheme="minorHAnsi"/>
        </w:rPr>
        <w:t xml:space="preserve">with </w:t>
      </w:r>
      <w:r w:rsidR="00274C71">
        <w:rPr>
          <w:rFonts w:cstheme="minorHAnsi"/>
        </w:rPr>
        <w:t>São Jos</w:t>
      </w:r>
      <w:r w:rsidR="00B4133F">
        <w:rPr>
          <w:rFonts w:cstheme="minorHAnsi"/>
        </w:rPr>
        <w:t>é</w:t>
      </w:r>
      <w:r w:rsidR="00274C71">
        <w:rPr>
          <w:rFonts w:cstheme="minorHAnsi"/>
        </w:rPr>
        <w:t xml:space="preserve"> dos </w:t>
      </w:r>
      <w:proofErr w:type="spellStart"/>
      <w:r w:rsidR="00274C71">
        <w:rPr>
          <w:rFonts w:cstheme="minorHAnsi"/>
        </w:rPr>
        <w:t>Ausentes</w:t>
      </w:r>
      <w:proofErr w:type="spellEnd"/>
      <w:r w:rsidR="00274C71">
        <w:rPr>
          <w:rFonts w:cstheme="minorHAnsi"/>
        </w:rPr>
        <w:t xml:space="preserve"> </w:t>
      </w:r>
      <w:r w:rsidR="00274C71">
        <w:rPr>
          <w:rFonts w:cstheme="minorHAnsi"/>
        </w:rPr>
        <w:fldChar w:fldCharType="begin" w:fldLock="1"/>
      </w:r>
      <w:r w:rsidR="006B411C">
        <w:rPr>
          <w:rFonts w:cstheme="minorHAnsi"/>
        </w:rPr>
        <w:instrText>ADDIN CSL_CITATION {"citationItems":[{"id":"ITEM-1","itemData":{"DOI":"DOI:","abstract":"A significant number of studies has investigated the surface of Palmas (Paraná state)/Água Doce (Santa Catarina state), in the south of Brazil, aiming at understanding the evolution of its geomorphologic landscape in relation to the phenomena of pedogenesis and morphogenesis and, therefore, contributing with studies of the quaternary. It remains unclear, however, if the recognized phenomena are present on a local or a regional scale. Additionally, few studies have considered the continental quaternary in the Southern state of Rio Grande do Sul. Within this context, the present work attempts to identify the abovementioned scale as well as to contribute to the continental paleoenvironmental reconstruction of the South of Brazil. More specifically, the objective of this study is to recognize the occurrence of pedogenesis and morphogenesis phenomena on the surface of São José dos Ausentes (Rio Grande do Sul state) at the Late Quaternary, based on evidence from stratigraphic records of valley paleodepth of second-order hierarchy, in and attempt to understand the evolutionary picture of the second-order hierarchy valley. The methodological approach involved the use of a set of litho-, pedo-, allo- and chronostratigraphic criteria to characterize the materials from the pedostratigraphic section, as well as fieldwork and laboratory analyses. Thirty (30) stratigraphic horizons were recognized in the studied stratigraphic section, and they were distributed in three colluvial sequences – upper pedogenized; middle; and basal colluvial – and one pedogenetic hydromorphic sequence located at the base of the section. The integration of the results revealed that during the Late Interstadial (&gt; 25,000 years BP), at the valley paleodepth, there were hydromorphic soil and hypodermic water flows on its drainage axis, similar to those found of the surface of Palmas/Água Doce, corresponding to the pedogenesis predominance phase. Afterwards, there was continuous action of the morphogenesis, generated by the alternation between processes of subtle mass-movement and surface runoff. The first morphogenesis events were punctual and responsible, and occurred between the end of the Last Interstadial and the Last Glacial Maximum. During the Last Glacial Maximum, the morphogenesis began to be governed by surface runoff. From &gt;25.000 to &gt;19.150 years BP, the sedimentation of colluvial units generated the pedostratigraphic levels equivalent to the basal colluvial sequence. From 19.150 y…","author":[{"dropping-particle":"","family":"Pereira","given":"J.S.","non-dropping-particle":"","parse-names":false,"suffix":""}],"id":"ITEM-1","issued":{"date-parts":[["2017"]]},"number-of-pages":"135","publisher":"Universidade Estadual do Oeste do Paraná","title":"Pedogênese e Mofogênese na Superfície de São José dos Ausentes (RS) no Quaternário Tardio: Evidências em Paleofundo de Vale na Bacia Hidrográfica do Rio dos Touros","type":"thesis"},"uris":["http://www.mendeley.com/documents/?uuid=90fcdbdb-0e9e-43a4-9439-ac2602ece550"]}],"mendeley":{"formattedCitation":"(Pereira, 2017)","plainTextFormattedCitation":"(Pereira, 2017)","previouslyFormattedCitation":"(Pereira, 2017)"},"properties":{"noteIndex":0},"schema":"https://github.com/citation-style-language/schema/raw/master/csl-citation.json"}</w:instrText>
      </w:r>
      <w:r w:rsidR="00274C71">
        <w:rPr>
          <w:rFonts w:cstheme="minorHAnsi"/>
        </w:rPr>
        <w:fldChar w:fldCharType="separate"/>
      </w:r>
      <w:r w:rsidR="00274C71" w:rsidRPr="00274C71">
        <w:rPr>
          <w:rFonts w:cstheme="minorHAnsi"/>
          <w:noProof/>
        </w:rPr>
        <w:t>(Pereira, 2017)</w:t>
      </w:r>
      <w:r w:rsidR="00274C71">
        <w:rPr>
          <w:rFonts w:cstheme="minorHAnsi"/>
        </w:rPr>
        <w:fldChar w:fldCharType="end"/>
      </w:r>
      <w:r w:rsidR="00580556">
        <w:t xml:space="preserve"> </w:t>
      </w:r>
      <w:r w:rsidR="00B4133F">
        <w:t xml:space="preserve">and </w:t>
      </w:r>
      <w:r w:rsidR="006B411C">
        <w:t xml:space="preserve">Cerro do Touro Watershed </w:t>
      </w:r>
      <w:r w:rsidR="006B411C">
        <w:fldChar w:fldCharType="begin" w:fldLock="1"/>
      </w:r>
      <w:r w:rsidR="007F330C">
        <w:instrText>ADDIN CSL_CITATION {"citationItems":[{"id":"ITEM-1","itemData":{"DOI":"10.1016/j.catena.2008.04.003","ISSN":"03418162","abstract":"During the past 40 years colluvial and alluvial deposits have been used in Brazil as good indicators of regional landscape sensitivity to Quaternary environmental changes. In spite of the low resolution of most of the continental sedimentary record, geomorphology and sedimentology may favor palaeoenvironmental interpretation when supported by independent proxy data. This paper presents results obtained from pedostratigraphic sequences, in near-valley head sites of southern Brazilian highlands, based on geomorphologic, sedimentologic, micromorphologic, isotopic and palynologic data. Results point to environmental changes, with ages that coincide with Marine Isotopic Stages (MIS) 5b; 3; 2 and 1. During the late Pleistocene, although under temperatures and precipitation lower than today, the local record points to relatively wet local environments, where shallow soil-water saturated zones contributed to erosion and sedimentation during periods of climatic change, as during the transition between MIS 2 and MIS 1. Late Pleistocene events with ages that coincide with the Northern Hemisphere Younger Dryas are also depicted. During the mid Holocene, slope-wash deposits suggest a climate drier than today, probably under the influence of seasonally contrasted precipitation regimes. The predominance of overland flow-related sedimentary deposits suggests an excess of precipitation over evaporation that influenced local palaeohydrology. This environmental condition seems to be recurrent and explains how slope morphology had influenced pedogenesis and sedimentation in the study area. Due to relative sensitiveness, resilience and short source-to-sink sedimentary pathways, near-valley head sites deserve further attention in Quaternary studies in the humid tropics. © 2008 Elsevier B.V. All rights reserved.","author":[{"dropping-particle":"","family":"Oliveira","given":"Marcelo Accioly Teixeira","non-dropping-particle":"de","parse-names":false,"suffix":""},{"dropping-particle":"","family":"Behling","given":"Hermann","non-dropping-particle":"","parse-names":false,"suffix":""},{"dropping-particle":"","family":"Pessenda","given":"Luiz Carlos Ruiz","non-dropping-particle":"","parse-names":false,"suffix":""},{"dropping-particle":"","family":"Lima","given":"Gisele Leite","non-dropping-particle":"de","parse-names":false,"suffix":""}],"container-title":"Catena","id":"ITEM-1","issue":"1","issued":{"date-parts":[["2008","9"]]},"note":"Has two of the same sites as de Oliveira et al (2008) JSAmES paper, but also has Valley Bottom sequence which shows rapid (500year) overtake of campos by MOF at beginning of the Holocene. d13C results for Watershed site (covers LGM and period to the Holocene; trees/C3); pollen and d13C results for old old buried peat in Valley Head site (campos and C3-dominated).","page":"77-92","title":"Stratigraphy of near-valley head quaternary deposits and evidence of climate-driven slope-channel processes in southern Brazilian highlands","type":"article-journal","volume":"75"},"uris":["http://www.mendeley.com/documents/?uuid=2bb97552-b350-326c-8b2e-5871b00467d5"]}],"mendeley":{"formattedCitation":"(de Oliveira et al., 2008)","plainTextFormattedCitation":"(de Oliveira et al., 2008)","previouslyFormattedCitation":"(de Oliveira et al., 2008)"},"properties":{"noteIndex":0},"schema":"https://github.com/citation-style-language/schema/raw/master/csl-citation.json"}</w:instrText>
      </w:r>
      <w:r w:rsidR="006B411C">
        <w:fldChar w:fldCharType="separate"/>
      </w:r>
      <w:r w:rsidR="005944BB" w:rsidRPr="005944BB">
        <w:rPr>
          <w:noProof/>
        </w:rPr>
        <w:t>(de Oliveira et al., 2008)</w:t>
      </w:r>
      <w:r w:rsidR="006B411C">
        <w:fldChar w:fldCharType="end"/>
      </w:r>
      <w:r w:rsidR="00C241ED">
        <w:t>)</w:t>
      </w:r>
      <w:r w:rsidR="006B411C">
        <w:t xml:space="preserve"> </w:t>
      </w:r>
      <w:r w:rsidR="00D36589">
        <w:t>w</w:t>
      </w:r>
      <w:r w:rsidR="00E91FDA">
        <w:t>hose</w:t>
      </w:r>
      <w:r w:rsidR="00580556">
        <w:t xml:space="preserve"> </w:t>
      </w:r>
      <w:r w:rsidR="00580556" w:rsidRPr="008B0F11">
        <w:rPr>
          <w:rFonts w:cstheme="minorHAnsi"/>
        </w:rPr>
        <w:t>δ</w:t>
      </w:r>
      <w:r w:rsidR="00580556" w:rsidRPr="008B0F11">
        <w:rPr>
          <w:vertAlign w:val="superscript"/>
        </w:rPr>
        <w:t>13</w:t>
      </w:r>
      <w:r w:rsidR="00580556" w:rsidRPr="008B0F11">
        <w:t>C</w:t>
      </w:r>
      <w:r w:rsidR="00580556">
        <w:t xml:space="preserve"> </w:t>
      </w:r>
      <w:r w:rsidR="0026458B">
        <w:t xml:space="preserve">values </w:t>
      </w:r>
      <w:r w:rsidR="00E91FDA">
        <w:t>indicate</w:t>
      </w:r>
      <w:r w:rsidR="00FA681A">
        <w:rPr>
          <w:rFonts w:cstheme="minorHAnsi"/>
        </w:rPr>
        <w:t xml:space="preserve"> a </w:t>
      </w:r>
      <w:r w:rsidR="00274C71">
        <w:rPr>
          <w:rFonts w:cstheme="minorHAnsi"/>
        </w:rPr>
        <w:t>mixture of C3</w:t>
      </w:r>
      <w:r w:rsidR="00D36589">
        <w:rPr>
          <w:rFonts w:cstheme="minorHAnsi"/>
        </w:rPr>
        <w:t>-</w:t>
      </w:r>
      <w:r w:rsidR="00274C71">
        <w:rPr>
          <w:rFonts w:cstheme="minorHAnsi"/>
        </w:rPr>
        <w:t xml:space="preserve"> and C4</w:t>
      </w:r>
      <w:r w:rsidR="006B411C">
        <w:rPr>
          <w:rFonts w:cstheme="minorHAnsi"/>
        </w:rPr>
        <w:t>-</w:t>
      </w:r>
      <w:r w:rsidR="00274C71">
        <w:rPr>
          <w:rFonts w:cstheme="minorHAnsi"/>
        </w:rPr>
        <w:t>photosynthesising vegetation</w:t>
      </w:r>
      <w:r w:rsidR="004C6FE3">
        <w:rPr>
          <w:rFonts w:cstheme="minorHAnsi"/>
        </w:rPr>
        <w:t xml:space="preserve">, though only Obera </w:t>
      </w:r>
      <w:r w:rsidR="004C6FE3">
        <w:rPr>
          <w:rFonts w:cstheme="minorHAnsi"/>
        </w:rPr>
        <w:fldChar w:fldCharType="begin" w:fldLock="1"/>
      </w:r>
      <w:r w:rsidR="004C6FE3">
        <w:rPr>
          <w:rFonts w:cstheme="minorHAnsi"/>
        </w:rPr>
        <w:instrText xml:space="preserve">ADDIN CSL_CITATION {"citationItems":[{"id":"ITEM-1","itemData":{"DOI":"10.1016/j.quaint.2008.06.006","ISSN":"10406182","abstract":"A 4.5-m-long sediment core from a small basin in the Province of Misiones, NE Argentina, was analyzed in a multi-proxy geochemical approach (major and minor elemental composition, Corg, N, HI, OI, δ13Corg, n-alkanes and compound-specific δ13C analyses of biomarkers) in order to contribute to the reconstruction of the Late Quaternary environmental and climate history of subtropical South America. The results of the elemental analyses and radiocarbon dating indicate different sediment provenances for Unit A-the Holocene, Unit B-the Late Glacial and the Last Glacial Maximum (LGM), and Unit C-the 'Inca Huasi' wet phase (before </w:instrText>
      </w:r>
      <w:r w:rsidR="004C6FE3">
        <w:rPr>
          <w:rFonts w:ascii="Cambria Math" w:hAnsi="Cambria Math" w:cs="Cambria Math"/>
        </w:rPr>
        <w:instrText>∼</w:instrText>
      </w:r>
      <w:r w:rsidR="004C6FE3">
        <w:rPr>
          <w:rFonts w:cstheme="minorHAnsi"/>
        </w:rPr>
        <w:instrText xml:space="preserve">40 ka BP). A sedimentary hiatus after </w:instrText>
      </w:r>
      <w:r w:rsidR="004C6FE3">
        <w:rPr>
          <w:rFonts w:ascii="Cambria Math" w:hAnsi="Cambria Math" w:cs="Cambria Math"/>
        </w:rPr>
        <w:instrText>∼</w:instrText>
      </w:r>
      <w:r w:rsidR="004C6FE3">
        <w:rPr>
          <w:rFonts w:cstheme="minorHAnsi"/>
        </w:rPr>
        <w:instrText>40 ka BP is interpreted as a pronounced pre-LGM dry phase with landscape erosion/deflation. Multi-proxy geochemical characterization of the soil organic matter (SOM) shows that especially (i) the stable carbon isotopic composition (δ13C) of the grass-derived alkanes nC31 and nC33, (ii) the alkane ratio nC31/nC27 and (iii) lacustrine-derived short- and mid-chain alkanes are valuable proxies for the reconstruction of the palaeoenvironment. A transition from C3-tree-dominance to C4-grass-dominance is recorded at the end of the 'Inca Huasi' wet phase. In Unit B, the ratio nC31/nC27 documents forest expansion at the beginning of a Late Glacial wet phase. More positive δ13C values in Unit A reflect the increasing contribution of C4-grasses and/or CAM-plants to the SOM during the Holocene and a human impact on the formation of this unit may be possible. The results are in good agreement with other tropical/subtropical palaeoenvironmental records and highlight the importance and temporal variability of the palaeo-South American Summer Monsoon (SASM). © 2008 Elsevier Ltd and INQUA.","author":[{"dropping-particle":"","family":"Zech","given":"Michael","non-dropping-particle":"","parse-names":false,"suffix":""},{"dropping-particle":"","family":"Zech","given":"Roland","non-dropping-particle":"","parse-names":false,"suffix":""},{"dropping-particle":"","family":"Morrás","given":"Héctor","non-dropping-particle":"","parse-names":false,"suffix":""},{"dropping-particle":"","family":"Moretti","given":"Lucas","non-dropping-particle":"","parse-names":false,"suffix":""},{"dropping-particle":"","family":"Glaser","given":"Bruno","non-dropping-particle":"","parse-names":false,"suffix":""},{"dropping-particle":"","family":"Zech","given":"Wolfgang","non-dropping-particle":"","parse-names":false,"suffix":""}],"container-title":"Quaternary International","id":"ITEM-1","issue":"1-2","issued":{"date-parts":[["2009","3"]]},"page":"121-136","title":"Late Quaternary environmental changes in Misiones, subtropical NE Argentina, deduced from multi-proxy geochemical analyses in a palaeosol-sediment sequence","type":"article-journal","volume":"196"},"uris":["http://www.mendeley.com/documents/?uuid=36819a32-e338-3a44-a4a3-cbec43630d97"]}],"mendeley":{"formattedCitation":"(Zech et al., 2009)","plainTextFormattedCitation":"(Zech et al., 2009)","previouslyFormattedCitation":"(Zech et al., 2009)"},"properties":{"noteIndex":0},"schema":"https://github.com/citation-style-language/schema/raw/master/csl-citation.json"}</w:instrText>
      </w:r>
      <w:r w:rsidR="004C6FE3">
        <w:rPr>
          <w:rFonts w:cstheme="minorHAnsi"/>
        </w:rPr>
        <w:fldChar w:fldCharType="separate"/>
      </w:r>
      <w:r w:rsidR="004C6FE3" w:rsidRPr="004C6FE3">
        <w:rPr>
          <w:rFonts w:cstheme="minorHAnsi"/>
          <w:noProof/>
        </w:rPr>
        <w:t>(Zech et al., 2009)</w:t>
      </w:r>
      <w:r w:rsidR="004C6FE3">
        <w:rPr>
          <w:rFonts w:cstheme="minorHAnsi"/>
        </w:rPr>
        <w:fldChar w:fldCharType="end"/>
      </w:r>
      <w:r w:rsidR="00274C71">
        <w:rPr>
          <w:rFonts w:cstheme="minorHAnsi"/>
        </w:rPr>
        <w:t xml:space="preserve"> </w:t>
      </w:r>
      <w:r w:rsidR="004C6FE3">
        <w:rPr>
          <w:rFonts w:cstheme="minorHAnsi"/>
        </w:rPr>
        <w:t xml:space="preserve">and </w:t>
      </w:r>
      <w:proofErr w:type="spellStart"/>
      <w:r w:rsidR="004C6FE3">
        <w:rPr>
          <w:rFonts w:cstheme="minorHAnsi"/>
        </w:rPr>
        <w:t>Curucutu</w:t>
      </w:r>
      <w:proofErr w:type="spellEnd"/>
      <w:r w:rsidR="004C6FE3">
        <w:rPr>
          <w:rFonts w:cstheme="minorHAnsi"/>
        </w:rPr>
        <w:t xml:space="preserve"> </w:t>
      </w:r>
      <w:r w:rsidR="004C6FE3">
        <w:rPr>
          <w:rFonts w:cstheme="minorHAnsi"/>
        </w:rPr>
        <w:fldChar w:fldCharType="begin" w:fldLock="1"/>
      </w:r>
      <w:r w:rsidR="004C252C">
        <w:rPr>
          <w:rFonts w:cstheme="minorHAnsi"/>
        </w:rPr>
        <w:instrText xml:space="preserve">ADDIN CSL_CITATION {"citationItems":[{"id":"ITEM-1","itemData":{"DOI":"10.1016/j.yqres.2009.01.008","ISSN":"0033-5894","abstract":"The lack of paleoecological records from the montane Atlantic Rainforest of coastal Brazil, a hotspot of biological diversity, has been a major obstacle to our understanding of the vegetational changes since the last glacial cycle. We present carbon isotope and pollen records to assess the impact of the glaciation on the native vegetation of the Serra do Mar rainforest in São Paulo, Brazil. From ca. 28,000 to </w:instrText>
      </w:r>
      <w:r w:rsidR="004C252C">
        <w:rPr>
          <w:rFonts w:ascii="Cambria Math" w:hAnsi="Cambria Math" w:cs="Cambria Math"/>
        </w:rPr>
        <w:instrText>∼</w:instrText>
      </w:r>
      <w:r w:rsidR="004C252C">
        <w:rPr>
          <w:rFonts w:cstheme="minorHAnsi"/>
        </w:rPr>
        <w:instrText xml:space="preserve"> 22,000 14 C yr BP, a subtropical forest with conifer trees is indicative of cool and humid conditions. In agreement carbon isotopic data on soil organic matter suggest the presence of C 3 plants and perhaps C 4 plants from </w:instrText>
      </w:r>
      <w:r w:rsidR="004C252C">
        <w:rPr>
          <w:rFonts w:ascii="Cambria Math" w:hAnsi="Cambria Math" w:cs="Cambria Math"/>
        </w:rPr>
        <w:instrText>∼</w:instrText>
      </w:r>
      <w:r w:rsidR="004C252C">
        <w:rPr>
          <w:rFonts w:cstheme="minorHAnsi"/>
        </w:rPr>
        <w:instrText xml:space="preserve"> 28,000 to </w:instrText>
      </w:r>
      <w:r w:rsidR="004C252C">
        <w:rPr>
          <w:rFonts w:ascii="Cambria Math" w:hAnsi="Cambria Math" w:cs="Cambria Math"/>
        </w:rPr>
        <w:instrText>∼</w:instrText>
      </w:r>
      <w:r w:rsidR="004C252C">
        <w:rPr>
          <w:rFonts w:cstheme="minorHAnsi"/>
        </w:rPr>
        <w:instrText xml:space="preserve"> 19,000 14 C yr BP. The significant increase in the sedimentation rate and algal spores from </w:instrText>
      </w:r>
      <w:r w:rsidR="004C252C">
        <w:rPr>
          <w:rFonts w:ascii="Cambria Math" w:hAnsi="Cambria Math" w:cs="Cambria Math"/>
        </w:rPr>
        <w:instrText>∼</w:instrText>
      </w:r>
      <w:r w:rsidR="004C252C">
        <w:rPr>
          <w:rFonts w:cstheme="minorHAnsi"/>
        </w:rPr>
        <w:instrText xml:space="preserve"> 19,450 to </w:instrText>
      </w:r>
      <w:r w:rsidR="004C252C">
        <w:rPr>
          <w:rFonts w:ascii="Cambria Math" w:hAnsi="Cambria Math" w:cs="Cambria Math"/>
        </w:rPr>
        <w:instrText>∼</w:instrText>
      </w:r>
      <w:r w:rsidR="004C252C">
        <w:rPr>
          <w:rFonts w:cstheme="minorHAnsi"/>
        </w:rPr>
        <w:instrText xml:space="preserve"> 19,000 14 C yr BP indicates increasing humidity, associated to an erosion process between </w:instrText>
      </w:r>
      <w:r w:rsidR="004C252C">
        <w:rPr>
          <w:rFonts w:ascii="Cambria Math" w:hAnsi="Cambria Math" w:cs="Cambria Math"/>
        </w:rPr>
        <w:instrText>∼</w:instrText>
      </w:r>
      <w:r w:rsidR="004C252C">
        <w:rPr>
          <w:rFonts w:cstheme="minorHAnsi"/>
        </w:rPr>
        <w:instrText xml:space="preserve"> 19,000 and </w:instrText>
      </w:r>
      <w:r w:rsidR="004C252C">
        <w:rPr>
          <w:rFonts w:ascii="Cambria Math" w:hAnsi="Cambria Math" w:cs="Cambria Math"/>
        </w:rPr>
        <w:instrText>∼</w:instrText>
      </w:r>
      <w:r w:rsidR="004C252C">
        <w:rPr>
          <w:rFonts w:cstheme="minorHAnsi"/>
        </w:rPr>
        <w:instrText xml:space="preserve"> 15,600 14 C yr BP. From </w:instrText>
      </w:r>
      <w:r w:rsidR="004C252C">
        <w:rPr>
          <w:rFonts w:ascii="Cambria Math" w:hAnsi="Cambria Math" w:cs="Cambria Math"/>
        </w:rPr>
        <w:instrText>∼</w:instrText>
      </w:r>
      <w:r w:rsidR="004C252C">
        <w:rPr>
          <w:rFonts w:cstheme="minorHAnsi"/>
        </w:rPr>
        <w:instrText xml:space="preserve"> 15,600 14 C yr BP to present there is a substantial increase in arboreal elements and herbs, indicating more humid and warmer climate. From </w:instrText>
      </w:r>
      <w:r w:rsidR="004C252C">
        <w:rPr>
          <w:rFonts w:ascii="Cambria Math" w:hAnsi="Cambria Math" w:cs="Cambria Math"/>
        </w:rPr>
        <w:instrText>∼</w:instrText>
      </w:r>
      <w:r w:rsidR="004C252C">
        <w:rPr>
          <w:rFonts w:cstheme="minorHAnsi"/>
        </w:rPr>
        <w:instrText xml:space="preserve"> 19,000 to </w:instrText>
      </w:r>
      <w:r w:rsidR="004C252C">
        <w:rPr>
          <w:rFonts w:ascii="Cambria Math" w:hAnsi="Cambria Math" w:cs="Cambria Math"/>
        </w:rPr>
        <w:instrText>∼</w:instrText>
      </w:r>
      <w:r w:rsidR="004C252C">
        <w:rPr>
          <w:rFonts w:cstheme="minorHAnsi"/>
        </w:rPr>
        <w:instrText xml:space="preserve"> 1000 14 C yr BP, </w:instrText>
      </w:r>
      <w:r w:rsidR="004C252C">
        <w:rPr>
          <w:rFonts w:ascii="Calibri" w:hAnsi="Calibri" w:cs="Calibri"/>
        </w:rPr>
        <w:instrText>δ</w:instrText>
      </w:r>
      <w:r w:rsidR="004C252C">
        <w:rPr>
          <w:rFonts w:cstheme="minorHAnsi"/>
        </w:rPr>
        <w:instrText xml:space="preserve"> 13 C values indicated the predominance of C 3 plants. These results are in agreement with studies in speleothems of caves, which suggest humid conditions during the last glacial maximum.","author":[{"dropping-particle":"","family":"Pessenda","given":"Luiz Carlos Ruiz","non-dropping-particle":"","parse-names":false,"suffix":""},{"dropping-particle":"","family":"Oliveira","given":"Paulo Eduardo","non-dropping-particle":"De","parse-names":false,"suffix":""},{"dropping-particle":"","family":"Mofatto","given":"Milene","non-dropping-particle":"","parse-names":false,"suffix":""},{"dropping-particle":"","family":"Medeiros","given":"Vanda Brito","non-dropping-particle":"de","parse-names":false,"suffix":""},{"dropping-particle":"","family":"Francischetti Garcia","given":"Ricardo José","non-dropping-particle":"","parse-names":false,"suffix":""},{"dropping-particle":"","family":"Aravena","given":"Ramon","non-dropping-particle":"","parse-names":false,"suffix":""},{"dropping-particle":"","family":"Bendassoli","given":"José Albertino","non-dropping-particle":"","parse-names":false,"suffix":""},{"dropping-particle":"","family":"Zuniga Leite","given":"Acácio","non-dropping-particle":"","parse-names":false,"suffix":""},{"dropping-particle":"","family":"Saad","given":"Antonio Roberto","non-dropping-particle":"","parse-names":false,"suffix":""},{"dropping-particle":"","family":"Lincoln Etchebehere","given":"Mario","non-dropping-particle":"","parse-names":false,"suffix":""}],"container-title":"Quaternary Research","id":"ITEM-1","issue":"3","issued":{"date-parts":[["2009","5","20"]]},"page":"437-452","title":"The evolution of a tropical rainforest/grassland mosaic in southeastern Brazil since 28,000 14 C yr BP based on carbon isotopes and pollen records","type":"article-journal","volume":"71"},"uris":["http://www.mendeley.com/documents/?uuid=e46d7717-20d2-3b37-930b-1481f0e5f96c"]}],"mendeley":{"formattedCitation":"(Pessenda et al., 2009)","plainTextFormattedCitation":"(Pessenda et al., 2009)","previouslyFormattedCitation":"(Pessenda et al., 2009)"},"properties":{"noteIndex":0},"schema":"https://github.com/citation-style-language/schema/raw/master/csl-citation.json"}</w:instrText>
      </w:r>
      <w:r w:rsidR="004C6FE3">
        <w:rPr>
          <w:rFonts w:cstheme="minorHAnsi"/>
        </w:rPr>
        <w:fldChar w:fldCharType="separate"/>
      </w:r>
      <w:r w:rsidR="004F4F54" w:rsidRPr="004F4F54">
        <w:rPr>
          <w:rFonts w:cstheme="minorHAnsi"/>
          <w:noProof/>
        </w:rPr>
        <w:t>(Pessenda et al., 2009)</w:t>
      </w:r>
      <w:r w:rsidR="004C6FE3">
        <w:rPr>
          <w:rFonts w:cstheme="minorHAnsi"/>
        </w:rPr>
        <w:fldChar w:fldCharType="end"/>
      </w:r>
      <w:r w:rsidR="00B61D1A">
        <w:rPr>
          <w:rFonts w:cstheme="minorHAnsi"/>
        </w:rPr>
        <w:t xml:space="preserve">, respectively to the west and north of our study area, </w:t>
      </w:r>
      <w:r w:rsidR="005A757E">
        <w:rPr>
          <w:rFonts w:cstheme="minorHAnsi"/>
        </w:rPr>
        <w:t>have</w:t>
      </w:r>
      <w:r w:rsidR="008F666D">
        <w:rPr>
          <w:rFonts w:cstheme="minorHAnsi"/>
        </w:rPr>
        <w:t xml:space="preserve"> </w:t>
      </w:r>
      <w:r w:rsidR="00B61D1A">
        <w:rPr>
          <w:rFonts w:cstheme="minorHAnsi"/>
        </w:rPr>
        <w:t>C3</w:t>
      </w:r>
      <w:r w:rsidR="005A757E">
        <w:rPr>
          <w:rFonts w:cstheme="minorHAnsi"/>
        </w:rPr>
        <w:t>-majority</w:t>
      </w:r>
      <w:r w:rsidR="00B61D1A">
        <w:rPr>
          <w:rFonts w:cstheme="minorHAnsi"/>
        </w:rPr>
        <w:t xml:space="preserve"> </w:t>
      </w:r>
      <w:r w:rsidR="008F666D">
        <w:rPr>
          <w:rFonts w:cstheme="minorHAnsi"/>
        </w:rPr>
        <w:t>contributions.</w:t>
      </w:r>
      <w:r w:rsidR="00B61D1A">
        <w:rPr>
          <w:rFonts w:cstheme="minorHAnsi"/>
        </w:rPr>
        <w:t xml:space="preserve"> </w:t>
      </w:r>
    </w:p>
    <w:p w14:paraId="56D739B0" w14:textId="172859D6" w:rsidR="00D81A65" w:rsidRDefault="00E9296B" w:rsidP="00F74804">
      <w:pPr>
        <w:spacing w:line="360" w:lineRule="auto"/>
      </w:pPr>
      <w:r>
        <w:t xml:space="preserve">The highest values for </w:t>
      </w:r>
      <w:r w:rsidR="00F930D2">
        <w:t>forest</w:t>
      </w:r>
      <w:r>
        <w:t xml:space="preserve"> pollen are found in Volta </w:t>
      </w:r>
      <w:proofErr w:type="spellStart"/>
      <w:r>
        <w:t>Velha</w:t>
      </w:r>
      <w:proofErr w:type="spellEnd"/>
      <w:r>
        <w:t xml:space="preserve"> </w:t>
      </w:r>
      <w:r>
        <w:fldChar w:fldCharType="begin" w:fldLock="1"/>
      </w:r>
      <w:r w:rsidR="007F330C">
        <w:instrText>ADDIN CSL_CITATION {"citationItems":[{"id":"ITEM-1","itemData":{"DOI":"10.1006/qres.2001.2264","ISBN":"0033-5894","ISSN":"0033-5894","abstract":"Palynological analysis of a core from the Atlantic rain forest region in Brazil provides unprecedented insight into late Quaternary vegetational and climate dynamics within this southern tropical lowland. The 576-cm-long sediment core is from a former beach-ridge “valley,” located 3 km inland from the Atlantic Ocean. Radio-carbon dates suggest that sediment deposition began prior to 35,000 14 C yr B.P. Between ca. 37,500 and ca. 27,500 14 C yr B.P. and during the last glacial maximum (LGM; ca. 27,500 to ca. 14,500 14 C yr B.P.), the coastal rain forest was replaced by grassland and patches of cold-adapted forest. Tropical trees, such as Alchornea , Moraceae/Urticaceae, and Arecaceae, were almost completely absent during the LGM. Furthermore, their distributions were shifted at least 750 km further north, suggesting a cooling between 3°C and 7°C and a strengthening of Antarctic cold fronts during full-glacial times. A depauperate tropical rain forest developed as part of a successional sequence after ca. 12,300 14 C yr B.P. There is no evidence that Araucaria trees occurred in the Atlantic lowland during glacial times. The rain forest was disturbed by marine incursions during the early Holocene period until ca. 6100 14 C yr B.P., as indicated by the presence of microforaminifera. A closed Atlantic rain forest then developed at the study site.","author":[{"dropping-particle":"","family":"Behling","given":"Hermann","non-dropping-particle":"","parse-names":false,"suffix":""},{"dropping-particle":"","family":"Negrelle","given":"Raquel R B","non-dropping-particle":"","parse-names":false,"suffix":""}],"container-title":"Quaternary Research","id":"ITEM-1","issue":"03","issued":{"date-parts":[["2001"]]},"note":"VolVe\n\nLong (maybe 35k yr) pollen record from right near the coast at northern SC. Shows campos in LGM and some cool-adapted forest, with expansion of DOF happening thereafter. By mid-Holocene there was open DOF (probably because of sea level changes), becoming denser and more complete as the Holocene continued. No Aa really evident here","page":"383-389","title":"Tropical Rain Forest and Climate Dynamics of the Atlantic Lowland, Southern Brazil, during the Late Quaternary","type":"article-journal","volume":"56"},"prefix":"14%, 21,000 BP;","uris":["http://www.mendeley.com/documents/?uuid=194994b8-7557-330b-b558-b9b4860ef411"]}],"mendeley":{"formattedCitation":"(14%, 21,000 BP; Behling and Negrelle, 2001)","plainTextFormattedCitation":"(14%, 21,000 BP; Behling and Negrelle, 2001)","previouslyFormattedCitation":"(14%, 21,000 BP; Behling and Negrelle, 2001)"},"properties":{"noteIndex":0},"schema":"https://github.com/citation-style-language/schema/raw/master/csl-citation.json"}</w:instrText>
      </w:r>
      <w:r>
        <w:fldChar w:fldCharType="separate"/>
      </w:r>
      <w:r w:rsidR="005944BB" w:rsidRPr="005944BB">
        <w:rPr>
          <w:noProof/>
        </w:rPr>
        <w:t>(14%, 21,000 BP; Behling and Negrelle, 2001)</w:t>
      </w:r>
      <w:r>
        <w:fldChar w:fldCharType="end"/>
      </w:r>
      <w:r w:rsidR="00787807">
        <w:t xml:space="preserve">, where </w:t>
      </w:r>
      <w:proofErr w:type="spellStart"/>
      <w:r w:rsidR="00787807">
        <w:t>Myrtaceae</w:t>
      </w:r>
      <w:proofErr w:type="spellEnd"/>
      <w:r w:rsidR="00787807">
        <w:t xml:space="preserve"> and </w:t>
      </w:r>
      <w:proofErr w:type="spellStart"/>
      <w:r w:rsidR="00787807">
        <w:t>Melastomataceae</w:t>
      </w:r>
      <w:proofErr w:type="spellEnd"/>
      <w:r w:rsidR="00787807">
        <w:t xml:space="preserve"> dominate,</w:t>
      </w:r>
      <w:r w:rsidR="00D74609">
        <w:t xml:space="preserve"> and GeoB210</w:t>
      </w:r>
      <w:r w:rsidR="005E32EF">
        <w:t>7-</w:t>
      </w:r>
      <w:r w:rsidR="00D74609">
        <w:t xml:space="preserve">3 </w:t>
      </w:r>
      <w:r w:rsidR="00D74609">
        <w:fldChar w:fldCharType="begin" w:fldLock="1"/>
      </w:r>
      <w:r w:rsidR="00EE4FCE">
        <w:instrText>ADDIN CSL_CITATION {"citationItems":[{"id":"ITEM-1","itemData":{"DOI":"10.1016/j.quascirev.2017.06.028","ISSN":"02773791","abstract":"Long-term changes in vegetation and climate of southern Brazil, as well as ocean dynamics of the adjacent South Atlantic, were studied by analyses of pollen, spores and organic-walled dinoflagellate cysts (dinocysts) in marine sediment core GeoB2107-3 collected offshore southern Brazil covering the last 73.5 cal kyr BP. The pollen record indicates that grasslands were much more frequent in the landscapes of southern Brazil during the last glacial period if compared to the late Holocene, reflecting relatively colder and/or less humid climatic conditions. Patches of forest occurred in the lowlands and probably also on the exposed continental shelf that was mainly covered by salt marshes. Interestingly, drought-susceptible Araucaria trees were frequent in the highlands (with a similar abundance as during the late Holocene) until 65 cal kyr BP, but were rare during the following glacial period. Atlantic rainforest was present in the northern lowlands of southern Brazil during the recorded last glacial period, but was strongly reduced from 38.5 until 13.0 cal kyr BP. The reduction was probably controlled by colder and/or less humid climatic conditions. Atlantic rainforest expanded to the south since the Lateglacial period, while Araucaria forests advanced in the highlands only during the late Holocene. Dinocysts data indicate that the Brazil Current (BC) with its warm, salty and nutrient-poor waters influenced the study area throughout the investigated period. However, variations in the proportion of dinocyst taxa indicating an eutrophic environment reflect the input of nutrients transported mainly by the Brazilian Coastal Current (BCC) and partly discharged by the Rio Itajaí (the major river closest to the core site). This was strongly related to changes in sea level. A stronger influence of the BCC with nutrient rich waters occurred during Marine Isotope Stage (MIS) 4 and in particular during the late MIS 3 and MIS 2 under low sea level. Evidence of Nothofagus pollen grains from the southern Andes during late MIS 3 and MIS 2 suggests an efficient transport by the southern westerlies and Argentinean rivers, then by the Malvinas Current and finally by the BCC to the study site. Major changes in the pollen/spore and dinocyst assemblages occur with similar pacing, indicating strongly interlinked continental and marine environmental changes. Proxy comparisons suggest that the changes were driven by similar overarching factors, of which the most important was or…","author":[{"dropping-particle":"","family":"Gu","given":"Fang","non-dropping-particle":"","parse-names":false,"suffix":""},{"dropping-particle":"","family":"Zonneveld","given":"Karin A.F.","non-dropping-particle":"","parse-names":false,"suffix":""},{"dropping-particle":"","family":"Chiessi","given":"Cristiano M.","non-dropping-particle":"","parse-names":false,"suffix":""},{"dropping-particle":"","family":"Arz","given":"Helge W.","non-dropping-particle":"","parse-names":false,"suffix":""},{"dropping-particle":"","family":"Pätzold","given":"Jürgen","non-dropping-particle":"","parse-names":false,"suffix":""},{"dropping-particle":"","family":"Behling","given":"Hermann","non-dropping-particle":"","parse-names":false,"suffix":""}],"container-title":"Quaternary Science Reviews","id":"ITEM-1","issued":{"date-parts":[["2017"]]},"note":"GeB27\nVery interesting paper that uses an offshore core east of SC to reconstruct vegetation and climate for 74kyr in a spatially and temporally low resolution. Suggests the Atlantis rainforest hypothesis might not hold (but doesn't examine this explicitly) and has interesting things to say about Aa through time. Long ago there was more grassland; the exposed shelf was probably a mosaic of forest and grassland, with Aa-campos on higher ground. Has things to say about speleothems comparison too, as well as xrf data.","page":"55-71","title":"Long-term vegetation, climate and ocean dynamics inferred from a 73,500 years old marine sediment core (GeoB2107-3) off southern Brazil","type":"article-journal","volume":"172"},"prefix":"22%, 18,000 BP;","uris":["http://www.mendeley.com/documents/?uuid=5ca3af1b-048b-4799-ab8a-595fdfde2aa7"]}],"mendeley":{"formattedCitation":"(22%, 18,000 BP; Gu et al., 2017)","plainTextFormattedCitation":"(22%, 18,000 BP; Gu et al., 2017)","previouslyFormattedCitation":"(22%, 18,000 BP; Gu et al., 2017)"},"properties":{"noteIndex":0},"schema":"https://github.com/citation-style-language/schema/raw/master/csl-citation.json"}</w:instrText>
      </w:r>
      <w:r w:rsidR="00D74609">
        <w:fldChar w:fldCharType="separate"/>
      </w:r>
      <w:r w:rsidR="00C26AAC" w:rsidRPr="00C26AAC">
        <w:rPr>
          <w:noProof/>
        </w:rPr>
        <w:t>(22%, 18,000 BP; Gu et al., 2017)</w:t>
      </w:r>
      <w:r w:rsidR="00D74609">
        <w:fldChar w:fldCharType="end"/>
      </w:r>
      <w:r w:rsidR="00787807">
        <w:t>,</w:t>
      </w:r>
      <w:r w:rsidR="00A80A9B">
        <w:t xml:space="preserve"> with </w:t>
      </w:r>
      <w:proofErr w:type="spellStart"/>
      <w:r w:rsidR="006B7400">
        <w:rPr>
          <w:i/>
          <w:iCs/>
        </w:rPr>
        <w:t>Alchornea</w:t>
      </w:r>
      <w:proofErr w:type="spellEnd"/>
      <w:r w:rsidR="006B7400">
        <w:rPr>
          <w:i/>
          <w:iCs/>
        </w:rPr>
        <w:t xml:space="preserve">, </w:t>
      </w:r>
      <w:r w:rsidR="0054720C">
        <w:rPr>
          <w:i/>
          <w:iCs/>
        </w:rPr>
        <w:t xml:space="preserve">Podocarpus, Araucaria </w:t>
      </w:r>
      <w:r w:rsidR="004A0A18">
        <w:t>(at 21,000 BP)</w:t>
      </w:r>
      <w:r w:rsidR="003405AE">
        <w:t xml:space="preserve"> and </w:t>
      </w:r>
      <w:proofErr w:type="spellStart"/>
      <w:r w:rsidR="003405AE">
        <w:rPr>
          <w:i/>
          <w:iCs/>
        </w:rPr>
        <w:t>Myrsine</w:t>
      </w:r>
      <w:proofErr w:type="spellEnd"/>
      <w:r w:rsidR="003405AE">
        <w:rPr>
          <w:i/>
          <w:iCs/>
        </w:rPr>
        <w:t xml:space="preserve"> </w:t>
      </w:r>
      <w:r w:rsidR="003405AE">
        <w:t xml:space="preserve">(at 18,000 BP) </w:t>
      </w:r>
      <w:r w:rsidR="00787807">
        <w:t xml:space="preserve">the latter’s </w:t>
      </w:r>
      <w:r w:rsidR="003405AE">
        <w:t>main</w:t>
      </w:r>
      <w:r w:rsidR="00787807">
        <w:t xml:space="preserve"> components</w:t>
      </w:r>
      <w:r w:rsidR="003405AE">
        <w:t>.</w:t>
      </w:r>
      <w:r w:rsidR="005717A6">
        <w:t xml:space="preserve"> The</w:t>
      </w:r>
      <w:r w:rsidR="00C06C29">
        <w:t xml:space="preserve">se sites’ investigators suggest </w:t>
      </w:r>
      <w:r w:rsidR="00870681">
        <w:t>th</w:t>
      </w:r>
      <w:r w:rsidR="00EE4FCE">
        <w:t>is</w:t>
      </w:r>
      <w:r w:rsidR="00870681">
        <w:t xml:space="preserve"> indicate</w:t>
      </w:r>
      <w:r w:rsidR="00EE4FCE">
        <w:t>s</w:t>
      </w:r>
      <w:r w:rsidR="00870681">
        <w:t xml:space="preserve"> </w:t>
      </w:r>
      <w:r w:rsidR="00EE2024">
        <w:t xml:space="preserve">a mosaic of </w:t>
      </w:r>
      <w:r w:rsidR="00FA3CD5">
        <w:t>subtropical</w:t>
      </w:r>
      <w:r w:rsidR="00122D37">
        <w:t xml:space="preserve"> forest patches with grasslands on the lowlands</w:t>
      </w:r>
      <w:r w:rsidR="00FA3CD5">
        <w:t xml:space="preserve"> </w:t>
      </w:r>
      <w:r w:rsidR="00FA3CD5">
        <w:fldChar w:fldCharType="begin" w:fldLock="1"/>
      </w:r>
      <w:r w:rsidR="007F330C">
        <w:instrText>ADDIN CSL_CITATION {"citationItems":[{"id":"ITEM-1","itemData":{"DOI":"10.1006/qres.2001.2264","ISBN":"0033-5894","ISSN":"0033-5894","abstract":"Palynological analysis of a core from the Atlantic rain forest region in Brazil provides unprecedented insight into late Quaternary vegetational and climate dynamics within this southern tropical lowland. The 576-cm-long sediment core is from a former beach-ridge “valley,” located 3 km inland from the Atlantic Ocean. Radio-carbon dates suggest that sediment deposition began prior to 35,000 14 C yr B.P. Between ca. 37,500 and ca. 27,500 14 C yr B.P. and during the last glacial maximum (LGM; ca. 27,500 to ca. 14,500 14 C yr B.P.), the coastal rain forest was replaced by grassland and patches of cold-adapted forest. Tropical trees, such as Alchornea , Moraceae/Urticaceae, and Arecaceae, were almost completely absent during the LGM. Furthermore, their distributions were shifted at least 750 km further north, suggesting a cooling between 3°C and 7°C and a strengthening of Antarctic cold fronts during full-glacial times. A depauperate tropical rain forest developed as part of a successional sequence after ca. 12,300 14 C yr B.P. There is no evidence that Araucaria trees occurred in the Atlantic lowland during glacial times. The rain forest was disturbed by marine incursions during the early Holocene period until ca. 6100 14 C yr B.P., as indicated by the presence of microforaminifera. A closed Atlantic rain forest then developed at the study site.","author":[{"dropping-particle":"","family":"Behling","given":"Hermann","non-dropping-particle":"","parse-names":false,"suffix":""},{"dropping-particle":"","family":"Negrelle","given":"Raquel R B","non-dropping-particle":"","parse-names":false,"suffix":""}],"container-title":"Quaternary Research","id":"ITEM-1","issue":"03","issued":{"date-parts":[["2001"]]},"note":"VolVe\n\nLong (maybe 35k yr) pollen record from right near the coast at northern SC. Shows campos in LGM and some cool-adapted forest, with expansion of DOF happening thereafter. By mid-Holocene there was open DOF (probably because of sea level changes), becoming denser and more complete as the Holocene continued. No Aa really evident here","page":"383-389","title":"Tropical Rain Forest and Climate Dynamics of the Atlantic Lowland, Southern Brazil, during the Late Quaternary","type":"article-journal","volume":"56"},"uris":["http://www.mendeley.com/documents/?uuid=194994b8-7557-330b-b558-b9b4860ef411"]},{"id":"ITEM-2","itemData":{"DOI":"10.1016/j.quascirev.2017.06.028","ISSN":"02773791","abstract":"Long-term changes in vegetation and climate of southern Brazil, as well as ocean dynamics of the adjacent South Atlantic, were studied by analyses of pollen, spores and organic-walled dinoflagellate cysts (dinocysts) in marine sediment core GeoB2107-3 collected offshore southern Brazil covering the last 73.5 cal kyr BP. The pollen record indicates that grasslands were much more frequent in the landscapes of southern Brazil during the last glacial period if compared to the late Holocene, reflecting relatively colder and/or less humid climatic conditions. Patches of forest occurred in the lowlands and probably also on the exposed continental shelf that was mainly covered by salt marshes. Interestingly, drought-susceptible Araucaria trees were frequent in the highlands (with a similar abundance as during the late Holocene) until 65 cal kyr BP, but were rare during the following glacial period. Atlantic rainforest was present in the northern lowlands of southern Brazil during the recorded last glacial period, but was strongly reduced from 38.5 until 13.0 cal kyr BP. The reduction was probably controlled by colder and/or less humid climatic conditions. Atlantic rainforest expanded to the south since the Lateglacial period, while Araucaria forests advanced in the highlands only during the late Holocene. Dinocysts data indicate that the Brazil Current (BC) with its warm, salty and nutrient-poor waters influenced the study area throughout the investigated period. However, variations in the proportion of dinocyst taxa indicating an eutrophic environment reflect the input of nutrients transported mainly by the Brazilian Coastal Current (BCC) and partly discharged by the Rio Itajaí (the major river closest to the core site). This was strongly related to changes in sea level. A stronger influence of the BCC with nutrient rich waters occurred during Marine Isotope Stage (MIS) 4 and in particular during the late MIS 3 and MIS 2 under low sea level. Evidence of Nothofagus pollen grains from the southern Andes during late MIS 3 and MIS 2 suggests an efficient transport by the southern westerlies and Argentinean rivers, then by the Malvinas Current and finally by the BCC to the study site. Major changes in the pollen/spore and dinocyst assemblages occur with similar pacing, indicating strongly interlinked continental and marine environmental changes. Proxy comparisons suggest that the changes were driven by similar overarching factors, of which the most important was or…","author":[{"dropping-particle":"","family":"Gu","given":"Fang","non-dropping-particle":"","parse-names":false,"suffix":""},{"dropping-particle":"","family":"Zonneveld","given":"Karin A.F.","non-dropping-particle":"","parse-names":false,"suffix":""},{"dropping-particle":"","family":"Chiessi","given":"Cristiano M.","non-dropping-particle":"","parse-names":false,"suffix":""},{"dropping-particle":"","family":"Arz","given":"Helge W.","non-dropping-particle":"","parse-names":false,"suffix":""},{"dropping-particle":"","family":"Pätzold","given":"Jürgen","non-dropping-particle":"","parse-names":false,"suffix":""},{"dropping-particle":"","family":"Behling","given":"Hermann","non-dropping-particle":"","parse-names":false,"suffix":""}],"container-title":"Quaternary Science Reviews","id":"ITEM-2","issued":{"date-parts":[["2017"]]},"note":"GeB27\nVery interesting paper that uses an offshore core east of SC to reconstruct vegetation and climate for 74kyr in a spatially and temporally low resolution. Suggests the Atlantis rainforest hypothesis might not hold (but doesn't examine this explicitly) and has interesting things to say about Aa through time. Long ago there was more grassland; the exposed shelf was probably a mosaic of forest and grassland, with Aa-campos on higher ground. Has things to say about speleothems comparison too, as well as xrf data.","page":"55-71","title":"Long-term vegetation, climate and ocean dynamics inferred from a 73,500 years old marine sediment core (GeoB2107-3) off southern Brazil","type":"article-journal","volume":"172"},"uris":["http://www.mendeley.com/documents/?uuid=5ca3af1b-048b-4799-ab8a-595fdfde2aa7"]}],"mendeley":{"formattedCitation":"(Behling and Negrelle, 2001; Gu et al., 2017)","plainTextFormattedCitation":"(Behling and Negrelle, 2001; Gu et al., 2017)","previouslyFormattedCitation":"(Behling and Negrelle, 2001; Gu et al., 2017)"},"properties":{"noteIndex":0},"schema":"https://github.com/citation-style-language/schema/raw/master/csl-citation.json"}</w:instrText>
      </w:r>
      <w:r w:rsidR="00FA3CD5">
        <w:fldChar w:fldCharType="separate"/>
      </w:r>
      <w:r w:rsidR="005944BB" w:rsidRPr="005944BB">
        <w:rPr>
          <w:noProof/>
        </w:rPr>
        <w:t>(Behling and Negrelle, 2001; Gu et al., 2017)</w:t>
      </w:r>
      <w:r w:rsidR="00FA3CD5">
        <w:fldChar w:fldCharType="end"/>
      </w:r>
      <w:r w:rsidR="002754FE">
        <w:t xml:space="preserve">, a </w:t>
      </w:r>
      <w:r w:rsidR="002754FE">
        <w:lastRenderedPageBreak/>
        <w:t xml:space="preserve">suggestion supported by proxy evidence from </w:t>
      </w:r>
      <w:proofErr w:type="spellStart"/>
      <w:r w:rsidR="002754FE">
        <w:t>Curucutu</w:t>
      </w:r>
      <w:proofErr w:type="spellEnd"/>
      <w:r w:rsidR="002754FE">
        <w:t xml:space="preserve"> </w:t>
      </w:r>
      <w:r w:rsidR="00E34FB7">
        <w:fldChar w:fldCharType="begin" w:fldLock="1"/>
      </w:r>
      <w:r w:rsidR="004C252C">
        <w:instrText xml:space="preserve">ADDIN CSL_CITATION {"citationItems":[{"id":"ITEM-1","itemData":{"DOI":"10.1016/j.yqres.2009.01.008","ISSN":"0033-5894","abstract":"The lack of paleoecological records from the montane Atlantic Rainforest of coastal Brazil, a hotspot of biological diversity, has been a major obstacle to our understanding of the vegetational changes since the last glacial cycle. We present carbon isotope and pollen records to assess the impact of the glaciation on the native vegetation of the Serra do Mar rainforest in São Paulo, Brazil. From ca. 28,000 to </w:instrText>
      </w:r>
      <w:r w:rsidR="004C252C">
        <w:rPr>
          <w:rFonts w:ascii="Cambria Math" w:hAnsi="Cambria Math" w:cs="Cambria Math"/>
        </w:rPr>
        <w:instrText>∼</w:instrText>
      </w:r>
      <w:r w:rsidR="004C252C">
        <w:instrText xml:space="preserve"> 22,000 14 C yr BP, a subtropical forest with conifer trees is indicative of cool and humid conditions. In agreement carbon isotopic data on soil organic matter suggest the presence of C 3 plants and perhaps C 4 plants from </w:instrText>
      </w:r>
      <w:r w:rsidR="004C252C">
        <w:rPr>
          <w:rFonts w:ascii="Cambria Math" w:hAnsi="Cambria Math" w:cs="Cambria Math"/>
        </w:rPr>
        <w:instrText>∼</w:instrText>
      </w:r>
      <w:r w:rsidR="004C252C">
        <w:instrText xml:space="preserve"> 28,000 to </w:instrText>
      </w:r>
      <w:r w:rsidR="004C252C">
        <w:rPr>
          <w:rFonts w:ascii="Cambria Math" w:hAnsi="Cambria Math" w:cs="Cambria Math"/>
        </w:rPr>
        <w:instrText>∼</w:instrText>
      </w:r>
      <w:r w:rsidR="004C252C">
        <w:instrText xml:space="preserve"> 19,000 14 C yr BP. The significant increase in the sedimentation rate and algal spores from </w:instrText>
      </w:r>
      <w:r w:rsidR="004C252C">
        <w:rPr>
          <w:rFonts w:ascii="Cambria Math" w:hAnsi="Cambria Math" w:cs="Cambria Math"/>
        </w:rPr>
        <w:instrText>∼</w:instrText>
      </w:r>
      <w:r w:rsidR="004C252C">
        <w:instrText xml:space="preserve"> 19,450 to </w:instrText>
      </w:r>
      <w:r w:rsidR="004C252C">
        <w:rPr>
          <w:rFonts w:ascii="Cambria Math" w:hAnsi="Cambria Math" w:cs="Cambria Math"/>
        </w:rPr>
        <w:instrText>∼</w:instrText>
      </w:r>
      <w:r w:rsidR="004C252C">
        <w:instrText xml:space="preserve"> 19,000 14 C yr BP indicates increasing humidity, associated to an erosion process between </w:instrText>
      </w:r>
      <w:r w:rsidR="004C252C">
        <w:rPr>
          <w:rFonts w:ascii="Cambria Math" w:hAnsi="Cambria Math" w:cs="Cambria Math"/>
        </w:rPr>
        <w:instrText>∼</w:instrText>
      </w:r>
      <w:r w:rsidR="004C252C">
        <w:instrText xml:space="preserve"> 19,000 and </w:instrText>
      </w:r>
      <w:r w:rsidR="004C252C">
        <w:rPr>
          <w:rFonts w:ascii="Cambria Math" w:hAnsi="Cambria Math" w:cs="Cambria Math"/>
        </w:rPr>
        <w:instrText>∼</w:instrText>
      </w:r>
      <w:r w:rsidR="004C252C">
        <w:instrText xml:space="preserve"> 15,600 14 C yr BP. From </w:instrText>
      </w:r>
      <w:r w:rsidR="004C252C">
        <w:rPr>
          <w:rFonts w:ascii="Cambria Math" w:hAnsi="Cambria Math" w:cs="Cambria Math"/>
        </w:rPr>
        <w:instrText>∼</w:instrText>
      </w:r>
      <w:r w:rsidR="004C252C">
        <w:instrText xml:space="preserve"> 15,600 14 C yr BP to present there is a substantial increase in arboreal elements and herbs, indicating more humid and warmer climate. From </w:instrText>
      </w:r>
      <w:r w:rsidR="004C252C">
        <w:rPr>
          <w:rFonts w:ascii="Cambria Math" w:hAnsi="Cambria Math" w:cs="Cambria Math"/>
        </w:rPr>
        <w:instrText>∼</w:instrText>
      </w:r>
      <w:r w:rsidR="004C252C">
        <w:instrText xml:space="preserve"> 19,000 to </w:instrText>
      </w:r>
      <w:r w:rsidR="004C252C">
        <w:rPr>
          <w:rFonts w:ascii="Cambria Math" w:hAnsi="Cambria Math" w:cs="Cambria Math"/>
        </w:rPr>
        <w:instrText>∼</w:instrText>
      </w:r>
      <w:r w:rsidR="004C252C">
        <w:instrText xml:space="preserve"> 1000 14 C yr BP, </w:instrText>
      </w:r>
      <w:r w:rsidR="004C252C">
        <w:rPr>
          <w:rFonts w:ascii="Calibri" w:hAnsi="Calibri" w:cs="Calibri"/>
        </w:rPr>
        <w:instrText>δ</w:instrText>
      </w:r>
      <w:r w:rsidR="004C252C">
        <w:instrText xml:space="preserve"> 13 C values indicated the predominance of C 3 plants. These results are in agreement with studies in speleothems of caves, which suggest humid conditions during the last glacial maximum.","author":[{"dropping-particle":"","family":"Pessenda","given":"Luiz Carlos Ruiz","non-dropping-particle":"","parse-names":false,"suffix":""},{"dropping-particle":"","family":"Oliveira","given":"Paulo Eduardo","non-dropping-particle":"De","parse-names":false,"suffix":""},{"dropping-particle":"","family":"Mofatto","given":"Milene","non-dropping-particle":"","parse-names":false,"suffix":""},{"dropping-particle":"","family":"Medeiros","given":"Vanda Brito","non-dropping-particle":"de","parse-names":false,"suffix":""},{"dropping-particle":"","family":"Francischetti Garcia","given":"Ricardo José","non-dropping-particle":"","parse-names":false,"suffix":""},{"dropping-particle":"","family":"Aravena","given":"Ramon","non-dropping-particle":"","parse-names":false,"suffix":""},{"dropping-particle":"","family":"Bendassoli","given":"José Albertino","non-dropping-particle":"","parse-names":false,"suffix":""},{"dropping-particle":"","family":"Zuniga Leite","given":"Acácio","non-dropping-particle":"","parse-names":false,"suffix":""},{"dropping-particle":"","family":"Saad","given":"Antonio Roberto","non-dropping-particle":"","parse-names":false,"suffix":""},{"dropping-particle":"","family":"Lincoln Etchebehere","given":"Mario","non-dropping-particle":"","parse-names":false,"suffix":""}],"container-title":"Quaternary Research","id":"ITEM-1","issue":"3","issued":{"date-parts":[["2009","5","20"]]},"page":"437-452","title":"The evolution of a tropical rainforest/grassland mosaic in southeastern Brazil since 28,000 14 C yr BP based on carbon isotopes and pollen records","type":"article-journal","volume":"71"},"uris":["http://www.mendeley.com/documents/?uuid=e46d7717-20d2-3b37-930b-1481f0e5f96c"]}],"mendeley":{"formattedCitation":"(Pessenda et al., 2009)","plainTextFormattedCitation":"(Pessenda et al., 2009)","previouslyFormattedCitation":"(Pessenda et al., 2009)"},"properties":{"noteIndex":0},"schema":"https://github.com/citation-style-language/schema/raw/master/csl-citation.json"}</w:instrText>
      </w:r>
      <w:r w:rsidR="00E34FB7">
        <w:fldChar w:fldCharType="separate"/>
      </w:r>
      <w:r w:rsidR="004F4F54" w:rsidRPr="004F4F54">
        <w:rPr>
          <w:noProof/>
        </w:rPr>
        <w:t>(Pessenda et al., 2009)</w:t>
      </w:r>
      <w:r w:rsidR="00E34FB7">
        <w:fldChar w:fldCharType="end"/>
      </w:r>
      <w:r w:rsidR="002754FE">
        <w:t xml:space="preserve">, north of our </w:t>
      </w:r>
      <w:r w:rsidR="00033248">
        <w:t xml:space="preserve">study area. </w:t>
      </w:r>
      <w:r w:rsidR="006209CB">
        <w:t>A</w:t>
      </w:r>
      <w:r w:rsidR="005B37B8">
        <w:t>t 21,000 BP</w:t>
      </w:r>
      <w:r w:rsidR="007B1E83">
        <w:t xml:space="preserve">, </w:t>
      </w:r>
      <w:r w:rsidR="006209CB">
        <w:t xml:space="preserve">this site had a similar </w:t>
      </w:r>
      <w:r w:rsidR="008368E6">
        <w:t xml:space="preserve">forest pollen </w:t>
      </w:r>
      <w:r w:rsidR="006209CB">
        <w:t>proportion (17%) and composition (mainly</w:t>
      </w:r>
      <w:r w:rsidR="005B37B8">
        <w:t xml:space="preserve"> </w:t>
      </w:r>
      <w:proofErr w:type="spellStart"/>
      <w:r w:rsidR="00D81A65">
        <w:t>Myrtaceae</w:t>
      </w:r>
      <w:proofErr w:type="spellEnd"/>
      <w:r w:rsidR="00D81A65">
        <w:t xml:space="preserve"> and </w:t>
      </w:r>
      <w:proofErr w:type="spellStart"/>
      <w:r w:rsidR="00D81A65">
        <w:t>Melastomataceae</w:t>
      </w:r>
      <w:r w:rsidR="005C7D1B">
        <w:t>-Combretaceae</w:t>
      </w:r>
      <w:proofErr w:type="spellEnd"/>
      <w:r w:rsidR="006209CB">
        <w:t>, with some</w:t>
      </w:r>
      <w:r w:rsidR="00D81A65">
        <w:t xml:space="preserve"> </w:t>
      </w:r>
      <w:proofErr w:type="spellStart"/>
      <w:r w:rsidR="00D81A65" w:rsidRPr="00D81A65">
        <w:rPr>
          <w:i/>
          <w:iCs/>
        </w:rPr>
        <w:t>Alchornea</w:t>
      </w:r>
      <w:proofErr w:type="spellEnd"/>
      <w:r w:rsidR="006209CB">
        <w:t xml:space="preserve">) </w:t>
      </w:r>
      <w:r w:rsidR="00AF4854">
        <w:t xml:space="preserve">to Volta </w:t>
      </w:r>
      <w:proofErr w:type="spellStart"/>
      <w:r w:rsidR="00AF4854">
        <w:t>Velha</w:t>
      </w:r>
      <w:proofErr w:type="spellEnd"/>
      <w:r w:rsidR="00AF4854">
        <w:t xml:space="preserve"> and GeoB2107</w:t>
      </w:r>
      <w:r w:rsidR="00886815">
        <w:t xml:space="preserve">; </w:t>
      </w:r>
      <w:r w:rsidR="00AF4854">
        <w:t xml:space="preserve">the core’s δ¹³C values </w:t>
      </w:r>
      <w:r w:rsidR="00D81A65">
        <w:t>show</w:t>
      </w:r>
      <w:r w:rsidR="00AF4854">
        <w:t xml:space="preserve"> that the site</w:t>
      </w:r>
      <w:r w:rsidR="00D81A65">
        <w:t xml:space="preserve"> </w:t>
      </w:r>
      <w:r w:rsidR="00F46198">
        <w:t xml:space="preserve">was </w:t>
      </w:r>
      <w:r w:rsidR="00D81A65">
        <w:t xml:space="preserve">dominated by </w:t>
      </w:r>
      <w:r w:rsidR="00F46198">
        <w:t>C3 vegetation</w:t>
      </w:r>
      <w:r w:rsidR="00886815">
        <w:t>,</w:t>
      </w:r>
      <w:r w:rsidR="007B45F8">
        <w:t xml:space="preserve"> and </w:t>
      </w:r>
      <w:r w:rsidR="007438B2">
        <w:t xml:space="preserve">nine </w:t>
      </w:r>
      <w:r w:rsidR="00D85079">
        <w:t xml:space="preserve">other </w:t>
      </w:r>
      <w:r w:rsidR="007B45F8">
        <w:t xml:space="preserve">nearby </w:t>
      </w:r>
      <w:r w:rsidR="007438B2">
        <w:t>profiles show mix</w:t>
      </w:r>
      <w:r w:rsidR="00D41250">
        <w:t>es</w:t>
      </w:r>
      <w:r w:rsidR="007438B2">
        <w:t xml:space="preserve"> of </w:t>
      </w:r>
      <w:r w:rsidR="00A04616">
        <w:t>C3 and C4</w:t>
      </w:r>
      <w:r w:rsidR="00787807">
        <w:t xml:space="preserve"> contributions</w:t>
      </w:r>
      <w:r w:rsidR="00EE4FCE">
        <w:t xml:space="preserve"> </w:t>
      </w:r>
      <w:r w:rsidR="00EE4FCE">
        <w:fldChar w:fldCharType="begin" w:fldLock="1"/>
      </w:r>
      <w:r w:rsidR="004C252C">
        <w:instrText xml:space="preserve">ADDIN CSL_CITATION {"citationItems":[{"id":"ITEM-1","itemData":{"DOI":"10.1016/j.yqres.2009.01.008","ISSN":"0033-5894","abstract":"The lack of paleoecological records from the montane Atlantic Rainforest of coastal Brazil, a hotspot of biological diversity, has been a major obstacle to our understanding of the vegetational changes since the last glacial cycle. We present carbon isotope and pollen records to assess the impact of the glaciation on the native vegetation of the Serra do Mar rainforest in São Paulo, Brazil. From ca. 28,000 to </w:instrText>
      </w:r>
      <w:r w:rsidR="004C252C">
        <w:rPr>
          <w:rFonts w:ascii="Cambria Math" w:hAnsi="Cambria Math" w:cs="Cambria Math"/>
        </w:rPr>
        <w:instrText>∼</w:instrText>
      </w:r>
      <w:r w:rsidR="004C252C">
        <w:instrText xml:space="preserve"> 22,000 14 C yr BP, a subtropical forest with conifer trees is indicative of cool and humid conditions. In agreement carbon isotopic data on soil organic matter suggest the presence of C 3 plants and perhaps C 4 plants from </w:instrText>
      </w:r>
      <w:r w:rsidR="004C252C">
        <w:rPr>
          <w:rFonts w:ascii="Cambria Math" w:hAnsi="Cambria Math" w:cs="Cambria Math"/>
        </w:rPr>
        <w:instrText>∼</w:instrText>
      </w:r>
      <w:r w:rsidR="004C252C">
        <w:instrText xml:space="preserve"> 28,000 to </w:instrText>
      </w:r>
      <w:r w:rsidR="004C252C">
        <w:rPr>
          <w:rFonts w:ascii="Cambria Math" w:hAnsi="Cambria Math" w:cs="Cambria Math"/>
        </w:rPr>
        <w:instrText>∼</w:instrText>
      </w:r>
      <w:r w:rsidR="004C252C">
        <w:instrText xml:space="preserve"> 19,000 14 C yr BP. The significant increase in the sedimentation rate and algal spores from </w:instrText>
      </w:r>
      <w:r w:rsidR="004C252C">
        <w:rPr>
          <w:rFonts w:ascii="Cambria Math" w:hAnsi="Cambria Math" w:cs="Cambria Math"/>
        </w:rPr>
        <w:instrText>∼</w:instrText>
      </w:r>
      <w:r w:rsidR="004C252C">
        <w:instrText xml:space="preserve"> 19,450 to </w:instrText>
      </w:r>
      <w:r w:rsidR="004C252C">
        <w:rPr>
          <w:rFonts w:ascii="Cambria Math" w:hAnsi="Cambria Math" w:cs="Cambria Math"/>
        </w:rPr>
        <w:instrText>∼</w:instrText>
      </w:r>
      <w:r w:rsidR="004C252C">
        <w:instrText xml:space="preserve"> 19,000 14 C yr BP indicates increasing humidity, associated to an erosion process between </w:instrText>
      </w:r>
      <w:r w:rsidR="004C252C">
        <w:rPr>
          <w:rFonts w:ascii="Cambria Math" w:hAnsi="Cambria Math" w:cs="Cambria Math"/>
        </w:rPr>
        <w:instrText>∼</w:instrText>
      </w:r>
      <w:r w:rsidR="004C252C">
        <w:instrText xml:space="preserve"> 19,000 and </w:instrText>
      </w:r>
      <w:r w:rsidR="004C252C">
        <w:rPr>
          <w:rFonts w:ascii="Cambria Math" w:hAnsi="Cambria Math" w:cs="Cambria Math"/>
        </w:rPr>
        <w:instrText>∼</w:instrText>
      </w:r>
      <w:r w:rsidR="004C252C">
        <w:instrText xml:space="preserve"> 15,600 14 C yr BP. From </w:instrText>
      </w:r>
      <w:r w:rsidR="004C252C">
        <w:rPr>
          <w:rFonts w:ascii="Cambria Math" w:hAnsi="Cambria Math" w:cs="Cambria Math"/>
        </w:rPr>
        <w:instrText>∼</w:instrText>
      </w:r>
      <w:r w:rsidR="004C252C">
        <w:instrText xml:space="preserve"> 15,600 14 C yr BP to present there is a substantial increase in arboreal elements and herbs, indicating more humid and warmer climate. From </w:instrText>
      </w:r>
      <w:r w:rsidR="004C252C">
        <w:rPr>
          <w:rFonts w:ascii="Cambria Math" w:hAnsi="Cambria Math" w:cs="Cambria Math"/>
        </w:rPr>
        <w:instrText>∼</w:instrText>
      </w:r>
      <w:r w:rsidR="004C252C">
        <w:instrText xml:space="preserve"> 19,000 to </w:instrText>
      </w:r>
      <w:r w:rsidR="004C252C">
        <w:rPr>
          <w:rFonts w:ascii="Cambria Math" w:hAnsi="Cambria Math" w:cs="Cambria Math"/>
        </w:rPr>
        <w:instrText>∼</w:instrText>
      </w:r>
      <w:r w:rsidR="004C252C">
        <w:instrText xml:space="preserve"> 1000 14 C yr BP, </w:instrText>
      </w:r>
      <w:r w:rsidR="004C252C">
        <w:rPr>
          <w:rFonts w:ascii="Calibri" w:hAnsi="Calibri" w:cs="Calibri"/>
        </w:rPr>
        <w:instrText>δ</w:instrText>
      </w:r>
      <w:r w:rsidR="004C252C">
        <w:instrText xml:space="preserve"> 13 C values indicated the predominance of C 3 plants. These results are in agreement with studies in speleothems of caves, which suggest humid conditions during the last glacial maximum.","author":[{"dropping-particle":"","family":"Pessenda","given":"Luiz Carlos Ruiz","non-dropping-particle":"","parse-names":false,"suffix":""},{"dropping-particle":"","family":"Oliveira","given":"Paulo Eduardo","non-dropping-particle":"De","parse-names":false,"suffix":""},{"dropping-particle":"","family":"Mofatto","given":"Milene","non-dropping-particle":"","parse-names":false,"suffix":""},{"dropping-particle":"","family":"Medeiros","given":"Vanda Brito","non-dropping-particle":"de","parse-names":false,"suffix":""},{"dropping-particle":"","family":"Francischetti Garcia","given":"Ricardo José","non-dropping-particle":"","parse-names":false,"suffix":""},{"dropping-particle":"","family":"Aravena","given":"Ramon","non-dropping-particle":"","parse-names":false,"suffix":""},{"dropping-particle":"","family":"Bendassoli","given":"José Albertino","non-dropping-particle":"","parse-names":false,"suffix":""},{"dropping-particle":"","family":"Zuniga Leite","given":"Acácio","non-dropping-particle":"","parse-names":false,"suffix":""},{"dropping-particle":"","family":"Saad","given":"Antonio Roberto","non-dropping-particle":"","parse-names":false,"suffix":""},{"dropping-particle":"","family":"Lincoln Etchebehere","given":"Mario","non-dropping-particle":"","parse-names":false,"suffix":""}],"container-title":"Quaternary Research","id":"ITEM-1","issue":"3","issued":{"date-parts":[["2009","5","20"]]},"page":"437-452","title":"The evolution of a tropical rainforest/grassland mosaic in southeastern Brazil since 28,000 14 C yr BP based on carbon isotopes and pollen records","type":"article-journal","volume":"71"},"uris":["http://www.mendeley.com/documents/?uuid=e46d7717-20d2-3b37-930b-1481f0e5f96c"]}],"mendeley":{"formattedCitation":"(Pessenda et al., 2009)","plainTextFormattedCitation":"(Pessenda et al., 2009)","previouslyFormattedCitation":"(Pessenda et al., 2009)"},"properties":{"noteIndex":0},"schema":"https://github.com/citation-style-language/schema/raw/master/csl-citation.json"}</w:instrText>
      </w:r>
      <w:r w:rsidR="00EE4FCE">
        <w:fldChar w:fldCharType="separate"/>
      </w:r>
      <w:r w:rsidR="004F4F54" w:rsidRPr="004F4F54">
        <w:rPr>
          <w:noProof/>
        </w:rPr>
        <w:t>(Pessenda et al., 2009)</w:t>
      </w:r>
      <w:r w:rsidR="00EE4FCE">
        <w:fldChar w:fldCharType="end"/>
      </w:r>
      <w:r w:rsidR="0084313F">
        <w:t>.</w:t>
      </w:r>
      <w:r w:rsidR="00D41250">
        <w:t xml:space="preserve"> </w:t>
      </w:r>
      <w:r w:rsidR="00F34FF6">
        <w:t xml:space="preserve">Our predicted assemblages on the exposed continental </w:t>
      </w:r>
      <w:r w:rsidR="00D63F2A">
        <w:t xml:space="preserve">shelf and modern-day lowlands could </w:t>
      </w:r>
      <w:r w:rsidR="00EE4FCE">
        <w:t xml:space="preserve">have been expressed </w:t>
      </w:r>
      <w:r w:rsidR="00D63F2A">
        <w:t xml:space="preserve">as </w:t>
      </w:r>
      <w:r w:rsidR="00EE4FCE">
        <w:t xml:space="preserve">such </w:t>
      </w:r>
      <w:r w:rsidR="00D63F2A">
        <w:t xml:space="preserve">a grassland-forest mosaic, </w:t>
      </w:r>
      <w:r w:rsidR="00C26AAC">
        <w:t>its precise configuration dictated by non-climatic (</w:t>
      </w:r>
      <w:proofErr w:type="gramStart"/>
      <w:r w:rsidR="00C26AAC">
        <w:t>e.g.</w:t>
      </w:r>
      <w:proofErr w:type="gramEnd"/>
      <w:r w:rsidR="00C26AAC">
        <w:t xml:space="preserve"> </w:t>
      </w:r>
      <w:r w:rsidR="00D63F2A">
        <w:t>topographic</w:t>
      </w:r>
      <w:r w:rsidR="00C26AAC">
        <w:t>) conditions</w:t>
      </w:r>
      <w:r w:rsidR="00CC76F6">
        <w:t>.</w:t>
      </w:r>
      <w:r w:rsidR="00886815">
        <w:t xml:space="preserve"> A similar</w:t>
      </w:r>
      <w:r w:rsidR="00E40378">
        <w:t xml:space="preserve"> </w:t>
      </w:r>
      <w:r w:rsidR="00886815">
        <w:t xml:space="preserve">physiognomy </w:t>
      </w:r>
      <w:r w:rsidR="00E6088F">
        <w:t>was likely</w:t>
      </w:r>
      <w:r w:rsidR="00886815">
        <w:t xml:space="preserve"> found on the highlands</w:t>
      </w:r>
      <w:r w:rsidR="00CE3BF2">
        <w:t xml:space="preserve"> around the LGM</w:t>
      </w:r>
      <w:r w:rsidR="00B93BA8">
        <w:t xml:space="preserve">, with Campos </w:t>
      </w:r>
      <w:r w:rsidR="00CE3BF2">
        <w:t xml:space="preserve">dominating and </w:t>
      </w:r>
      <w:r w:rsidR="00ED301C">
        <w:t>A</w:t>
      </w:r>
      <w:r w:rsidR="00CE3BF2">
        <w:t xml:space="preserve">MF </w:t>
      </w:r>
      <w:r w:rsidR="00E6088F">
        <w:t>and/</w:t>
      </w:r>
      <w:r w:rsidR="00CE3BF2">
        <w:t xml:space="preserve">or Cloud Forest species </w:t>
      </w:r>
      <w:r w:rsidR="00E40378">
        <w:t xml:space="preserve">probably </w:t>
      </w:r>
      <w:r w:rsidR="00CE3BF2">
        <w:t xml:space="preserve">confined to </w:t>
      </w:r>
      <w:r w:rsidR="00EF2F35">
        <w:t xml:space="preserve">rare, </w:t>
      </w:r>
      <w:r w:rsidR="00E40378">
        <w:t>small patches</w:t>
      </w:r>
      <w:r w:rsidR="004579C8">
        <w:t xml:space="preserve"> </w:t>
      </w:r>
      <w:r w:rsidR="00EF2F35">
        <w:t>–</w:t>
      </w:r>
      <w:r w:rsidR="00FC25DD">
        <w:t xml:space="preserve"> </w:t>
      </w:r>
      <w:r w:rsidR="00EF2F35">
        <w:t xml:space="preserve">at least </w:t>
      </w:r>
      <w:r w:rsidR="004579C8">
        <w:t xml:space="preserve">in the </w:t>
      </w:r>
      <w:r w:rsidR="00770DDB">
        <w:t xml:space="preserve">highlands’ </w:t>
      </w:r>
      <w:r w:rsidR="004579C8">
        <w:t>south</w:t>
      </w:r>
      <w:r w:rsidR="00EF0198">
        <w:t>-east</w:t>
      </w:r>
      <w:r w:rsidR="004579C8">
        <w:t xml:space="preserve"> where </w:t>
      </w:r>
      <w:r w:rsidR="00EF0198">
        <w:t xml:space="preserve">long </w:t>
      </w:r>
      <w:r w:rsidR="004579C8">
        <w:t xml:space="preserve">fossil pollen </w:t>
      </w:r>
      <w:r w:rsidR="00EF0198">
        <w:t xml:space="preserve">records </w:t>
      </w:r>
      <w:r w:rsidR="004579C8">
        <w:t xml:space="preserve">exist </w:t>
      </w:r>
      <w:r w:rsidR="00251A77">
        <w:fldChar w:fldCharType="begin" w:fldLock="1"/>
      </w:r>
      <w:r w:rsidR="007F330C">
        <w:instrText>ADDIN CSL_CITATION {"citationItems":[{"id":"ITEM-1","itemData":{"DOI":"10.1016/j.jsames.2009.09.003","ISBN":"0895-9811","ISSN":"08959811","abstract":"The palaeoenvironmental history has been studied based on palynology of a sedimentary profile from the Alpes de S??o Francisco bog (29??29???35??????S, 50??37???18??????W), S??o Francisco de Paula municipality, Rio Grande do Sul eastern Plateau, extreme Southern Brazil. The results indicate a regional cold and dry climate between 25,000 and 12,500 yr BP, interpreted from the grassland vegetation, forest taxa were present in refuges and the shallow local lake began to fill in. Climatic conditions became more aride after 16,000 yr BP, when grassland became rare. From 12,500 yr BP onwards, the climate began to change and at 11,000-9700 yr BP a warm and moist climate permitted the slight migration of pioneer arboreal taxa from refuges and locally a marsh formation. Between 9700 and 6500 yr BP a warm and dry climate resulted in reduction of grassland, confined the forest in refuges, dried out the marsh. The gradual increase of humidity between 6500 and 4000 yr BP allowed migration of forests from refuges and a bog developed. Between 4000 and 2000 yr BP Araucaria forest spread, indicating moister climate. The local bog expanded. From 2000 yr BP onwards, humid but warmer climate seems to result in a lower reproductive capacity of Araucaria forest taxa limiting its expansion. The bog reached the present-day in a decline condition. The results are compared to previous records from Southern Brazil highlands and some places from Argentina in order to better elucidate the climatic and vegetational history of these important South America areas during the late Quaternary. ?? 2009 Elsevier Ltd. All rights reserved.","author":[{"dropping-particle":"","family":"Leonhardt","given":"Adriana","non-dropping-particle":"","parse-names":false,"suffix":""},{"dropping-particle":"","family":"Lorscheitter","given":"Maria Luisa","non-dropping-particle":"","parse-names":false,"suffix":""}],"container-title":"Journal of South American Earth Sciences","id":"ITEM-1","issue":"2","issued":{"date-parts":[["2010","3"]]},"note":"AdSF2\nAnalysis of 286cm bog core from Alpes de Sao Francisco, Rio Grande do Sul. Starts 25,000 C14 yr BP. Cold and dry until 12,500 BP, grassland and almost no trees; 11,000-9,700 was warm and humid, some trees wandered around; drier then to 6,500 BP so grassland retreated and forest stayed in refuges; humidity increased again 6500-4000, so forests escaped their refuges; 4000-2000 Araucaria forest spread (so moister still); warmer from then to the present so less expansion of Araucaria.\n\nIMPORTANT WHEN REINTERPRETING BEHLING ET AL 2004\n\nSeems a bit poorly resolved across the Holocene, but makes an important point about pollen concentration/percentage diagrams and what they show (especially with Araucaria forest expansion)","page":"454-463","title":"The last 25,000 years in the Eastern Plateau of Southern Brazil according to Alpes de São Francisco record","type":"article-journal","volume":"29"},"uris":["http://www.mendeley.com/documents/?uuid=90690911-40f6-3530-aa45-c7420e186d20"]},{"id":"ITEM-2","itemData":{"DOI":"10.1016/S0031-0182(03)00687-4","ISBN":"0031-0182","ISSN":"00310182","abstract":"Late Quaternary vegetation, fire and climate dynamics have been studied based on high-resolution dated pollen and charcoal samples and multivariate data analysis. The samples were taken from a 212-cm-long sediment core of a bog in the Cambará do Sul region on the highlands of northeastern Rio Grande do Sul State, Brazil. The records, including seven AMS radiocarbon dates, span 42 840 14C years, for the first time extending the reconstruction of past environmental changes on the southern Brazilian highlands back to the Last Glacial Maximum (LGM) and pre-LGM times. The last 1100 years provide a decadal resolution. Initially the site was a permanent shallow lake which became seasonally dry after 26 900 14C yr BP. Seasonal climate with a long annual dry period prevailed until the late Holocene. The climate was somewhat wetter from 42 840 to 41 470 14C yr BP and from 41 470 to 26 900 14C yr BP than during the LGM and the late-Glacial period. Natural fires were rare, but became very frequent after 7400 cal BP, suggesting human occupation of the southernmost Brazilian highlands since that time. The records suggest that a species-rich Campos (grassland) vegetation existed in the area under a relatively dry and cold climate during glacial times under possibly as low as -10°C. The record also suggests that small populations of Araucaria were probably only present in refugia of deep and protected valleys and/or on wetter coastal slopes. Campos vegetation existed through the early and mid-Holocene until 4320 cal yr BP, after which Araucaria forest expanded into the network of gallery forests along the streams. By 1100 cal yr BP the Araucaria forest replaced the Campos vegetation reflecting the onset of the wettest period with no marked annual dry season. The marked expansion of the Araucaria forest coincided with the reduction in fire. Between AD 1520 and 1770 Weinmannia became a common taxa in the Araucaria forest, suggesting a shift to warmer climatic conditions on the highlands. This interval was synchronous with a cool phase within the Little Ice Age known from North Atlantic land records. After about AD 1780 human activities changed the original forest composition, first by introducing cattle into the forest and than by selective logging of Araucaria trees. Multivariate analysis of the pollen data shows compositional changes that follow a trajectory alternating undirectional, random phases and phases with directional, sometimes fast transitions. The results al…","author":[{"dropping-particle":"","family":"Behling","given":"Hermann","non-dropping-particle":"","parse-names":false,"suffix":""},{"dropping-particle":"","family":"Pillar","given":"Valerio DePatta","non-dropping-particle":"","parse-names":false,"suffix":""},{"dropping-particle":"","family":"Orlóci","given":"László","non-dropping-particle":"","parse-names":false,"suffix":""},{"dropping-particle":"","family":"Bauermann","given":"Soraia Girardi","non-dropping-particle":"","parse-names":false,"suffix":""}],"container-title":"Palaeogeography, Palaeoclimatology, Palaeoecology","id":"ITEM-2","issue":"3-4","issued":{"date-parts":[["2004"]]},"note":"CamSu\n\nDetailed examination of Cambara do Sul core in NE Rio Grande do Sul, 42,658 C14 yr BP to present. Shows 100 year Campos-Araucaria switch in about 1100 cal yr BP.\n\nNEEDS SOME REINTERPRETING WITH LEONHARDT &amp;amp; LORSCHEITTER 2010. SEE NOTE\n\n(All dates C14 yr BP)\n\n42,840 - 41,470\n83-88% campos pollen, 8-14% Araucaria forest pollen (only 2 grains of A. angustifolia), only one pollen grain from Atlantic forest taxa, aquatics 6-16%, ferns 3-6%. Low conc and accumulation of carbonised particles.\n\n41,4701 - 26,900\n87-94% campos pollen, 3-9% Araucaria forest (less pollen from Myrtaceae), a few single grains of Atlantic forest pollen, less aquatic pollen (3-7%), fewer fern spores (0-3%). Carbonised particles still rare.\n\n26,900 - 10,120\n87-97% campos pollen (though changing composition - Poaceae down, Eryngium up; less Apiaceae), 1-5% Araucaria forest, 0-0.3% Atlantic forest (lowest for both), 1-3% aquatic, lowest time for ferns (but big increase at end of zone). Carbonised particles rare.\n\n10,120 - 3,950 (11,540 - 4,320 cal yr BP)\n74-88% campos but lower near end (Poaceae up from last time; Eryngium get more common; other compositional changes), 3-13% Araucaria forest (up slightly thanks to A. angustifolia and Myrsine), 0-4% Atlantic (up slightly), trace aquatics, big increase of ferns (up to 46%) then decrease by end (to 9%), increase in Dicksonia (0-14%). Lots of carbonised particles higher up in this section.\n\n3950 - 1140 (4320 - 1100 cal yr BP)\n65-84% campos (down a bit but still high; Cyperaceae up, Poaceae and Eryngium down), 13-27% Araucaria forest (mainly A. angustifolia 4-7%, Myrsine and Weinmannia), 2-5% Atlantic forest, fern spores up again (9-40%), Dicksonia common (9-16%). Lots and lots of carbonised particles.\n\n1140 - 410 (1100 - 430 cal yr BP)\nCampos way down and keeps going (55-24%), continuous increase of Araucaria forest pollen (39-80%) with A. angustifolia going up 14-42% and big increase in Mimosa scabrella, no change in Atlantic (2-6%), fewer fern spores (5-19%), highest Dicksonia spore level (9-26%), high point for mosses but decrease later. Low concentration of carbonised particles but higher accumulation than at beginning of core.\n\n410 - -50 (430 - -50 cal yr BP)\nCampos start way down (to 11%) but increase (to 38%, through Cyperaceae then Poaceae) then go down right at the end, Araucaria forest highest early on (87%) but decreases at the end (65%) as A. angustifolia drops off right at the end (41-2%; Mimosa scabrella jumps correspondingly; other changes), nothing much happens with Atlantic forest (2-7%), fern spores go down (21-2%) and Dicksonia crashes by end (19-0.3%). Similar carbonised particles to before.","page":"277-297","title":"Late Quaternary Araucaria forest, grassland (Campos), fire and climate dynamics, studied by high-resolution pollen, charcoal and multivariate analysis of the Cambará do Sul core in southern Brazil","type":"article-journal","volume":"203"},"uris":["http://www.mendeley.com/documents/?uuid=46579170-55fd-37c2-8f78-517419a62e98"]}],"mendeley":{"formattedCitation":"(Behling et al., 2004; Leonhardt and Lorscheitter, 2010)","plainTextFormattedCitation":"(Behling et al., 2004; Leonhardt and Lorscheitter, 2010)","previouslyFormattedCitation":"(Behling et al., 2004; Leonhardt and Lorscheitter, 2010)"},"properties":{"noteIndex":0},"schema":"https://github.com/citation-style-language/schema/raw/master/csl-citation.json"}</w:instrText>
      </w:r>
      <w:r w:rsidR="00251A77">
        <w:fldChar w:fldCharType="separate"/>
      </w:r>
      <w:r w:rsidR="005944BB" w:rsidRPr="005944BB">
        <w:rPr>
          <w:noProof/>
        </w:rPr>
        <w:t>(Behling et al., 2004; Leonhardt and Lorscheitter, 2010)</w:t>
      </w:r>
      <w:r w:rsidR="00251A77">
        <w:fldChar w:fldCharType="end"/>
      </w:r>
      <w:r w:rsidR="00EE4FCE">
        <w:t>.</w:t>
      </w:r>
      <w:r w:rsidR="00346C04">
        <w:t xml:space="preserve"> </w:t>
      </w:r>
      <w:r w:rsidR="00EE4FCE">
        <w:t>T</w:t>
      </w:r>
      <w:r w:rsidR="00346C04">
        <w:t>he high</w:t>
      </w:r>
      <w:r w:rsidR="00783E6D">
        <w:t>er</w:t>
      </w:r>
      <w:r w:rsidR="00346C04">
        <w:t xml:space="preserve"> contribution of </w:t>
      </w:r>
      <w:r w:rsidR="00346C04">
        <w:rPr>
          <w:i/>
          <w:iCs/>
        </w:rPr>
        <w:t xml:space="preserve">Podocarpus </w:t>
      </w:r>
      <w:r w:rsidR="00346C04">
        <w:t xml:space="preserve">and </w:t>
      </w:r>
      <w:r w:rsidR="00346C04">
        <w:rPr>
          <w:i/>
          <w:iCs/>
        </w:rPr>
        <w:t>Araucaria</w:t>
      </w:r>
      <w:r w:rsidR="00346C04">
        <w:t xml:space="preserve"> pollen to </w:t>
      </w:r>
      <w:r w:rsidR="00032EC2">
        <w:t xml:space="preserve">GeoB2107’s LGM pollen spectrum suggests </w:t>
      </w:r>
      <w:r w:rsidR="00ED301C">
        <w:t>A</w:t>
      </w:r>
      <w:r w:rsidR="00032EC2">
        <w:t xml:space="preserve">MF forest </w:t>
      </w:r>
      <w:r w:rsidR="004F5D7F">
        <w:t xml:space="preserve">elements were </w:t>
      </w:r>
      <w:r w:rsidR="000152E6">
        <w:t>more common further north</w:t>
      </w:r>
      <w:r w:rsidR="004F5D7F">
        <w:t xml:space="preserve"> </w:t>
      </w:r>
      <w:r w:rsidR="00C26AAC">
        <w:t xml:space="preserve">or on the continental shelf </w:t>
      </w:r>
      <w:r w:rsidR="000152E6">
        <w:fldChar w:fldCharType="begin" w:fldLock="1"/>
      </w:r>
      <w:r w:rsidR="00C45B39">
        <w:instrText>ADDIN CSL_CITATION {"citationItems":[{"id":"ITEM-1","itemData":{"DOI":"10.1016/j.quascirev.2017.06.028","ISSN":"02773791","abstract":"Long-term changes in vegetation and climate of southern Brazil, as well as ocean dynamics of the adjacent South Atlantic, were studied by analyses of pollen, spores and organic-walled dinoflagellate cysts (dinocysts) in marine sediment core GeoB2107-3 collected offshore southern Brazil covering the last 73.5 cal kyr BP. The pollen record indicates that grasslands were much more frequent in the landscapes of southern Brazil during the last glacial period if compared to the late Holocene, reflecting relatively colder and/or less humid climatic conditions. Patches of forest occurred in the lowlands and probably also on the exposed continental shelf that was mainly covered by salt marshes. Interestingly, drought-susceptible Araucaria trees were frequent in the highlands (with a similar abundance as during the late Holocene) until 65 cal kyr BP, but were rare during the following glacial period. Atlantic rainforest was present in the northern lowlands of southern Brazil during the recorded last glacial period, but was strongly reduced from 38.5 until 13.0 cal kyr BP. The reduction was probably controlled by colder and/or less humid climatic conditions. Atlantic rainforest expanded to the south since the Lateglacial period, while Araucaria forests advanced in the highlands only during the late Holocene. Dinocysts data indicate that the Brazil Current (BC) with its warm, salty and nutrient-poor waters influenced the study area throughout the investigated period. However, variations in the proportion of dinocyst taxa indicating an eutrophic environment reflect the input of nutrients transported mainly by the Brazilian Coastal Current (BCC) and partly discharged by the Rio Itajaí (the major river closest to the core site). This was strongly related to changes in sea level. A stronger influence of the BCC with nutrient rich waters occurred during Marine Isotope Stage (MIS) 4 and in particular during the late MIS 3 and MIS 2 under low sea level. Evidence of Nothofagus pollen grains from the southern Andes during late MIS 3 and MIS 2 suggests an efficient transport by the southern westerlies and Argentinean rivers, then by the Malvinas Current and finally by the BCC to the study site. Major changes in the pollen/spore and dinocyst assemblages occur with similar pacing, indicating strongly interlinked continental and marine environmental changes. Proxy comparisons suggest that the changes were driven by similar overarching factors, of which the most important was or…","author":[{"dropping-particle":"","family":"Gu","given":"Fang","non-dropping-particle":"","parse-names":false,"suffix":""},{"dropping-particle":"","family":"Zonneveld","given":"Karin A.F.","non-dropping-particle":"","parse-names":false,"suffix":""},{"dropping-particle":"","family":"Chiessi","given":"Cristiano M.","non-dropping-particle":"","parse-names":false,"suffix":""},{"dropping-particle":"","family":"Arz","given":"Helge W.","non-dropping-particle":"","parse-names":false,"suffix":""},{"dropping-particle":"","family":"Pätzold","given":"Jürgen","non-dropping-particle":"","parse-names":false,"suffix":""},{"dropping-particle":"","family":"Behling","given":"Hermann","non-dropping-particle":"","parse-names":false,"suffix":""}],"container-title":"Quaternary Science Reviews","id":"ITEM-1","issued":{"date-parts":[["2017"]]},"note":"GeB27\nVery interesting paper that uses an offshore core east of SC to reconstruct vegetation and climate for 74kyr in a spatially and temporally low resolution. Suggests the Atlantis rainforest hypothesis might not hold (but doesn't examine this explicitly) and has interesting things to say about Aa through time. Long ago there was more grassland; the exposed shelf was probably a mosaic of forest and grassland, with Aa-campos on higher ground. Has things to say about speleothems comparison too, as well as xrf data.","page":"55-71","title":"Long-term vegetation, climate and ocean dynamics inferred from a 73,500 years old marine sediment core (GeoB2107-3) off southern Brazil","type":"article-journal","volume":"172"},"uris":["http://www.mendeley.com/documents/?uuid=5ca3af1b-048b-4799-ab8a-595fdfde2aa7"]}],"mendeley":{"formattedCitation":"(Gu et al., 2017)","plainTextFormattedCitation":"(Gu et al., 2017)","previouslyFormattedCitation":"(Gu et al., 2017)"},"properties":{"noteIndex":0},"schema":"https://github.com/citation-style-language/schema/raw/master/csl-citation.json"}</w:instrText>
      </w:r>
      <w:r w:rsidR="000152E6">
        <w:fldChar w:fldCharType="separate"/>
      </w:r>
      <w:r w:rsidR="000152E6" w:rsidRPr="000152E6">
        <w:rPr>
          <w:noProof/>
        </w:rPr>
        <w:t>(Gu et al., 2017)</w:t>
      </w:r>
      <w:r w:rsidR="000152E6">
        <w:fldChar w:fldCharType="end"/>
      </w:r>
      <w:r w:rsidR="00FC25DD">
        <w:t>,</w:t>
      </w:r>
      <w:r w:rsidR="00F17B95">
        <w:t xml:space="preserve"> which may align with the early phytolith record from </w:t>
      </w:r>
      <w:proofErr w:type="spellStart"/>
      <w:r w:rsidR="00F17B95">
        <w:t>Iap</w:t>
      </w:r>
      <w:r w:rsidR="00F17B95">
        <w:rPr>
          <w:rFonts w:cstheme="minorHAnsi"/>
        </w:rPr>
        <w:t>ó</w:t>
      </w:r>
      <w:proofErr w:type="spellEnd"/>
      <w:r w:rsidR="00F17B95">
        <w:rPr>
          <w:rFonts w:cstheme="minorHAnsi"/>
        </w:rPr>
        <w:t xml:space="preserve"> River </w:t>
      </w:r>
      <w:r w:rsidR="00F17B95">
        <w:rPr>
          <w:rFonts w:cstheme="minorHAnsi"/>
        </w:rPr>
        <w:fldChar w:fldCharType="begin" w:fldLock="1"/>
      </w:r>
      <w:r w:rsidR="001560FC">
        <w:rPr>
          <w:rFonts w:cstheme="minorHAnsi"/>
        </w:rPr>
        <w:instrText>ADDIN CSL_CITATION {"citationItems":[{"id":"ITEM-1","itemData":{"DOI":"10.26848/rbgf.v9.5.p1543-1558","ISSN":"1984-2295","abstract":"Este estudo teve como objetivo realizar a caracterização das condições paleoambientais na planície aluvial do rio Iapó, com base em um testemunho sedimentar obtido na margem esquerda do rio, situado próximo à área urbana de Castro, PR. Para tanto, ressalta-se a utilização de diferentes dados proxies (análise multiproxy), como espículas de esponjas continentais e fitólitos, associados à determinação dos valores isotópicos de δ13C, δ15N, razão C/N, datações absolutas (14C) e análises granulométricas. Foi possível a identificação, via gemoscleras preservadas no depósito estudado, de táxons de esponjas de água doce característicos de ambiente lótico e lêntico, além da detecção de exemplar vivo de Oncosclera schubarti Bonetto e Ezcurra de Drago, 1967, aderido em substrato rochoso do leito do rio Iapó. A datação absoluta (14C) apresentou os seguintes resultados: 18.371 anos cal. AP. (114 cm) e 2.006 anos cal. AP. (72 cm), portanto, com idades que remontam ao Pleistoceno Superior e Holoceno Superior, respectivamente. Os dados obtidos permitiram caracterizar três fases de evolução paleoambiental: i) fase de canal ativo há pelo menos 18 mil anos AP.; ii) fase de abandono de canal e início da formação de um meandro abandonado, com depósitos relacionados à evolução de barras em pontal; iii) condições paleoclimáticas próximas às atuais na região, com a retomada da umidade na planície e perturbações por pulsos de inundação. Normal 0 false false false PT-BR X-NONE X-NONE /* Style Definitions */ table.MsoNormalTable {mso-style-name:\"Tabela normal\"; mso-tstyle-rowband-size:0; mso-tstyle-colband-size:0; mso-style-noshow:yes; mso-style-priority:99; mso-style-parent:\"\"; mso-padding-alt:0in 5.4pt 0in 5.4pt; mso-para-margin-top:0in; mso-para-margin-right:0in; mso-para-margin-bottom:10.0pt; mso-para-margin-left:0in; line-height:115%; mso-pagination:widow-orphan; font-size:11.0pt; font-family:\"Calibri\",sans-serif; mso-ascii-font-family:Calibri; mso-ascii-theme-font:minor-latin; mso-hansi-font-family:Calibri; mso-hansi-theme-font:minor-latin; mso-ansi-language:PT-BR;} A B S T R A C T The objective of this study was to characterize the paleoenvironmental conditions in the alluvial plain of the Iapó River, based on a sedimentary sample obtained on the left bank of the river, near the urban area of Castro in the state of Parana. To this end, different proxy methods were used (multiproxy analysis), such as: continental sponge spicules and phytoliths associated with the determinati…","author":[{"dropping-particle":"","family":"Kalinovski","given":"Elaine Cristina Zavadovski","non-dropping-particle":"","parse-names":false,"suffix":""},{"dropping-particle":"","family":"Parolin","given":"Mauro","non-dropping-particle":"","parse-names":false,"suffix":""},{"dropping-particle":"","family":"Souza Filho","given":"Edvard Elias","non-dropping-particle":"de","parse-names":false,"suffix":""}],"container-title":"Revista Brasileira de Geografia Física","id":"ITEM-1","issue":"5","issued":{"date-parts":[["2016","9","12"]]},"note":"IapoR","page":"1543-1558","title":"Paleoambientes quaternários da planície do rio Iapó, Castro, Paraná","type":"article-journal","volume":"9"},"uris":["http://www.mendeley.com/documents/?uuid=1ff7cc06-fa0d-335e-a70d-2161a099d2c0"]}],"mendeley":{"formattedCitation":"(Kalinovski et al., 2016)","plainTextFormattedCitation":"(Kalinovski et al., 2016)","previouslyFormattedCitation":"(Kalinovski et al., 2016)"},"properties":{"noteIndex":0},"schema":"https://github.com/citation-style-language/schema/raw/master/csl-citation.json"}</w:instrText>
      </w:r>
      <w:r w:rsidR="00F17B95">
        <w:rPr>
          <w:rFonts w:cstheme="minorHAnsi"/>
        </w:rPr>
        <w:fldChar w:fldCharType="separate"/>
      </w:r>
      <w:r w:rsidR="00F17B95" w:rsidRPr="00F17B95">
        <w:rPr>
          <w:rFonts w:cstheme="minorHAnsi"/>
          <w:noProof/>
        </w:rPr>
        <w:t>(Kalinovski et al., 2016)</w:t>
      </w:r>
      <w:r w:rsidR="00F17B95">
        <w:rPr>
          <w:rFonts w:cstheme="minorHAnsi"/>
        </w:rPr>
        <w:fldChar w:fldCharType="end"/>
      </w:r>
      <w:r w:rsidR="000152E6">
        <w:t>.</w:t>
      </w:r>
    </w:p>
    <w:p w14:paraId="542B38E8" w14:textId="5245B4DA" w:rsidR="005B2F23" w:rsidRDefault="005B2F23" w:rsidP="00F74804">
      <w:pPr>
        <w:pStyle w:val="Heading3"/>
        <w:numPr>
          <w:ilvl w:val="2"/>
          <w:numId w:val="5"/>
        </w:numPr>
        <w:spacing w:line="360" w:lineRule="auto"/>
      </w:pPr>
      <w:r>
        <w:t>Late Glacial Period (15,000 BP)</w:t>
      </w:r>
    </w:p>
    <w:p w14:paraId="3BEFA3D4" w14:textId="1BCDF2A5" w:rsidR="00E3362F" w:rsidRDefault="00EE4FCE" w:rsidP="00F74804">
      <w:pPr>
        <w:spacing w:line="360" w:lineRule="auto"/>
      </w:pPr>
      <w:r>
        <w:t xml:space="preserve">Although </w:t>
      </w:r>
      <w:r w:rsidR="00656BE1">
        <w:t xml:space="preserve">floristic </w:t>
      </w:r>
      <w:r>
        <w:t xml:space="preserve">assemblages from the cold-adapted cluster </w:t>
      </w:r>
      <w:r w:rsidRPr="00EE4FCE">
        <w:rPr>
          <w:i/>
          <w:iCs/>
        </w:rPr>
        <w:t>c</w:t>
      </w:r>
      <w:r>
        <w:t xml:space="preserve"> continue to dominate the highlands, and components of cluster </w:t>
      </w:r>
      <w:r w:rsidRPr="00EE4FCE">
        <w:rPr>
          <w:i/>
          <w:iCs/>
        </w:rPr>
        <w:t>b</w:t>
      </w:r>
      <w:r>
        <w:t xml:space="preserve"> the coastal region, there are notable compositional changes in most areas from the LGM to the Late Glacial. The range shifts that </w:t>
      </w:r>
      <w:r w:rsidR="00486C99">
        <w:t>underpin these are reductions for many of the most cold-adapted species (Cloud Forest and Campos) and expansions for more warm-adapted SDF taxa</w:t>
      </w:r>
      <w:r w:rsidR="005B4D5F">
        <w:t xml:space="preserve">, with most </w:t>
      </w:r>
      <w:r w:rsidR="00ED301C">
        <w:t>A</w:t>
      </w:r>
      <w:r w:rsidR="005B4D5F">
        <w:t xml:space="preserve">MF and </w:t>
      </w:r>
      <w:r w:rsidR="00041C95">
        <w:t>AR</w:t>
      </w:r>
      <w:r w:rsidR="005B4D5F">
        <w:t xml:space="preserve">F species relatively stable over the </w:t>
      </w:r>
      <w:proofErr w:type="gramStart"/>
      <w:r w:rsidR="005B4D5F">
        <w:t>time period</w:t>
      </w:r>
      <w:proofErr w:type="gramEnd"/>
      <w:r w:rsidR="00486C99">
        <w:t>. The main exceptions to these trends are a south-west</w:t>
      </w:r>
      <w:r w:rsidR="005B4D5F">
        <w:t>ern</w:t>
      </w:r>
      <w:r w:rsidR="00486C99">
        <w:t xml:space="preserve"> expansion for </w:t>
      </w:r>
      <w:r w:rsidR="00486C99">
        <w:rPr>
          <w:i/>
          <w:iCs/>
        </w:rPr>
        <w:t xml:space="preserve">Podocarpus </w:t>
      </w:r>
      <w:proofErr w:type="spellStart"/>
      <w:r w:rsidR="00486C99" w:rsidRPr="00486C99">
        <w:rPr>
          <w:i/>
          <w:iCs/>
        </w:rPr>
        <w:t>sellowii</w:t>
      </w:r>
      <w:proofErr w:type="spellEnd"/>
      <w:r w:rsidR="00486C99">
        <w:t xml:space="preserve"> and a</w:t>
      </w:r>
      <w:r w:rsidR="004732D9">
        <w:t>n</w:t>
      </w:r>
      <w:r w:rsidR="00486C99">
        <w:t xml:space="preserve"> </w:t>
      </w:r>
      <w:r w:rsidR="002B2BEF">
        <w:t>east</w:t>
      </w:r>
      <w:r w:rsidR="00486C99">
        <w:t xml:space="preserve">ward consolidation for </w:t>
      </w:r>
      <w:proofErr w:type="spellStart"/>
      <w:r w:rsidR="00486C99">
        <w:rPr>
          <w:i/>
          <w:iCs/>
        </w:rPr>
        <w:t>Dicksonia</w:t>
      </w:r>
      <w:proofErr w:type="spellEnd"/>
      <w:r w:rsidR="00486C99">
        <w:rPr>
          <w:i/>
          <w:iCs/>
        </w:rPr>
        <w:t xml:space="preserve"> </w:t>
      </w:r>
      <w:proofErr w:type="spellStart"/>
      <w:r w:rsidR="00486C99" w:rsidRPr="00486C99">
        <w:rPr>
          <w:i/>
          <w:iCs/>
        </w:rPr>
        <w:t>sellowiana</w:t>
      </w:r>
      <w:proofErr w:type="spellEnd"/>
      <w:r w:rsidR="002B2BEF">
        <w:rPr>
          <w:i/>
          <w:iCs/>
        </w:rPr>
        <w:t>,</w:t>
      </w:r>
      <w:r w:rsidR="002B2BEF">
        <w:t xml:space="preserve"> though</w:t>
      </w:r>
      <w:r w:rsidR="00486C99">
        <w:t xml:space="preserve"> </w:t>
      </w:r>
      <w:r w:rsidR="005B4D5F">
        <w:t xml:space="preserve">the </w:t>
      </w:r>
      <w:r w:rsidR="004B2CEE">
        <w:t xml:space="preserve">potential </w:t>
      </w:r>
      <w:r w:rsidR="005B4D5F">
        <w:t xml:space="preserve">ranges of </w:t>
      </w:r>
      <w:r w:rsidR="00486C99">
        <w:t xml:space="preserve">several </w:t>
      </w:r>
      <w:r w:rsidR="005B4D5F">
        <w:t xml:space="preserve">Campos, Cloud Forest and SDF </w:t>
      </w:r>
      <w:r w:rsidR="004B2CEE">
        <w:t xml:space="preserve">species </w:t>
      </w:r>
      <w:r w:rsidR="005B4D5F">
        <w:t>experience little change from the</w:t>
      </w:r>
      <w:r w:rsidR="00486C99">
        <w:t xml:space="preserve"> LGM. </w:t>
      </w:r>
      <w:r w:rsidR="00E3362F">
        <w:t>At 15,000 BP there is an increased extent of assemblages 31 and 34</w:t>
      </w:r>
      <w:r w:rsidR="001C41E4">
        <w:t>, which expand north and west from their LGM locations in low-elevation areas at our study area’s southern limits and</w:t>
      </w:r>
      <w:r w:rsidR="0083562E">
        <w:t xml:space="preserve"> part of the Uruguay River valley</w:t>
      </w:r>
      <w:r w:rsidR="00B527C5">
        <w:t xml:space="preserve">. </w:t>
      </w:r>
      <w:r w:rsidR="005B4D5F">
        <w:t xml:space="preserve">Rather than being true reflections of </w:t>
      </w:r>
      <w:r w:rsidR="00BB288B">
        <w:t>probable</w:t>
      </w:r>
      <w:r w:rsidR="005B4D5F">
        <w:t xml:space="preserve"> communities, however, t</w:t>
      </w:r>
      <w:r w:rsidR="00B527C5">
        <w:t xml:space="preserve">hese assemblages </w:t>
      </w:r>
      <w:r w:rsidR="005B4D5F">
        <w:t xml:space="preserve">are more likely to denote areas that are </w:t>
      </w:r>
      <w:r w:rsidR="001C41E4">
        <w:t xml:space="preserve">suitable for few of </w:t>
      </w:r>
      <w:r w:rsidR="00B527C5">
        <w:t xml:space="preserve">our modelled species </w:t>
      </w:r>
      <w:r w:rsidR="00C80ACB">
        <w:t>(</w:t>
      </w:r>
      <w:r w:rsidR="00CA27D2">
        <w:t>Fig. S1</w:t>
      </w:r>
      <w:r w:rsidR="00B16B76">
        <w:t>0</w:t>
      </w:r>
      <w:r w:rsidR="00C80ACB">
        <w:t>)</w:t>
      </w:r>
      <w:r w:rsidR="00CD789E">
        <w:t>.</w:t>
      </w:r>
    </w:p>
    <w:p w14:paraId="67B68E7E" w14:textId="0FB4C9BE" w:rsidR="00660EA2" w:rsidRDefault="004B2CEE" w:rsidP="00F74804">
      <w:pPr>
        <w:spacing w:line="360" w:lineRule="auto"/>
      </w:pPr>
      <w:r>
        <w:t xml:space="preserve">Most </w:t>
      </w:r>
      <w:r w:rsidR="008D2580">
        <w:t xml:space="preserve">of </w:t>
      </w:r>
      <w:r w:rsidR="005B4D5F">
        <w:t>the</w:t>
      </w:r>
      <w:r w:rsidR="008D2580">
        <w:t xml:space="preserve"> </w:t>
      </w:r>
      <w:r>
        <w:t xml:space="preserve">predicted </w:t>
      </w:r>
      <w:r w:rsidR="008D2580">
        <w:t xml:space="preserve">changes </w:t>
      </w:r>
      <w:r w:rsidR="005B4D5F">
        <w:t xml:space="preserve">between the LGM and Late Glacial </w:t>
      </w:r>
      <w:r w:rsidR="008D2580">
        <w:t xml:space="preserve">occur in areas </w:t>
      </w:r>
      <w:r w:rsidR="00251EAF">
        <w:t xml:space="preserve">not covered by </w:t>
      </w:r>
      <w:proofErr w:type="spellStart"/>
      <w:r w:rsidR="008D2580">
        <w:t>palaeo</w:t>
      </w:r>
      <w:proofErr w:type="spellEnd"/>
      <w:r w:rsidR="008D2580">
        <w:t>-</w:t>
      </w:r>
      <w:r w:rsidR="00743757">
        <w:t>data</w:t>
      </w:r>
      <w:r w:rsidR="008D2580">
        <w:t xml:space="preserve"> sites</w:t>
      </w:r>
      <w:r w:rsidR="00251EAF">
        <w:t xml:space="preserve">, making </w:t>
      </w:r>
      <w:r>
        <w:t xml:space="preserve">it difficult </w:t>
      </w:r>
      <w:r w:rsidR="00251EAF">
        <w:t>to discern</w:t>
      </w:r>
      <w:r>
        <w:t xml:space="preserve"> their accuracy</w:t>
      </w:r>
      <w:r w:rsidR="00251EAF">
        <w:t xml:space="preserve">. </w:t>
      </w:r>
      <w:r w:rsidR="00A04E94">
        <w:t>Most sites in our study area do show</w:t>
      </w:r>
      <w:r w:rsidR="00D16D2A">
        <w:t xml:space="preserve"> modest </w:t>
      </w:r>
      <w:r w:rsidR="00A04E94">
        <w:t>increases in forest pollen between 18,000 and 15,000 BP,</w:t>
      </w:r>
      <w:r>
        <w:t xml:space="preserve"> in line with predictions of more range expansions for forest species</w:t>
      </w:r>
      <w:r w:rsidR="00A04E94">
        <w:t xml:space="preserve"> </w:t>
      </w:r>
      <w:r>
        <w:t xml:space="preserve">than herbs, </w:t>
      </w:r>
      <w:r w:rsidR="00A04E94">
        <w:t xml:space="preserve">though </w:t>
      </w:r>
      <w:r w:rsidR="00363315">
        <w:t xml:space="preserve">fossil pollen from </w:t>
      </w:r>
      <w:r w:rsidR="00B55E9D">
        <w:t xml:space="preserve">the growing cluster of south-eastern </w:t>
      </w:r>
      <w:r w:rsidR="00330EED">
        <w:t>plateau</w:t>
      </w:r>
      <w:r w:rsidR="00B55E9D">
        <w:t xml:space="preserve"> sites remains </w:t>
      </w:r>
      <w:r w:rsidR="00363315">
        <w:t>≥90% grassland</w:t>
      </w:r>
      <w:r w:rsidR="00616B99">
        <w:t xml:space="preserve"> taxa. The largest increases in forest pollen are found in GeoB2107 and </w:t>
      </w:r>
      <w:proofErr w:type="spellStart"/>
      <w:r w:rsidR="00616B99">
        <w:t>Curucutu</w:t>
      </w:r>
      <w:proofErr w:type="spellEnd"/>
      <w:r w:rsidR="00616B99">
        <w:t xml:space="preserve">, </w:t>
      </w:r>
      <w:r w:rsidR="00B96AAE">
        <w:t xml:space="preserve">reaching 33% of the total in each. </w:t>
      </w:r>
      <w:r w:rsidR="00BC628C">
        <w:t>GeoB2107’s arboreal pollen also becomes more diverse</w:t>
      </w:r>
      <w:r w:rsidR="00B57AD4">
        <w:t xml:space="preserve">, </w:t>
      </w:r>
      <w:r w:rsidR="008D244B">
        <w:t xml:space="preserve">with </w:t>
      </w:r>
      <w:r w:rsidR="00FD31B3">
        <w:t xml:space="preserve">notable </w:t>
      </w:r>
      <w:r w:rsidR="008D244B">
        <w:t xml:space="preserve">increases </w:t>
      </w:r>
      <w:r w:rsidR="00FD31B3">
        <w:t xml:space="preserve">of </w:t>
      </w:r>
      <w:proofErr w:type="spellStart"/>
      <w:r w:rsidR="008D244B">
        <w:t>Moraceae</w:t>
      </w:r>
      <w:proofErr w:type="spellEnd"/>
      <w:r w:rsidR="008D244B">
        <w:t xml:space="preserve">/Urticaceae, </w:t>
      </w:r>
      <w:proofErr w:type="spellStart"/>
      <w:r w:rsidR="0073069E">
        <w:t>Melastomataceae</w:t>
      </w:r>
      <w:proofErr w:type="spellEnd"/>
      <w:r w:rsidR="0073069E">
        <w:t xml:space="preserve"> and </w:t>
      </w:r>
      <w:r w:rsidR="008D244B">
        <w:rPr>
          <w:i/>
          <w:iCs/>
        </w:rPr>
        <w:lastRenderedPageBreak/>
        <w:t>Celtis</w:t>
      </w:r>
      <w:r w:rsidR="00FD31B3">
        <w:t xml:space="preserve">, </w:t>
      </w:r>
      <w:r w:rsidR="00BC628C">
        <w:t xml:space="preserve">while </w:t>
      </w:r>
      <w:r w:rsidR="00236C8B">
        <w:t>previously established taxa</w:t>
      </w:r>
      <w:r w:rsidR="00BC628C">
        <w:t xml:space="preserve"> such as </w:t>
      </w:r>
      <w:proofErr w:type="spellStart"/>
      <w:r w:rsidR="00BC628C">
        <w:rPr>
          <w:i/>
          <w:iCs/>
        </w:rPr>
        <w:t>Alchornea</w:t>
      </w:r>
      <w:proofErr w:type="spellEnd"/>
      <w:r w:rsidR="00BC628C">
        <w:rPr>
          <w:i/>
          <w:iCs/>
        </w:rPr>
        <w:t xml:space="preserve">, Araucaria </w:t>
      </w:r>
      <w:r w:rsidR="00BC628C" w:rsidRPr="00BC628C">
        <w:t>and</w:t>
      </w:r>
      <w:r w:rsidR="00BC628C">
        <w:rPr>
          <w:i/>
          <w:iCs/>
        </w:rPr>
        <w:t xml:space="preserve"> Podocarpus </w:t>
      </w:r>
      <w:r w:rsidR="00BC628C" w:rsidRPr="00BC628C">
        <w:t>are maintained.</w:t>
      </w:r>
      <w:r w:rsidR="00DA3394">
        <w:t xml:space="preserve"> </w:t>
      </w:r>
      <w:r w:rsidR="00A340DB">
        <w:t xml:space="preserve">This might </w:t>
      </w:r>
      <w:r w:rsidR="00A662A1">
        <w:t xml:space="preserve">support the </w:t>
      </w:r>
      <w:r w:rsidR="007D028E">
        <w:t xml:space="preserve">predicted </w:t>
      </w:r>
      <w:r w:rsidR="00AF407E">
        <w:t xml:space="preserve">development </w:t>
      </w:r>
      <w:r w:rsidR="00A662A1">
        <w:t xml:space="preserve">of </w:t>
      </w:r>
      <w:r w:rsidR="00AF407E">
        <w:t>assemblage 7 at</w:t>
      </w:r>
      <w:r w:rsidR="00246EB2">
        <w:t xml:space="preserve"> </w:t>
      </w:r>
      <w:r w:rsidR="00AF407E">
        <w:t xml:space="preserve">the expense of assemblage 9 </w:t>
      </w:r>
      <w:r w:rsidR="00EE3B6C">
        <w:t xml:space="preserve">on the north-central continental shelf: </w:t>
      </w:r>
      <w:r w:rsidR="00D76281">
        <w:t xml:space="preserve">the former </w:t>
      </w:r>
      <w:r w:rsidR="00EE3B6C">
        <w:t>is more dominated by warm-adapted tropical trees</w:t>
      </w:r>
      <w:r w:rsidR="00D76281">
        <w:t xml:space="preserve">, with cold-adapted Campos, Cloud </w:t>
      </w:r>
      <w:proofErr w:type="gramStart"/>
      <w:r w:rsidR="00D76281">
        <w:t>Forest</w:t>
      </w:r>
      <w:proofErr w:type="gramEnd"/>
      <w:r w:rsidR="00D76281">
        <w:t xml:space="preserve"> and </w:t>
      </w:r>
      <w:r w:rsidR="00ED301C">
        <w:t>A</w:t>
      </w:r>
      <w:r w:rsidR="00D76281">
        <w:t>MF species less prevalent than in assemblage 9.</w:t>
      </w:r>
      <w:r w:rsidR="000E50C4">
        <w:t xml:space="preserve"> A notable proxy site which first </w:t>
      </w:r>
      <w:r w:rsidR="00241D5B">
        <w:t>covers the 15,000 BP time</w:t>
      </w:r>
      <w:r w:rsidR="0092530B">
        <w:t xml:space="preserve"> </w:t>
      </w:r>
      <w:r w:rsidR="00241D5B">
        <w:t xml:space="preserve">slice is </w:t>
      </w:r>
      <w:proofErr w:type="spellStart"/>
      <w:r w:rsidR="00241D5B">
        <w:t>Buriti</w:t>
      </w:r>
      <w:proofErr w:type="spellEnd"/>
      <w:r w:rsidR="00241D5B">
        <w:t xml:space="preserve"> </w:t>
      </w:r>
      <w:r w:rsidR="00241D5B">
        <w:fldChar w:fldCharType="begin" w:fldLock="1"/>
      </w:r>
      <w:r w:rsidR="001A3861">
        <w:instrText>ADDIN CSL_CITATION {"citationItems":[{"id":"ITEM-1","itemData":{"abstract":"Among the forest formations of southern and southeastern of Brazil, the Araucaria Pine Forest is considered one of the most sensitive to climatic variations. Several paleoenvironmental studies try to identify the time at which this type of forest was established in southern Brazil. This paper aims to present the Araucaria Pine Forest records in southwestern and southern Paraná State, from palynological and geochronological data. This study was developed in the State Conservation Unit, Área de Relevante Interesse Ecológico do Buriti, PatoBranco, Paraná State. Frompollen analysis, the presence of 37 taxa was recorded.The record of Araucaria is at least 13,400 years BP (est.), one of the oldest records ever found in the state of Paraná. The expansion of Araucaria and Podocarpus around 4,210 years BP indicates that the climate was cooler and wetter, with well distributed rainfall. RESUMO -(Registro de Floresta Ombrófila Mista nas regiões sudoeste e sul do do Estado do Paraná, Brasil, durante o Pleistoceno/Holoceno). Dentre as formações florestais do sul e sudeste do Brasil, a Floresta Ombrófila Mista é considerada uma das mais sensíveis às variações climáticas. Vários estudos paleoambientais buscam identificar em que época esse tipo de floresta se estabeleceu no sul do Brasil. Este artigo tem como objetivo apresentar o registro da Floresta Ombrófila Mista na região sudoeste e sul do Estado do Paraná, a partir de dados palinológicos e geocronológicos. Este estudo foi desenvolvido na Unidade de Conservação Estadual Área de Relevante Interesse Ecológico do Buriti, município de Pato Branco, PR, Brasil. Na análise palinológica foi registrado a presença de 37 táxons, sendo que, o registro de Araucaria é de pelo menos 13.400 anos AP 14C (est.), portanto, um dos registros mais antigos já encontrados no Estado do Paraná. A expansão de Araucaria e Podocarpus em torno de 4.210 anos A.P. indica que o clima era mais frio e mais úmido, com chuvas bem distribuídas. Palavras-chave: Araucária, palinomorfos, Quaternário","author":[{"dropping-particle":"","family":"Bertoldo","given":"Édson","non-dropping-particle":"","parse-names":false,"suffix":""},{"dropping-particle":"","family":"Paisani","given":"Julio Cesar","non-dropping-particle":"","parse-names":false,"suffix":""},{"dropping-particle":"de","family":"Oliveira","given":"Paulo Eduardo","non-dropping-particle":"","parse-names":false,"suffix":""}],"container-title":"Hoehnea","id":"ITEM-1","issue":"41","issued":{"date-parts":[["2014"]]},"note":"TerIv &amp;amp; TrinR","page":"1-8","title":"Registro de Floresta Ombrófila Mista nas regiões sudoeste e sul do Estado do Paraná, Brasil, durante o Pleistoceno / Holoceno","type":"article-journal","volume":"1"},"uris":["http://www.mendeley.com/documents/?uuid=f407c3cf-8834-34a5-b98f-97ade6f251ac"]}],"mendeley":{"formattedCitation":"(Bertoldo et al., 2014)","plainTextFormattedCitation":"(Bertoldo et al., 2014)","previouslyFormattedCitation":"(Bertoldo et al., 2014)"},"properties":{"noteIndex":0},"schema":"https://github.com/citation-style-language/schema/raw/master/csl-citation.json"}</w:instrText>
      </w:r>
      <w:r w:rsidR="00241D5B">
        <w:fldChar w:fldCharType="separate"/>
      </w:r>
      <w:r w:rsidR="001560FC" w:rsidRPr="001560FC">
        <w:rPr>
          <w:noProof/>
        </w:rPr>
        <w:t>(Bertoldo et al., 2014)</w:t>
      </w:r>
      <w:r w:rsidR="00241D5B">
        <w:fldChar w:fldCharType="end"/>
      </w:r>
      <w:r w:rsidR="006E7DC9">
        <w:t>:</w:t>
      </w:r>
      <w:r w:rsidR="00E31432">
        <w:t xml:space="preserve"> </w:t>
      </w:r>
      <w:r w:rsidR="006E7DC9">
        <w:t xml:space="preserve">at this time </w:t>
      </w:r>
      <w:r w:rsidR="00DD1EB2">
        <w:t>period</w:t>
      </w:r>
      <w:r w:rsidR="006E7DC9">
        <w:t xml:space="preserve">, </w:t>
      </w:r>
      <w:r w:rsidR="006A315D">
        <w:t xml:space="preserve">91% of </w:t>
      </w:r>
      <w:proofErr w:type="spellStart"/>
      <w:r w:rsidR="00B751F6">
        <w:t>Buriti’</w:t>
      </w:r>
      <w:r w:rsidR="006A315D">
        <w:t>s</w:t>
      </w:r>
      <w:proofErr w:type="spellEnd"/>
      <w:r w:rsidR="006A315D">
        <w:t xml:space="preserve"> pollen </w:t>
      </w:r>
      <w:r w:rsidR="00522C02">
        <w:t xml:space="preserve">comes from tree taxa – </w:t>
      </w:r>
      <w:r w:rsidR="006E7DC9">
        <w:t xml:space="preserve">a proportion far higher than any other site </w:t>
      </w:r>
      <w:r w:rsidR="00E31432">
        <w:t>at this period</w:t>
      </w:r>
      <w:r w:rsidR="00493953">
        <w:t xml:space="preserve"> – with</w:t>
      </w:r>
      <w:r w:rsidR="00361293">
        <w:t xml:space="preserve"> </w:t>
      </w:r>
      <w:r w:rsidR="00361293">
        <w:rPr>
          <w:i/>
          <w:iCs/>
        </w:rPr>
        <w:t xml:space="preserve">Araucaria </w:t>
      </w:r>
      <w:r w:rsidR="00361293">
        <w:t xml:space="preserve">(ca. 20%), </w:t>
      </w:r>
      <w:r w:rsidR="00EF69B1">
        <w:rPr>
          <w:i/>
          <w:iCs/>
        </w:rPr>
        <w:t xml:space="preserve">Ilex </w:t>
      </w:r>
      <w:r w:rsidR="00EF69B1">
        <w:t xml:space="preserve">and </w:t>
      </w:r>
      <w:r w:rsidR="00EF69B1">
        <w:rPr>
          <w:i/>
          <w:iCs/>
        </w:rPr>
        <w:t>Podocarpus</w:t>
      </w:r>
      <w:r w:rsidR="00EF69B1">
        <w:t xml:space="preserve"> (15-20%)</w:t>
      </w:r>
      <w:r w:rsidR="00493953">
        <w:t xml:space="preserve"> the main contributors</w:t>
      </w:r>
      <w:r w:rsidR="006E7DC9">
        <w:t>.</w:t>
      </w:r>
      <w:r w:rsidR="00FB18BE">
        <w:t xml:space="preserve"> </w:t>
      </w:r>
      <w:r w:rsidR="006E7DC9">
        <w:t xml:space="preserve">This </w:t>
      </w:r>
      <w:r w:rsidR="002C3101">
        <w:t xml:space="preserve">would suggest that </w:t>
      </w:r>
      <w:r w:rsidR="00FB18BE">
        <w:t xml:space="preserve">at least </w:t>
      </w:r>
      <w:r w:rsidR="00381320">
        <w:t xml:space="preserve">some </w:t>
      </w:r>
      <w:r w:rsidR="00EB5286">
        <w:t xml:space="preserve">western areas in our study area – around assemblages 29, </w:t>
      </w:r>
      <w:r w:rsidR="00A14E80">
        <w:t xml:space="preserve">26 and 34 – </w:t>
      </w:r>
      <w:r w:rsidR="00D77653">
        <w:t>had</w:t>
      </w:r>
      <w:r w:rsidR="00A14E80">
        <w:t xml:space="preserve"> </w:t>
      </w:r>
      <w:r w:rsidR="00907108">
        <w:t>A</w:t>
      </w:r>
      <w:r w:rsidR="00A14E80">
        <w:t xml:space="preserve">MF-like </w:t>
      </w:r>
      <w:r w:rsidR="000631E5">
        <w:t>forest</w:t>
      </w:r>
      <w:r w:rsidR="00FA4902">
        <w:t xml:space="preserve"> </w:t>
      </w:r>
      <w:r w:rsidR="00D77653">
        <w:t xml:space="preserve">cover </w:t>
      </w:r>
      <w:r w:rsidR="006E7DC9">
        <w:t xml:space="preserve">at </w:t>
      </w:r>
      <w:r w:rsidR="00FA4902">
        <w:t>15,000 BP.</w:t>
      </w:r>
    </w:p>
    <w:p w14:paraId="698A81F5" w14:textId="68FF735E" w:rsidR="005B2F23" w:rsidRDefault="005B2F23" w:rsidP="00F74804">
      <w:pPr>
        <w:pStyle w:val="Heading3"/>
        <w:numPr>
          <w:ilvl w:val="2"/>
          <w:numId w:val="5"/>
        </w:numPr>
        <w:spacing w:line="360" w:lineRule="auto"/>
      </w:pPr>
      <w:r>
        <w:t>Early Holocene (</w:t>
      </w:r>
      <w:r w:rsidR="002E3DF1">
        <w:t>12,000 – 9,000 BP)</w:t>
      </w:r>
    </w:p>
    <w:p w14:paraId="0358CA8B" w14:textId="79D3FC1B" w:rsidR="00A65A02" w:rsidRDefault="0048487A" w:rsidP="00F74804">
      <w:pPr>
        <w:spacing w:line="360" w:lineRule="auto"/>
      </w:pPr>
      <w:r>
        <w:t xml:space="preserve">The change between 15,000 BP </w:t>
      </w:r>
      <w:r w:rsidR="002436F4">
        <w:t xml:space="preserve">and 12,000 BP, the transition from the </w:t>
      </w:r>
      <w:r w:rsidR="000710E3">
        <w:t>L</w:t>
      </w:r>
      <w:r w:rsidR="002436F4">
        <w:t xml:space="preserve">ate </w:t>
      </w:r>
      <w:r w:rsidR="000710E3">
        <w:t>G</w:t>
      </w:r>
      <w:r w:rsidR="002436F4">
        <w:t xml:space="preserve">lacial to the Holocene, is the greatest </w:t>
      </w:r>
      <w:r w:rsidR="001D4F47">
        <w:t xml:space="preserve">among </w:t>
      </w:r>
      <w:r w:rsidR="002436F4">
        <w:t xml:space="preserve">any of our </w:t>
      </w:r>
      <w:r w:rsidR="003C78AE">
        <w:t xml:space="preserve">past </w:t>
      </w:r>
      <w:r w:rsidR="002436F4">
        <w:t>time</w:t>
      </w:r>
      <w:r w:rsidR="00DD1EB2">
        <w:t xml:space="preserve"> </w:t>
      </w:r>
      <w:r w:rsidR="002436F4">
        <w:t>slices</w:t>
      </w:r>
      <w:r w:rsidR="001D4F47">
        <w:t xml:space="preserve">, especially in </w:t>
      </w:r>
      <w:r w:rsidR="00292715">
        <w:t>our study area’s</w:t>
      </w:r>
      <w:r w:rsidR="001D4F47">
        <w:t xml:space="preserve"> south</w:t>
      </w:r>
      <w:r w:rsidR="0067468E">
        <w:t xml:space="preserve"> and </w:t>
      </w:r>
      <w:r w:rsidR="001D4F47">
        <w:t>west</w:t>
      </w:r>
      <w:r w:rsidR="002436F4">
        <w:t>.</w:t>
      </w:r>
      <w:r w:rsidR="00B15922">
        <w:t xml:space="preserve"> </w:t>
      </w:r>
      <w:r w:rsidR="004D0337">
        <w:t>Here, areas previously characterised by</w:t>
      </w:r>
      <w:r w:rsidR="00722FA7">
        <w:t xml:space="preserve"> </w:t>
      </w:r>
      <w:r w:rsidR="00F8505F">
        <w:t xml:space="preserve">the </w:t>
      </w:r>
      <w:r w:rsidR="00722FA7">
        <w:t xml:space="preserve">cold-adapted </w:t>
      </w:r>
      <w:r w:rsidR="005731EC">
        <w:t xml:space="preserve">floristic </w:t>
      </w:r>
      <w:r w:rsidR="004D0337">
        <w:t>assemblage</w:t>
      </w:r>
      <w:r w:rsidR="00F8505F">
        <w:t xml:space="preserve"> </w:t>
      </w:r>
      <w:r w:rsidR="004D0337">
        <w:t>29</w:t>
      </w:r>
      <w:r w:rsidR="00F8505F">
        <w:t xml:space="preserve"> undergo</w:t>
      </w:r>
      <w:r w:rsidR="003C0646">
        <w:t xml:space="preserve"> significant compositional changes</w:t>
      </w:r>
      <w:r w:rsidR="0067468E">
        <w:t xml:space="preserve">, becoming the </w:t>
      </w:r>
      <w:r w:rsidR="0029007D">
        <w:t>largely novel</w:t>
      </w:r>
      <w:r w:rsidR="00883939">
        <w:t xml:space="preserve"> </w:t>
      </w:r>
      <w:r w:rsidR="0067468E">
        <w:t xml:space="preserve">SDF-like assemblages </w:t>
      </w:r>
      <w:r w:rsidR="00474595">
        <w:t xml:space="preserve">20 and 30, with areas of </w:t>
      </w:r>
      <w:r w:rsidR="005C0612">
        <w:t xml:space="preserve">modern-day SDF </w:t>
      </w:r>
      <w:r w:rsidR="00474595">
        <w:t>assemblages 5, 16 and 6.</w:t>
      </w:r>
      <w:r w:rsidR="003C0646">
        <w:t xml:space="preserve"> </w:t>
      </w:r>
      <w:r w:rsidR="00BE30F8">
        <w:t xml:space="preserve">This </w:t>
      </w:r>
      <w:r w:rsidR="00474595">
        <w:t xml:space="preserve">change </w:t>
      </w:r>
      <w:r w:rsidR="00BE30F8">
        <w:t>is broadly driven by th</w:t>
      </w:r>
      <w:r w:rsidR="00292715">
        <w:t>is area’s</w:t>
      </w:r>
      <w:r w:rsidR="00BE30F8">
        <w:t xml:space="preserve"> </w:t>
      </w:r>
      <w:r w:rsidR="00D22775">
        <w:t xml:space="preserve">loss of formerly widespread cold-adapted taxa </w:t>
      </w:r>
      <w:r w:rsidR="00E55580">
        <w:t>(</w:t>
      </w:r>
      <w:r w:rsidR="00D22775">
        <w:rPr>
          <w:i/>
          <w:iCs/>
        </w:rPr>
        <w:t xml:space="preserve">Ilex </w:t>
      </w:r>
      <w:proofErr w:type="spellStart"/>
      <w:r w:rsidR="00D22775">
        <w:rPr>
          <w:i/>
          <w:iCs/>
        </w:rPr>
        <w:t>microdonta</w:t>
      </w:r>
      <w:proofErr w:type="spellEnd"/>
      <w:r w:rsidR="00D22775">
        <w:rPr>
          <w:i/>
          <w:iCs/>
        </w:rPr>
        <w:t xml:space="preserve">, </w:t>
      </w:r>
      <w:proofErr w:type="spellStart"/>
      <w:r w:rsidR="00D22775">
        <w:rPr>
          <w:i/>
          <w:iCs/>
        </w:rPr>
        <w:t>Hypochaeris</w:t>
      </w:r>
      <w:proofErr w:type="spellEnd"/>
      <w:r w:rsidR="00D22775">
        <w:rPr>
          <w:i/>
          <w:iCs/>
        </w:rPr>
        <w:t xml:space="preserve"> lutea </w:t>
      </w:r>
      <w:r w:rsidR="00D22775" w:rsidRPr="00D5469D">
        <w:t>and</w:t>
      </w:r>
      <w:r w:rsidR="00D22775">
        <w:rPr>
          <w:i/>
          <w:iCs/>
        </w:rPr>
        <w:t xml:space="preserve"> </w:t>
      </w:r>
      <w:proofErr w:type="spellStart"/>
      <w:r w:rsidR="00D22775">
        <w:rPr>
          <w:i/>
          <w:iCs/>
        </w:rPr>
        <w:t>Schizach</w:t>
      </w:r>
      <w:r w:rsidR="00036F50">
        <w:rPr>
          <w:i/>
          <w:iCs/>
        </w:rPr>
        <w:t>y</w:t>
      </w:r>
      <w:r w:rsidR="00D22775">
        <w:rPr>
          <w:i/>
          <w:iCs/>
        </w:rPr>
        <w:t>rium</w:t>
      </w:r>
      <w:proofErr w:type="spellEnd"/>
      <w:r w:rsidR="00D22775">
        <w:rPr>
          <w:i/>
          <w:iCs/>
        </w:rPr>
        <w:t xml:space="preserve"> </w:t>
      </w:r>
      <w:proofErr w:type="spellStart"/>
      <w:r w:rsidR="00D22775">
        <w:rPr>
          <w:i/>
          <w:iCs/>
        </w:rPr>
        <w:t>tenerum</w:t>
      </w:r>
      <w:proofErr w:type="spellEnd"/>
      <w:r w:rsidR="00E55580">
        <w:t>)</w:t>
      </w:r>
      <w:r w:rsidR="00D22775">
        <w:t>,</w:t>
      </w:r>
      <w:r w:rsidR="00055F96">
        <w:t xml:space="preserve"> and the expansion into it of SDF/lowland </w:t>
      </w:r>
      <w:r w:rsidR="003C1E20">
        <w:t>A</w:t>
      </w:r>
      <w:r w:rsidR="00055F96">
        <w:t>MF</w:t>
      </w:r>
      <w:r w:rsidR="00F93C45">
        <w:t xml:space="preserve"> </w:t>
      </w:r>
      <w:r w:rsidR="00055F96">
        <w:t xml:space="preserve">species </w:t>
      </w:r>
      <w:r w:rsidR="00E55580">
        <w:t xml:space="preserve">(mainly </w:t>
      </w:r>
      <w:proofErr w:type="spellStart"/>
      <w:r w:rsidR="00055F96">
        <w:rPr>
          <w:i/>
          <w:iCs/>
        </w:rPr>
        <w:t>Matayba</w:t>
      </w:r>
      <w:proofErr w:type="spellEnd"/>
      <w:r w:rsidR="00055F96">
        <w:rPr>
          <w:i/>
          <w:iCs/>
        </w:rPr>
        <w:t xml:space="preserve"> </w:t>
      </w:r>
      <w:proofErr w:type="spellStart"/>
      <w:r w:rsidR="00055F96">
        <w:rPr>
          <w:i/>
          <w:iCs/>
        </w:rPr>
        <w:t>elaeagnoides</w:t>
      </w:r>
      <w:proofErr w:type="spellEnd"/>
      <w:r w:rsidR="00055F96">
        <w:rPr>
          <w:i/>
          <w:iCs/>
        </w:rPr>
        <w:t xml:space="preserve">, </w:t>
      </w:r>
      <w:proofErr w:type="spellStart"/>
      <w:r w:rsidR="00055F96">
        <w:rPr>
          <w:i/>
          <w:iCs/>
        </w:rPr>
        <w:t>Cupania</w:t>
      </w:r>
      <w:proofErr w:type="spellEnd"/>
      <w:r w:rsidR="00055F96">
        <w:rPr>
          <w:i/>
          <w:iCs/>
        </w:rPr>
        <w:t xml:space="preserve"> </w:t>
      </w:r>
      <w:proofErr w:type="spellStart"/>
      <w:r w:rsidR="00055F96">
        <w:rPr>
          <w:i/>
          <w:iCs/>
        </w:rPr>
        <w:t>vernalis</w:t>
      </w:r>
      <w:proofErr w:type="spellEnd"/>
      <w:r w:rsidR="00846299">
        <w:rPr>
          <w:i/>
          <w:iCs/>
        </w:rPr>
        <w:t xml:space="preserve"> </w:t>
      </w:r>
      <w:r w:rsidR="00846299">
        <w:t>and</w:t>
      </w:r>
      <w:r w:rsidR="00055F96">
        <w:rPr>
          <w:i/>
          <w:iCs/>
        </w:rPr>
        <w:t xml:space="preserve"> </w:t>
      </w:r>
      <w:proofErr w:type="spellStart"/>
      <w:r w:rsidR="00055F96">
        <w:rPr>
          <w:i/>
          <w:iCs/>
        </w:rPr>
        <w:t>Luehea</w:t>
      </w:r>
      <w:proofErr w:type="spellEnd"/>
      <w:r w:rsidR="00055F96">
        <w:rPr>
          <w:i/>
          <w:iCs/>
        </w:rPr>
        <w:t xml:space="preserve"> </w:t>
      </w:r>
      <w:proofErr w:type="spellStart"/>
      <w:r w:rsidR="00055F96">
        <w:rPr>
          <w:i/>
          <w:iCs/>
        </w:rPr>
        <w:t>divaricata</w:t>
      </w:r>
      <w:proofErr w:type="spellEnd"/>
      <w:r w:rsidR="00E55580">
        <w:t>)</w:t>
      </w:r>
      <w:r w:rsidR="00846299" w:rsidRPr="00716AF6">
        <w:t>.</w:t>
      </w:r>
      <w:r w:rsidR="004D1367">
        <w:t xml:space="preserve"> </w:t>
      </w:r>
      <w:r w:rsidR="005D42DE">
        <w:t xml:space="preserve">With some changes between these assemblages, this </w:t>
      </w:r>
      <w:r w:rsidR="006E7DC9">
        <w:t>band</w:t>
      </w:r>
      <w:r w:rsidR="00090E6E">
        <w:t xml:space="preserve"> of more warm-adapted vegetation </w:t>
      </w:r>
      <w:r w:rsidR="005D42DE">
        <w:t xml:space="preserve">remains </w:t>
      </w:r>
      <w:r w:rsidR="00DD1EB2">
        <w:t xml:space="preserve">until </w:t>
      </w:r>
      <w:r w:rsidR="00090E6E">
        <w:t>9,000 BP</w:t>
      </w:r>
      <w:r w:rsidR="005C0612">
        <w:t>.</w:t>
      </w:r>
    </w:p>
    <w:p w14:paraId="24224BF7" w14:textId="23B7C5A3" w:rsidR="005C0612" w:rsidRDefault="000710E3" w:rsidP="00F74804">
      <w:pPr>
        <w:spacing w:line="360" w:lineRule="auto"/>
      </w:pPr>
      <w:r>
        <w:t>Unfortunately, t</w:t>
      </w:r>
      <w:r w:rsidR="005C0612">
        <w:t>he dearth of</w:t>
      </w:r>
      <w:r w:rsidR="00B15F7E">
        <w:t xml:space="preserve"> </w:t>
      </w:r>
      <w:r w:rsidR="005C0612">
        <w:t xml:space="preserve">palaeoecological </w:t>
      </w:r>
      <w:r w:rsidR="00B15F7E">
        <w:t xml:space="preserve">records covering this </w:t>
      </w:r>
      <w:r w:rsidR="00DD1EB2">
        <w:t>period</w:t>
      </w:r>
      <w:r w:rsidR="00B15F7E">
        <w:t xml:space="preserve"> and area </w:t>
      </w:r>
      <w:r w:rsidR="009A0D45">
        <w:t xml:space="preserve">mean there is </w:t>
      </w:r>
      <w:r w:rsidR="00207B13">
        <w:t>sparse</w:t>
      </w:r>
      <w:r w:rsidR="009A0D45">
        <w:t xml:space="preserve"> evidence against which to </w:t>
      </w:r>
      <w:r w:rsidR="00845026">
        <w:t>assess</w:t>
      </w:r>
      <w:r w:rsidR="009A0D45">
        <w:t xml:space="preserve"> </w:t>
      </w:r>
      <w:r w:rsidR="00845026">
        <w:t>our model</w:t>
      </w:r>
      <w:r w:rsidR="009A0D45">
        <w:t xml:space="preserve"> </w:t>
      </w:r>
      <w:r w:rsidR="007C64B0">
        <w:t xml:space="preserve">predictions. </w:t>
      </w:r>
      <w:r w:rsidR="00F72B27">
        <w:t xml:space="preserve">In its northern reaches, </w:t>
      </w:r>
      <w:proofErr w:type="spellStart"/>
      <w:r w:rsidR="0033799B">
        <w:t>Buriti</w:t>
      </w:r>
      <w:proofErr w:type="spellEnd"/>
      <w:r w:rsidR="00D85B6E">
        <w:t xml:space="preserve"> – </w:t>
      </w:r>
      <w:r w:rsidR="0033799B">
        <w:t xml:space="preserve">the only site </w:t>
      </w:r>
      <w:r w:rsidR="00F72B27">
        <w:t>available</w:t>
      </w:r>
      <w:r w:rsidR="0033799B">
        <w:t xml:space="preserve"> at 12,000 BP</w:t>
      </w:r>
      <w:r w:rsidR="00D85B6E">
        <w:t xml:space="preserve"> – </w:t>
      </w:r>
      <w:r w:rsidR="0033799B">
        <w:t>experiences l</w:t>
      </w:r>
      <w:r w:rsidR="004652D3">
        <w:t xml:space="preserve">arge increases in Asteraceae pollen </w:t>
      </w:r>
      <w:r w:rsidR="00D85B6E">
        <w:t xml:space="preserve">that </w:t>
      </w:r>
      <w:r w:rsidR="004652D3">
        <w:t>reduce</w:t>
      </w:r>
      <w:r w:rsidR="009719BD">
        <w:t xml:space="preserve"> </w:t>
      </w:r>
      <w:r w:rsidR="001B3BA8">
        <w:t>its</w:t>
      </w:r>
      <w:r w:rsidR="004652D3">
        <w:t xml:space="preserve"> </w:t>
      </w:r>
      <w:r w:rsidR="0032583B">
        <w:t xml:space="preserve">forest pollen </w:t>
      </w:r>
      <w:r w:rsidR="00720B39">
        <w:t>from 91% to</w:t>
      </w:r>
      <w:r w:rsidR="0032583B">
        <w:t xml:space="preserve"> 65%</w:t>
      </w:r>
      <w:r w:rsidR="00720B39">
        <w:t>, then</w:t>
      </w:r>
      <w:r w:rsidR="00AB70B9">
        <w:t xml:space="preserve"> 55%</w:t>
      </w:r>
      <w:r w:rsidR="009C041D">
        <w:t xml:space="preserve"> at</w:t>
      </w:r>
      <w:r w:rsidR="00AB70B9">
        <w:t xml:space="preserve"> 9,000 BP</w:t>
      </w:r>
      <w:r w:rsidR="006E7DC9">
        <w:t>, suggest</w:t>
      </w:r>
      <w:r w:rsidR="00D0109F">
        <w:t>ing</w:t>
      </w:r>
      <w:r w:rsidR="006E7DC9">
        <w:t xml:space="preserve"> a</w:t>
      </w:r>
      <w:r w:rsidR="00C73546">
        <w:t>n increasingly</w:t>
      </w:r>
      <w:r w:rsidR="006E7DC9">
        <w:t xml:space="preserve"> open landscape</w:t>
      </w:r>
      <w:r w:rsidR="00EF133A">
        <w:t>.</w:t>
      </w:r>
      <w:r w:rsidR="003A36B3">
        <w:t xml:space="preserve"> </w:t>
      </w:r>
      <w:proofErr w:type="spellStart"/>
      <w:r w:rsidR="00D0109F">
        <w:t>Buriti’s</w:t>
      </w:r>
      <w:proofErr w:type="spellEnd"/>
      <w:r w:rsidR="00D0109F">
        <w:t xml:space="preserve"> forest pollen</w:t>
      </w:r>
      <w:r w:rsidR="006C22BA">
        <w:t xml:space="preserve"> composition </w:t>
      </w:r>
      <w:r w:rsidR="00C73546">
        <w:t>in the early Holocene</w:t>
      </w:r>
      <w:r w:rsidR="004012B3">
        <w:t xml:space="preserve"> </w:t>
      </w:r>
      <w:r w:rsidR="00343E39">
        <w:t xml:space="preserve">is still mostly </w:t>
      </w:r>
      <w:r w:rsidR="00343E39">
        <w:rPr>
          <w:i/>
          <w:iCs/>
        </w:rPr>
        <w:t xml:space="preserve">Araucaria </w:t>
      </w:r>
      <w:r w:rsidR="00386C03">
        <w:t xml:space="preserve">and </w:t>
      </w:r>
      <w:r w:rsidR="00386C03">
        <w:rPr>
          <w:i/>
          <w:iCs/>
        </w:rPr>
        <w:t>Ilex</w:t>
      </w:r>
      <w:r w:rsidR="00096717">
        <w:rPr>
          <w:i/>
          <w:iCs/>
        </w:rPr>
        <w:t xml:space="preserve">, </w:t>
      </w:r>
      <w:r w:rsidR="00096717">
        <w:t xml:space="preserve">though </w:t>
      </w:r>
      <w:r w:rsidR="00386C03">
        <w:t xml:space="preserve">with less </w:t>
      </w:r>
      <w:r w:rsidR="00386C03">
        <w:rPr>
          <w:i/>
          <w:iCs/>
        </w:rPr>
        <w:t xml:space="preserve">Podocarpus </w:t>
      </w:r>
      <w:r w:rsidR="00386C03">
        <w:t>than previously</w:t>
      </w:r>
      <w:r w:rsidR="00BF08F1">
        <w:t xml:space="preserve"> and </w:t>
      </w:r>
      <w:r w:rsidR="00096717">
        <w:t xml:space="preserve">more </w:t>
      </w:r>
      <w:proofErr w:type="spellStart"/>
      <w:r w:rsidR="002D54BE">
        <w:rPr>
          <w:i/>
          <w:iCs/>
        </w:rPr>
        <w:t>Alchornea</w:t>
      </w:r>
      <w:proofErr w:type="spellEnd"/>
      <w:r w:rsidR="002D54BE">
        <w:rPr>
          <w:i/>
          <w:iCs/>
        </w:rPr>
        <w:t xml:space="preserve">, </w:t>
      </w:r>
      <w:proofErr w:type="spellStart"/>
      <w:r w:rsidR="002D54BE" w:rsidRPr="002D54BE">
        <w:t>Arecaceae</w:t>
      </w:r>
      <w:proofErr w:type="spellEnd"/>
      <w:r w:rsidR="002D54BE">
        <w:rPr>
          <w:i/>
          <w:iCs/>
        </w:rPr>
        <w:t xml:space="preserve">, </w:t>
      </w:r>
      <w:r w:rsidR="00096717" w:rsidRPr="00096717">
        <w:rPr>
          <w:i/>
          <w:iCs/>
        </w:rPr>
        <w:t>Hieronyma</w:t>
      </w:r>
      <w:r w:rsidR="002D54BE">
        <w:t xml:space="preserve"> and </w:t>
      </w:r>
      <w:proofErr w:type="spellStart"/>
      <w:r w:rsidR="00BF08F1">
        <w:rPr>
          <w:i/>
          <w:iCs/>
        </w:rPr>
        <w:t>Luehea</w:t>
      </w:r>
      <w:proofErr w:type="spellEnd"/>
      <w:r w:rsidR="006E7DC9">
        <w:rPr>
          <w:i/>
          <w:iCs/>
        </w:rPr>
        <w:t xml:space="preserve"> </w:t>
      </w:r>
      <w:r w:rsidR="006E7DC9">
        <w:t>(</w:t>
      </w:r>
      <w:r w:rsidR="001A3861">
        <w:t xml:space="preserve">all </w:t>
      </w:r>
      <w:r w:rsidR="006E7DC9">
        <w:t>warm-adapted taxa)</w:t>
      </w:r>
      <w:r w:rsidR="00D7138C">
        <w:t>.</w:t>
      </w:r>
      <w:r w:rsidR="004012B3">
        <w:t xml:space="preserve"> Notably,</w:t>
      </w:r>
      <w:r w:rsidR="001A52DE">
        <w:t xml:space="preserve"> </w:t>
      </w:r>
      <w:r w:rsidR="008D5762">
        <w:t xml:space="preserve">a </w:t>
      </w:r>
      <w:r w:rsidR="006D486A">
        <w:t xml:space="preserve">stable </w:t>
      </w:r>
      <w:r w:rsidR="008D5762">
        <w:t>co-occurrence</w:t>
      </w:r>
      <w:r w:rsidR="006D486A">
        <w:t xml:space="preserve"> of </w:t>
      </w:r>
      <w:proofErr w:type="spellStart"/>
      <w:r w:rsidR="00B37043" w:rsidRPr="00B37043">
        <w:rPr>
          <w:i/>
          <w:iCs/>
        </w:rPr>
        <w:t>Luehea</w:t>
      </w:r>
      <w:proofErr w:type="spellEnd"/>
      <w:r w:rsidR="00B37043">
        <w:t xml:space="preserve"> and </w:t>
      </w:r>
      <w:r w:rsidR="00B37043">
        <w:rPr>
          <w:i/>
          <w:iCs/>
        </w:rPr>
        <w:t xml:space="preserve">Podocarpus </w:t>
      </w:r>
      <w:r w:rsidR="00B37043">
        <w:t xml:space="preserve">pollen </w:t>
      </w:r>
      <w:r w:rsidR="00DD5CC6">
        <w:t>(</w:t>
      </w:r>
      <w:r w:rsidR="006D486A">
        <w:t xml:space="preserve">ca. 5-10% </w:t>
      </w:r>
      <w:r w:rsidR="00DD5CC6">
        <w:t>each)</w:t>
      </w:r>
      <w:r w:rsidR="006D486A">
        <w:t xml:space="preserve"> </w:t>
      </w:r>
      <w:r w:rsidR="00F57CB9">
        <w:t>begin</w:t>
      </w:r>
      <w:r w:rsidR="008D5762">
        <w:t>s</w:t>
      </w:r>
      <w:r w:rsidR="006D486A">
        <w:t xml:space="preserve"> </w:t>
      </w:r>
      <w:r w:rsidR="00E24AEF">
        <w:t>shortly after</w:t>
      </w:r>
      <w:r w:rsidR="001A52DE">
        <w:t xml:space="preserve"> </w:t>
      </w:r>
      <w:r w:rsidR="00C35926">
        <w:t>9,000 BP</w:t>
      </w:r>
      <w:r w:rsidR="001B3965">
        <w:t xml:space="preserve">, </w:t>
      </w:r>
      <w:r w:rsidR="0084771A">
        <w:t>potentially matching</w:t>
      </w:r>
      <w:r w:rsidR="00DA5F73">
        <w:t xml:space="preserve"> </w:t>
      </w:r>
      <w:r w:rsidR="00353D70">
        <w:t xml:space="preserve">the </w:t>
      </w:r>
      <w:r w:rsidR="0084771A">
        <w:t xml:space="preserve">predicted presence of </w:t>
      </w:r>
      <w:r w:rsidR="001B3965">
        <w:t>assemblages 20 and 30</w:t>
      </w:r>
      <w:r w:rsidR="00353D70">
        <w:t>, in which</w:t>
      </w:r>
      <w:r w:rsidR="001B3965">
        <w:t xml:space="preserve"> </w:t>
      </w:r>
      <w:r w:rsidR="00437034">
        <w:rPr>
          <w:i/>
          <w:iCs/>
        </w:rPr>
        <w:t xml:space="preserve">L. </w:t>
      </w:r>
      <w:proofErr w:type="spellStart"/>
      <w:r w:rsidR="00437034">
        <w:rPr>
          <w:i/>
          <w:iCs/>
        </w:rPr>
        <w:t>divaricata</w:t>
      </w:r>
      <w:proofErr w:type="spellEnd"/>
      <w:r w:rsidR="00437034">
        <w:rPr>
          <w:i/>
          <w:iCs/>
        </w:rPr>
        <w:t xml:space="preserve"> </w:t>
      </w:r>
      <w:r w:rsidR="00437034">
        <w:t xml:space="preserve">and </w:t>
      </w:r>
      <w:r w:rsidR="00437034">
        <w:rPr>
          <w:i/>
          <w:iCs/>
        </w:rPr>
        <w:t xml:space="preserve">P. </w:t>
      </w:r>
      <w:proofErr w:type="spellStart"/>
      <w:r w:rsidR="00437034">
        <w:rPr>
          <w:i/>
          <w:iCs/>
        </w:rPr>
        <w:t>sellowii</w:t>
      </w:r>
      <w:proofErr w:type="spellEnd"/>
      <w:r w:rsidR="00353D70">
        <w:rPr>
          <w:i/>
          <w:iCs/>
        </w:rPr>
        <w:t xml:space="preserve"> </w:t>
      </w:r>
      <w:r w:rsidR="00353D70">
        <w:t>are prevalent</w:t>
      </w:r>
      <w:r w:rsidR="009C041D">
        <w:t>.</w:t>
      </w:r>
      <w:r w:rsidR="002C521E">
        <w:t xml:space="preserve"> </w:t>
      </w:r>
      <w:r w:rsidR="00D55ADB">
        <w:t xml:space="preserve">In the area’s </w:t>
      </w:r>
      <w:r w:rsidR="00CD27D2">
        <w:t xml:space="preserve">south-east, </w:t>
      </w:r>
      <w:r w:rsidR="001A3861">
        <w:t xml:space="preserve">Serra </w:t>
      </w:r>
      <w:proofErr w:type="spellStart"/>
      <w:r w:rsidR="001A3861">
        <w:t>Velha’s</w:t>
      </w:r>
      <w:proofErr w:type="spellEnd"/>
      <w:r w:rsidR="001A3861">
        <w:t xml:space="preserve"> record </w:t>
      </w:r>
      <w:r w:rsidR="001A3861">
        <w:fldChar w:fldCharType="begin" w:fldLock="1"/>
      </w:r>
      <w:r w:rsidR="007F330C">
        <w:instrText>ADDIN CSL_CITATION {"citationItems":[{"id":"ITEM-1","itemData":{"DOI":"10.1590/S0102-33062007000100001","ISSN":"1677941X","abstract":"The study of plant succession provides information on vegetation dynamics of a region and, therefore, improves our understanding of the natural trends of present ecosystems. With this objective, plant succession based on palynology of a sediment profile in a swamp forest was studied on the Lower Northeast Slope of Serra Geral, Rio Grande do Sul. Samples were treated with HCl, HF, KOH and acetolysis; slides were mounted in glycerol-jelly. For each sample a minimum of 500 grains of pollen + pteridophyte and bryophyte spores was counted and other palynomorphs were counted in parallel. Tilia and Tilia Graph software were used to construct percentage and concentration diagrams, with three 14C datings. The results show a local water reservoir in the beginning of the Holocene (± 9800 yrs. BP), creating a herbaceous plant marsh by hydrosere. The initial colonization of the marsh by trees occurred about 8800 yrs. BP, with tropical species from the Coastal Plain migrating in an east-west direction. Afterwards, there was a dry phase between 7000-5000 yrs. BP. The second appearance of regional tree species began at about 5000 yrs. BP, resulting in the present forest and in the west-east migration of tropical species from interior lowlands, like this one, to re-colonize the coast after the last marine regression.","author":[{"dropping-particle":"","family":"Leal","given":"Márcia Grala","non-dropping-particle":"","parse-names":false,"suffix":""},{"dropping-particle":"","family":"Lorscheitter","given":"Maria Luisa","non-dropping-particle":"","parse-names":false,"suffix":""}],"container-title":"Acta Botanica Brasilica","id":"ITEM-1","issue":"1","issued":{"date-parts":[["2007"]]},"note":"SeVel","page":"1-10","title":"Plant succession in a forest on the Lower Northeast Slope of Serra Geral, Rio Grande do Sul, and Holocene palaeoenvironments, Southern Brazil","type":"article-journal","volume":"21"},"uris":["http://www.mendeley.com/documents/?uuid=a487e8ff-0509-3176-b027-315cc1c2cffb"]}],"mendeley":{"formattedCitation":"(Leal and Lorscheitter, 2007)","plainTextFormattedCitation":"(Leal and Lorscheitter, 2007)","previouslyFormattedCitation":"(Leal and Lorscheitter, 2007)"},"properties":{"noteIndex":0},"schema":"https://github.com/citation-style-language/schema/raw/master/csl-citation.json"}</w:instrText>
      </w:r>
      <w:r w:rsidR="001A3861">
        <w:fldChar w:fldCharType="separate"/>
      </w:r>
      <w:r w:rsidR="005944BB" w:rsidRPr="005944BB">
        <w:rPr>
          <w:noProof/>
        </w:rPr>
        <w:t>(Leal and Lorscheitter, 2007)</w:t>
      </w:r>
      <w:r w:rsidR="001A3861">
        <w:fldChar w:fldCharType="end"/>
      </w:r>
      <w:r w:rsidR="001A3861">
        <w:t xml:space="preserve"> starts a</w:t>
      </w:r>
      <w:r w:rsidR="00D75728">
        <w:t>round 11,000 BP</w:t>
      </w:r>
      <w:r w:rsidR="001A3861">
        <w:t xml:space="preserve"> </w:t>
      </w:r>
      <w:r w:rsidR="00847E41">
        <w:t>as</w:t>
      </w:r>
      <w:r w:rsidR="00D75728">
        <w:t xml:space="preserve"> </w:t>
      </w:r>
      <w:r w:rsidR="00B01CE7">
        <w:t xml:space="preserve">ca. 95% </w:t>
      </w:r>
      <w:r w:rsidR="00847E41">
        <w:t xml:space="preserve">grassland </w:t>
      </w:r>
      <w:r w:rsidR="00B01CE7">
        <w:t>pollen</w:t>
      </w:r>
      <w:r w:rsidR="00847E41">
        <w:t xml:space="preserve">, but forest </w:t>
      </w:r>
      <w:r w:rsidR="00186D2A">
        <w:t>pollen from early-successional tropical trees</w:t>
      </w:r>
      <w:r w:rsidR="00320E2E">
        <w:t xml:space="preserve"> </w:t>
      </w:r>
      <w:r w:rsidR="00B01CE7">
        <w:t xml:space="preserve">accounts for </w:t>
      </w:r>
      <w:r w:rsidR="007B00BF">
        <w:t xml:space="preserve">42% of the total by </w:t>
      </w:r>
      <w:r w:rsidR="00685F63">
        <w:t>9,000 BP</w:t>
      </w:r>
      <w:r w:rsidR="0055475D">
        <w:t xml:space="preserve">. Though </w:t>
      </w:r>
      <w:r w:rsidR="008016AA">
        <w:t>its</w:t>
      </w:r>
      <w:r w:rsidR="0055475D">
        <w:t xml:space="preserve"> composition and forest-grassland trajector</w:t>
      </w:r>
      <w:r w:rsidR="008016AA">
        <w:t>y</w:t>
      </w:r>
      <w:r w:rsidR="0055475D">
        <w:t xml:space="preserve"> differ</w:t>
      </w:r>
      <w:r w:rsidR="008016AA">
        <w:t xml:space="preserve"> from </w:t>
      </w:r>
      <w:proofErr w:type="spellStart"/>
      <w:r w:rsidR="008016AA">
        <w:t>Buriti</w:t>
      </w:r>
      <w:r w:rsidR="00D55ADB">
        <w:t>’s</w:t>
      </w:r>
      <w:proofErr w:type="spellEnd"/>
      <w:r w:rsidR="0055475D">
        <w:t xml:space="preserve">, Serra </w:t>
      </w:r>
      <w:proofErr w:type="spellStart"/>
      <w:r w:rsidR="0055475D">
        <w:t>Velha</w:t>
      </w:r>
      <w:proofErr w:type="spellEnd"/>
      <w:r w:rsidR="0055475D">
        <w:t xml:space="preserve"> </w:t>
      </w:r>
      <w:r w:rsidR="008016AA">
        <w:t xml:space="preserve">too </w:t>
      </w:r>
      <w:r w:rsidR="00751DBA">
        <w:t xml:space="preserve">appears to have been found </w:t>
      </w:r>
      <w:r w:rsidR="00D22613">
        <w:t xml:space="preserve">in </w:t>
      </w:r>
      <w:r w:rsidR="00751DBA">
        <w:t xml:space="preserve">a </w:t>
      </w:r>
      <w:r w:rsidR="00D61E67">
        <w:t>generally</w:t>
      </w:r>
      <w:r w:rsidR="00150E5C">
        <w:t xml:space="preserve"> open environment</w:t>
      </w:r>
      <w:r w:rsidR="004461EF">
        <w:t>.</w:t>
      </w:r>
      <w:r w:rsidR="00D55ADB">
        <w:t xml:space="preserve"> </w:t>
      </w:r>
      <w:r w:rsidR="00CD27D2">
        <w:t xml:space="preserve">Finally, in Campo </w:t>
      </w:r>
      <w:proofErr w:type="spellStart"/>
      <w:r w:rsidR="00CD27D2">
        <w:t>Er</w:t>
      </w:r>
      <w:r w:rsidR="00CD27D2">
        <w:rPr>
          <w:rFonts w:cstheme="minorHAnsi"/>
        </w:rPr>
        <w:t>ê</w:t>
      </w:r>
      <w:proofErr w:type="spellEnd"/>
      <w:r w:rsidR="00CD27D2">
        <w:rPr>
          <w:rFonts w:cstheme="minorHAnsi"/>
        </w:rPr>
        <w:t xml:space="preserve">, </w:t>
      </w:r>
      <w:r w:rsidR="0053381F">
        <w:rPr>
          <w:rFonts w:cstheme="minorHAnsi"/>
        </w:rPr>
        <w:t>at the north-western edge of the</w:t>
      </w:r>
      <w:r w:rsidR="00207B13">
        <w:rPr>
          <w:rFonts w:cstheme="minorHAnsi"/>
        </w:rPr>
        <w:t xml:space="preserve"> area of rapid change</w:t>
      </w:r>
      <w:r w:rsidR="00CD27D2">
        <w:rPr>
          <w:rFonts w:cstheme="minorHAnsi"/>
        </w:rPr>
        <w:t>,</w:t>
      </w:r>
      <w:r w:rsidR="00CD27D2">
        <w:t xml:space="preserve"> several phytolith morphotypes experience abrupt changes around a sample </w:t>
      </w:r>
      <w:r w:rsidR="00CD27D2">
        <w:lastRenderedPageBreak/>
        <w:t>dated to 8,000 BP</w:t>
      </w:r>
      <w:r w:rsidR="00D51DC9">
        <w:t xml:space="preserve">, suggesting </w:t>
      </w:r>
      <w:r w:rsidR="00652D75">
        <w:t xml:space="preserve">the existence (but </w:t>
      </w:r>
      <w:r w:rsidR="0032018D">
        <w:t xml:space="preserve">not the nature) of </w:t>
      </w:r>
      <w:r w:rsidR="00D51DC9">
        <w:t>significant changes early in the Holocene</w:t>
      </w:r>
      <w:r w:rsidR="00CD27D2">
        <w:t>.</w:t>
      </w:r>
    </w:p>
    <w:p w14:paraId="1E602F98" w14:textId="6D1AFD7B" w:rsidR="00F73BBF" w:rsidRDefault="00F73BBF" w:rsidP="00F74804">
      <w:pPr>
        <w:spacing w:line="360" w:lineRule="auto"/>
      </w:pPr>
      <w:r>
        <w:t xml:space="preserve">Further east in the early Holocene, </w:t>
      </w:r>
      <w:r w:rsidR="00F077F7">
        <w:t xml:space="preserve">our modelling suggests </w:t>
      </w:r>
      <w:r w:rsidR="00FD16B4">
        <w:t xml:space="preserve">the incremental loss of more cold-adapted species </w:t>
      </w:r>
      <w:r w:rsidR="005340B5">
        <w:t>along the coastal lowlands</w:t>
      </w:r>
      <w:r w:rsidR="009E108A">
        <w:t>.</w:t>
      </w:r>
      <w:r w:rsidR="00EF4DDD">
        <w:t xml:space="preserve"> </w:t>
      </w:r>
      <w:r w:rsidR="002632AA">
        <w:t xml:space="preserve">This is best captured by the pollen record of Volta </w:t>
      </w:r>
      <w:proofErr w:type="spellStart"/>
      <w:r w:rsidR="002632AA">
        <w:t>Velha</w:t>
      </w:r>
      <w:proofErr w:type="spellEnd"/>
      <w:r w:rsidR="00E13912">
        <w:t xml:space="preserve"> </w:t>
      </w:r>
      <w:r w:rsidR="00E13912">
        <w:fldChar w:fldCharType="begin" w:fldLock="1"/>
      </w:r>
      <w:r w:rsidR="007F330C">
        <w:instrText>ADDIN CSL_CITATION {"citationItems":[{"id":"ITEM-1","itemData":{"DOI":"10.1006/qres.2001.2264","ISBN":"0033-5894","ISSN":"0033-5894","abstract":"Palynological analysis of a core from the Atlantic rain forest region in Brazil provides unprecedented insight into late Quaternary vegetational and climate dynamics within this southern tropical lowland. The 576-cm-long sediment core is from a former beach-ridge “valley,” located 3 km inland from the Atlantic Ocean. Radio-carbon dates suggest that sediment deposition began prior to 35,000 14 C yr B.P. Between ca. 37,500 and ca. 27,500 14 C yr B.P. and during the last glacial maximum (LGM; ca. 27,500 to ca. 14,500 14 C yr B.P.), the coastal rain forest was replaced by grassland and patches of cold-adapted forest. Tropical trees, such as Alchornea , Moraceae/Urticaceae, and Arecaceae, were almost completely absent during the LGM. Furthermore, their distributions were shifted at least 750 km further north, suggesting a cooling between 3°C and 7°C and a strengthening of Antarctic cold fronts during full-glacial times. A depauperate tropical rain forest developed as part of a successional sequence after ca. 12,300 14 C yr B.P. There is no evidence that Araucaria trees occurred in the Atlantic lowland during glacial times. The rain forest was disturbed by marine incursions during the early Holocene period until ca. 6100 14 C yr B.P., as indicated by the presence of microforaminifera. A closed Atlantic rain forest then developed at the study site.","author":[{"dropping-particle":"","family":"Behling","given":"Hermann","non-dropping-particle":"","parse-names":false,"suffix":""},{"dropping-particle":"","family":"Negrelle","given":"Raquel R B","non-dropping-particle":"","parse-names":false,"suffix":""}],"container-title":"Quaternary Research","id":"ITEM-1","issue":"03","issued":{"date-parts":[["2001"]]},"note":"VolVe\n\nLong (maybe 35k yr) pollen record from right near the coast at northern SC. Shows campos in LGM and some cool-adapted forest, with expansion of DOF happening thereafter. By mid-Holocene there was open DOF (probably because of sea level changes), becoming denser and more complete as the Holocene continued. No Aa really evident here","page":"383-389","title":"Tropical Rain Forest and Climate Dynamics of the Atlantic Lowland, Southern Brazil, during the Late Quaternary","type":"article-journal","volume":"56"},"uris":["http://www.mendeley.com/documents/?uuid=194994b8-7557-330b-b558-b9b4860ef411"]}],"mendeley":{"formattedCitation":"(Behling and Negrelle, 2001)","plainTextFormattedCitation":"(Behling and Negrelle, 2001)","previouslyFormattedCitation":"(Behling and Negrelle, 2001)"},"properties":{"noteIndex":0},"schema":"https://github.com/citation-style-language/schema/raw/master/csl-citation.json"}</w:instrText>
      </w:r>
      <w:r w:rsidR="00E13912">
        <w:fldChar w:fldCharType="separate"/>
      </w:r>
      <w:r w:rsidR="005944BB" w:rsidRPr="005944BB">
        <w:rPr>
          <w:noProof/>
        </w:rPr>
        <w:t>(Behling and Negrelle, 2001)</w:t>
      </w:r>
      <w:r w:rsidR="00E13912">
        <w:fldChar w:fldCharType="end"/>
      </w:r>
      <w:r w:rsidR="002632AA">
        <w:t xml:space="preserve">, which sees drastic increases in forest pollen </w:t>
      </w:r>
      <w:r w:rsidR="008513AD">
        <w:t>between 15,000</w:t>
      </w:r>
      <w:r w:rsidR="00F43833">
        <w:t xml:space="preserve"> BP and 12,000 BP</w:t>
      </w:r>
      <w:r w:rsidR="00CD7086">
        <w:t xml:space="preserve"> due to sharp reductions in </w:t>
      </w:r>
      <w:r w:rsidR="005A10DB">
        <w:t>Campos (</w:t>
      </w:r>
      <w:proofErr w:type="spellStart"/>
      <w:r w:rsidR="00CD7086">
        <w:t>Poaceae</w:t>
      </w:r>
      <w:proofErr w:type="spellEnd"/>
      <w:r w:rsidR="005A10DB">
        <w:t>)</w:t>
      </w:r>
      <w:r w:rsidR="00CD7086">
        <w:t xml:space="preserve"> pollen and </w:t>
      </w:r>
      <w:r w:rsidR="005A10DB">
        <w:t xml:space="preserve">the emergence of a forest pollen </w:t>
      </w:r>
      <w:r w:rsidR="00DD1EB2">
        <w:t>assemblage</w:t>
      </w:r>
      <w:r w:rsidR="005A10DB">
        <w:t xml:space="preserve"> dominated by </w:t>
      </w:r>
      <w:r w:rsidR="00322C42">
        <w:t xml:space="preserve">generally tropical </w:t>
      </w:r>
      <w:proofErr w:type="spellStart"/>
      <w:r w:rsidR="00275353">
        <w:t>Arecaceae</w:t>
      </w:r>
      <w:proofErr w:type="spellEnd"/>
      <w:r w:rsidR="00275353">
        <w:t xml:space="preserve">, </w:t>
      </w:r>
      <w:proofErr w:type="spellStart"/>
      <w:r w:rsidR="00275353">
        <w:rPr>
          <w:i/>
          <w:iCs/>
        </w:rPr>
        <w:t>Alchornea</w:t>
      </w:r>
      <w:proofErr w:type="spellEnd"/>
      <w:r w:rsidR="0011344C">
        <w:rPr>
          <w:i/>
          <w:iCs/>
        </w:rPr>
        <w:t xml:space="preserve"> </w:t>
      </w:r>
      <w:r w:rsidR="0011344C">
        <w:t>and</w:t>
      </w:r>
      <w:r w:rsidR="00275353" w:rsidRPr="0011344C">
        <w:t xml:space="preserve"> </w:t>
      </w:r>
      <w:proofErr w:type="spellStart"/>
      <w:r w:rsidR="00275353">
        <w:t>Myrtaceae</w:t>
      </w:r>
      <w:proofErr w:type="spellEnd"/>
      <w:r w:rsidR="0011344C">
        <w:t xml:space="preserve"> </w:t>
      </w:r>
      <w:r w:rsidR="00322C42">
        <w:t xml:space="preserve">pollen </w:t>
      </w:r>
      <w:r w:rsidR="0011344C">
        <w:t xml:space="preserve">with </w:t>
      </w:r>
      <w:proofErr w:type="spellStart"/>
      <w:r w:rsidR="00322C42" w:rsidRPr="00322C42">
        <w:rPr>
          <w:i/>
          <w:iCs/>
        </w:rPr>
        <w:t>Myrsine</w:t>
      </w:r>
      <w:proofErr w:type="spellEnd"/>
      <w:r w:rsidR="00322C42">
        <w:t xml:space="preserve"> and </w:t>
      </w:r>
      <w:proofErr w:type="spellStart"/>
      <w:r w:rsidR="00322C42">
        <w:t>Moraceae</w:t>
      </w:r>
      <w:proofErr w:type="spellEnd"/>
      <w:r w:rsidR="00322C42">
        <w:t xml:space="preserve">/Urticaceae. </w:t>
      </w:r>
      <w:r w:rsidR="00E40449">
        <w:t xml:space="preserve">Serra da Boa Vista </w:t>
      </w:r>
      <w:r w:rsidR="00E40449">
        <w:fldChar w:fldCharType="begin" w:fldLock="1"/>
      </w:r>
      <w:r w:rsidR="00487A15">
        <w:instrText>ADDIN CSL_CITATION {"citationItems":[{"id":"ITEM-1","itemData":{"DOI":"10.1007/BF00203932","ISBN":"0939-6314","ISSN":"09396314","abstract":"Palynological studies have been carried out on three highland peat bogs, and one situated on the Atlan- tic coastal plain. In the highlands, the late Pleistocene (14,000 - 10,000 uncal B.P.) vegetation was dominated by campos (grassland). Scattered stands of Araucaria forests were preserved in deep valleys. In the region of the sites at Morro da Igreja and Serra do Rio Rastro, the dominance of campos vegetation continued until about 1000 B.P. while at the Serra da Boa Vista site there was an expansion of Atlantic pluvial forest elements fol- lowed by Araucaria forests at the beginning of the Holocene. A general expansion of A. anguslifolia, clear- ly related to a change towards an increasingly moist cli- mate, can be dated to the present millenium. On the coastal plains, the late Pleistocene vegetation was domi- nated by Myrtaceae which were replaced by tropical taxa in the Holocene. The lowland profile (Pogo Grande) also covers part of the upper Holocene, where the rich flora of the Atlantic pluvial forests can be characterized by taxa including Alchornea, Urticales and Rapanea. Close to the coring site, there was a repeated alternation be- tween two different dune communities (4840 - 4590 B.P.), followed by a lake stage with aquatic plant succes- sion (4590 - 4265 B.P.), plant communities dominated by Rapanea (4265 - 4230 B.P.) and the spread of Alchornea (4230 - 3525 B.P.). Late Pleistocene climate conditions (14,000 - 10,000 B.P.) can be described as cold and relatively dry, possibly including an equivalent of the Younger Dryas period. In the Holocene, there were changes from a warm and drier climate (10,000 - ~3000 B.P.) to a cool and more moist regime (ca. 3000 - ca. 1000 B.P.) and finally to a cool and very moist period (from around 1000 B.P.).","author":[{"dropping-particle":"","family":"Behling","given":"Hermann","non-dropping-particle":"","parse-names":false,"suffix":""}],"container-title":"Vegetation History and Archaeobotany","id":"ITEM-1","issue":"3","issued":{"date-parts":[["1995","9"]]},"note":"SdBoV, MdIgr, SdRRa, PocGr","page":"127-152","publisher":"Springer-Verlag","title":"Investigations into the late Pleistocene and Holocene history of vegetation and climate in Santa Catarina (S Brazil)","type":"article-journal","volume":"4"},"uris":["http://www.mendeley.com/documents/?uuid=fcea03a7-e07e-3d31-94a9-b68f1fec0a97"]}],"mendeley":{"formattedCitation":"(Behling, 1995)","plainTextFormattedCitation":"(Behling, 1995)","previouslyFormattedCitation":"(Behling, 1995)"},"properties":{"noteIndex":0},"schema":"https://github.com/citation-style-language/schema/raw/master/csl-citation.json"}</w:instrText>
      </w:r>
      <w:r w:rsidR="00E40449">
        <w:fldChar w:fldCharType="separate"/>
      </w:r>
      <w:r w:rsidR="00E13912" w:rsidRPr="00E13912">
        <w:rPr>
          <w:noProof/>
        </w:rPr>
        <w:t>(Behling, 1995)</w:t>
      </w:r>
      <w:r w:rsidR="00E40449">
        <w:fldChar w:fldCharType="end"/>
      </w:r>
      <w:r w:rsidR="00031261">
        <w:t xml:space="preserve"> </w:t>
      </w:r>
      <w:r w:rsidR="009B423A">
        <w:t>records an</w:t>
      </w:r>
      <w:r w:rsidR="00031261">
        <w:t xml:space="preserve"> increase in </w:t>
      </w:r>
      <w:r w:rsidR="00041C95">
        <w:t>AR</w:t>
      </w:r>
      <w:r w:rsidR="00031261">
        <w:t xml:space="preserve">F-type pollen, though </w:t>
      </w:r>
      <w:r w:rsidR="008A76ED">
        <w:t>coastal</w:t>
      </w:r>
      <w:r w:rsidR="00031261">
        <w:t xml:space="preserve"> cores at our study area</w:t>
      </w:r>
      <w:r w:rsidR="009B423A">
        <w:t>’s south</w:t>
      </w:r>
      <w:r w:rsidR="00031261">
        <w:t xml:space="preserve"> do not, remain</w:t>
      </w:r>
      <w:r w:rsidR="00145CC0">
        <w:t>ing</w:t>
      </w:r>
      <w:r w:rsidR="00031261">
        <w:t xml:space="preserve"> grassland-dominated.</w:t>
      </w:r>
      <w:r w:rsidR="00D131CF">
        <w:t xml:space="preserve"> </w:t>
      </w:r>
      <w:r w:rsidR="00EF607B">
        <w:t>While GeoB2107’s</w:t>
      </w:r>
      <w:r w:rsidR="00D131CF">
        <w:t xml:space="preserve"> arboreal pollen </w:t>
      </w:r>
      <w:r w:rsidR="007D7F5C">
        <w:t xml:space="preserve">sum changes little overall, there are changes </w:t>
      </w:r>
      <w:r w:rsidR="009969F1">
        <w:t>in its composition</w:t>
      </w:r>
      <w:r w:rsidR="000E14F6">
        <w:t>, with</w:t>
      </w:r>
      <w:r w:rsidR="009969F1">
        <w:t xml:space="preserve"> </w:t>
      </w:r>
      <w:proofErr w:type="spellStart"/>
      <w:r w:rsidR="009969F1">
        <w:rPr>
          <w:i/>
          <w:iCs/>
        </w:rPr>
        <w:t>Alchornea</w:t>
      </w:r>
      <w:proofErr w:type="spellEnd"/>
      <w:r w:rsidR="00AA544D">
        <w:rPr>
          <w:i/>
          <w:iCs/>
        </w:rPr>
        <w:t>,</w:t>
      </w:r>
      <w:r w:rsidR="009969F1">
        <w:rPr>
          <w:i/>
          <w:iCs/>
        </w:rPr>
        <w:t xml:space="preserve"> </w:t>
      </w:r>
      <w:proofErr w:type="spellStart"/>
      <w:r w:rsidR="00AA544D">
        <w:t>Moraceae</w:t>
      </w:r>
      <w:proofErr w:type="spellEnd"/>
      <w:r w:rsidR="00AA544D">
        <w:t xml:space="preserve">/Urticaceae </w:t>
      </w:r>
      <w:r w:rsidR="00D50004">
        <w:t xml:space="preserve">and </w:t>
      </w:r>
      <w:proofErr w:type="spellStart"/>
      <w:r w:rsidR="00D50004">
        <w:t>Arecaceae</w:t>
      </w:r>
      <w:proofErr w:type="spellEnd"/>
      <w:r w:rsidR="00D50004">
        <w:t xml:space="preserve"> all experienc</w:t>
      </w:r>
      <w:r w:rsidR="00327D56">
        <w:t>ing</w:t>
      </w:r>
      <w:r w:rsidR="00D50004">
        <w:t xml:space="preserve"> sustained increases</w:t>
      </w:r>
      <w:r w:rsidR="00327D56">
        <w:t>.</w:t>
      </w:r>
    </w:p>
    <w:p w14:paraId="28428DA3" w14:textId="35AE0BBA" w:rsidR="008710A8" w:rsidRDefault="000E14F6" w:rsidP="00F74804">
      <w:pPr>
        <w:spacing w:line="360" w:lineRule="auto"/>
      </w:pPr>
      <w:r>
        <w:t xml:space="preserve">The cold-adapted assemblages of cluster </w:t>
      </w:r>
      <w:r w:rsidRPr="000E14F6">
        <w:rPr>
          <w:i/>
          <w:iCs/>
        </w:rPr>
        <w:t>c</w:t>
      </w:r>
      <w:r>
        <w:t xml:space="preserve"> also experience significant changes </w:t>
      </w:r>
      <w:r w:rsidR="00616DBE">
        <w:t>between the late glacial and early Holocene</w:t>
      </w:r>
      <w:r w:rsidR="00BE4C44">
        <w:t>.</w:t>
      </w:r>
      <w:r w:rsidR="007A1C0F">
        <w:t xml:space="preserve"> </w:t>
      </w:r>
      <w:r w:rsidR="000E380D">
        <w:t xml:space="preserve">Here again, </w:t>
      </w:r>
      <w:r w:rsidR="007A1C0F">
        <w:t xml:space="preserve">however, few </w:t>
      </w:r>
      <w:r w:rsidR="00870AF6">
        <w:t xml:space="preserve">palaeoecological </w:t>
      </w:r>
      <w:r w:rsidR="007A1C0F">
        <w:t xml:space="preserve">sites can </w:t>
      </w:r>
      <w:r w:rsidR="004955AC">
        <w:t>test</w:t>
      </w:r>
      <w:r w:rsidR="007A1C0F">
        <w:t xml:space="preserve"> t</w:t>
      </w:r>
      <w:r w:rsidR="000B361D">
        <w:t xml:space="preserve">hese </w:t>
      </w:r>
      <w:r w:rsidR="004955AC">
        <w:t>predictions</w:t>
      </w:r>
      <w:r w:rsidR="00B26D21">
        <w:t>.</w:t>
      </w:r>
      <w:r w:rsidR="0079774C">
        <w:t xml:space="preserve"> </w:t>
      </w:r>
      <w:r w:rsidR="00F87756">
        <w:t>P</w:t>
      </w:r>
      <w:r w:rsidR="0079774C">
        <w:t xml:space="preserve">hytoliths </w:t>
      </w:r>
      <w:r w:rsidR="000D47CF">
        <w:t xml:space="preserve">and soil carbon isotopes </w:t>
      </w:r>
      <w:r w:rsidR="0079774C">
        <w:t xml:space="preserve">at </w:t>
      </w:r>
      <w:proofErr w:type="spellStart"/>
      <w:r w:rsidR="0079774C">
        <w:t>Aro</w:t>
      </w:r>
      <w:r w:rsidR="00026C1E">
        <w:t>eiras</w:t>
      </w:r>
      <w:proofErr w:type="spellEnd"/>
      <w:r w:rsidR="00355BDB">
        <w:t xml:space="preserve"> </w:t>
      </w:r>
      <w:r w:rsidR="00355BDB">
        <w:fldChar w:fldCharType="begin" w:fldLock="1"/>
      </w:r>
      <w:r w:rsidR="007F330C">
        <w:instrText>ADDIN CSL_CITATION {"citationItems":[{"id":"ITEM-1","itemData":{"abstract":"This paper presents a study on a detailed regional scale for understanding the Quaternary paleoenvironmental settings in the Paraná Highlands, Southern Brazil (Ponta Grossa, Guarapuava, and Palmas. The main object of analysis was phytolitc assemblies, combined with isotopic data of soil organic matter and carbon-14 dating, sampled from peat testimonies at altitudes that ranged from 850 to 1,280 m. For the reverse of the Escarpa Devoniana, in Ponta Grossa, the results suggest that since 34,550 yrs. cal BP up to 11,000 yrs. cal BP the region had a colder and dryer climate than the current one, dominated by grassland. In contrast, in Serra da Esperança, in Guarapuava, in the period between 13,660 yrs. cal BP up to 10,000 yrs. cal BP despite the colder climate than the current, there was enough moisture for a kind of forest predominance. For both locations, however, the interval between 10-and 5- 6,000 yrs. 11,000 BP is marked by greater aridity, occupied by a mosaic forest/field with prevalence of grasses. From 6,000 yrs. BP, it begins a significant shift towards a warmer moister climate. Nevertheless, while in the Escarpa Devoniana vegetation takes similar configuration to the current one, favorable to a mosaic field/forest, in Serra da Esperança the vegetation tends to be much more closed, as a mosaic forest/field. The Palmas testimony only comprises the last years 4,920 yrs. cal BP and suggests the establishment of an environment of mosaic field/forest, gradually more open. From the past 1,500 yrs., changes in grassland configuration suggest a moister environment under climatic conditions closer to the present, a typical grassland landscape with forest patches. The data indicate possible variations in the intensity of climate change in the Late Pleistocene due to differences in the Highlands’ relief and its capacity of microclimatic interference.","author":[{"dropping-particle":"","family":"Silva","given":"Deyvis Willian","non-dropping-particle":"","parse-names":false,"suffix":""}],"id":"ITEM-1","issued":{"date-parts":[["2018"]]},"number-of-pages":"126","publisher":"Universidade Estadual de Ponta Grossa","title":"Caracterização paleoclimática do Quaternário Tardio em áreas planálticas do Estado do Paraná","type":"thesis"},"uris":["http://www.mendeley.com/documents/?uuid=0f9e8776-ed22-4e0d-b6d4-6904fad9f54e"]}],"mendeley":{"formattedCitation":"(Silva, 2018)","plainTextFormattedCitation":"(Silva, 2018)","previouslyFormattedCitation":"(Silva, 2018)"},"properties":{"noteIndex":0},"schema":"https://github.com/citation-style-language/schema/raw/master/csl-citation.json"}</w:instrText>
      </w:r>
      <w:r w:rsidR="00355BDB">
        <w:fldChar w:fldCharType="separate"/>
      </w:r>
      <w:r w:rsidR="005944BB" w:rsidRPr="005944BB">
        <w:rPr>
          <w:noProof/>
        </w:rPr>
        <w:t>(Silva, 2018)</w:t>
      </w:r>
      <w:r w:rsidR="00355BDB">
        <w:fldChar w:fldCharType="end"/>
      </w:r>
      <w:r w:rsidR="00C04F76">
        <w:t xml:space="preserve">, </w:t>
      </w:r>
      <w:proofErr w:type="spellStart"/>
      <w:r w:rsidR="00C04F76">
        <w:t>Guarapuava</w:t>
      </w:r>
      <w:proofErr w:type="spellEnd"/>
      <w:r w:rsidR="00C04F76">
        <w:t xml:space="preserve"> </w:t>
      </w:r>
      <w:r w:rsidR="00C04F76">
        <w:fldChar w:fldCharType="begin" w:fldLock="1"/>
      </w:r>
      <w:r w:rsidR="00355BDB">
        <w:instrText>ADDIN CSL_CITATION {"citationItems":[{"id":"ITEM-1","itemData":{"abstract":"Thick humic A horizons (umbric epipedons) may be found in several Brazilian Latosols (well drained Oxisols - Lh). This dark colored horizon (Ah) is frequently more than 1m thick and has a large stock of soil organic matter (SOM) and differ from nearby Latosols without an Ah and on younger surfaces and do not conform with present climate and vegetation. Several hypothesis about their genesis had been raised but without a good pedogenetic understanding. This thesis aims to define environmental variables responsible for their formation. Several pedons were examined through their morphology and landscape position, and their soil materials were studied by geochemistry methods and paleoenviromental evidence by C isotope and phytolith assemblages. First, a bibliographic survey was performed to choose a set of 39 profiles were chosen to be studied on a data set where 11 noted chemical and granulometric attributes and one environmental variable were submitted to multivariate statistic analysis in order to group then according to similarities. Three groups were defined: G1 - Brown and Red Latosols from summit surfaces of the Brazilian Southern uplands (with the highest clay, organic carbon and iron oxide values, but with thinner epipedons than the others groups). G2 - Yellow-Red and Yellow Latosols, predominantly found in summit positions, remnant ancient geomorphic surfaces from the Southeast region and associated with the vegetation adapted to high altitudinal tropical climate. G3 - Red– Yellow and Yellow Latosols from the Brazilian Southeastern piedmont upland surfaces and Northeastern coastal tablelands (with the thickest umbric epipedons, loamy to clayey textures, lower carbon contents, and a kaolinitic mineralogy). From this analysis 30 Lh representative pedons were field sampled to be characterized, including total Zr and Ti contents, stable carbon isotopes (δ13C, 14C) and phytolith analysis, in order to better understand paleo-environmental conditions they were subjected. For the phytolith extraction laboratory procedure were adapted in order to better separate and clean then from oxidic coatings. The SOM isotope data and phytolith assemblages indicated that these Ah were formed under a less dense vegetation than the present one: a probably mixture of C3 and C4 (~-22‰) plants, with more contribution of the C3 in the Southeast and Northeast regions, a more open (~-16‰, grassy), vegetation (with contribution of C4 plants) in the middle to medium Holocene in…","author":[{"dropping-particle":"","family":"Calegari","given":"Márcia Regina","non-dropping-particle":"","parse-names":false,"suffix":""}],"id":"ITEM-1","issued":{"date-parts":[["2008"]]},"note":"This study covers much more of Brazil than the southern states. It does show evidence in southern Brazil (SW PR) of a campos/MOF mosaic in the mid- or early Holocene, which appears to disappear into the mid-Holocene before reappearing towards the end of the profiles. This is more evident in the Guarapuava site (phytoliths and soil carbon) than in Xanxere in W SC and Ponta Grossa in PR (both soil carbon only). Still, worth considering. Caveats to bear in mind - not every site is dated (Guarapuava uses the dates from Xanxere, eg), and Aa phytolith absence might not necessarily mean Aa absence (production is patchy at best). Still, first (?) evidence of forest this early in the Holocene","number-of-pages":"256","publisher":"Universidade de São Paulo","title":"Ocorrência e significado paleoambiental do Horizonte A húmico em Latossolos","type":"thesis"},"uris":["http://www.mendeley.com/documents/?uuid=a09fcd74-9232-479a-85ea-49b37350884f"]}],"mendeley":{"formattedCitation":"(Calegari, 2008)","plainTextFormattedCitation":"(Calegari, 2008)","previouslyFormattedCitation":"(Calegari, 2008)"},"properties":{"noteIndex":0},"schema":"https://github.com/citation-style-language/schema/raw/master/csl-citation.json"}</w:instrText>
      </w:r>
      <w:r w:rsidR="00C04F76">
        <w:fldChar w:fldCharType="separate"/>
      </w:r>
      <w:r w:rsidR="00C04F76" w:rsidRPr="00C04F76">
        <w:rPr>
          <w:noProof/>
        </w:rPr>
        <w:t>(Calegari, 2008)</w:t>
      </w:r>
      <w:r w:rsidR="00C04F76">
        <w:fldChar w:fldCharType="end"/>
      </w:r>
      <w:r w:rsidR="00B44520">
        <w:t xml:space="preserve"> and another nearby site</w:t>
      </w:r>
      <w:r w:rsidR="000759B3">
        <w:t xml:space="preserve"> </w:t>
      </w:r>
      <w:r w:rsidR="00D851CE">
        <w:fldChar w:fldCharType="begin" w:fldLock="1"/>
      </w:r>
      <w:r w:rsidR="007F330C">
        <w:instrText>ADDIN CSL_CITATION {"citationItems":[{"id":"ITEM-1","itemData":{"DOI":"10.5935/ambiencia.2016.01.01","ISSN":"1808-0251","author":[{"dropping-particle":"da","family":"Silva","given":"Deyvis Willian","non-dropping-particle":"","parse-names":false,"suffix":""},{"dropping-particle":"","family":"Camargo Filho","given":"Mauricio","non-dropping-particle":"","parse-names":false,"suffix":""},{"dropping-particle":"","family":"Parolin","given":"Mauro","non-dropping-particle":"","parse-names":false,"suffix":""},{"dropping-particle":"","family":"Bertotti","given":"Luiz Gilberto","non-dropping-particle":"","parse-names":false,"suffix":""}],"container-title":"Ambiência","id":"ITEM-1","issue":"1","issued":{"date-parts":[["2016"]]},"title":"Análise paleoambiental a partir dos principais morfotipos de fitólitos encontrados em sedimento turfoso na região de Guarapuava-Paraná","type":"article-journal","volume":"12"},"suffix":"; no precise location","uris":["http://www.mendeley.com/documents/?uuid=e4dc975d-b8a1-4a6b-be02-ebc8f7b9f60c"]}],"mendeley":{"formattedCitation":"(Silva et al., 2016; no precise location)","plainTextFormattedCitation":"(Silva et al., 2016; no precise location)","previouslyFormattedCitation":"(Silva et al., 2016; no precise location)"},"properties":{"noteIndex":0},"schema":"https://github.com/citation-style-language/schema/raw/master/csl-citation.json"}</w:instrText>
      </w:r>
      <w:r w:rsidR="00D851CE">
        <w:fldChar w:fldCharType="separate"/>
      </w:r>
      <w:r w:rsidR="005944BB" w:rsidRPr="005944BB">
        <w:rPr>
          <w:noProof/>
        </w:rPr>
        <w:t>(Silva et al., 2016; no precise location)</w:t>
      </w:r>
      <w:r w:rsidR="00D851CE">
        <w:fldChar w:fldCharType="end"/>
      </w:r>
      <w:r w:rsidR="00D851CE">
        <w:t xml:space="preserve"> suggest the presence of woody</w:t>
      </w:r>
      <w:r w:rsidR="0089558F">
        <w:t xml:space="preserve"> </w:t>
      </w:r>
      <w:r w:rsidR="003C1E20">
        <w:t>A</w:t>
      </w:r>
      <w:r w:rsidR="00FC1A89">
        <w:t xml:space="preserve">MF-like </w:t>
      </w:r>
      <w:r w:rsidR="00D851CE">
        <w:t>vegetation</w:t>
      </w:r>
      <w:r w:rsidR="00FC1A89">
        <w:t xml:space="preserve"> in the </w:t>
      </w:r>
      <w:r w:rsidR="00FE4E4D">
        <w:t>early Holocene</w:t>
      </w:r>
      <w:r w:rsidR="00FC1A89">
        <w:t xml:space="preserve">, which </w:t>
      </w:r>
      <w:r w:rsidR="002F52C6">
        <w:t xml:space="preserve">subsequently </w:t>
      </w:r>
      <w:r w:rsidR="00FC1A89">
        <w:t>decline</w:t>
      </w:r>
      <w:r w:rsidR="002F52C6">
        <w:t>d</w:t>
      </w:r>
      <w:r w:rsidR="00FE4E4D">
        <w:t>. Further s</w:t>
      </w:r>
      <w:r w:rsidR="00400EC8">
        <w:t xml:space="preserve">oil profiles at CPCN Pro Mata </w:t>
      </w:r>
      <w:r w:rsidR="00CE1808">
        <w:fldChar w:fldCharType="begin" w:fldLock="1"/>
      </w:r>
      <w:r w:rsidR="007F330C">
        <w:instrText>ADDIN CSL_CITATION {"citationItems":[{"id":"ITEM-1","itemData":{"DOI":"10.1007/s10021-011-9486-y","ISBN":"1432-9840","ISSN":"14329840","abstract":"Recent studies have shown that tropical and subtropical forests expanded during the late Holocene, but rates and mechanisms of expansion are still unknown. Here, we investigate how a forest-grassland mosaic changed over the past 10,000 years at the southernmost limit of the Brazilian Atlantic forest. We used soil organic matter carbon isotopes (δ 13C and 14C) to quantify and date changes in vegetation, examining soil properties and leaf traits of tree species (nutrient content, δ 13C, δ 15N, and specific leaf area-SLA) to describe potential mechanisms of expansion. Our results show that after several millennia of stability, forests have been expanding over grasslands through continuous, but very slow, border dynamics and patch formation (&lt;100 m since ~4,000 YBP). This process of expansion coincided with past changes in climate, but biotic feedback mechanisms also appear to be important for the long-term persistence and expansion of forests. Soil fertility and microbial biomass match current rather than past vegetation distribution, increasing progressively across the gradient: grasslands &lt; isolated trees &lt; forest patches &lt; forests. Foliar δ 15N values of trees that are able to colonize the grassland are consistently lower across this vegetation gradient, suggesting an increasingly greater reliance on symbiotic nutrient uptake from grasslands to forests. No significant relationships were found between soil and leaf nutrients, but SLA explained variation in leaf N, P, and K (positive relationships) and in leaf δ 13C (negative relationship). These findings suggest that a tradeoff between tree growth and water use efficiency is an important regulator of forest-grassland dynamics in the study region. © 2011 Springer Science+Business Media, LLC.","author":[{"dropping-particle":"","family":"Silva","given":"Lucas C R","non-dropping-particle":"","parse-names":false,"suffix":""},{"dropping-particle":"","family":"Anand","given":"Madhur","non-dropping-particle":"","parse-names":false,"suffix":""}],"container-title":"Ecosystems","id":"ITEM-1","issue":"8","issued":{"date-parts":[["2011"]]},"note":"Interesting paper on expansion of ARF over 9,000 years. Good diagrams showing how and when the patches and forest areas expanded. Expansion speeds suggested, with implications for refugia and past humans mentioned. Thoughts in notes.","page":"1354-1371","title":"Mechanisms of Araucaria (Atlantic) Forest Expansion into Southern Brazilian Grasslands","type":"article-journal","volume":"14"},"uris":["http://www.mendeley.com/documents/?uuid=26302ea3-b67e-3725-bd0a-3f81476d906b"]},{"id":"ITEM-2","itemData":{"DOI":"10.1016/j.geoderma.2007.06.005","ISBN":"0016-7061","ISSN":"00167061","PMID":"778","abstract":"The vegetation of the southern Brazilian highlands in Rio Grande do Sul State is a mosaic of grassland (C4) and deciduous forests (C3) with the conifer Araucaria angustifolia. It was uncertain, whether the grasslands represent relics of drier periods in the Holocene or if they are the result of deforestation in recent times. We analyzed plant tissues from gramineous and woody species, organic surface layers, as well as soil organic matter of 13 Andosols and Umbrisols in grassland, shrubland, pine plantations and Araucaria forest for stable carbon isotope ratios (δ13C) and 14C activity. The soil organic matter was separated into a free particulate organic matter (fPOM) and a heavy, organo-mineral fraction by density fractionation. All grassland soils have consistently ??13C values of - 18.7 to - 14.3??? typical for C4 grasses. In Araucaria forests and forest patches within grassland the δ13C values of both, the fPOM throughout the soil and the organic surface layers, are characteristic for the present below- and above-ground input from C3 trees. The C3- and C4-derived SOC stocks reflect expansion of Araucaria forest on grassland, which started after 1300??yr BP. The youngest forests are found at the forest border and in forest patches. Grassland soils lose their typically black colour from the top downwards after shrub encroachment or establishment of forest as indicated by increasing melanic indexes which are closely related to the δ13C values. The natural 13C depletion with depth in grassland soils counteracts the enrichment of 13C in the subsoils of present Araucaria forest. The results clearly indicate that current grasslands represent relics at least from the early and mid Holocene period (6000-8000??yr BP) and are not the result of recent deforestation.","author":[{"dropping-particle":"","family":"Dümig","given":"Alexander","non-dropping-particle":"","parse-names":false,"suffix":""},{"dropping-particle":"","family":"Schad","given":"Peter","non-dropping-particle":"","parse-names":false,"suffix":""},{"dropping-particle":"","family":"Rumpel","given":"Cornelia","non-dropping-particle":"","parse-names":false,"suffix":""},{"dropping-particle":"","family":"Dignac","given":"Marie France","non-dropping-particle":"","parse-names":false,"suffix":""},{"dropping-particle":"","family":"Kögel-Knabner","given":"Ingrid","non-dropping-particle":"","parse-names":false,"suffix":""}],"container-title":"Geoderma","id":"ITEM-2","issue":"1-2","issued":{"date-parts":[["2008"]]},"note":"Looks at soil carbon, carbon dating and soil colour changes (?) to see whether Araucaria forest or grassland was there first; agrees strongly with Behling 2001 - expansion of Araucaria forest over campos after 1300 (cal?) yr BP. Suggestions are made in the conclusions about climate and the ages of different forest blocks that could be the basis of a hypothesis re climate and people","page":"143-157","title":"Araucaria forest expansion on grassland in the southern Brazilian highlands as revealed by 14C and δ13C studies","type":"article-journal","volume":"145"},"uris":["http://www.mendeley.com/documents/?uuid=5e3493b9-8502-33ea-a9ad-898e8f2a4c5d"]}],"mendeley":{"formattedCitation":"(Dümig et al., 2008; Silva and Anand, 2011)","plainTextFormattedCitation":"(Dümig et al., 2008; Silva and Anand, 2011)","previouslyFormattedCitation":"(Dümig et al., 2008; Silva and Anand, 2011)"},"properties":{"noteIndex":0},"schema":"https://github.com/citation-style-language/schema/raw/master/csl-citation.json"}</w:instrText>
      </w:r>
      <w:r w:rsidR="00CE1808">
        <w:fldChar w:fldCharType="separate"/>
      </w:r>
      <w:r w:rsidR="005944BB" w:rsidRPr="005944BB">
        <w:rPr>
          <w:noProof/>
        </w:rPr>
        <w:t>(Dümig et al., 2008; Silva and Anand, 2011)</w:t>
      </w:r>
      <w:r w:rsidR="00CE1808">
        <w:fldChar w:fldCharType="end"/>
      </w:r>
      <w:r w:rsidR="00CE1808">
        <w:t xml:space="preserve"> </w:t>
      </w:r>
      <w:r w:rsidR="00400EC8">
        <w:t xml:space="preserve">show that </w:t>
      </w:r>
      <w:r w:rsidR="000049DC">
        <w:t>smaller-than-modern</w:t>
      </w:r>
      <w:r w:rsidR="0076166B">
        <w:t xml:space="preserve"> forest</w:t>
      </w:r>
      <w:r w:rsidR="000049DC">
        <w:t xml:space="preserve"> </w:t>
      </w:r>
      <w:r w:rsidR="00400EC8">
        <w:t>b</w:t>
      </w:r>
      <w:r w:rsidR="003F4039">
        <w:t xml:space="preserve">locks </w:t>
      </w:r>
      <w:r w:rsidR="00CE1808">
        <w:t>were</w:t>
      </w:r>
      <w:r w:rsidR="000D47CF">
        <w:t xml:space="preserve"> also</w:t>
      </w:r>
      <w:r w:rsidR="00CE1808">
        <w:t xml:space="preserve"> found</w:t>
      </w:r>
      <w:r w:rsidR="003F4039">
        <w:t xml:space="preserve"> in the </w:t>
      </w:r>
      <w:r w:rsidR="00F16B47">
        <w:t xml:space="preserve">highlands’ </w:t>
      </w:r>
      <w:r w:rsidR="003F4039">
        <w:t>south-east by 9,000 BP</w:t>
      </w:r>
      <w:r w:rsidR="000049DC">
        <w:t xml:space="preserve">, </w:t>
      </w:r>
      <w:r w:rsidR="003F4039">
        <w:t xml:space="preserve">but </w:t>
      </w:r>
      <w:r w:rsidR="008710A8">
        <w:t xml:space="preserve">any </w:t>
      </w:r>
      <w:r w:rsidR="003F4039">
        <w:t xml:space="preserve">changes in their composition are </w:t>
      </w:r>
      <w:r w:rsidR="00D26E5C">
        <w:t>in</w:t>
      </w:r>
      <w:r w:rsidR="003F4039">
        <w:t>visible in the region’s grassland-dominated pollen records.</w:t>
      </w:r>
      <w:r w:rsidR="008710A8">
        <w:t xml:space="preserve"> Further north, there is little change in the </w:t>
      </w:r>
      <w:r w:rsidR="00477551">
        <w:t xml:space="preserve">grassland-dominated </w:t>
      </w:r>
      <w:r w:rsidR="008710A8">
        <w:t xml:space="preserve">pollen record from </w:t>
      </w:r>
      <w:r w:rsidR="00477551">
        <w:t xml:space="preserve">Serra do Aracatuba </w:t>
      </w:r>
      <w:r w:rsidR="008710A8">
        <w:fldChar w:fldCharType="begin" w:fldLock="1"/>
      </w:r>
      <w:r w:rsidR="007F330C">
        <w:instrText>ADDIN CSL_CITATION {"citationItems":[{"id":"ITEM-1","itemData":{"DOI":"10.1007/s00334-006-0078-2","ISBN":"0939-6314\\r1617-6278","ISSN":"0939-6314","abstract":"Late Quaternary vegetation, fire and climate dy- namics were studied by pollen and charcoal analysis on a sediment core from near the summit of the Serra do Arac ¸atuba at 1500 m elevation, part of the Serra do Mar coastal mountains of Paran´ a State, southern Brazil. Three radiocarbon dates indicate that clay and peat were deposited in a shallow basin during the last 14,880 b.p. Accumula- tion was probably continuous, but sedimentary gaps dur- ing the dry mid Holocene cannot be excluded. During late- glacial times the upper coastal mountain were covered with grassland, reflecting relatively dry and cold climatic con- ditions. Large areas of natural grasslands remained in the upper mountain region during the Holocene. Only after 2000 b.p. did Araucaria forest trees, specially Ilex, some Atlantic forest trees as well as the pioneer Myrsine move to higher elevations, reflecting markedly wetter climatic con- ditions. This expansion stopped and the forest areas were reduced significantly by human activities during about the last 200–300 years. The modern grassland vegetation of the uppermost mountains may reflect the natural setting, but may also partly result from post-Columbian human activ- ities. Fires were rare during the late Pleistocene and even less frequent during the early and mid Holocene. During the wettest recorded period of the late Holocene fires increased markedly and are therefore most probably of anthropogenic origin.","author":[{"dropping-particle":"","family":"Behling","given":"Hermann","non-dropping-particle":"","parse-names":false,"suffix":""}],"container-title":"Vegetation History and Archaeobotany","id":"ITEM-1","issue":"2-3","issued":{"date-parts":[["2006","12","19"]]},"note":"SdAra\nAnalysis of the 121cm core from Serra do Aracatuba over the last 14,880 cal yr BP. Results are broadly similar to other records, but with different timing (altitude?). No massive Aa expansion but expansion of Araucaria forest (a bit distant from the bog) was mainly due to Ilex expansion. \n\nInteresting reclassification of Myrsine as 'other' - bear in mind for other reinterpretations.\n\nReally interesting comment on p83 on the difference between climate inferred from pollen records and that from speleothems. Worth exploring.","page":"77-85","publisher":"Springer-Verlag","title":"Late Quaternary vegetation, fire and climate dynamics of Serra do Araçatuba in the Atlantic coastal mountains of Paraná State, southern Brazil","type":"article-journal","volume":"16"},"uris":["http://www.mendeley.com/documents/?uuid=e0e2dc1c-e00c-3bb1-b5f2-761f12b3cc39"]}],"mendeley":{"formattedCitation":"(Behling, 2006)","plainTextFormattedCitation":"(Behling, 2006)","previouslyFormattedCitation":"(Behling, 2006)"},"properties":{"noteIndex":0},"schema":"https://github.com/citation-style-language/schema/raw/master/csl-citation.json"}</w:instrText>
      </w:r>
      <w:r w:rsidR="008710A8">
        <w:fldChar w:fldCharType="separate"/>
      </w:r>
      <w:r w:rsidR="005944BB" w:rsidRPr="005944BB">
        <w:rPr>
          <w:noProof/>
        </w:rPr>
        <w:t>(Behling, 2006)</w:t>
      </w:r>
      <w:r w:rsidR="008710A8">
        <w:fldChar w:fldCharType="end"/>
      </w:r>
      <w:r w:rsidR="0095370E">
        <w:t>, but</w:t>
      </w:r>
      <w:r w:rsidR="008227BB">
        <w:t xml:space="preserve"> a short </w:t>
      </w:r>
      <w:r w:rsidR="00F700AE">
        <w:t>buried peat sample</w:t>
      </w:r>
      <w:r w:rsidR="00F070F5">
        <w:t xml:space="preserve"> near the </w:t>
      </w:r>
      <w:r w:rsidR="008227BB">
        <w:t>Cerro do Touro</w:t>
      </w:r>
      <w:r w:rsidR="00F070F5">
        <w:t xml:space="preserve"> Watershed </w:t>
      </w:r>
      <w:r w:rsidR="008227BB">
        <w:fldChar w:fldCharType="begin" w:fldLock="1"/>
      </w:r>
      <w:r w:rsidR="007F330C">
        <w:instrText>ADDIN CSL_CITATION {"citationItems":[{"id":"ITEM-1","itemData":{"DOI":"10.1016/j.catena.2008.04.003","ISSN":"03418162","abstract":"During the past 40 years colluvial and alluvial deposits have been used in Brazil as good indicators of regional landscape sensitivity to Quaternary environmental changes. In spite of the low resolution of most of the continental sedimentary record, geomorphology and sedimentology may favor palaeoenvironmental interpretation when supported by independent proxy data. This paper presents results obtained from pedostratigraphic sequences, in near-valley head sites of southern Brazilian highlands, based on geomorphologic, sedimentologic, micromorphologic, isotopic and palynologic data. Results point to environmental changes, with ages that coincide with Marine Isotopic Stages (MIS) 5b; 3; 2 and 1. During the late Pleistocene, although under temperatures and precipitation lower than today, the local record points to relatively wet local environments, where shallow soil-water saturated zones contributed to erosion and sedimentation during periods of climatic change, as during the transition between MIS 2 and MIS 1. Late Pleistocene events with ages that coincide with the Northern Hemisphere Younger Dryas are also depicted. During the mid Holocene, slope-wash deposits suggest a climate drier than today, probably under the influence of seasonally contrasted precipitation regimes. The predominance of overland flow-related sedimentary deposits suggests an excess of precipitation over evaporation that influenced local palaeohydrology. This environmental condition seems to be recurrent and explains how slope morphology had influenced pedogenesis and sedimentation in the study area. Due to relative sensitiveness, resilience and short source-to-sink sedimentary pathways, near-valley head sites deserve further attention in Quaternary studies in the humid tropics. © 2008 Elsevier B.V. All rights reserved.","author":[{"dropping-particle":"","family":"Oliveira","given":"Marcelo Accioly Teixeira","non-dropping-particle":"de","parse-names":false,"suffix":""},{"dropping-particle":"","family":"Behling","given":"Hermann","non-dropping-particle":"","parse-names":false,"suffix":""},{"dropping-particle":"","family":"Pessenda","given":"Luiz Carlos Ruiz","non-dropping-particle":"","parse-names":false,"suffix":""},{"dropping-particle":"","family":"Lima","given":"Gisele Leite","non-dropping-particle":"de","parse-names":false,"suffix":""}],"container-title":"Catena","id":"ITEM-1","issue":"1","issued":{"date-parts":[["2008","9"]]},"note":"Has two of the same sites as de Oliveira et al (2008) JSAmES paper, but also has Valley Bottom sequence which shows rapid (500year) overtake of campos by MOF at beginning of the Holocene. d13C results for Watershed site (covers LGM and period to the Holocene; trees/C3); pollen and d13C results for old old buried peat in Valley Head site (campos and C3-dominated).","page":"77-92","title":"Stratigraphy of near-valley head quaternary deposits and evidence of climate-driven slope-channel processes in southern Brazilian highlands","type":"article-journal","volume":"75"},"uris":["http://www.mendeley.com/documents/?uuid=2bb97552-b350-326c-8b2e-5871b00467d5"]}],"mendeley":{"formattedCitation":"(de Oliveira et al., 2008)","plainTextFormattedCitation":"(de Oliveira et al., 2008)","previouslyFormattedCitation":"(de Oliveira et al., 2008)"},"properties":{"noteIndex":0},"schema":"https://github.com/citation-style-language/schema/raw/master/csl-citation.json"}</w:instrText>
      </w:r>
      <w:r w:rsidR="008227BB">
        <w:fldChar w:fldCharType="separate"/>
      </w:r>
      <w:r w:rsidR="005944BB" w:rsidRPr="005944BB">
        <w:rPr>
          <w:noProof/>
        </w:rPr>
        <w:t>(de Oliveira et al., 2008)</w:t>
      </w:r>
      <w:r w:rsidR="008227BB">
        <w:fldChar w:fldCharType="end"/>
      </w:r>
      <w:r w:rsidR="00635C58">
        <w:t xml:space="preserve"> shows a </w:t>
      </w:r>
      <w:r w:rsidR="00CD2B68">
        <w:t xml:space="preserve">30% decline in </w:t>
      </w:r>
      <w:r w:rsidR="00635C58">
        <w:t>Campos pollen</w:t>
      </w:r>
      <w:r w:rsidR="00CD2B68">
        <w:t xml:space="preserve"> within a few centuries of </w:t>
      </w:r>
      <w:r w:rsidR="001A5F9C">
        <w:t xml:space="preserve">12,000 BP </w:t>
      </w:r>
      <w:r w:rsidR="00635C58">
        <w:t xml:space="preserve">as </w:t>
      </w:r>
      <w:proofErr w:type="spellStart"/>
      <w:r w:rsidR="00635C58">
        <w:rPr>
          <w:i/>
          <w:iCs/>
        </w:rPr>
        <w:t>Weinmannia</w:t>
      </w:r>
      <w:proofErr w:type="spellEnd"/>
      <w:r w:rsidR="00635C58">
        <w:rPr>
          <w:i/>
          <w:iCs/>
        </w:rPr>
        <w:t xml:space="preserve">, </w:t>
      </w:r>
      <w:proofErr w:type="spellStart"/>
      <w:r w:rsidR="00635C58">
        <w:t>Myrtaceae</w:t>
      </w:r>
      <w:proofErr w:type="spellEnd"/>
      <w:r w:rsidR="00635C58">
        <w:t xml:space="preserve">, </w:t>
      </w:r>
      <w:proofErr w:type="spellStart"/>
      <w:r w:rsidR="00635C58">
        <w:rPr>
          <w:i/>
          <w:iCs/>
        </w:rPr>
        <w:t>Myrsine</w:t>
      </w:r>
      <w:proofErr w:type="spellEnd"/>
      <w:r w:rsidR="00635C58">
        <w:rPr>
          <w:i/>
          <w:iCs/>
        </w:rPr>
        <w:t xml:space="preserve"> </w:t>
      </w:r>
      <w:r w:rsidR="00635C58">
        <w:t xml:space="preserve">and </w:t>
      </w:r>
      <w:proofErr w:type="spellStart"/>
      <w:r w:rsidR="00635C58">
        <w:rPr>
          <w:i/>
          <w:iCs/>
        </w:rPr>
        <w:t>Dicksonia</w:t>
      </w:r>
      <w:proofErr w:type="spellEnd"/>
      <w:r w:rsidR="00635C58">
        <w:rPr>
          <w:i/>
          <w:iCs/>
        </w:rPr>
        <w:t xml:space="preserve"> </w:t>
      </w:r>
      <w:proofErr w:type="spellStart"/>
      <w:r w:rsidR="00635C58">
        <w:rPr>
          <w:i/>
          <w:iCs/>
        </w:rPr>
        <w:t>sellowiana</w:t>
      </w:r>
      <w:proofErr w:type="spellEnd"/>
      <w:r w:rsidR="00635C58">
        <w:rPr>
          <w:i/>
          <w:iCs/>
        </w:rPr>
        <w:t xml:space="preserve"> </w:t>
      </w:r>
      <w:r w:rsidR="001A5F9C" w:rsidRPr="001A5F9C">
        <w:t>pollen</w:t>
      </w:r>
      <w:r w:rsidR="001A5F9C">
        <w:rPr>
          <w:i/>
          <w:iCs/>
        </w:rPr>
        <w:t xml:space="preserve"> </w:t>
      </w:r>
      <w:r w:rsidR="00635C58">
        <w:t xml:space="preserve">increase. Combined with changes in </w:t>
      </w:r>
      <w:r w:rsidR="003C1E20">
        <w:t>A</w:t>
      </w:r>
      <w:r w:rsidR="00635C58">
        <w:t>MF taxa from GeoB2107 (</w:t>
      </w:r>
      <w:r w:rsidR="00635C58">
        <w:rPr>
          <w:i/>
          <w:iCs/>
        </w:rPr>
        <w:t>Araucaria</w:t>
      </w:r>
      <w:r w:rsidR="008E37D9">
        <w:rPr>
          <w:i/>
          <w:iCs/>
        </w:rPr>
        <w:t xml:space="preserve">, </w:t>
      </w:r>
      <w:proofErr w:type="spellStart"/>
      <w:r w:rsidR="00635C58">
        <w:rPr>
          <w:i/>
          <w:iCs/>
        </w:rPr>
        <w:t>Schinus</w:t>
      </w:r>
      <w:proofErr w:type="spellEnd"/>
      <w:r w:rsidR="00635C58">
        <w:rPr>
          <w:i/>
          <w:iCs/>
        </w:rPr>
        <w:t>/</w:t>
      </w:r>
      <w:proofErr w:type="spellStart"/>
      <w:r w:rsidR="00635C58">
        <w:rPr>
          <w:i/>
          <w:iCs/>
        </w:rPr>
        <w:t>Lithraea</w:t>
      </w:r>
      <w:proofErr w:type="spellEnd"/>
      <w:r w:rsidR="008E37D9">
        <w:rPr>
          <w:i/>
          <w:iCs/>
        </w:rPr>
        <w:t xml:space="preserve">, </w:t>
      </w:r>
      <w:r w:rsidR="001E4011">
        <w:rPr>
          <w:i/>
          <w:iCs/>
        </w:rPr>
        <w:t>Podocarpus</w:t>
      </w:r>
      <w:r w:rsidR="008E37D9">
        <w:rPr>
          <w:i/>
          <w:iCs/>
        </w:rPr>
        <w:t xml:space="preserve"> </w:t>
      </w:r>
      <w:r w:rsidR="008E37D9">
        <w:t>and</w:t>
      </w:r>
      <w:r w:rsidR="001E4011">
        <w:t xml:space="preserve"> </w:t>
      </w:r>
      <w:proofErr w:type="spellStart"/>
      <w:r w:rsidR="001E4011">
        <w:rPr>
          <w:i/>
          <w:iCs/>
        </w:rPr>
        <w:t>Myrsine</w:t>
      </w:r>
      <w:proofErr w:type="spellEnd"/>
      <w:r w:rsidR="001E4011">
        <w:rPr>
          <w:i/>
          <w:iCs/>
        </w:rPr>
        <w:t xml:space="preserve"> </w:t>
      </w:r>
      <w:r w:rsidR="008E37D9">
        <w:t xml:space="preserve">all </w:t>
      </w:r>
      <w:r w:rsidR="009671E0">
        <w:t>respond differently</w:t>
      </w:r>
      <w:r w:rsidR="001E4011">
        <w:t>), this may provide general support for predict</w:t>
      </w:r>
      <w:r w:rsidR="00652E4D">
        <w:t>ed</w:t>
      </w:r>
      <w:r w:rsidR="001E4011">
        <w:t xml:space="preserve"> compositional changes in highland vegetation through the early Holocene</w:t>
      </w:r>
      <w:r w:rsidR="0095370E">
        <w:t>, though forest coverage apparent</w:t>
      </w:r>
      <w:r w:rsidR="006E7DC9">
        <w:t>ly remained patchy</w:t>
      </w:r>
      <w:r w:rsidR="001E4011">
        <w:t>.</w:t>
      </w:r>
    </w:p>
    <w:p w14:paraId="0C8989AA" w14:textId="24215A8F" w:rsidR="002E3DF1" w:rsidRDefault="002E3DF1" w:rsidP="00F74804">
      <w:pPr>
        <w:pStyle w:val="Heading3"/>
        <w:numPr>
          <w:ilvl w:val="2"/>
          <w:numId w:val="5"/>
        </w:numPr>
        <w:spacing w:line="360" w:lineRule="auto"/>
      </w:pPr>
      <w:r>
        <w:t>Mid-Holocene (6,000 BP)</w:t>
      </w:r>
    </w:p>
    <w:p w14:paraId="06447034" w14:textId="782E8847" w:rsidR="008A43A7" w:rsidRPr="004334B2" w:rsidRDefault="00E456C9" w:rsidP="00F74804">
      <w:pPr>
        <w:spacing w:line="360" w:lineRule="auto"/>
      </w:pPr>
      <w:r>
        <w:t xml:space="preserve">At the mid-Holocene (6,000 BP), </w:t>
      </w:r>
      <w:r w:rsidR="001249E4">
        <w:t xml:space="preserve">many </w:t>
      </w:r>
      <w:r w:rsidR="006A54E2">
        <w:t xml:space="preserve">parts of the study </w:t>
      </w:r>
      <w:r w:rsidR="001249E4">
        <w:t xml:space="preserve">area – including </w:t>
      </w:r>
      <w:r w:rsidR="00081D7C">
        <w:t xml:space="preserve">much of </w:t>
      </w:r>
      <w:r w:rsidR="006A54E2">
        <w:t xml:space="preserve">its </w:t>
      </w:r>
      <w:r w:rsidR="00081D7C">
        <w:t>west</w:t>
      </w:r>
      <w:r w:rsidR="006A54E2">
        <w:t xml:space="preserve"> </w:t>
      </w:r>
      <w:r w:rsidR="002A1DE3">
        <w:t xml:space="preserve">– are </w:t>
      </w:r>
      <w:r w:rsidR="00D94019">
        <w:t>poorly characterised by our modelled sp</w:t>
      </w:r>
      <w:r w:rsidR="00475923">
        <w:t>e</w:t>
      </w:r>
      <w:r w:rsidR="00D94019">
        <w:t>cies</w:t>
      </w:r>
      <w:r w:rsidR="00475923">
        <w:t xml:space="preserve"> (</w:t>
      </w:r>
      <w:r w:rsidR="00CA27D2">
        <w:t>Fig. S1</w:t>
      </w:r>
      <w:r w:rsidR="00B16B76">
        <w:t>0</w:t>
      </w:r>
      <w:r w:rsidR="00475923">
        <w:t>)</w:t>
      </w:r>
      <w:r w:rsidR="00587545">
        <w:t>, most of which experience reductions in their predicted extents compared to 9,000 BP (</w:t>
      </w:r>
      <w:r w:rsidR="00CA27D2">
        <w:t xml:space="preserve">Fig. </w:t>
      </w:r>
      <w:r w:rsidR="00B16B76">
        <w:t>6</w:t>
      </w:r>
      <w:r w:rsidR="00587545">
        <w:t>)</w:t>
      </w:r>
      <w:r w:rsidR="00475923">
        <w:t>.</w:t>
      </w:r>
      <w:r w:rsidR="00264503">
        <w:t xml:space="preserve"> </w:t>
      </w:r>
      <w:r w:rsidR="00BC7A43">
        <w:t xml:space="preserve">For this reason, </w:t>
      </w:r>
      <w:r w:rsidR="00367D1F">
        <w:t xml:space="preserve">increased caution is required when </w:t>
      </w:r>
      <w:r w:rsidR="00BC7A43">
        <w:t>interpret</w:t>
      </w:r>
      <w:r w:rsidR="00367D1F">
        <w:t>ing</w:t>
      </w:r>
      <w:r w:rsidR="002D778F">
        <w:t xml:space="preserve"> vegetation change</w:t>
      </w:r>
      <w:r w:rsidR="00367D1F">
        <w:t>s</w:t>
      </w:r>
      <w:r w:rsidR="002D778F">
        <w:t xml:space="preserve"> in these areas</w:t>
      </w:r>
      <w:r w:rsidR="00367D1F">
        <w:t xml:space="preserve">. </w:t>
      </w:r>
      <w:r w:rsidR="00690348">
        <w:t>Many a</w:t>
      </w:r>
      <w:r w:rsidR="00E917A6">
        <w:t xml:space="preserve">reas </w:t>
      </w:r>
      <w:r w:rsidR="00690348">
        <w:t xml:space="preserve">designated as assemblages 20 and 30 in the early Holocene </w:t>
      </w:r>
      <w:r w:rsidR="00716D17">
        <w:t>become assemblage</w:t>
      </w:r>
      <w:r w:rsidR="004A50C1">
        <w:t>s</w:t>
      </w:r>
      <w:r w:rsidR="00716D17">
        <w:t xml:space="preserve"> 16 (</w:t>
      </w:r>
      <w:r w:rsidR="004A50C1">
        <w:t>SDF-like) or 13 (</w:t>
      </w:r>
      <w:r w:rsidR="003C1E20">
        <w:t>A</w:t>
      </w:r>
      <w:r w:rsidR="004A50C1">
        <w:t>MF/Campos-like)</w:t>
      </w:r>
      <w:r w:rsidR="006D7E33">
        <w:t xml:space="preserve">, depending largely on changes </w:t>
      </w:r>
      <w:r w:rsidR="009A0640">
        <w:t xml:space="preserve">to the distributions of </w:t>
      </w:r>
      <w:proofErr w:type="spellStart"/>
      <w:r w:rsidR="00FC15D8">
        <w:rPr>
          <w:i/>
          <w:iCs/>
        </w:rPr>
        <w:t>Matayba</w:t>
      </w:r>
      <w:proofErr w:type="spellEnd"/>
      <w:r w:rsidR="00FC15D8">
        <w:rPr>
          <w:i/>
          <w:iCs/>
        </w:rPr>
        <w:t xml:space="preserve"> </w:t>
      </w:r>
      <w:proofErr w:type="spellStart"/>
      <w:r w:rsidR="00FC15D8">
        <w:rPr>
          <w:i/>
          <w:iCs/>
        </w:rPr>
        <w:t>elaeagnoides</w:t>
      </w:r>
      <w:proofErr w:type="spellEnd"/>
      <w:r w:rsidR="001855FA">
        <w:rPr>
          <w:i/>
          <w:iCs/>
        </w:rPr>
        <w:t xml:space="preserve"> </w:t>
      </w:r>
      <w:r w:rsidR="001855FA">
        <w:t xml:space="preserve">and </w:t>
      </w:r>
      <w:r w:rsidR="001855FA">
        <w:rPr>
          <w:i/>
          <w:iCs/>
        </w:rPr>
        <w:t xml:space="preserve">Podocarpus </w:t>
      </w:r>
      <w:proofErr w:type="spellStart"/>
      <w:r w:rsidR="001855FA">
        <w:rPr>
          <w:i/>
          <w:iCs/>
        </w:rPr>
        <w:t>sellowii</w:t>
      </w:r>
      <w:proofErr w:type="spellEnd"/>
      <w:r w:rsidR="00F837ED">
        <w:rPr>
          <w:i/>
          <w:iCs/>
        </w:rPr>
        <w:t>.</w:t>
      </w:r>
      <w:r w:rsidR="00F837ED">
        <w:t xml:space="preserve"> </w:t>
      </w:r>
      <w:r w:rsidR="00F91E80">
        <w:t xml:space="preserve">Assemblage 20 </w:t>
      </w:r>
      <w:r w:rsidR="00F91E80">
        <w:lastRenderedPageBreak/>
        <w:t xml:space="preserve">reappears north-west of the </w:t>
      </w:r>
      <w:proofErr w:type="spellStart"/>
      <w:r w:rsidR="00F91E80">
        <w:t>Itajaí</w:t>
      </w:r>
      <w:proofErr w:type="spellEnd"/>
      <w:r w:rsidR="00F91E80">
        <w:t xml:space="preserve"> valley, however, </w:t>
      </w:r>
      <w:r w:rsidR="003934E5">
        <w:t xml:space="preserve">replacing the </w:t>
      </w:r>
      <w:r w:rsidR="003C1E20">
        <w:t>A</w:t>
      </w:r>
      <w:r w:rsidR="003934E5">
        <w:t xml:space="preserve">MF/SDF-like assemblage 14 </w:t>
      </w:r>
      <w:r w:rsidR="00F91E80">
        <w:t>as the location becomes unsuitable for</w:t>
      </w:r>
      <w:r w:rsidR="001855FA">
        <w:rPr>
          <w:i/>
          <w:iCs/>
        </w:rPr>
        <w:t xml:space="preserve"> </w:t>
      </w:r>
      <w:r w:rsidR="00F837ED">
        <w:t xml:space="preserve">several Campos, </w:t>
      </w:r>
      <w:proofErr w:type="gramStart"/>
      <w:r w:rsidR="003C1E20">
        <w:t>A</w:t>
      </w:r>
      <w:r w:rsidR="00F837ED">
        <w:t>MF</w:t>
      </w:r>
      <w:proofErr w:type="gramEnd"/>
      <w:r w:rsidR="00F837ED">
        <w:t xml:space="preserve"> and Cloud Forest species</w:t>
      </w:r>
      <w:r w:rsidR="00605FD1">
        <w:t xml:space="preserve">. </w:t>
      </w:r>
      <w:r w:rsidR="0011151A">
        <w:t>S</w:t>
      </w:r>
      <w:r w:rsidR="00605FD1">
        <w:t xml:space="preserve">imilar but less drastic </w:t>
      </w:r>
      <w:r w:rsidR="0011151A">
        <w:t>changes convert the</w:t>
      </w:r>
      <w:r w:rsidR="004A0DF7">
        <w:t xml:space="preserve"> </w:t>
      </w:r>
      <w:r w:rsidR="005D59B5">
        <w:t xml:space="preserve">Campos/Cloud Forest-like </w:t>
      </w:r>
      <w:r w:rsidR="004A0DF7">
        <w:t xml:space="preserve">assemblage </w:t>
      </w:r>
      <w:r w:rsidR="002B2C47">
        <w:t xml:space="preserve">15 to </w:t>
      </w:r>
      <w:r w:rsidR="0011151A">
        <w:t xml:space="preserve">the </w:t>
      </w:r>
      <w:r w:rsidR="005D59B5">
        <w:t xml:space="preserve">more </w:t>
      </w:r>
      <w:r w:rsidR="003C1E20">
        <w:t>A</w:t>
      </w:r>
      <w:r w:rsidR="005D59B5">
        <w:t xml:space="preserve">MF-like </w:t>
      </w:r>
      <w:r w:rsidR="002B2C47">
        <w:t>assemblage 13 in our study area</w:t>
      </w:r>
      <w:r w:rsidR="00652E4D">
        <w:t>’s centre</w:t>
      </w:r>
      <w:r w:rsidR="002B2C47">
        <w:t>.</w:t>
      </w:r>
      <w:r w:rsidR="00970065">
        <w:t xml:space="preserve"> Changes are somewhat less </w:t>
      </w:r>
      <w:r w:rsidR="00056162">
        <w:t>marked</w:t>
      </w:r>
      <w:r w:rsidR="00970065">
        <w:t xml:space="preserve"> </w:t>
      </w:r>
      <w:r w:rsidR="003A538A">
        <w:t xml:space="preserve">along the coastal lowlands, </w:t>
      </w:r>
      <w:r w:rsidR="00A667E3">
        <w:t>where</w:t>
      </w:r>
      <w:r w:rsidR="00B20BF8">
        <w:t xml:space="preserve"> sea-levels reach </w:t>
      </w:r>
      <w:r w:rsidR="00A667E3">
        <w:t xml:space="preserve">essentially </w:t>
      </w:r>
      <w:r w:rsidR="00B20BF8">
        <w:t>modern levels</w:t>
      </w:r>
      <w:r w:rsidR="008F4320">
        <w:t xml:space="preserve"> – small compositional changes happen in the south</w:t>
      </w:r>
      <w:r w:rsidR="007E3998">
        <w:t xml:space="preserve"> </w:t>
      </w:r>
      <w:r w:rsidR="00E217E4">
        <w:t>and the central region</w:t>
      </w:r>
      <w:r w:rsidR="00DE08D0">
        <w:t xml:space="preserve"> </w:t>
      </w:r>
      <w:r w:rsidR="007E3998">
        <w:t xml:space="preserve">records </w:t>
      </w:r>
      <w:r w:rsidR="00DE08D0">
        <w:t xml:space="preserve">the first significant </w:t>
      </w:r>
      <w:r w:rsidR="007E3998">
        <w:t xml:space="preserve">presence </w:t>
      </w:r>
      <w:r w:rsidR="00DE08D0">
        <w:t xml:space="preserve">of </w:t>
      </w:r>
      <w:r w:rsidR="00F517A1">
        <w:t xml:space="preserve">assemblage 3, </w:t>
      </w:r>
      <w:r w:rsidR="007E3998">
        <w:t xml:space="preserve">modern </w:t>
      </w:r>
      <w:r w:rsidR="003C1E20">
        <w:t>AR</w:t>
      </w:r>
      <w:r w:rsidR="007E3998">
        <w:t>F’s</w:t>
      </w:r>
      <w:r w:rsidR="00F517A1">
        <w:t xml:space="preserve"> best representative</w:t>
      </w:r>
      <w:r w:rsidR="00E217E4">
        <w:t>.</w:t>
      </w:r>
    </w:p>
    <w:p w14:paraId="6B847908" w14:textId="56A2C78C" w:rsidR="00BC021D" w:rsidRDefault="001141B3" w:rsidP="00F74804">
      <w:pPr>
        <w:spacing w:line="360" w:lineRule="auto"/>
      </w:pPr>
      <w:r w:rsidRPr="001141B3">
        <w:t xml:space="preserve">Most </w:t>
      </w:r>
      <w:proofErr w:type="spellStart"/>
      <w:r w:rsidRPr="001141B3">
        <w:t>palaeo</w:t>
      </w:r>
      <w:proofErr w:type="spellEnd"/>
      <w:r w:rsidRPr="001141B3">
        <w:t xml:space="preserve">-proxy sites </w:t>
      </w:r>
      <w:r>
        <w:t xml:space="preserve">in the </w:t>
      </w:r>
      <w:r w:rsidR="00652E4D">
        <w:t xml:space="preserve">region’s </w:t>
      </w:r>
      <w:r>
        <w:t xml:space="preserve">west </w:t>
      </w:r>
      <w:r w:rsidR="00A21424">
        <w:t xml:space="preserve">are </w:t>
      </w:r>
      <w:r>
        <w:t xml:space="preserve">dominated </w:t>
      </w:r>
      <w:r w:rsidR="00A21424">
        <w:t>by grassland/C4 signals</w:t>
      </w:r>
      <w:r w:rsidR="004A2423">
        <w:t xml:space="preserve"> at the mid-Holocene</w:t>
      </w:r>
      <w:r w:rsidR="00A21424">
        <w:t xml:space="preserve">, apart from </w:t>
      </w:r>
      <w:proofErr w:type="spellStart"/>
      <w:r w:rsidR="00CE024E">
        <w:t>Trincheira</w:t>
      </w:r>
      <w:proofErr w:type="spellEnd"/>
      <w:r w:rsidR="00CE024E">
        <w:t xml:space="preserve"> </w:t>
      </w:r>
      <w:proofErr w:type="spellStart"/>
      <w:r w:rsidR="00CE024E">
        <w:t>Reserva</w:t>
      </w:r>
      <w:proofErr w:type="spellEnd"/>
      <w:r w:rsidR="00CE024E">
        <w:t xml:space="preserve"> </w:t>
      </w:r>
      <w:r w:rsidR="00CE024E">
        <w:fldChar w:fldCharType="begin" w:fldLock="1"/>
      </w:r>
      <w:r w:rsidR="00026C1E">
        <w:instrText>ADDIN CSL_CITATION {"citationItems":[{"id":"ITEM-1","itemData":{"abstract":"The paleoenvironmental studies constitute a challenge to the investigative capacity of man, as they seek to reconstruct the past environment. For this purpose, they primarily use proxies like phytoliths and isotopic signals left in the soil by plants. From this perspective, the research focused on the recovery, identification and quantification of phytoliths, and sponge spicules and diatoms, aiming to paleogeographic and paleoenvironmental reconstruction. The study focused on a soil profile in Formação Caiuá called Trench Reserve (TR), and sediments of Ivaí Terrace (TI), both in the region of Douradina - PR. Along with this identification / quantification, were determined in TR: a) δ13C of soil, averaging -25.2 ‰ (C3 plants) across profile, b) two intervals dated by 14C AMS (at the University of Georgia / USA ) in 10,195 years Cal. AP 2δ (210-220cm) and 5963 years Cal. AP 2δ (140-150cm). The method used to recover the phytoliths was based on treatment with HCl and suspension ZnCl2 (density 2.35 g/cm3). The analysis results in IT enabled reconstruct the environment in three phases, as follows: i) the presence of active channel, ii) abandonment of channel and floodplain formation, iii) formation of Terrace. In the point of TR, the environment was reconstructed in two phases: i) environmental conditions slightly drier than today, under the control of forest in 10,195 years AP Cal; ii) wetter conditions to at least 5963 years AP Cal. The interpretations in IT correlate with other studies conducted near the study area noting changes in the course of this river in the Pleistocene. In TR, the occurrence of forest in this area generate hypotheses about the presence of forest refuges in the lower Ivaí river valley in the transition from the Pleistocene to the Holocene, and throughout the Holocene.","author":[{"dropping-particle":"","family":"Alcantara dos Santos","given":"J.C.","non-dropping-particle":"","parse-names":false,"suffix":""}],"id":"ITEM-1","issued":{"date-parts":[["2013"]]},"note":"TerIv &amp;amp; TrinR","number-of-pages":"84","publisher":"Universidade Estadual de Maringá","title":"Paleogeografia e Paleoambientes do Baixo Curso do Rio Ivaí-PR","type":"thesis"},"uris":["http://www.mendeley.com/documents/?uuid=07d3d872-8d14-3bc1-8810-0b01c2ffe016"]}],"mendeley":{"formattedCitation":"(Alcantara dos Santos, 2013)","plainTextFormattedCitation":"(Alcantara dos Santos, 2013)","previouslyFormattedCitation":"(Alcantara dos Santos, 2013)"},"properties":{"noteIndex":0},"schema":"https://github.com/citation-style-language/schema/raw/master/csl-citation.json"}</w:instrText>
      </w:r>
      <w:r w:rsidR="00CE024E">
        <w:fldChar w:fldCharType="separate"/>
      </w:r>
      <w:r w:rsidR="003D3C7D" w:rsidRPr="003D3C7D">
        <w:rPr>
          <w:noProof/>
        </w:rPr>
        <w:t>(Alcantara dos Santos, 2013)</w:t>
      </w:r>
      <w:r w:rsidR="00CE024E">
        <w:fldChar w:fldCharType="end"/>
      </w:r>
      <w:r w:rsidR="00CE024E">
        <w:t xml:space="preserve"> </w:t>
      </w:r>
      <w:r w:rsidR="003D3C7D">
        <w:t>to</w:t>
      </w:r>
      <w:r w:rsidR="00CE024E">
        <w:t xml:space="preserve"> the north-west</w:t>
      </w:r>
      <w:r w:rsidR="00680FFA">
        <w:t xml:space="preserve">, where phytoliths and δ¹³C records show </w:t>
      </w:r>
      <w:r w:rsidR="00415372">
        <w:t>dominant</w:t>
      </w:r>
      <w:r w:rsidR="00680FFA">
        <w:t xml:space="preserve"> woody C3 vegetation, and </w:t>
      </w:r>
      <w:proofErr w:type="spellStart"/>
      <w:r w:rsidR="00680FFA">
        <w:t>Buriti</w:t>
      </w:r>
      <w:proofErr w:type="spellEnd"/>
      <w:r w:rsidR="00680FFA">
        <w:t>, where forest pollen increases to make up 70% of the total.</w:t>
      </w:r>
      <w:r w:rsidR="00243CA9">
        <w:t xml:space="preserve"> As before, there is compositional change in </w:t>
      </w:r>
      <w:proofErr w:type="spellStart"/>
      <w:r w:rsidR="00243CA9">
        <w:t>Buriti’s</w:t>
      </w:r>
      <w:proofErr w:type="spellEnd"/>
      <w:r w:rsidR="00243CA9">
        <w:t xml:space="preserve"> arboreal pollen with </w:t>
      </w:r>
      <w:r w:rsidR="004D34E0">
        <w:rPr>
          <w:i/>
          <w:iCs/>
        </w:rPr>
        <w:t>Araucaria</w:t>
      </w:r>
      <w:r w:rsidR="004D34E0">
        <w:t>’s contribution</w:t>
      </w:r>
      <w:r w:rsidR="00BC7933">
        <w:t xml:space="preserve"> decreasing, being overtaken by</w:t>
      </w:r>
      <w:r w:rsidR="002C4657">
        <w:t xml:space="preserve"> </w:t>
      </w:r>
      <w:proofErr w:type="spellStart"/>
      <w:r w:rsidR="006B1698">
        <w:rPr>
          <w:i/>
          <w:iCs/>
        </w:rPr>
        <w:t>Alchornea</w:t>
      </w:r>
      <w:proofErr w:type="spellEnd"/>
      <w:r w:rsidR="00FD22FD">
        <w:t xml:space="preserve">. </w:t>
      </w:r>
      <w:r w:rsidR="00354538">
        <w:t xml:space="preserve">There are also increases in </w:t>
      </w:r>
      <w:proofErr w:type="spellStart"/>
      <w:r w:rsidR="00BF6BED">
        <w:rPr>
          <w:i/>
          <w:iCs/>
        </w:rPr>
        <w:t>Dicksonia</w:t>
      </w:r>
      <w:proofErr w:type="spellEnd"/>
      <w:r w:rsidR="00BF6BED">
        <w:rPr>
          <w:i/>
          <w:iCs/>
        </w:rPr>
        <w:t xml:space="preserve"> </w:t>
      </w:r>
      <w:proofErr w:type="spellStart"/>
      <w:r w:rsidR="00BF6BED">
        <w:rPr>
          <w:i/>
          <w:iCs/>
        </w:rPr>
        <w:t>sellowiana</w:t>
      </w:r>
      <w:proofErr w:type="spellEnd"/>
      <w:r w:rsidR="00BF6BED">
        <w:rPr>
          <w:i/>
          <w:iCs/>
        </w:rPr>
        <w:t xml:space="preserve"> </w:t>
      </w:r>
      <w:r w:rsidR="00BF6BED">
        <w:t xml:space="preserve">spores and </w:t>
      </w:r>
      <w:r w:rsidR="00B95186">
        <w:t xml:space="preserve">pollen from </w:t>
      </w:r>
      <w:r w:rsidR="00354538">
        <w:rPr>
          <w:i/>
          <w:iCs/>
        </w:rPr>
        <w:t xml:space="preserve">Drimys, Podocarpus </w:t>
      </w:r>
      <w:r w:rsidR="004F23B7">
        <w:t>and</w:t>
      </w:r>
      <w:r w:rsidR="00354538">
        <w:rPr>
          <w:i/>
          <w:iCs/>
        </w:rPr>
        <w:t xml:space="preserve"> </w:t>
      </w:r>
      <w:proofErr w:type="spellStart"/>
      <w:r w:rsidR="004F23B7">
        <w:rPr>
          <w:i/>
          <w:iCs/>
        </w:rPr>
        <w:t>Luehea</w:t>
      </w:r>
      <w:proofErr w:type="spellEnd"/>
      <w:r w:rsidR="004F23B7">
        <w:t xml:space="preserve">, with </w:t>
      </w:r>
      <w:proofErr w:type="spellStart"/>
      <w:r w:rsidR="004F23B7">
        <w:rPr>
          <w:i/>
          <w:iCs/>
        </w:rPr>
        <w:t>Sloanea</w:t>
      </w:r>
      <w:proofErr w:type="spellEnd"/>
      <w:r w:rsidR="004F23B7">
        <w:t xml:space="preserve"> </w:t>
      </w:r>
      <w:r w:rsidR="00E67F78">
        <w:t xml:space="preserve">occurring at 6,000 BP </w:t>
      </w:r>
      <w:r w:rsidR="00567A14">
        <w:t>for the first time</w:t>
      </w:r>
      <w:r w:rsidR="00410BEB">
        <w:t xml:space="preserve"> </w:t>
      </w:r>
      <w:r w:rsidR="001C4773">
        <w:t>in</w:t>
      </w:r>
      <w:r w:rsidR="00410BEB">
        <w:t xml:space="preserve"> several millennia.</w:t>
      </w:r>
      <w:r w:rsidR="00FF523F">
        <w:t xml:space="preserve"> This combination of </w:t>
      </w:r>
      <w:r w:rsidR="003C1E20">
        <w:t>A</w:t>
      </w:r>
      <w:r w:rsidR="00334BFA">
        <w:t xml:space="preserve">MF and more </w:t>
      </w:r>
      <w:r w:rsidR="000834A6">
        <w:t xml:space="preserve">warm-adapted </w:t>
      </w:r>
      <w:r w:rsidR="00334BFA">
        <w:t xml:space="preserve">tropical </w:t>
      </w:r>
      <w:r w:rsidR="00FF523F">
        <w:t xml:space="preserve">taxa </w:t>
      </w:r>
      <w:r w:rsidR="00334BFA">
        <w:t xml:space="preserve">may </w:t>
      </w:r>
      <w:r w:rsidR="0090429F">
        <w:t>suggest</w:t>
      </w:r>
      <w:r w:rsidR="000834A6">
        <w:t xml:space="preserve"> a no-analogue </w:t>
      </w:r>
      <w:r w:rsidR="002B59C7">
        <w:t xml:space="preserve">forest </w:t>
      </w:r>
      <w:r w:rsidR="000834A6">
        <w:t>assemblage</w:t>
      </w:r>
      <w:r w:rsidR="00DC54A6">
        <w:t xml:space="preserve"> at </w:t>
      </w:r>
      <w:proofErr w:type="spellStart"/>
      <w:r w:rsidR="001F4394">
        <w:t>Buriti</w:t>
      </w:r>
      <w:proofErr w:type="spellEnd"/>
      <w:r w:rsidR="001F4394">
        <w:t xml:space="preserve"> </w:t>
      </w:r>
      <w:r w:rsidR="00DC54A6">
        <w:t>in the mid-Holocene</w:t>
      </w:r>
      <w:r w:rsidR="00564A74">
        <w:t>;</w:t>
      </w:r>
      <w:r w:rsidR="00886432">
        <w:t xml:space="preserve"> </w:t>
      </w:r>
      <w:r w:rsidR="007675DA">
        <w:t>although our modelled species do not cover the location well at this period</w:t>
      </w:r>
      <w:r w:rsidR="00564A74">
        <w:t>,</w:t>
      </w:r>
      <w:r w:rsidR="007675DA">
        <w:t xml:space="preserve"> this could support our prediction of </w:t>
      </w:r>
      <w:r w:rsidR="001F4394">
        <w:t xml:space="preserve">the site </w:t>
      </w:r>
      <w:r w:rsidR="008F61AF">
        <w:t>occurring</w:t>
      </w:r>
      <w:r w:rsidR="001F4394">
        <w:t xml:space="preserve"> between </w:t>
      </w:r>
      <w:r w:rsidR="005B2ECF">
        <w:t xml:space="preserve">floristic </w:t>
      </w:r>
      <w:r w:rsidR="00B635BF">
        <w:t xml:space="preserve">assemblages resembling </w:t>
      </w:r>
      <w:r w:rsidR="001F4394">
        <w:t xml:space="preserve">tropical </w:t>
      </w:r>
      <w:r w:rsidR="00B635BF">
        <w:t xml:space="preserve">forest </w:t>
      </w:r>
      <w:r w:rsidR="001F4394">
        <w:t xml:space="preserve">and </w:t>
      </w:r>
      <w:r w:rsidR="003C1E20">
        <w:t>A</w:t>
      </w:r>
      <w:r w:rsidR="001F4394">
        <w:t>MF</w:t>
      </w:r>
      <w:r w:rsidR="00B635BF">
        <w:t xml:space="preserve"> 6,000 </w:t>
      </w:r>
      <w:r w:rsidR="004C59B4">
        <w:t>years ago</w:t>
      </w:r>
      <w:r w:rsidR="00B635BF">
        <w:t>.</w:t>
      </w:r>
    </w:p>
    <w:p w14:paraId="75D52051" w14:textId="1A9FDFEF" w:rsidR="00B95186" w:rsidRDefault="00594756" w:rsidP="00F74804">
      <w:pPr>
        <w:spacing w:line="360" w:lineRule="auto"/>
      </w:pPr>
      <w:r>
        <w:t xml:space="preserve">Further east, </w:t>
      </w:r>
      <w:r w:rsidR="006D26A6">
        <w:t xml:space="preserve">most </w:t>
      </w:r>
      <w:r>
        <w:t xml:space="preserve">sites </w:t>
      </w:r>
      <w:r w:rsidR="00C14B10">
        <w:t xml:space="preserve">show </w:t>
      </w:r>
      <w:r w:rsidR="006D26A6">
        <w:t>increases in forest pollen</w:t>
      </w:r>
      <w:r w:rsidR="00B65564">
        <w:t xml:space="preserve">. This is particularly notable </w:t>
      </w:r>
      <w:r w:rsidR="000B1558">
        <w:t xml:space="preserve">at the high elevations </w:t>
      </w:r>
      <w:r w:rsidR="00F779E0">
        <w:t xml:space="preserve">in </w:t>
      </w:r>
      <w:r w:rsidR="00B62C01">
        <w:t>our study area’s</w:t>
      </w:r>
      <w:r w:rsidR="00F779E0">
        <w:t xml:space="preserve"> centre</w:t>
      </w:r>
      <w:r w:rsidR="00CF4447">
        <w:t xml:space="preserve">-east </w:t>
      </w:r>
      <w:r w:rsidR="0019040B">
        <w:t xml:space="preserve">at </w:t>
      </w:r>
      <w:proofErr w:type="spellStart"/>
      <w:r w:rsidR="0019040B">
        <w:t>Ciama</w:t>
      </w:r>
      <w:proofErr w:type="spellEnd"/>
      <w:r w:rsidR="0019040B">
        <w:t xml:space="preserve"> 2, </w:t>
      </w:r>
      <w:proofErr w:type="spellStart"/>
      <w:r w:rsidR="0019040B">
        <w:t>Tabuleiro</w:t>
      </w:r>
      <w:proofErr w:type="spellEnd"/>
      <w:r w:rsidR="0019040B">
        <w:t xml:space="preserve"> Summit and Serra da Boa Vista </w:t>
      </w:r>
      <w:r w:rsidR="0019040B">
        <w:fldChar w:fldCharType="begin" w:fldLock="1"/>
      </w:r>
      <w:r w:rsidR="007F330C">
        <w:instrText>ADDIN CSL_CITATION {"citationItems":[{"id":"ITEM-1","itemData":{"DOI":"10.1007/s00334-012-0382-y","ISBN":"0939-6314","ISSN":"09396314","abstract":"The present study reveals palaeoenvironmental changes in the coastal southern Brazilian highlands during the last 39720 b.p., by the means of pollen, charcoal and multivariate data analyses. The isolated mountain range of Serra do Tabuleiro corresponds to the southern distribution limit of many tropical plant species and is therefore sensitive to climate change. Palaeoenvironmental reconstructions from the Ciama 2 core at 860 m a.s.l. indicate that Campos (subtropical grassland) covered extensive areas on the highlands throughout the recorded glacial period, thus suggesting cold and dry climatic conditions. The initial development of the Atlantic rainforest occurred after the glacial period, whereas plant diversity began to increase at the beginning of the Holocene due to climate change towards warmer and wetter conditions. At about 10400 cal. b.p., the Atlantic rainforest started to move over the slopes and Campos retracted. Multivariate data analysis showed a change of vegetation dynamics after 11200 cal. b.p. with the initial development of the Atlantic rainforest continuing until the mid-Holocene. Major vegetation changes, including the further expansion of the Atlantic rainforest and the initial development of the Araucaria forest in the higher regions of the Serra do Tabuleiro, occurred during the late Holocene after about 3600 cal. b.p. These changes reflect higher precipitation levels without an annual dry season. Multivariate data analysis reveals a clearly directional change of vegetation dynamics corresponding to the progressive expansion of the Atlantic rainforest from 3850 to 1600 cal. b.p. A second directional change of vegetation dynamics occurred from 320 to 160 cal. b.p. (a.d. 1630 to 1790) with a further development of the Atlantic rainforest and the partial replacement of Campos by Araucaria forest and Atlantic rainforest. Thereafter, an ecosystem disturbance, which resulted in forest opening, took place. Palaeofires probably did not occur during glacial times, whereas fire events, which were probably caused by Amerindians, were common in the Serra do Tabuleiro region from ca. 10400 until 3600 cal. b.p.","author":[{"dropping-particle":"","family":"Jeske-Pieruschka","given":"Vivian","non-dropping-particle":"","parse-names":false,"suffix":""},{"dropping-particle":"","family":"Pillar","given":"Valerio D.","non-dropping-particle":"","parse-names":false,"suffix":""},{"dropping-particle":"","family":"Oliveira","given":"Marcelo Accioly Teixeira","non-dropping-particle":"de","parse-names":false,"suffix":""},{"dropping-particle":"","family":"Behling","given":"Hermann","non-dropping-particle":"","parse-names":false,"suffix":""}],"container-title":"Vegetation History and Archaeobotany","id":"ITEM-1","issue":"4","issued":{"date-parts":[["2013","7","20"]]},"note":"Ciam2\n169cm core covering nearly 40.000 years analysed. Finds mostly campos (with some Myrtaceae, though they could be campos spp) from 40,000 - early Holocene, with rise in Atlantic forest from lower levels from about 10,000 BP to 3,300 BP. There's a bit of Araucaria forest 40,000 - 18,000 BP, but it disappears until about 10,000 BP, when it's still fairly rare. There's a big increase of Atlantic forest pollen between 3300 BP and present, and a decent increase of Araucaria forest too (though Aa is only up to 4% max).\n\nThere's a much later Araucaria forest expansion than in other cores. Maybe due to location, maybe because this area wasn't a glacial refugium, but maybe also because of people..?\n\nThe core is chiefly used to interpret climate as it's the only long-term core around other than Cambara do Sul. Also worth bearing in mind that this is quite a lot closer to the coast than most of the other studies I've looked at.","page":"299-314","publisher":"Springer-Verlag","title":"New insights into vegetation, climate and fire history of southern Brazil revealed by a 40,000 year environmental record from the State Park Serra do Tabuleiro","type":"article-journal","volume":"22"},"uris":["http://www.mendeley.com/documents/?uuid=d9a9619d-5dd8-33cc-ba51-570cce662b1d"]},{"id":"ITEM-2","itemData":{"DOI":"10.1017/qua.2017.87","ISSN":"0033-5894","abstract":"A high-resolution pollen record of the Atlantic rain forest (ARF) biome from the coastal Serra do Tabuleiro mountains of southern Brazil documents an 11,960 yr history of vegetation and climate change. A marked expansion of Weinmannia into the grassland vegetation marks the latter part of the Younger Dryas, reflecting warm and relatively wet conditions. Between 11,490 and 9110 cal yr BP, grasslands became dominant again, indicating a long cold and dry phase, probably in response to the stronger influence of cold South Atlantic seawater and to Antarctic cold fronts. Between 9110 and 2640 cal yr BP, four distinct phases with strong or moderate expansions of different ARF biome taxa were recorded, reflecting warmer and relatively dry conditions with changes in rainfall and length of the annual dry season. After 2640 cal yr BP, the modern ARF biome became established with high amounts of ferns, reflecting somewhat cooler and wetter conditions with a reduced annual dry season. In particular, after 1000 cal yr BP tree ferns increased, reflecting wetter conditions with no dry season.","author":[{"dropping-particle":"","family":"Behling","given":"Hermann","non-dropping-particle":"","parse-names":false,"suffix":""},{"dropping-particle":"","family":"Oliveira","given":"Marcelo Accioly Teixeira","non-dropping-particle":"de","parse-names":false,"suffix":""}],"container-title":"Quaternary Research","id":"ITEM-2","issue":"01","issued":{"date-parts":[["2018","1","24"]]},"note":"TabSu (the below is about Cambara do Sul, not sure how it got here)\n\nDetailed examination of Cambara do Sul core in NE Rio Grande do Sul, 42,658 C14 yr BP to present. Shows 100 year Campos-Araucaria switch in about 1100 cal yr BP.\n\nNEEDS SOME REINTERPRETING WITH LEONHARDT &amp;amp; LORSCHEITTER 2010. SEE NOTE\n\n(All dates C14 yr BP)\n\n42,840 - 41,470\n83-88% campos pollen, 8-14% Araucaria forest pollen (only 2 grains of A. angustifolia), only one pollen grain from Atlantic forest taxa, aquatics 6-16%, ferns 3-6%. Low conc and accumulation of carbonised particles.\n\n41,4701 - 26,900\n87-94% campos pollen, 3-9% Araucaria forest (less pollen from Myrtaceae), a few single grains of Atlantic forest pollen, less aquatic pollen (3-7%), fewer fern spores (0-3%). Carbonised particles still rare.\n\n26,900 - 10,120\n87-97% campos pollen (though changing composition - Poaceae down, Eryngium up; less Apiaceae), 1-5% Araucaria forest, 0-0.3% Atlantic forest (lowest for both), 1-3% aquatic, lowest time for ferns (but big increase at end of zone). Carbonised particles rare.\n\n10,120 - 3,950 (11,540 - 4,320 cal yr BP)\n74-88% campos but lower near end (Poaceae up from last time; Eryngium get more common; other compositional changes), 3-13% Araucaria forest (up slightly thanks to A. angustifolia and Myrsine), 0-4% Atlantic (up slightly), trace aquatics, big increase of ferns (up to 46%) then decrease by end (to 9%), increase in Dicksonia (0-14%). Lots of carbonised particles higher up in this section.\n\n3950 - 1140 (4320 - 1100 cal yr BP)\n65-84% campos (down a bit but still high; Cyperaceae up, Poaceae and Eryngium down), 13-27% Araucaria forest (mainly A. angustifolia 4-7%, Myrsine and Weinmannia), 2-5% Atlantic forest, fern spores up again (9-40%), Dicksonia common (9-16%). Lots and lots of carbonised particles.\n\n1140 - 410 (1100 - 430 cal yr BP)\nCampos way down and keeps going (55-24%), continuous increase of Araucaria forest pollen (39-80%) with A. angustifolia going up 14-42% and big increase in Mimosa scabrella, no change in Atlantic (2-6%), fewer fern spores (5-19%), highest Dicksonia spore level (9-26%), high point for mosses but decrease later. Low concentration of carbonised particles but higher accumulation than at beginning of core.\n\n410 - -50 (430 - -50 cal yr BP)\nCampos start way down (to 11%) but increase (to 38%, through Cyperaceae then Poaceae) then go down right at the end, Araucaria forest highest early on (87%) but decreases at the end (65%) as A. angustifolia drops off right at the end (41-2%; Mimosa scabrella jumps correspondingly; other changes), nothing much happens with Atlantic forest (2-7%), fern spores go down (21-2%) and Dicksonia crashes by end (19-0.3%). Similar carbonised particles to before.","page":"90-102","title":"Evidence of a late glacial warming event and early Holocene cooling in the southern Brazilian coastal highlands","type":"article-journal","volume":"89"},"uris":["http://www.mendeley.com/documents/?uuid=8c402a06-c408-3fb7-bbbc-df5aaf0d758d"]},{"id":"ITEM-3","itemData":{"DOI":"10.1007/BF00203932","ISBN":"0939-6314","ISSN":"09396314","abstract":"Palynological studies have been carried out on three highland peat bogs, and one situated on the Atlan- tic coastal plain. In the highlands, the late Pleistocene (14,000 - 10,000 uncal B.P.) vegetation was dominated by campos (grassland). Scattered stands of Araucaria forests were preserved in deep valleys. In the region of the sites at Morro da Igreja and Serra do Rio Rastro, the dominance of campos vegetation continued until about 1000 B.P. while at the Serra da Boa Vista site there was an expansion of Atlantic pluvial forest elements fol- lowed by Araucaria forests at the beginning of the Holocene. A general expansion of A. anguslifolia, clear- ly related to a change towards an increasingly moist cli- mate, can be dated to the present millenium. On the coastal plains, the late Pleistocene vegetation was domi- nated by Myrtaceae which were replaced by tropical taxa in the Holocene. The lowland profile (Pogo Grande) also covers part of the upper Holocene, where the rich flora of the Atlantic pluvial forests can be characterized by taxa including Alchornea, Urticales and Rapanea. Close to the coring site, there was a repeated alternation be- tween two different dune communities (4840 - 4590 B.P.), followed by a lake stage with aquatic plant succes- sion (4590 - 4265 B.P.), plant communities dominated by Rapanea (4265 - 4230 B.P.) and the spread of Alchornea (4230 - 3525 B.P.). Late Pleistocene climate conditions (14,000 - 10,000 B.P.) can be described as cold and relatively dry, possibly including an equivalent of the Younger Dryas period. In the Holocene, there were changes from a warm and drier climate (10,000 - ~3000 B.P.) to a cool and more moist regime (ca. 3000 - ca. 1000 B.P.) and finally to a cool and very moist period (from around 1000 B.P.).","author":[{"dropping-particle":"","family":"Behling","given":"Hermann","non-dropping-particle":"","parse-names":false,"suffix":""}],"container-title":"Vegetation History and Archaeobotany","id":"ITEM-3","issue":"3","issued":{"date-parts":[["1995","9"]]},"note":"SdBoV, MdIgr, SdRRa, PocGr","page":"127-152","publisher":"Springer-Verlag","title":"Investigations into the late Pleistocene and Holocene history of vegetation and climate in Santa Catarina (S Brazil)","type":"article-journal","volume":"4"},"uris":["http://www.mendeley.com/documents/?uuid=fcea03a7-e07e-3d31-94a9-b68f1fec0a97"]}],"mendeley":{"formattedCitation":"(Behling, 1995; Behling and de Oliveira, 2018; Jeske-Pieruschka et al., 2013)","plainTextFormattedCitation":"(Behling, 1995; Behling and de Oliveira, 2018; Jeske-Pieruschka et al., 2013)","previouslyFormattedCitation":"(Behling, 1995; Behling and de Oliveira, 2018; Jeske-Pieruschka et al., 2013)"},"properties":{"noteIndex":0},"schema":"https://github.com/citation-style-language/schema/raw/master/csl-citation.json"}</w:instrText>
      </w:r>
      <w:r w:rsidR="0019040B">
        <w:fldChar w:fldCharType="separate"/>
      </w:r>
      <w:r w:rsidR="005944BB" w:rsidRPr="005944BB">
        <w:rPr>
          <w:noProof/>
        </w:rPr>
        <w:t>(Behling, 1995; Behling and de Oliveira, 2018; Jeske-Pieruschka et al., 2013)</w:t>
      </w:r>
      <w:r w:rsidR="0019040B">
        <w:fldChar w:fldCharType="end"/>
      </w:r>
      <w:r w:rsidR="00703EDD">
        <w:t>.</w:t>
      </w:r>
      <w:r w:rsidR="00890315">
        <w:t xml:space="preserve"> Sites</w:t>
      </w:r>
      <w:r w:rsidR="004A3341">
        <w:t xml:space="preserve"> in</w:t>
      </w:r>
      <w:r w:rsidR="00DA3C8A">
        <w:t xml:space="preserve"> the southern</w:t>
      </w:r>
      <w:r w:rsidR="006334FD">
        <w:t xml:space="preserve"> coastal lowlands</w:t>
      </w:r>
      <w:r w:rsidR="00AB4AC4">
        <w:t xml:space="preserve"> </w:t>
      </w:r>
      <w:r w:rsidR="00890315">
        <w:t xml:space="preserve">show </w:t>
      </w:r>
      <w:r w:rsidR="006A7613">
        <w:t>heterogeneous</w:t>
      </w:r>
      <w:r w:rsidR="00AB4AC4">
        <w:t xml:space="preserve"> mixture</w:t>
      </w:r>
      <w:r w:rsidR="006A7613">
        <w:t>s</w:t>
      </w:r>
      <w:r w:rsidR="00AB4AC4">
        <w:t xml:space="preserve"> of </w:t>
      </w:r>
      <w:r w:rsidR="00C94A40">
        <w:t xml:space="preserve">persistently dominant grassland </w:t>
      </w:r>
      <w:r w:rsidR="00DE15F1">
        <w:fldChar w:fldCharType="begin" w:fldLock="1"/>
      </w:r>
      <w:r w:rsidR="005944BB">
        <w:instrText>ADDIN CSL_CITATION {"citationItems":[{"id":"ITEM-1","itemData":{"abstract":"Pollen analysis constitutes one of the most important tool for the study of Quaternary deposits, as a result of the exceptional preservation and relative abundance of palynomorphs recorded in sediments and sedimentary rocks, documenting local and regional information about the flora and climatic changes. This paper presents interpretations of paleoenvironments related to the evolution of the Sombrio Lake, southern Coastal Plain of the Santa Catarina state, as well as the associated vegetation succession, as consequence of fluctuations in sea level. Palynological data are derived from two cores drilled in Santa Rosa do Sul (PCSC-01, 570 cm of depth) and São João do Sul (PCSC-02, 260 cm). Complementary analyzes include granulometry determination, altimetry, radiocarbonic datings, recognition of calcareous fossil associations, and study of palynomorphs from surface samples. A total of 116 palynomorphs was recognized, related to spores and hyphae of fungi (21), zignematacean algae (5), acritarchs (1), insertae sedis elements (1), bryophytes (2) and pteridophytes (15) spores, gymnosperms (2) and angiosperms (62) pollen grains, palinoforaminifer linings (2), and other palynomorphs and invertebrate fragments (5). Analysis of the data showed three distinct palaeoenvironmental phases. Phase I- lagoonal (7,900 yrs BP to 4,200-3,800, estimated ages) represents the marine influence on the continent, with subsequent decrease of the sea level. Phase II- swamp (3,800-2,500 yrs BP, estimated ages) is interpreted as transitional, from an environment typically brackish lagoon to a swamp, with subsequent expansion of the forest. Phase III- consolidation of the forest (2,500 - present) represents the evolution and diversification of the forest.","author":[{"dropping-particle":"","family":"Cancelli","given":"Rodrigo Rodrigues","non-dropping-particle":"","parse-names":false,"suffix":""}],"id":"ITEM-1","issued":{"date-parts":[["2012"]]},"note":"SRodS &amp;amp; SJodS","number-of-pages":"159","publisher":"Universidade Federal do Rio Grande do Sul","title":"Evolução paleoambiental da Planície Costeira sul- catarinense (Lagoa do Sombrio) durante o Holoceno, com base em dados palinológicos","type":"thesis"},"prefix":"Santa Rosa do Sul, ","uris":["http://www.mendeley.com/documents/?uuid=8d3d8f3a-ee84-441e-a69c-1fe94e29eb85"]},{"id":"ITEM-2","itemData":{"abstract":"Este trabalho apresenta os resultados da análise palinológica de 51 amostras obtidas em um testemunho de sondagem de 270 cm de espessura, realizado na localidade de Passinhos, município de Osório, Planície Costeira do Rio Grande do Sul, Brasil. Ao longo do perfil foram selecionadas três amostras para datação com 14 C e a mais basal forneceu uma idade de 10.600±90 anos A.P. Foram identificados 71 palinomorfos, agrupados conforme seus respectivos hábitos e/ou hábitats e tratados estatisticamente de modo a fornecer diagramas polínicos de porcentagem e concentração. As quatro zonas palinológicas identificadas evidenciam a gradativa colmatação de um lago e as mudanças vegetacionais daí decorrentes e, finalmente, os efeitos da colonização humana. Permitiram, ainda, sua correlação com dados anteriores, obtidos em outras áreas da Planície Costeira.","author":[{"dropping-particle":"","family":"Macedo","given":"Renato Backes","non-dropping-particle":"","parse-names":false,"suffix":""},{"dropping-particle":"","family":"Cancelli","given":"Rodrigo Rodrigues","non-dropping-particle":"","parse-names":false,"suffix":""},{"dropping-particle":"","family":"Bauermann","given":"Soraia Girardi","non-dropping-particle":"","parse-names":false,"suffix":""},{"dropping-particle":"","family":"Bordignon","given":"Sérgio Augusto de Loreto","non-dropping-particle":"","parse-names":false,"suffix":""},{"dropping-particle":"das","family":"Neves","given":"Paulo César Pereira","non-dropping-particle":"","parse-names":false,"suffix":""}],"container-title":"Gaea - Journal of Geoscience","id":"ITEM-2","issue":"2","issued":{"date-parts":[["2007"]]},"page":"68-74","title":"Palinologia de níveis do Holoceno da Planície Costeira do Rio Grande do Sul (localidade de Passinhos), Brasil","type":"article-journal","volume":"3"},"prefix":"Passinhos, ","uris":["http://www.mendeley.com/documents/?uuid=b9683b29-0d79-41fa-a0ce-8a247b3d1fa4"]},{"id":"ITEM-3","itemData":{"author":[{"dropping-particle":"","family":"Bauermann","given":"Soraia Girardi","non-dropping-particle":"","parse-names":false,"suffix":""}],"id":"ITEM-3","issued":{"date-parts":[["2003"]]},"note":"AgCla &amp;amp; Barro","number-of-pages":"137","publisher":"Universidade Federal do Rio Grande do Sul","title":"Analises palinologicas e evolucao paleovegetacional e paleoambiental das turfeiras de Barrocadas e Águas Claras, Planicie Costeira do Rio Grande do Sul, Brasil","type":"thesis"},"prefix":"Águas Claras, ","uris":["http://www.mendeley.com/documents/?uuid=57d91572-bb73-4927-9ac3-f05403cba750"]}],"mendeley":{"formattedCitation":"(Águas Claras, Bauermann, 2003; Santa Rosa do Sul, Cancelli, 2012; Passinhos, Macedo et al., 2007)","plainTextFormattedCitation":"(Águas Claras, Bauermann, 2003; Santa Rosa do Sul, Cancelli, 2012; Passinhos, Macedo et al., 2007)","previouslyFormattedCitation":"(Águas Claras, Bauermann, 2003; Santa Rosa do Sul, Cancelli, 2012; Passinhos, Macedo et al., 2007)"},"properties":{"noteIndex":0},"schema":"https://github.com/citation-style-language/schema/raw/master/csl-citation.json"}</w:instrText>
      </w:r>
      <w:r w:rsidR="00DE15F1">
        <w:fldChar w:fldCharType="separate"/>
      </w:r>
      <w:r w:rsidR="00DA3C8A" w:rsidRPr="00DA3C8A">
        <w:rPr>
          <w:noProof/>
        </w:rPr>
        <w:t>(Águas Claras, Bauermann, 2003; Santa Rosa do Sul, Cancelli, 2012; Passinhos, Macedo et al., 2007)</w:t>
      </w:r>
      <w:r w:rsidR="00DE15F1">
        <w:fldChar w:fldCharType="end"/>
      </w:r>
      <w:r w:rsidR="00FF4EC5">
        <w:t xml:space="preserve"> </w:t>
      </w:r>
      <w:r w:rsidR="00C94A40">
        <w:t xml:space="preserve">and </w:t>
      </w:r>
      <w:r w:rsidR="003466C7">
        <w:t>expand</w:t>
      </w:r>
      <w:r w:rsidR="00C94A40">
        <w:t>ed</w:t>
      </w:r>
      <w:r w:rsidR="003466C7">
        <w:t xml:space="preserve"> </w:t>
      </w:r>
      <w:r w:rsidR="00AB4AC4">
        <w:t>forest</w:t>
      </w:r>
      <w:r w:rsidR="00C94A40">
        <w:t xml:space="preserve"> pollen</w:t>
      </w:r>
      <w:r w:rsidR="00FF4EC5">
        <w:t xml:space="preserve"> </w:t>
      </w:r>
      <w:r w:rsidR="004D53FA">
        <w:fldChar w:fldCharType="begin" w:fldLock="1"/>
      </w:r>
      <w:r w:rsidR="007F330C">
        <w:instrText>ADDIN CSL_CITATION {"citationItems":[{"id":"ITEM-1","itemData":{"abstract":"Pollen analysis constitutes one of the most important tool for the study of Quaternary deposits, as a result of the exceptional preservation and relative abundance of palynomorphs recorded in sediments and sedimentary rocks, documenting local and regional information about the flora and climatic changes. This paper presents interpretations of paleoenvironments related to the evolution of the Sombrio Lake, southern Coastal Plain of the Santa Catarina state, as well as the associated vegetation succession, as consequence of fluctuations in sea level. Palynological data are derived from two cores drilled in Santa Rosa do Sul (PCSC-01, 570 cm of depth) and São João do Sul (PCSC-02, 260 cm). Complementary analyzes include granulometry determination, altimetry, radiocarbonic datings, recognition of calcareous fossil associations, and study of palynomorphs from surface samples. A total of 116 palynomorphs was recognized, related to spores and hyphae of fungi (21), zignematacean algae (5), acritarchs (1), insertae sedis elements (1), bryophytes (2) and pteridophytes (15) spores, gymnosperms (2) and angiosperms (62) pollen grains, palinoforaminifer linings (2), and other palynomorphs and invertebrate fragments (5). Analysis of the data showed three distinct palaeoenvironmental phases. Phase I- lagoonal (7,900 yrs BP to 4,200-3,800, estimated ages) represents the marine influence on the continent, with subsequent decrease of the sea level. Phase II- swamp (3,800-2,500 yrs BP, estimated ages) is interpreted as transitional, from an environment typically brackish lagoon to a swamp, with subsequent expansion of the forest. Phase III- consolidation of the forest (2,500 - present) represents the evolution and diversification of the forest.","author":[{"dropping-particle":"","family":"Cancelli","given":"Rodrigo Rodrigues","non-dropping-particle":"","parse-names":false,"suffix":""}],"id":"ITEM-1","issued":{"date-parts":[["2012"]]},"note":"SRodS &amp;amp; SJodS","number-of-pages":"159","publisher":"Universidade Federal do Rio Grande do Sul","title":"Evolução paleoambiental da Planície Costeira sul- catarinense (Lagoa do Sombrio) durante o Holoceno, com base em dados palinológicos","type":"thesis"},"prefix":"São João do Sul,","uris":["http://www.mendeley.com/documents/?uuid=8d3d8f3a-ee84-441e-a69c-1fe94e29eb85"]},{"id":"ITEM-2","itemData":{"author":[{"dropping-particle":"","family":"Lorscheitter","given":"Maria Luisa","non-dropping-particle":"","parse-names":false,"suffix":""},{"dropping-particle":"","family":"Dillenburg","given":"Sergio R","non-dropping-particle":"","parse-names":false,"suffix":""}],"chapter-number":"5","container-title":"Quaternary of South America and Antarctic Peninsula","editor":[{"dropping-particle":"","family":"Rabassa","given":"Jorge","non-dropping-particle":"","parse-names":false,"suffix":""},{"dropping-particle":"","family":"Salemme","given":"Monica","non-dropping-particle":"","parse-names":false,"suffix":""}],"id":"ITEM-2","issued":{"date-parts":[["1998"]]},"note":"TramL","publisher":"A.A. Balkema","publisher-place":"Rotterdam","title":"Holocene Palaeoenvironments Of The Northern coastal plain Of Rio Grande do Sul, Brazil , reconstructed from paly ....","type":"chapter"},"prefix":"Tramandaí Lagoon, ","uris":["http://www.mendeley.com/documents/?uuid=34defeec-e8e3-468c-95fd-8abeb44b945a"]}],"mendeley":{"formattedCitation":"(São João do Sul, Cancelli, 2012; Tramandaí Lagoon, Lorscheitter and Dillenburg, 1998)","plainTextFormattedCitation":"(São João do Sul, Cancelli, 2012; Tramandaí Lagoon, Lorscheitter and Dillenburg, 1998)","previouslyFormattedCitation":"(São João do Sul, Cancelli, 2012; Tramandaí Lagoon, Lorscheitter and Dillenburg, 1998)"},"properties":{"noteIndex":0},"schema":"https://github.com/citation-style-language/schema/raw/master/csl-citation.json"}</w:instrText>
      </w:r>
      <w:r w:rsidR="004D53FA">
        <w:fldChar w:fldCharType="separate"/>
      </w:r>
      <w:r w:rsidR="005944BB" w:rsidRPr="005944BB">
        <w:rPr>
          <w:noProof/>
        </w:rPr>
        <w:t>(São João do Sul, Cancelli, 2012; Tramandaí Lagoon, Lorscheitter and Dillenburg, 1998)</w:t>
      </w:r>
      <w:r w:rsidR="004D53FA">
        <w:fldChar w:fldCharType="end"/>
      </w:r>
      <w:r w:rsidR="00251693">
        <w:t>, mostly from tropical taxa</w:t>
      </w:r>
      <w:r w:rsidR="004E113D">
        <w:t>.</w:t>
      </w:r>
      <w:r w:rsidR="00354299">
        <w:t xml:space="preserve"> Serra </w:t>
      </w:r>
      <w:proofErr w:type="spellStart"/>
      <w:r w:rsidR="00354299">
        <w:t>Velha</w:t>
      </w:r>
      <w:proofErr w:type="spellEnd"/>
      <w:r w:rsidR="00354299">
        <w:t xml:space="preserve">, further inland, is the exception to this pattern, with its forest pollen proportion dropping from </w:t>
      </w:r>
      <w:r w:rsidR="00EE7435">
        <w:t>42% at 9,000 BP to 15% at 6,000 BP.</w:t>
      </w:r>
      <w:r w:rsidR="00BC4E88">
        <w:t xml:space="preserve"> </w:t>
      </w:r>
      <w:r w:rsidR="004F0755">
        <w:t xml:space="preserve">Our models predict </w:t>
      </w:r>
      <w:r w:rsidR="00E95B96">
        <w:t xml:space="preserve">tropical forest </w:t>
      </w:r>
      <w:r w:rsidR="00FA6F5E">
        <w:t xml:space="preserve">developing </w:t>
      </w:r>
      <w:r w:rsidR="00E95B96">
        <w:t>over this period, so w</w:t>
      </w:r>
      <w:r w:rsidR="00BC4E88">
        <w:t>hile some of th</w:t>
      </w:r>
      <w:r w:rsidR="009E0D73">
        <w:t xml:space="preserve">is patchiness </w:t>
      </w:r>
      <w:r w:rsidR="00B37262">
        <w:t>may be due to</w:t>
      </w:r>
      <w:r w:rsidR="00DB27A4">
        <w:t xml:space="preserve"> </w:t>
      </w:r>
      <w:r w:rsidR="009E0D73">
        <w:t xml:space="preserve">fluctuating sea levels influencing coastal vegetation or </w:t>
      </w:r>
      <w:r w:rsidR="00F21F43">
        <w:t>sites</w:t>
      </w:r>
      <w:r w:rsidR="003A3AF1">
        <w:t>’</w:t>
      </w:r>
      <w:r w:rsidR="00F21F43">
        <w:t xml:space="preserve"> </w:t>
      </w:r>
      <w:r w:rsidR="00CA04C7">
        <w:t xml:space="preserve">different </w:t>
      </w:r>
      <w:r w:rsidR="00F21F43">
        <w:t>catchment</w:t>
      </w:r>
      <w:r w:rsidR="003A3AF1">
        <w:t xml:space="preserve"> sizes, </w:t>
      </w:r>
      <w:r w:rsidR="00CA04C7">
        <w:t xml:space="preserve">it may also show that </w:t>
      </w:r>
      <w:r w:rsidR="00B62C01">
        <w:t xml:space="preserve">coastal forest </w:t>
      </w:r>
      <w:r w:rsidR="00D81D3F">
        <w:t xml:space="preserve">development </w:t>
      </w:r>
      <w:r w:rsidR="00394C77">
        <w:t>in our study area</w:t>
      </w:r>
      <w:r w:rsidR="00B62C01">
        <w:t>’s south</w:t>
      </w:r>
      <w:r w:rsidR="00394C77">
        <w:t xml:space="preserve"> </w:t>
      </w:r>
      <w:r w:rsidR="000A6D93">
        <w:t>was slower and/or later than predicted.</w:t>
      </w:r>
    </w:p>
    <w:p w14:paraId="281FAE06" w14:textId="55115C33" w:rsidR="000A6D93" w:rsidRDefault="000E7FE5" w:rsidP="00F74804">
      <w:pPr>
        <w:spacing w:line="360" w:lineRule="auto"/>
      </w:pPr>
      <w:r>
        <w:t xml:space="preserve">On the </w:t>
      </w:r>
      <w:r w:rsidR="00B62C01">
        <w:t xml:space="preserve">plateau’s </w:t>
      </w:r>
      <w:r>
        <w:t xml:space="preserve">eastern edge, </w:t>
      </w:r>
      <w:r w:rsidR="00101ED6">
        <w:t>s</w:t>
      </w:r>
      <w:r w:rsidR="00C14A40">
        <w:t xml:space="preserve">maller </w:t>
      </w:r>
      <w:r w:rsidR="00277C7E">
        <w:t>expansions of forest pollen</w:t>
      </w:r>
      <w:r w:rsidR="00101ED6">
        <w:t xml:space="preserve"> </w:t>
      </w:r>
      <w:r w:rsidR="00277C7E">
        <w:t xml:space="preserve">can be seen in </w:t>
      </w:r>
      <w:r w:rsidR="00B6080C">
        <w:t xml:space="preserve">most </w:t>
      </w:r>
      <w:r w:rsidR="00277C7E">
        <w:t xml:space="preserve">cores </w:t>
      </w:r>
      <w:r>
        <w:t>between 9,000 BP and 6,000 BP</w:t>
      </w:r>
      <w:r w:rsidR="00101A13">
        <w:t xml:space="preserve">; </w:t>
      </w:r>
      <w:r w:rsidR="001E0EA8">
        <w:t xml:space="preserve">in CPCN Pro Mata’s soil pits </w:t>
      </w:r>
      <w:r w:rsidR="00B62C01">
        <w:t>forest</w:t>
      </w:r>
      <w:r w:rsidR="00B4101E">
        <w:t xml:space="preserve"> borders advanc</w:t>
      </w:r>
      <w:r w:rsidR="003E010A">
        <w:t>e</w:t>
      </w:r>
      <w:r w:rsidR="00B4101E">
        <w:t xml:space="preserve"> by </w:t>
      </w:r>
      <w:r w:rsidR="00534672">
        <w:t xml:space="preserve">up to </w:t>
      </w:r>
      <w:r w:rsidR="00B4101E">
        <w:t>20m</w:t>
      </w:r>
      <w:r w:rsidR="0096641E">
        <w:t xml:space="preserve"> </w:t>
      </w:r>
      <w:r w:rsidR="00112A28">
        <w:t xml:space="preserve">and today’s </w:t>
      </w:r>
      <w:r w:rsidR="00CB6CFF">
        <w:t>large woodland patches</w:t>
      </w:r>
      <w:r w:rsidR="00112A28">
        <w:t xml:space="preserve"> first receiv</w:t>
      </w:r>
      <w:r w:rsidR="006F2B4E">
        <w:t>e</w:t>
      </w:r>
      <w:r w:rsidR="00112A28">
        <w:t xml:space="preserve"> increased </w:t>
      </w:r>
      <w:r w:rsidR="006F2B4E">
        <w:t xml:space="preserve">C3-carbon input </w:t>
      </w:r>
      <w:r w:rsidR="006F2B4E">
        <w:fldChar w:fldCharType="begin" w:fldLock="1"/>
      </w:r>
      <w:r w:rsidR="007F330C">
        <w:instrText>ADDIN CSL_CITATION {"citationItems":[{"id":"ITEM-1","itemData":{"DOI":"10.1007/s10021-011-9486-y","ISBN":"1432-9840","ISSN":"14329840","abstract":"Recent studies have shown that tropical and subtropical forests expanded during the late Holocene, but rates and mechanisms of expansion are still unknown. Here, we investigate how a forest-grassland mosaic changed over the past 10,000 years at the southernmost limit of the Brazilian Atlantic forest. We used soil organic matter carbon isotopes (δ 13C and 14C) to quantify and date changes in vegetation, examining soil properties and leaf traits of tree species (nutrient content, δ 13C, δ 15N, and specific leaf area-SLA) to describe potential mechanisms of expansion. Our results show that after several millennia of stability, forests have been expanding over grasslands through continuous, but very slow, border dynamics and patch formation (&lt;100 m since ~4,000 YBP). This process of expansion coincided with past changes in climate, but biotic feedback mechanisms also appear to be important for the long-term persistence and expansion of forests. Soil fertility and microbial biomass match current rather than past vegetation distribution, increasing progressively across the gradient: grasslands &lt; isolated trees &lt; forest patches &lt; forests. Foliar δ 15N values of trees that are able to colonize the grassland are consistently lower across this vegetation gradient, suggesting an increasingly greater reliance on symbiotic nutrient uptake from grasslands to forests. No significant relationships were found between soil and leaf nutrients, but SLA explained variation in leaf N, P, and K (positive relationships) and in leaf δ 13C (negative relationship). These findings suggest that a tradeoff between tree growth and water use efficiency is an important regulator of forest-grassland dynamics in the study region. © 2011 Springer Science+Business Media, LLC.","author":[{"dropping-particle":"","family":"Silva","given":"Lucas C R","non-dropping-particle":"","parse-names":false,"suffix":""},{"dropping-particle":"","family":"Anand","given":"Madhur","non-dropping-particle":"","parse-names":false,"suffix":""}],"container-title":"Ecosystems","id":"ITEM-1","issue":"8","issued":{"date-parts":[["2011"]]},"note":"Interesting paper on expansion of ARF over 9,000 years. Good diagrams showing how and when the patches and forest areas expanded. Expansion speeds suggested, with implications for refugia and past humans mentioned. Thoughts in notes.","page":"1354-1371","title":"Mechanisms of Araucaria (Atlantic) Forest Expansion into Southern Brazilian Grasslands","type":"article-journal","volume":"14"},"uris":["http://www.mendeley.com/documents/?uuid=26302ea3-b67e-3725-bd0a-3f81476d906b"]}],"mendeley":{"formattedCitation":"(Silva and Anand, 2011)","plainTextFormattedCitation":"(Silva and Anand, 2011)","previouslyFormattedCitation":"(Silva and Anand, 2011)"},"properties":{"noteIndex":0},"schema":"https://github.com/citation-style-language/schema/raw/master/csl-citation.json"}</w:instrText>
      </w:r>
      <w:r w:rsidR="006F2B4E">
        <w:fldChar w:fldCharType="separate"/>
      </w:r>
      <w:r w:rsidR="005944BB" w:rsidRPr="005944BB">
        <w:rPr>
          <w:noProof/>
        </w:rPr>
        <w:t>(Silva and Anand, 2011)</w:t>
      </w:r>
      <w:r w:rsidR="006F2B4E">
        <w:fldChar w:fldCharType="end"/>
      </w:r>
      <w:r w:rsidR="00CB6CFF">
        <w:t xml:space="preserve">. </w:t>
      </w:r>
      <w:r w:rsidR="007F2E38">
        <w:t xml:space="preserve">With </w:t>
      </w:r>
      <w:r w:rsidR="00B22369">
        <w:t xml:space="preserve">minimal </w:t>
      </w:r>
      <w:r w:rsidR="007F2E38">
        <w:t xml:space="preserve">change </w:t>
      </w:r>
      <w:r w:rsidR="00F64A8C">
        <w:t xml:space="preserve">in </w:t>
      </w:r>
      <w:r w:rsidR="00A0000F">
        <w:t xml:space="preserve">Serra Campos Gerais </w:t>
      </w:r>
      <w:r w:rsidR="00A0000F">
        <w:fldChar w:fldCharType="begin" w:fldLock="1"/>
      </w:r>
      <w:r w:rsidR="007F330C">
        <w:instrText>ADDIN CSL_CITATION {"citationItems":[{"id":"ITEM-1","itemData":{"DOI":"10.1016/S0034-6667(96)00065-6","ISSN":"00346667","abstract":"New palynological and charcoal data from a bog (24°40′S, 50°13′W, 1200 m asl) of Serra Campos Gerais, northeastern ParanáState, allow a complete and detailed reconstruction of the late Quaternary vegetation and climate history of the South Brazilian highlands. The late-glacial period, which starts at 12,50014C yr BP, indicates the predominance of a diverse grassland vegetation (campos) with scattered stands of Araucaria forest and Atlantic rain forest, probably growing in valley bottoms. This suggests 3 to 5°C colder and drier climates than at present. Judging from the absence of charcoal, fires must here been rare during late-glacial times. The early and mid-Holocene (until 285014C yr BP) is marked by a predominance of campos vegetation on the highlands and expansion of tropical rain forest trees in the valleys, indicating warm climates and perhaps an increase in annual precipitation compared to the late-glacial. A migration of Araucaria forest from the valleys onto the highlands did probably not occur. Seasonal drought is probably the major factor explaining the absence of an expansion of Araucaria forests on the southern Brazilian highlands in the early and mid-Holocene. Palaeofires were more frequent at the beginning of the Holocene, probably ignited by Amerindians at that time. First expansion in the valleys or an initial migration of Araucaria angustifolia from valleys into the Serra Campos Gerais highland occurred during the late Holocene (2850-153014C yr BP), indicating a wetter climate with a shorter dry season. Fires during this period had the highest frequency and may have influenced the migration of Araucaria into the campos areas. A marked expansion of Araucaria forest, forming a mosaic of grassland and Araucaria forest patches on the highlands, took place only in the last 1500 years. This suggests onset of a high precipitation climate without a strong annual dry season. Fires were also less frequent. Logging of Araucaria forests occurred during the last centuries.","author":[{"dropping-particle":"","family":"Behling","given":"Hermann","non-dropping-particle":"","parse-names":false,"suffix":""}],"container-title":"Review of Palaeobotany and Palynology","id":"ITEM-1","issue":"1","issued":{"date-parts":[["1997"]]},"note":"Analysis of a highland core (about 185cm, from 12,300 C14 yr BP) in Serra Campos Gerais, Parana. Campos in late glacial, slow expansion of Araucaria forest from about 2850 C14 Bp, more significant from 1530 C14 BP with an increase of fires/charcoal. A fair number of climatic conclusions are made, which should be checked cf the Botuvera speleothem","page":"109-121","title":"Late Quaternary vegetation, climate and fire history of the Araucaria forest and campos region from Serra Campos Gerais, Paraná State (South Brazil)","type":"article-journal","volume":"97"},"uris":["http://www.mendeley.com/documents/?uuid=a345d1da-e951-387a-ba95-0c87b285d4af"]}],"mendeley":{"formattedCitation":"(Behling, 1997a)","plainTextFormattedCitation":"(Behling, 1997a)","previouslyFormattedCitation":"(Behling, 1997a)"},"properties":{"noteIndex":0},"schema":"https://github.com/citation-style-language/schema/raw/master/csl-citation.json"}</w:instrText>
      </w:r>
      <w:r w:rsidR="00A0000F">
        <w:fldChar w:fldCharType="separate"/>
      </w:r>
      <w:r w:rsidR="005944BB" w:rsidRPr="005944BB">
        <w:rPr>
          <w:noProof/>
        </w:rPr>
        <w:t>(Behling, 1997a)</w:t>
      </w:r>
      <w:r w:rsidR="00A0000F">
        <w:fldChar w:fldCharType="end"/>
      </w:r>
      <w:r w:rsidR="00440344">
        <w:t xml:space="preserve"> or in </w:t>
      </w:r>
      <w:r w:rsidR="00C70569">
        <w:t xml:space="preserve">GeoB2107’s </w:t>
      </w:r>
      <w:r w:rsidR="003C1E20">
        <w:t>A</w:t>
      </w:r>
      <w:r w:rsidR="00C70569">
        <w:t>MF taxa</w:t>
      </w:r>
      <w:r w:rsidR="00B22369">
        <w:t>,</w:t>
      </w:r>
      <w:r w:rsidR="005A6A6B">
        <w:t xml:space="preserve"> </w:t>
      </w:r>
      <w:r w:rsidR="00586FFE">
        <w:t xml:space="preserve">it is </w:t>
      </w:r>
      <w:r w:rsidR="00586FFE">
        <w:lastRenderedPageBreak/>
        <w:t xml:space="preserve">possible that </w:t>
      </w:r>
      <w:r w:rsidR="00B81C57">
        <w:t>the plateau’s vegetation changed less between 9,000 and 6,000 BP than predict</w:t>
      </w:r>
      <w:r w:rsidR="00280DA4">
        <w:t>ed</w:t>
      </w:r>
      <w:r w:rsidR="00B81C57">
        <w:t>, though wit</w:t>
      </w:r>
      <w:r w:rsidR="00280DA4">
        <w:t xml:space="preserve">h </w:t>
      </w:r>
      <w:r w:rsidR="000D0B22">
        <w:t xml:space="preserve">no sites in the most changeable area of </w:t>
      </w:r>
      <w:r w:rsidR="00586FFE">
        <w:t xml:space="preserve">modelled </w:t>
      </w:r>
      <w:r w:rsidR="000D0B22">
        <w:t xml:space="preserve">cluster </w:t>
      </w:r>
      <w:r w:rsidR="000D0B22">
        <w:rPr>
          <w:i/>
          <w:iCs/>
        </w:rPr>
        <w:t>c</w:t>
      </w:r>
      <w:r w:rsidR="000D0B22">
        <w:t xml:space="preserve"> assemblages</w:t>
      </w:r>
      <w:r w:rsidR="00344D84">
        <w:t xml:space="preserve"> </w:t>
      </w:r>
      <w:r w:rsidR="00F221A9">
        <w:t xml:space="preserve">it is </w:t>
      </w:r>
      <w:r w:rsidR="00280DA4">
        <w:t>impossible to be certain.</w:t>
      </w:r>
    </w:p>
    <w:p w14:paraId="1B99A419" w14:textId="6FDB30F8" w:rsidR="002E3DF1" w:rsidRDefault="0046794C" w:rsidP="00F74804">
      <w:pPr>
        <w:pStyle w:val="Heading3"/>
        <w:numPr>
          <w:ilvl w:val="2"/>
          <w:numId w:val="5"/>
        </w:numPr>
        <w:spacing w:line="360" w:lineRule="auto"/>
      </w:pPr>
      <w:r>
        <w:t>Late Holocene (3</w:t>
      </w:r>
      <w:r w:rsidR="00197DB6">
        <w:t>,</w:t>
      </w:r>
      <w:r>
        <w:t>000 BP)</w:t>
      </w:r>
    </w:p>
    <w:p w14:paraId="0DAFC2BE" w14:textId="5AB0E9A4" w:rsidR="00622AFB" w:rsidRDefault="00536DDB" w:rsidP="00F74804">
      <w:pPr>
        <w:spacing w:line="360" w:lineRule="auto"/>
      </w:pPr>
      <w:r>
        <w:t xml:space="preserve">At 3,000 BP, </w:t>
      </w:r>
      <w:r w:rsidR="00690739">
        <w:t xml:space="preserve">western </w:t>
      </w:r>
      <w:r w:rsidR="00CD0701">
        <w:t>parts</w:t>
      </w:r>
      <w:r>
        <w:t xml:space="preserve"> of our study area are again poorly </w:t>
      </w:r>
      <w:r w:rsidR="002902C6">
        <w:t>covered by our modelled species; further east, however,</w:t>
      </w:r>
      <w:r w:rsidR="00C43567">
        <w:t xml:space="preserve"> predicted </w:t>
      </w:r>
      <w:r w:rsidR="002902C6">
        <w:t xml:space="preserve">assemblages </w:t>
      </w:r>
      <w:r w:rsidR="00C43567">
        <w:t xml:space="preserve">on the plateau and coastal plain </w:t>
      </w:r>
      <w:r w:rsidR="002902C6">
        <w:t xml:space="preserve">begin to </w:t>
      </w:r>
      <w:proofErr w:type="gramStart"/>
      <w:r w:rsidR="002902C6">
        <w:t>more closely resemble</w:t>
      </w:r>
      <w:proofErr w:type="gramEnd"/>
      <w:r w:rsidR="00C43567">
        <w:t xml:space="preserve"> those of the present day.</w:t>
      </w:r>
      <w:r w:rsidR="001D75EB">
        <w:t xml:space="preserve"> </w:t>
      </w:r>
    </w:p>
    <w:p w14:paraId="5717F7FF" w14:textId="114660B7" w:rsidR="00CF2ED7" w:rsidRPr="00C06C4E" w:rsidRDefault="00CF2ED7" w:rsidP="00F74804">
      <w:pPr>
        <w:spacing w:line="360" w:lineRule="auto"/>
      </w:pPr>
      <w:r>
        <w:t xml:space="preserve">The south-west of our study area is </w:t>
      </w:r>
      <w:r w:rsidR="00635A19">
        <w:t xml:space="preserve">covered by </w:t>
      </w:r>
      <w:r w:rsidR="007F6FB4">
        <w:t>a combination of assemblages</w:t>
      </w:r>
      <w:r w:rsidR="001B436B">
        <w:t>,</w:t>
      </w:r>
      <w:r w:rsidR="000E4B26">
        <w:t xml:space="preserve"> </w:t>
      </w:r>
      <w:r w:rsidR="001170A8">
        <w:t>with extensive</w:t>
      </w:r>
      <w:r w:rsidR="000E4B26">
        <w:t xml:space="preserve"> assemblage 5 (SDF-like in the present, but</w:t>
      </w:r>
      <w:r w:rsidR="00FE3E43">
        <w:t xml:space="preserve"> </w:t>
      </w:r>
      <w:r w:rsidR="008A1384">
        <w:t xml:space="preserve">with </w:t>
      </w:r>
      <w:r w:rsidR="008A1384">
        <w:rPr>
          <w:i/>
          <w:iCs/>
        </w:rPr>
        <w:t xml:space="preserve">Podocarpus </w:t>
      </w:r>
      <w:proofErr w:type="spellStart"/>
      <w:r w:rsidR="008A1384">
        <w:rPr>
          <w:i/>
          <w:iCs/>
        </w:rPr>
        <w:t>lambertii</w:t>
      </w:r>
      <w:proofErr w:type="spellEnd"/>
      <w:r w:rsidR="008A1384">
        <w:rPr>
          <w:i/>
          <w:iCs/>
        </w:rPr>
        <w:t xml:space="preserve">, </w:t>
      </w:r>
      <w:proofErr w:type="spellStart"/>
      <w:r w:rsidR="00A3517B">
        <w:rPr>
          <w:i/>
          <w:iCs/>
        </w:rPr>
        <w:t>Schizachyr</w:t>
      </w:r>
      <w:r w:rsidR="00036F50">
        <w:rPr>
          <w:i/>
          <w:iCs/>
        </w:rPr>
        <w:t>i</w:t>
      </w:r>
      <w:r w:rsidR="00A3517B">
        <w:rPr>
          <w:i/>
          <w:iCs/>
        </w:rPr>
        <w:t>um</w:t>
      </w:r>
      <w:proofErr w:type="spellEnd"/>
      <w:r w:rsidR="00A3517B">
        <w:rPr>
          <w:i/>
          <w:iCs/>
        </w:rPr>
        <w:t xml:space="preserve"> </w:t>
      </w:r>
      <w:proofErr w:type="spellStart"/>
      <w:r w:rsidR="00A3517B">
        <w:rPr>
          <w:i/>
          <w:iCs/>
        </w:rPr>
        <w:t>tenerum</w:t>
      </w:r>
      <w:proofErr w:type="spellEnd"/>
      <w:r w:rsidR="00F709DD">
        <w:rPr>
          <w:i/>
          <w:iCs/>
        </w:rPr>
        <w:t xml:space="preserve"> </w:t>
      </w:r>
      <w:r w:rsidR="00F709DD">
        <w:t xml:space="preserve">and </w:t>
      </w:r>
      <w:proofErr w:type="spellStart"/>
      <w:r w:rsidR="00F709DD">
        <w:rPr>
          <w:i/>
          <w:iCs/>
        </w:rPr>
        <w:t>Luehea</w:t>
      </w:r>
      <w:proofErr w:type="spellEnd"/>
      <w:r w:rsidR="00F709DD">
        <w:rPr>
          <w:i/>
          <w:iCs/>
        </w:rPr>
        <w:t xml:space="preserve"> </w:t>
      </w:r>
      <w:proofErr w:type="spellStart"/>
      <w:r w:rsidR="00F709DD">
        <w:rPr>
          <w:i/>
          <w:iCs/>
        </w:rPr>
        <w:t>divaricat</w:t>
      </w:r>
      <w:r w:rsidR="00800601">
        <w:rPr>
          <w:i/>
          <w:iCs/>
        </w:rPr>
        <w:t>a</w:t>
      </w:r>
      <w:proofErr w:type="spellEnd"/>
      <w:r w:rsidR="00F709DD">
        <w:t xml:space="preserve"> most prevalent</w:t>
      </w:r>
      <w:r w:rsidR="00FE3E43">
        <w:t xml:space="preserve"> here</w:t>
      </w:r>
      <w:r w:rsidR="004D703E">
        <w:t>)</w:t>
      </w:r>
      <w:r w:rsidR="003F572D">
        <w:t>,</w:t>
      </w:r>
      <w:r w:rsidR="004D703E">
        <w:t xml:space="preserve"> </w:t>
      </w:r>
      <w:r w:rsidR="00A64C41">
        <w:t>some</w:t>
      </w:r>
      <w:r w:rsidR="004D703E">
        <w:t xml:space="preserve"> </w:t>
      </w:r>
      <w:r w:rsidR="003C1E20">
        <w:t>A</w:t>
      </w:r>
      <w:r w:rsidR="004D703E">
        <w:t xml:space="preserve">MF/Campos-like assemblage </w:t>
      </w:r>
      <w:r w:rsidR="00307116">
        <w:t>13</w:t>
      </w:r>
      <w:r w:rsidR="004E462A">
        <w:t>,</w:t>
      </w:r>
      <w:r w:rsidR="002A2A16">
        <w:t xml:space="preserve"> </w:t>
      </w:r>
      <w:r w:rsidR="003F572D">
        <w:t xml:space="preserve">and </w:t>
      </w:r>
      <w:r w:rsidR="00A64C41">
        <w:t>other</w:t>
      </w:r>
      <w:r w:rsidR="00BF550E">
        <w:t xml:space="preserve"> </w:t>
      </w:r>
      <w:r w:rsidR="004E462A">
        <w:t xml:space="preserve">areas </w:t>
      </w:r>
      <w:r w:rsidR="00BF550E">
        <w:t>poorly</w:t>
      </w:r>
      <w:r w:rsidR="003F572D">
        <w:t xml:space="preserve"> </w:t>
      </w:r>
      <w:r w:rsidR="009F28E3">
        <w:t>characterised</w:t>
      </w:r>
      <w:r w:rsidR="004E462A">
        <w:t xml:space="preserve"> </w:t>
      </w:r>
      <w:r w:rsidR="002A2A16">
        <w:t>(</w:t>
      </w:r>
      <w:r w:rsidR="004E462A">
        <w:t>assemblage 31 and other rarer</w:t>
      </w:r>
      <w:r w:rsidR="00F81A73">
        <w:t xml:space="preserve"> groupings</w:t>
      </w:r>
      <w:r w:rsidR="009F28E3">
        <w:t>)</w:t>
      </w:r>
      <w:r w:rsidR="008C5DFE">
        <w:t xml:space="preserve">. </w:t>
      </w:r>
      <w:r w:rsidR="00586051">
        <w:t xml:space="preserve">The only </w:t>
      </w:r>
      <w:proofErr w:type="spellStart"/>
      <w:r w:rsidR="00586051">
        <w:t>palaeo</w:t>
      </w:r>
      <w:proofErr w:type="spellEnd"/>
      <w:r w:rsidR="007E6E78">
        <w:t>-</w:t>
      </w:r>
      <w:r w:rsidR="00586051">
        <w:t xml:space="preserve">proxy record </w:t>
      </w:r>
      <w:r w:rsidR="00F81A73">
        <w:t>with</w:t>
      </w:r>
      <w:r w:rsidR="00586051">
        <w:t xml:space="preserve">in this region, </w:t>
      </w:r>
      <w:r w:rsidR="00A3302D">
        <w:t xml:space="preserve">São Martinho da Serra </w:t>
      </w:r>
      <w:r w:rsidR="005363AA">
        <w:fldChar w:fldCharType="begin" w:fldLock="1"/>
      </w:r>
      <w:r w:rsidR="00031FA0">
        <w:instrText>ADDIN CSL_CITATION {"citationItems":[{"id":"ITEM-1","itemData":{"abstract":"RESUMO – A vegetação da região da campanha no Rio Grande do Sul é composta por formações campestres com raras e esparsas ocorrências de florestas de galeria. Uma importante questão discutida entre os botânicos é se no decorrer do Holoceno a paisagem, da região da campanha teve sempre predomínio de vegetação campestre como nos dias atuais ou se ocorreram formações florestais. Estudos palinológicos podem contribuir de maneira significativa para o entendimento desta questão. A análise preliminar da zona transicional entre as florestas e campos no Rio Grande do Sul, permite concluir que no Holoceno superior (3.000 anos A.P.) os elementos campestres dominaram o espectro polínico sobre os demais elementos pertencentes a outros tipos de formações. Significativo intercâmbio deu-se apenas dentro do mesmo hábito campestre, às vezes com prevalência de Poaceae e Baccharis (campos secos); outras vezes de Cyperaceae (campos úmidos). Palavras-chave: Palinologia, Holoceno, Rio Grande do Sul, Brasil. ABSTRACT – SOUTHERN BRAZILIAN LATE QUATERNARY VEGETATION, FIRE AND CLIMATE DYNAMICS BASED ON PALYNOLOGICAL DATA AND MULTIVARIATE ANALYSIS. The vegetation of the campanha region of the Rio Grande do Sul state is composed by field formation, with rare and sparse gallery forests along some small rivers. Palynological research have been developed in others localities of the State, mainly in areas of the coastal plain and the plateau of Serra Geral. An important question, discussed among the botanicists is if during the Holocene the landscape of the campanha region was the same that it is now or if there were restrict forest formations. Palynological studies can significativaly contribute to the understanding of this question. A preliminary analysis in a transitional zone between forests and grasslands of the Rio Grande do Sul State allow to conclude that in the late Holocene (3.000 yr. B.P.) the grasslands absolutely dominated over other vegetational formations. Significant exchanges occurred only within the grasslands, sometimes with the prevalence of Poaceae and Baccharis type (dry fields), other times of Cyperaceae (wet/uliginous fields).","author":[{"dropping-particle":"","family":"Bauermann","given":"Soraia Girardi","non-dropping-particle":"","parse-names":false,"suffix":""},{"dropping-particle":"","family":"Macedo","given":"Renato Backes","non-dropping-particle":"","parse-names":false,"suffix":""},{"dropping-particle":"","family":"Behling","given":"Hermann","non-dropping-particle":"","parse-names":false,"suffix":""},{"dropping-particle":"","family":"Pillar","given":"Valério de Patta","non-dropping-particle":"","parse-names":false,"suffix":""},{"dropping-particle":"das","family":"Neves","given":"Paulo César Pereira","non-dropping-particle":"","parse-names":false,"suffix":""}],"container-title":"Revista Brasileira de Paleontologia","id":"ITEM-1","issue":"2","issued":{"date-parts":[["2008"]]},"note":"SMadS\n","page":"87-96","title":"Dinâmicas vegetacionais, climáticas e do fogo com base em palinologia e análise multivariada no Quaternário tardio do sul do Brasil","type":"article-journal","volume":"11"},"uris":["http://www.mendeley.com/documents/?uuid=57b10729-4077-36cb-883b-946aa37847a2"]}],"mendeley":{"formattedCitation":"(Bauermann et al., 2008)","plainTextFormattedCitation":"(Bauermann et al., 2008)","previouslyFormattedCitation":"(Bauermann et al., 2008)"},"properties":{"noteIndex":0},"schema":"https://github.com/citation-style-language/schema/raw/master/csl-citation.json"}</w:instrText>
      </w:r>
      <w:r w:rsidR="005363AA">
        <w:fldChar w:fldCharType="separate"/>
      </w:r>
      <w:r w:rsidR="00CC5418" w:rsidRPr="00CC5418">
        <w:rPr>
          <w:noProof/>
        </w:rPr>
        <w:t>(Bauermann et al., 2008)</w:t>
      </w:r>
      <w:r w:rsidR="005363AA">
        <w:fldChar w:fldCharType="end"/>
      </w:r>
      <w:r w:rsidR="005363AA">
        <w:t xml:space="preserve"> is dominated by </w:t>
      </w:r>
      <w:r w:rsidR="00CC5418">
        <w:t xml:space="preserve">herbaceous </w:t>
      </w:r>
      <w:r w:rsidR="0029182A">
        <w:t>pollen</w:t>
      </w:r>
      <w:r w:rsidR="003B09D5">
        <w:t>;</w:t>
      </w:r>
      <w:r w:rsidR="0029182A">
        <w:t xml:space="preserve"> </w:t>
      </w:r>
      <w:r w:rsidR="00840351">
        <w:t xml:space="preserve">Serra </w:t>
      </w:r>
      <w:proofErr w:type="spellStart"/>
      <w:r w:rsidR="00840351">
        <w:t>Velha</w:t>
      </w:r>
      <w:proofErr w:type="spellEnd"/>
      <w:r w:rsidR="00840351">
        <w:t xml:space="preserve">, at </w:t>
      </w:r>
      <w:r w:rsidR="003B09D5">
        <w:t>its</w:t>
      </w:r>
      <w:r w:rsidR="00F81A73">
        <w:t xml:space="preserve"> </w:t>
      </w:r>
      <w:r w:rsidR="006F24FA">
        <w:t>eastern end, be</w:t>
      </w:r>
      <w:r w:rsidR="00B10631">
        <w:t>comes</w:t>
      </w:r>
      <w:r w:rsidR="006F24FA">
        <w:t xml:space="preserve"> dominated by </w:t>
      </w:r>
      <w:r w:rsidR="00B10631">
        <w:t xml:space="preserve">tree pollen, much of it unidentified but </w:t>
      </w:r>
      <w:r w:rsidR="003060EB">
        <w:t xml:space="preserve">with </w:t>
      </w:r>
      <w:r w:rsidR="0051152D">
        <w:t xml:space="preserve">major contributions from </w:t>
      </w:r>
      <w:proofErr w:type="spellStart"/>
      <w:r w:rsidR="003060EB">
        <w:t>Myrtaceae</w:t>
      </w:r>
      <w:proofErr w:type="spellEnd"/>
      <w:r w:rsidR="003060EB">
        <w:t xml:space="preserve"> and </w:t>
      </w:r>
      <w:proofErr w:type="spellStart"/>
      <w:r w:rsidR="003060EB" w:rsidRPr="003060EB">
        <w:rPr>
          <w:i/>
          <w:iCs/>
        </w:rPr>
        <w:t>Alchornea</w:t>
      </w:r>
      <w:proofErr w:type="spellEnd"/>
      <w:r w:rsidR="003060EB">
        <w:t xml:space="preserve">. </w:t>
      </w:r>
      <w:r w:rsidR="00332DCE">
        <w:t>The north-</w:t>
      </w:r>
      <w:r w:rsidR="00586051">
        <w:t>west</w:t>
      </w:r>
      <w:r w:rsidR="00332DCE">
        <w:t xml:space="preserve"> is</w:t>
      </w:r>
      <w:r w:rsidR="00586051">
        <w:t xml:space="preserve"> </w:t>
      </w:r>
      <w:r w:rsidR="003C7757">
        <w:t xml:space="preserve">classed as assemblages 31 and 34, </w:t>
      </w:r>
      <w:r w:rsidR="00E255E1">
        <w:t>here predicted to be</w:t>
      </w:r>
      <w:r w:rsidR="006D721E">
        <w:t xml:space="preserve"> a mixture of Campos and SDF species, with </w:t>
      </w:r>
      <w:r w:rsidR="002D5614">
        <w:rPr>
          <w:i/>
          <w:iCs/>
        </w:rPr>
        <w:t xml:space="preserve">Ilex </w:t>
      </w:r>
      <w:proofErr w:type="spellStart"/>
      <w:r w:rsidR="002D5614">
        <w:rPr>
          <w:i/>
          <w:iCs/>
        </w:rPr>
        <w:t>microdonta</w:t>
      </w:r>
      <w:proofErr w:type="spellEnd"/>
      <w:r w:rsidR="005970E7">
        <w:rPr>
          <w:i/>
          <w:iCs/>
        </w:rPr>
        <w:t xml:space="preserve"> </w:t>
      </w:r>
      <w:r w:rsidR="00952876">
        <w:t xml:space="preserve">(Cloud </w:t>
      </w:r>
      <w:r w:rsidR="009A1686">
        <w:t>F</w:t>
      </w:r>
      <w:r w:rsidR="00952876">
        <w:t xml:space="preserve">orest) </w:t>
      </w:r>
      <w:r w:rsidR="005970E7">
        <w:t xml:space="preserve">and </w:t>
      </w:r>
      <w:r w:rsidR="005970E7">
        <w:rPr>
          <w:i/>
          <w:iCs/>
        </w:rPr>
        <w:t>Araucaria angustifolia</w:t>
      </w:r>
      <w:r w:rsidR="00952876">
        <w:rPr>
          <w:i/>
          <w:iCs/>
        </w:rPr>
        <w:t xml:space="preserve"> </w:t>
      </w:r>
      <w:r w:rsidR="00952876">
        <w:t>(</w:t>
      </w:r>
      <w:r w:rsidR="003C1E20">
        <w:t>A</w:t>
      </w:r>
      <w:r w:rsidR="00952876">
        <w:t>MF) in some areas</w:t>
      </w:r>
      <w:r w:rsidR="00800601">
        <w:t>.</w:t>
      </w:r>
      <w:r w:rsidR="00875994">
        <w:t xml:space="preserve"> </w:t>
      </w:r>
      <w:proofErr w:type="spellStart"/>
      <w:r w:rsidR="00875994">
        <w:t>Buriti</w:t>
      </w:r>
      <w:proofErr w:type="spellEnd"/>
      <w:r w:rsidR="00946ABD">
        <w:t xml:space="preserve">, sited </w:t>
      </w:r>
      <w:r w:rsidR="00A806AF">
        <w:t xml:space="preserve">between these assemblages and </w:t>
      </w:r>
      <w:r w:rsidR="003C1E20">
        <w:t>A</w:t>
      </w:r>
      <w:r w:rsidR="00A806AF">
        <w:t xml:space="preserve">MF/Campos-like assemblage 13, </w:t>
      </w:r>
      <w:r w:rsidR="00BA4353">
        <w:t>records high levels of forest pollen</w:t>
      </w:r>
      <w:r w:rsidR="006240D2">
        <w:t xml:space="preserve"> </w:t>
      </w:r>
      <w:r w:rsidR="001B248A">
        <w:t>–</w:t>
      </w:r>
      <w:r w:rsidR="006240D2">
        <w:t xml:space="preserve"> mainly</w:t>
      </w:r>
      <w:r w:rsidR="00C33C8F">
        <w:t xml:space="preserve"> </w:t>
      </w:r>
      <w:r w:rsidR="00E45926">
        <w:rPr>
          <w:i/>
          <w:iCs/>
        </w:rPr>
        <w:t xml:space="preserve">Ilex </w:t>
      </w:r>
      <w:r w:rsidR="00D25EF0">
        <w:t>(</w:t>
      </w:r>
      <w:r w:rsidR="00E45926">
        <w:rPr>
          <w:i/>
          <w:iCs/>
        </w:rPr>
        <w:t xml:space="preserve">Araucaria </w:t>
      </w:r>
      <w:r w:rsidR="00E45926">
        <w:t xml:space="preserve">and </w:t>
      </w:r>
      <w:proofErr w:type="spellStart"/>
      <w:r w:rsidR="00E45926" w:rsidRPr="00E45926">
        <w:rPr>
          <w:i/>
          <w:iCs/>
        </w:rPr>
        <w:t>Alchornea</w:t>
      </w:r>
      <w:proofErr w:type="spellEnd"/>
      <w:r w:rsidR="00E45926">
        <w:t xml:space="preserve"> experience </w:t>
      </w:r>
      <w:r w:rsidR="000B01FD">
        <w:t>temporary</w:t>
      </w:r>
      <w:r w:rsidR="005B6F7F">
        <w:t xml:space="preserve"> lows</w:t>
      </w:r>
      <w:r w:rsidR="006240D2">
        <w:t xml:space="preserve"> at 3,000 BP</w:t>
      </w:r>
      <w:r w:rsidR="005B5828">
        <w:t>) with</w:t>
      </w:r>
      <w:r w:rsidR="001B248A">
        <w:t xml:space="preserve"> a continued</w:t>
      </w:r>
      <w:r w:rsidR="00D9714B">
        <w:t xml:space="preserve"> mixture of </w:t>
      </w:r>
      <w:r w:rsidR="00D56E43">
        <w:t>cold-adapted (</w:t>
      </w:r>
      <w:proofErr w:type="spellStart"/>
      <w:r w:rsidR="00987D47" w:rsidRPr="00987D47">
        <w:rPr>
          <w:i/>
          <w:iCs/>
        </w:rPr>
        <w:t>Symploc</w:t>
      </w:r>
      <w:r w:rsidR="00987D47">
        <w:rPr>
          <w:i/>
          <w:iCs/>
        </w:rPr>
        <w:t>o</w:t>
      </w:r>
      <w:r w:rsidR="00987D47" w:rsidRPr="00987D47">
        <w:rPr>
          <w:i/>
          <w:iCs/>
        </w:rPr>
        <w:t>s</w:t>
      </w:r>
      <w:proofErr w:type="spellEnd"/>
      <w:r w:rsidR="00587529">
        <w:rPr>
          <w:i/>
          <w:iCs/>
        </w:rPr>
        <w:t xml:space="preserve">, </w:t>
      </w:r>
      <w:r w:rsidR="00F5119A">
        <w:rPr>
          <w:i/>
          <w:iCs/>
        </w:rPr>
        <w:t>Podocarpus</w:t>
      </w:r>
      <w:r w:rsidR="00D56E43" w:rsidRPr="00D56E43">
        <w:t>)</w:t>
      </w:r>
      <w:r w:rsidR="00D3195E">
        <w:t xml:space="preserve"> and warm-adapted (</w:t>
      </w:r>
      <w:proofErr w:type="spellStart"/>
      <w:r w:rsidR="00D3195E">
        <w:rPr>
          <w:i/>
          <w:iCs/>
        </w:rPr>
        <w:t>Luehea</w:t>
      </w:r>
      <w:proofErr w:type="spellEnd"/>
      <w:r w:rsidR="00587529">
        <w:rPr>
          <w:i/>
          <w:iCs/>
        </w:rPr>
        <w:t xml:space="preserve">, </w:t>
      </w:r>
      <w:r w:rsidR="00D3195E">
        <w:rPr>
          <w:i/>
          <w:iCs/>
        </w:rPr>
        <w:t>Hieronyma</w:t>
      </w:r>
      <w:r w:rsidR="00D3195E">
        <w:t>)</w:t>
      </w:r>
      <w:r w:rsidR="00D9714B">
        <w:t xml:space="preserve"> </w:t>
      </w:r>
      <w:r w:rsidR="00002A9B">
        <w:t xml:space="preserve">trees – which </w:t>
      </w:r>
      <w:r w:rsidR="00C06C4E">
        <w:t xml:space="preserve">may </w:t>
      </w:r>
      <w:r w:rsidR="00B05979">
        <w:t>corroborate</w:t>
      </w:r>
      <w:r w:rsidR="00C06C4E">
        <w:t xml:space="preserve"> </w:t>
      </w:r>
      <w:r w:rsidR="00365B61">
        <w:t xml:space="preserve">the </w:t>
      </w:r>
      <w:r w:rsidR="00805B64">
        <w:t xml:space="preserve">unusual combination of taxa modelled for the </w:t>
      </w:r>
      <w:r w:rsidR="00365B61">
        <w:t>site</w:t>
      </w:r>
      <w:r w:rsidR="00805B64">
        <w:t>.</w:t>
      </w:r>
    </w:p>
    <w:p w14:paraId="5AC58E10" w14:textId="5B888033" w:rsidR="00AC4B01" w:rsidRPr="00CB0E77" w:rsidRDefault="00B4563D" w:rsidP="00F74804">
      <w:pPr>
        <w:spacing w:line="360" w:lineRule="auto"/>
      </w:pPr>
      <w:r>
        <w:t xml:space="preserve">Across the rest of </w:t>
      </w:r>
      <w:r w:rsidR="00AC4B01">
        <w:t xml:space="preserve">the plateau, our models predict a consolidation and expansion of assemblages associated with cold-adapted taxa. Assemblages 13 and 27, which describe present-day </w:t>
      </w:r>
      <w:r w:rsidR="003C1E20">
        <w:t>A</w:t>
      </w:r>
      <w:r w:rsidR="00AC4B01">
        <w:t xml:space="preserve">MF and Campos areas, cover much of the highlands, including parts of western Santa Catarina state and north-western Rio Grande </w:t>
      </w:r>
      <w:r w:rsidR="00E5751A">
        <w:t xml:space="preserve">do Sul </w:t>
      </w:r>
      <w:r w:rsidR="00AC4B01">
        <w:t xml:space="preserve">which are now SDF. Assemblage 15, dominated by Cloud forest and </w:t>
      </w:r>
      <w:proofErr w:type="gramStart"/>
      <w:r w:rsidR="00AC4B01">
        <w:t>Campos</w:t>
      </w:r>
      <w:proofErr w:type="gramEnd"/>
      <w:r w:rsidR="00AC4B01">
        <w:t xml:space="preserve"> species, also expands to cover</w:t>
      </w:r>
      <w:r w:rsidR="00A05C90">
        <w:t xml:space="preserve"> its largest extent since</w:t>
      </w:r>
      <w:r w:rsidR="00AC4B01">
        <w:t xml:space="preserve"> 18,000 BP, concentrated at high elevations along the escarpment and in areas of modern-day Campos in south-central Paraná state. Soil profiles in these latter areas record C4-dominated vegetation for this period, </w:t>
      </w:r>
      <w:r w:rsidR="00076C92">
        <w:t>as they had</w:t>
      </w:r>
      <w:r w:rsidR="00B9065A">
        <w:t xml:space="preserve"> for</w:t>
      </w:r>
      <w:r w:rsidR="00AC4B01">
        <w:t xml:space="preserve"> 6,000 BP, </w:t>
      </w:r>
      <w:r w:rsidR="00D65C2D">
        <w:t>despite</w:t>
      </w:r>
      <w:r w:rsidR="0008085F">
        <w:t xml:space="preserve"> </w:t>
      </w:r>
      <w:r w:rsidR="00422DA1">
        <w:t xml:space="preserve">the </w:t>
      </w:r>
      <w:r w:rsidR="00AC4B01">
        <w:t>region’s only pollen record</w:t>
      </w:r>
      <w:r w:rsidR="00D65C2D">
        <w:t xml:space="preserve"> (</w:t>
      </w:r>
      <w:proofErr w:type="spellStart"/>
      <w:r w:rsidR="00D65C2D">
        <w:t>Buriti</w:t>
      </w:r>
      <w:proofErr w:type="spellEnd"/>
      <w:r w:rsidR="00D65C2D">
        <w:t>)</w:t>
      </w:r>
      <w:r w:rsidR="00422DA1">
        <w:t xml:space="preserve"> continu</w:t>
      </w:r>
      <w:r w:rsidR="00D65C2D">
        <w:t>ing</w:t>
      </w:r>
      <w:r w:rsidR="00422DA1">
        <w:t xml:space="preserve"> to be </w:t>
      </w:r>
      <w:r w:rsidR="0008085F">
        <w:t>forest-dominated</w:t>
      </w:r>
      <w:r w:rsidR="00AC4B01">
        <w:t>.</w:t>
      </w:r>
      <w:r w:rsidR="005D2988">
        <w:t xml:space="preserve"> </w:t>
      </w:r>
      <w:r w:rsidR="00AC4B01">
        <w:t xml:space="preserve">Further east, </w:t>
      </w:r>
      <w:proofErr w:type="spellStart"/>
      <w:r w:rsidR="00AC4B01">
        <w:t>palaeo</w:t>
      </w:r>
      <w:proofErr w:type="spellEnd"/>
      <w:r w:rsidR="00F73B30">
        <w:t>-</w:t>
      </w:r>
      <w:r w:rsidR="00AC4B01">
        <w:t xml:space="preserve">proxy records show increasing contributions from forest taxa compared to the mid-Holocene. This expansion of </w:t>
      </w:r>
      <w:r w:rsidR="003C1E20">
        <w:t>A</w:t>
      </w:r>
      <w:r w:rsidR="00AC4B01">
        <w:t>MF over Campos is recorded between 3,000 and 4,000 BP in many sites at the highlands’ southern edge, as well as in others north of our study area</w:t>
      </w:r>
      <w:r w:rsidR="003F6F13">
        <w:t xml:space="preserve"> </w:t>
      </w:r>
      <w:r w:rsidR="003F6F13">
        <w:fldChar w:fldCharType="begin" w:fldLock="1"/>
      </w:r>
      <w:r w:rsidR="004C252C">
        <w:instrText>ADDIN CSL_CITATION {"citationItems":[{"id":"ITEM-1","itemData":{"DOI":"10.1016/j.jsames.2009.09.003","ISBN":"0895-9811","ISSN":"08959811","abstract":"The palaeoenvironmental history has been studied based on palynology of a sedimentary profile from the Alpes de S??o Francisco bog (29??29???35??????S, 50??37???18??????W), S??o Francisco de Paula municipality, Rio Grande do Sul eastern Plateau, extreme Southern Brazil. The results indicate a regional cold and dry climate between 25,000 and 12,500 yr BP, interpreted from the grassland vegetation, forest taxa were present in refuges and the shallow local lake began to fill in. Climatic conditions became more aride after 16,000 yr BP, when grassland became rare. From 12,500 yr BP onwards, the climate began to change and at 11,000-9700 yr BP a warm and moist climate permitted the slight migration of pioneer arboreal taxa from refuges and locally a marsh formation. Between 9700 and 6500 yr BP a warm and dry climate resulted in reduction of grassland, confined the forest in refuges, dried out the marsh. The gradual increase of humidity between 6500 and 4000 yr BP allowed migration of forests from refuges and a bog developed. Between 4000 and 2000 yr BP Araucaria forest spread, indicating moister climate. The local bog expanded. From 2000 yr BP onwards, humid but warmer climate seems to result in a lower reproductive capacity of Araucaria forest taxa limiting its expansion. The bog reached the present-day in a decline condition. The results are compared to previous records from Southern Brazil highlands and some places from Argentina in order to better elucidate the climatic and vegetational history of these important South America areas during the late Quaternary. ?? 2009 Elsevier Ltd. All rights reserved.","author":[{"dropping-particle":"","family":"Leonhardt","given":"Adriana","non-dropping-particle":"","parse-names":false,"suffix":""},{"dropping-particle":"","family":"Lorscheitter","given":"Maria Luisa","non-dropping-particle":"","parse-names":false,"suffix":""}],"container-title":"Journal of South American Earth Sciences","id":"ITEM-1","issue":"2","issued":{"date-parts":[["2010","3"]]},"note":"AdSF2\nAnalysis of 286cm bog core from Alpes de Sao Francisco, Rio Grande do Sul. Starts 25,000 C14 yr BP. Cold and dry until 12,500 BP, grassland and almost no trees; 11,000-9,700 was warm and humid, some trees wandered around; drier then to 6,500 BP so grassland retreated and forest stayed in refuges; humidity increased again 6500-4000, so forests escaped their refuges; 4000-2000 Araucaria forest spread (so moister still); warmer from then to the present so less expansion of Araucaria.\n\nIMPORTANT WHEN REINTERPRETING BEHLING ET AL 2004\n\nSeems a bit poorly resolved across the Holocene, but makes an important point about pollen concentration/percentage diagrams and what they show (especially with Araucaria forest expansion)","page":"454-463","title":"The last 25,000 years in the Eastern Plateau of Southern Brazil according to Alpes de São Francisco record","type":"article-journal","volume":"29"},"uris":["http://www.mendeley.com/documents/?uuid=90690911-40f6-3530-aa45-c7420e186d20"]},{"id":"ITEM-2","itemData":{"DOI":"10.1016/j.quaint.2014.01.010","ISBN":"1040-6182","ISSN":"10406182","abstract":"For the first time in the highlands of southern Brazil, a palynological study was performed on sedimentary records from two Araucaria forests. Radiocarbon dates were used. The sites were Alpes de S??o Francisco (29??27'26???S, 50??36'57???W) and Banhado Amarelo (29??18'48???S, 50??08'13???W), located in the Eastern Plateau region of Rio Grande do Sul in S??o Francisco de Paula municipality. Between 13,000 and 10,800BP, Alpes de S??o Francisco was cold and dry, and contained a shallow water reservoir surround by marsh, near sparse grassland, with forests probably in refuges. Between 10,800 and 9400BP, the climate was warmer and the moisture increased. The reservoir began to be filled with herbaceous plants, regional grassland developed, and forests probably began to expand from the refuges. Between 9400 and 5600BP, the climate was dry, grasslands decreased in size and forests became more isolated and were probably located in refuges. From 5600BP onward the moisture increased, forming a local bog at 5000BP. The bog was colonized by pioneer arboreal taxa and Araucaria forest that expanded until ca. 3300BP. Between 4300 and 3300BP, Banhado Amarelo consisted of an incipient herbaceous marsh with adjacent sparse grassland. A delay in the arrival of moisture at the site was probably due to geographic conditions. Between 3300 and 1600BP, the humidity increased in Banhado Amarelo, forming a bog with forest cover. After 3300BP in Alpes de S??o Francisco and after 1600BP in Banhado Amarelo, the data suggest a reduction in the reproductive capacity of the forest taxa, probably due to temperature elevation. Therefore, these forests need urgent environmental conservation programs and the present-day bogs are very important as possible generators of Araucaria forest patches in Eastern Plateau depressions. ?? 2014 Elsevier Ltd and INQUA.","author":[{"dropping-particle":"","family":"Scherer","given":"Caroline","non-dropping-particle":"","parse-names":false,"suffix":""},{"dropping-particle":"","family":"Lorscheitter","given":"Maria Luisa","non-dropping-particle":"","parse-names":false,"suffix":""}],"container-title":"Quaternary International","id":"ITEM-2","issued":{"date-parts":[["2014"]]},"note":"AdSF1 &amp;amp; BanAM\nStudy based on bog cores from within Araucaria forest in RGS Eastern Plateau. It might be the first time someone did cores from the forest rather than campos? No humans around. Conclusions generally match other studies - see highlighted section at top of p11. Suggests Araucaria forests can generate by colonising bogs (important for them), and that increased temperatures depressed their pollen production (seen in concentration diagrams). Important for working out pollen productivity etc. Also important discussion on other results.\n\nI think that percentages show you the composition of the vegetation (80% campos, say), and concentrations show you how dense/developed it is. You can have decreasing percentages of something (campos to 60%) and increasing concentrations, which show that the campos is being taken over by something else, but in the space that remains it's getting more campos-y. I think.","page":"3-12","title":"Vegetation dynamics in the southern Brazilian highlands during the last millennia and the role of bogs in Araucaria forest formation","type":"article-journal","volume":"325"},"uris":["http://www.mendeley.com/documents/?uuid=7f1f0c6a-d19c-3d36-8b6d-7974769b13f2"]},{"id":"ITEM-3","itemData":{"DOI":"10.1016/S0031-0182(03)00687-4","ISBN":"0031-0182","ISSN":"00310182","abstract":"Late Quaternary vegetation, fire and climate dynamics have been studied based on high-resolution dated pollen and charcoal samples and multivariate data analysis. The samples were taken from a 212-cm-long sediment core of a bog in the Cambará do Sul region on the highlands of northeastern Rio Grande do Sul State, Brazil. The records, including seven AMS radiocarbon dates, span 42 840 14C years, for the first time extending the reconstruction of past environmental changes on the southern Brazilian highlands back to the Last Glacial Maximum (LGM) and pre-LGM times. The last 1100 years provide a decadal resolution. Initially the site was a permanent shallow lake which became seasonally dry after 26 900 14C yr BP. Seasonal climate with a long annual dry period prevailed until the late Holocene. The climate was somewhat wetter from 42 840 to 41 470 14C yr BP and from 41 470 to 26 900 14C yr BP than during the LGM and the late-Glacial period. Natural fires were rare, but became very frequent after 7400 cal BP, suggesting human occupation of the southernmost Brazilian highlands since that time. The records suggest that a species-rich Campos (grassland) vegetation existed in the area under a relatively dry and cold climate during glacial times under possibly as low as -10°C. The record also suggests that small populations of Araucaria were probably only present in refugia of deep and protected valleys and/or on wetter coastal slopes. Campos vegetation existed through the early and mid-Holocene until 4320 cal yr BP, after which Araucaria forest expanded into the network of gallery forests along the streams. By 1100 cal yr BP the Araucaria forest replaced the Campos vegetation reflecting the onset of the wettest period with no marked annual dry season. The marked expansion of the Araucaria forest coincided with the reduction in fire. Between AD 1520 and 1770 Weinmannia became a common taxa in the Araucaria forest, suggesting a shift to warmer climatic conditions on the highlands. This interval was synchronous with a cool phase within the Little Ice Age known from North Atlantic land records. After about AD 1780 human activities changed the original forest composition, first by introducing cattle into the forest and than by selective logging of Araucaria trees. Multivariate analysis of the pollen data shows compositional changes that follow a trajectory alternating undirectional, random phases and phases with directional, sometimes fast transitions. The results al…","author":[{"dropping-particle":"","family":"Behling","given":"Hermann","non-dropping-particle":"","parse-names":false,"suffix":""},{"dropping-particle":"","family":"Pillar","given":"Valerio DePatta","non-dropping-particle":"","parse-names":false,"suffix":""},{"dropping-particle":"","family":"Orlóci","given":"László","non-dropping-particle":"","parse-names":false,"suffix":""},{"dropping-particle":"","family":"Bauermann","given":"Soraia Girardi","non-dropping-particle":"","parse-names":false,"suffix":""}],"container-title":"Palaeogeography, Palaeoclimatology, Palaeoecology","id":"ITEM-3","issue":"3-4","issued":{"date-parts":[["2004"]]},"note":"CamSu\n\nDetailed examination of Cambara do Sul core in NE Rio Grande do Sul, 42,658 C14 yr BP to present. Shows 100 year Campos-Araucaria switch in about 1100 cal yr BP.\n\nNEEDS SOME REINTERPRETING WITH LEONHARDT &amp;amp; LORSCHEITTER 2010. SEE NOTE\n\n(All dates C14 yr BP)\n\n42,840 - 41,470\n83-88% campos pollen, 8-14% Araucaria forest pollen (only 2 grains of A. angustifolia), only one pollen grain from Atlantic forest taxa, aquatics 6-16%, ferns 3-6%. Low conc and accumulation of carbonised particles.\n\n41,4701 - 26,900\n87-94% campos pollen, 3-9% Araucaria forest (less pollen from Myrtaceae), a few single grains of Atlantic forest pollen, less aquatic pollen (3-7%), fewer fern spores (0-3%). Carbonised particles still rare.\n\n26,900 - 10,120\n87-97% campos pollen (though changing composition - Poaceae down, Eryngium up; less Apiaceae), 1-5% Araucaria forest, 0-0.3% Atlantic forest (lowest for both), 1-3% aquatic, lowest time for ferns (but big increase at end of zone). Carbonised particles rare.\n\n10,120 - 3,950 (11,540 - 4,320 cal yr BP)\n74-88% campos but lower near end (Poaceae up from last time; Eryngium get more common; other compositional changes), 3-13% Araucaria forest (up slightly thanks to A. angustifolia and Myrsine), 0-4% Atlantic (up slightly), trace aquatics, big increase of ferns (up to 46%) then decrease by end (to 9%), increase in Dicksonia (0-14%). Lots of carbonised particles higher up in this section.\n\n3950 - 1140 (4320 - 1100 cal yr BP)\n65-84% campos (down a bit but still high; Cyperaceae up, Poaceae and Eryngium down), 13-27% Araucaria forest (mainly A. angustifolia 4-7%, Myrsine and Weinmannia), 2-5% Atlantic forest, fern spores up again (9-40%), Dicksonia common (9-16%). Lots and lots of carbonised particles.\n\n1140 - 410 (1100 - 430 cal yr BP)\nCampos way down and keeps going (55-24%), continuous increase of Araucaria forest pollen (39-80%) with A. angustifolia going up 14-42% and big increase in Mimosa scabrella, no change in Atlantic (2-6%), fewer fern spores (5-19%), highest Dicksonia spore level (9-26%), high point for mosses but decrease later. Low concentration of carbonised particles but higher accumulation than at beginning of core.\n\n410 - -50 (430 - -50 cal yr BP)\nCampos start way down (to 11%) but increase (to 38%, through Cyperaceae then Poaceae) then go down right at the end, Araucaria forest highest early on (87%) but decreases at the end (65%) as A. angustifolia drops off right at the end (41-2%; Mimosa scabrella jumps correspondingly; other changes), nothing much happens with Atlantic forest (2-7%), fern spores go down (21-2%) and Dicksonia crashes by end (19-0.3%). Similar carbonised particles to before.","page":"277-297","title":"Late Quaternary Araucaria forest, grassland (Campos), fire and climate dynamics, studied by high-resolution pollen, charcoal and multivariate analysis of the Cambará do Sul core in southern Brazil","type":"article-journal","volume":"203"},"uris":["http://www.mendeley.com/documents/?uuid=46579170-55fd-37c2-8f78-517419a62e98"]},{"id":"ITEM-4","itemData":{"DOI":"10.1007/BF00203932","ISBN":"0939-6314","ISSN":"09396314","abstract":"Palynological studies have been carried out on three highland peat bogs, and one situated on the Atlan- tic coastal plain. In the highlands, the late Pleistocene (14,000 - 10,000 uncal B.P.) vegetation was dominated by campos (grassland). Scattered stands of Araucaria forests were preserved in deep valleys. In the region of the sites at Morro da Igreja and Serra do Rio Rastro, the dominance of campos vegetation continued until about 1000 B.P. while at the Serra da Boa Vista site there was an expansion of Atlantic pluvial forest elements fol- lowed by Araucaria forests at the beginning of the Holocene. A general expansion of A. anguslifolia, clear- ly related to a change towards an increasingly moist cli- mate, can be dated to the present millenium. On the coastal plains, the late Pleistocene vegetation was domi- nated by Myrtaceae which were replaced by tropical taxa in the Holocene. The lowland profile (Pogo Grande) also covers part of the upper Holocene, where the rich flora of the Atlantic pluvial forests can be characterized by taxa including Alchornea, Urticales and Rapanea. Close to the coring site, there was a repeated alternation be- tween two different dune communities (4840 - 4590 B.P.), followed by a lake stage with aquatic plant succes- sion (4590 - 4265 B.P.), plant communities dominated by Rapanea (4265 - 4230 B.P.) and the spread of Alchornea (4230 - 3525 B.P.). Late Pleistocene climate conditions (14,000 - 10,000 B.P.) can be described as cold and relatively dry, possibly including an equivalent of the Younger Dryas period. In the Holocene, there were changes from a warm and drier climate (10,000 - ~3000 B.P.) to a cool and more moist regime (ca. 3000 - ca. 1000 B.P.) and finally to a cool and very moist period (from around 1000 B.P.).","author":[{"dropping-particle":"","family":"Behling","given":"Hermann","non-dropping-particle":"","parse-names":false,"suffix":""}],"container-title":"Vegetation History and Archaeobotany","id":"ITEM-4","issue":"3","issued":{"date-parts":[["1995","9"]]},"note":"SdBoV, MdIgr, SdRRa, PocGr","page":"127-152","publisher":"Springer-Verlag","title":"Investigations into the late Pleistocene and Holocene history of vegetation and climate in Santa Catarina (S Brazil)","type":"article-journal","volume":"4"},"uris":["http://www.mendeley.com/documents/?uuid=fcea03a7-e07e-3d31-94a9-b68f1fec0a97"]},{"id":"ITEM-5","itemData":{"DOI":"10.1016/S0031-0182(97)88177-1","ISBN":"0031-0182","ISSN":"00310182","abstract":"Late Quaternary paleoenvironments have been interpreted from a 35,000 yr B.P. pollen and charcoal record from Morro de Itapeva (22''47'S, 45''32'W, 1850 m a.s.l.) in the SE Brazilian highlands. Changes in taxa composition and elevational shifts in high elevation grassland (campos de altitude), Araucaria forest, cloud forest and Atlantic rain forest, all of which can be found in the study area today, indicate climatic changes in the past. Expanded high elevation grasslands, absence of Araucaria forest, cloud forest and Atlantic rain forest during the recorded last glacial period (ca. 35,000-17,000 yr B.P.) suggest a climate markedly cooler and drier than today. Development of a Sphagnum peat bog, rare presence of Araucaria forest taxa and existence of a narrow cloud forest and rain forest belt at lower elevations during the late glacial period (17,000-ca. 10,000 yr B.P.) indicate a change to a cool and somewhat moister climates. During the early Holocene cloud forest developed close to the study site, reflecting a warm and moist climate on the east facing slopes, but a drier climate on the highland plateau, evidenced by the rare presence of Araucaria and Podocarpus. Only during the late Holocene moisture increases in the highlands, suggested by the higher frequency of Araucaria and Podocarpus. Fires were more frequent daring the last glacial than during the Holocene.","author":[{"dropping-particle":"","family":"Behling","given":"Hermann","non-dropping-particle":"","parse-names":false,"suffix":""}],"container-title":"Palaeogeography, Palaeoclimatology, Palaeoecology","id":"ITEM-5","issue":"3-4","issued":{"date-parts":[["1997"]]},"note":"MdIta\nUSE TO COMPARE WITH LEDRU 1993 ON MOIST LGM (OR NOT - SEE PART 4.1 IN THIS PAPER)\n\nAnalysis of the 142cm core at Morro de Itapeva to look back over 35,000 yr BP of vegetation changes on the Serra de Mantiqueira. There are quite a few differences to some S Brazil records because influences on climate differ between there and SE Brazil where this is. The pollen diagram does show an increase in Aa around 1000 yr BP but as mentioned in the discussion it's not pronounced. This could be due to climatic differences, but it's not inconceivable that no spJ meant no spread.\n\nReally useful diagram showing the relation between elevation, rainfall, distance from the ocean, and vegetation types. Also useful bits on the meaning of different pollen taxa for the palaeoecological record, and a fair diagram on the climatic changes recorded in different places.","page":"407-422","title":"Late Quaternary vegetation, climate and fire history from the tropical mountain region of Morro de Itapeva, SE Brazil","type":"article-journal","volume":"129"},"uris":["http://www.mendeley.com/documents/?uuid=06644376-eb15-3141-b819-60ab5253043f"]},{"id":"ITEM-6","itemData":{"DOI":"10.1177/0959683611414930","ISSN":"0959-6836","abstract":"We present new palaeoenvironmental data from a 281 cm long sediment core studied by means of pollen and charcoal analyses from Rincão das Cabritas of the São Francisco de Paula area, which lies in the wettest region of southern Brazil at the present time. The high-resolution record, dated with seven AMS dates, spans the last 16 700 cal. BP. The continuous presence of grassland vegetation (Campos) throughout the glacial period reflects cold and markedly drier climatic conditions than today. Nowadays, remote areas of Campos on the highlands represent remnants of an early and widely expanded vegetation of glacial times that was gradually replaced by forest ecosystems during the late Holocene. Araucaria forest began to develop after 3200 cal. BP, with its expansion over Campos starting at about 2950 cal. BP. This was probably due to the presence of a somewhat wetter climate after about 4600 cal. BP, which supported the initial development of forest ecosystems and allowed Atlantic rainforest to spread from the...","author":[{"dropping-particle":"","family":"Jeske-Pieruschka","given":"Vivian","non-dropping-particle":"","parse-names":false,"suffix":""},{"dropping-particle":"","family":"Behling","given":"Hermann","non-dropping-particle":"","parse-names":false,"suffix":""}],"container-title":"The Holocene","id":"ITEM-6","issue":"11","issued":{"date-parts":[["2012","11","12"]]},"note":"RidCa\nStudy of the Rincao das Cabritas core in Rio Grande do Sul from 16,700 cal yr BP. Not an area of southern proto-Je (instead Caaguaras Indians). Araucaria forest expansion began 2900 yr BP and just kind of continued (no mad expansion), though it increased more during the last 1000 years. They reckon climate was the most important factor controlling forest expansion.\n\nHas a useful table of core coordinates, references and vegetation change summaries.","page":"1251-1262","publisher":"SAGE PublicationsSage UK: London, England","title":"Palaeoenvironmental history of the São Francisco de Paula region in southern Brazil during the late Quaternary inferred from the Rincão das Cabritas core","type":"article-journal","volume":"22"},"uris":["http://www.mendeley.com/documents/?uuid=966112de-0d54-3ff6-b35a-5c64de9b42f7"]},{"id":"ITEM-7","itemData":{"DOI":"10.2458/azu_rc.57.18198","ISSN":"0033-8222","abstract":"This article presents a palynological study carried out on a sediment core from a peat deposit in Serra de Botucatu, in SÃo Paulo State, southeastern Brazilian Plateau. This region has been covered by grassland vegetation and forest patches throughout the recorded period. AMS radiocarbon dating plus palynological analysis of 27 samples from the sediment core allowed the recognition of several environmental changes that took place during the last 33,000 yr recorded in the core. The relationship between sedimentation rates and changes in the abundance of plants recognized through their pollen record, particularly a few important indicator species, provided the paleoenvironmental history for the Serra de Botucatu region, allowing the identification of changes in climate conditions and comparison with other regions in Brazil. One of the most remarkable features of this record is the cold and humid conditions during the Last Glacial Maximum, which diverges from previous interpretations for southeastern and southern Brazil but is in good agreement with paleoclimatic data from trace elements from cave stalagmites in SE Brazil. No indications of human impacts on the vegetation were found in this record.","author":[{"dropping-particle":"","family":"Bissa","given":"Walter Mareschi","non-dropping-particle":"","parse-names":false,"suffix":""},{"dropping-particle":"","family":"Toledo","given":"Mauro B","non-dropping-particle":"de","parse-names":false,"suffix":""}],"container-title":"Radiocarbon","id":"ITEM-7","issue":"5","issued":{"date-parts":[["2015","2","23"]]},"page":"737-753","title":"Late Quaternary Vegetational Changes in a Marsh Forest in Southeastern Brazil with Comments on Prehistoric Human Occupation","type":"article-journal","volume":"57"},"uris":["http://www.mendeley.com/documents/?uuid=e73d8b83-63dc-4164-9bdb-4efab947f20a"]}],"mendeley":{"formattedCitation":"(Behling, 1997b, 1995; Behling et al., 2004; Bissa and de Toledo, 2015; Jeske-Pieruschka and Behling, 2012; Leonhardt and Lorscheitter, 2010; Scherer and Lorscheitter, 2014)","plainTextFormattedCitation":"(Behling, 1997b, 1995; Behling et al., 2004; Bissa and de Toledo, 2015; Jeske-Pieruschka and Behling, 2012; Leonhardt and Lorscheitter, 2010; Scherer and Lorscheitter, 2014)","previouslyFormattedCitation":"(Behling, 1997b, 1995; Behling et al., 2004; Bissa and de Toledo, 2015; Jeske-Pieruschka and Behling, 2012; Leonhardt and Lorscheitter, 2010; Scherer and Lorscheitter, 2014)"},"properties":{"noteIndex":0},"schema":"https://github.com/citation-style-language/schema/raw/master/csl-citation.json"}</w:instrText>
      </w:r>
      <w:r w:rsidR="003F6F13">
        <w:fldChar w:fldCharType="separate"/>
      </w:r>
      <w:r w:rsidR="004F4F54" w:rsidRPr="004F4F54">
        <w:rPr>
          <w:noProof/>
          <w:lang w:val="sv-SE"/>
        </w:rPr>
        <w:t>(Behling, 1997b, 1995; Behling et al., 2004; Bissa and de Toledo, 2015; Jeske-Pieruschka and Behling, 2012; Leonhardt and Lorscheitter, 2010; Scherer and Lorscheitter, 2014)</w:t>
      </w:r>
      <w:r w:rsidR="003F6F13">
        <w:fldChar w:fldCharType="end"/>
      </w:r>
      <w:r w:rsidR="00AC4B01" w:rsidRPr="00A82061">
        <w:rPr>
          <w:lang w:val="sv-SE"/>
        </w:rPr>
        <w:t xml:space="preserve">. </w:t>
      </w:r>
      <w:r w:rsidR="00AC4B01">
        <w:t xml:space="preserve">Some of these sites also record a </w:t>
      </w:r>
      <w:r w:rsidR="00AC4B01">
        <w:lastRenderedPageBreak/>
        <w:t xml:space="preserve">subsequent expansion of </w:t>
      </w:r>
      <w:r w:rsidR="003C1E20">
        <w:t>A</w:t>
      </w:r>
      <w:r w:rsidR="00AC4B01">
        <w:t>MF around 1,000 BP</w:t>
      </w:r>
      <w:r w:rsidR="00714603">
        <w:t xml:space="preserve"> </w:t>
      </w:r>
      <w:r w:rsidR="00714603">
        <w:fldChar w:fldCharType="begin" w:fldLock="1"/>
      </w:r>
      <w:r w:rsidR="007F330C">
        <w:instrText>ADDIN CSL_CITATION {"citationItems":[{"id":"ITEM-1","itemData":{"DOI":"10.1007/s00334-006-0078-2","ISBN":"0939-6314\\r1617-6278","ISSN":"0939-6314","abstract":"Late Quaternary vegetation, fire and climate dy- namics were studied by pollen and charcoal analysis on a sediment core from near the summit of the Serra do Arac ¸atuba at 1500 m elevation, part of the Serra do Mar coastal mountains of Paran´ a State, southern Brazil. Three radiocarbon dates indicate that clay and peat were deposited in a shallow basin during the last 14,880 b.p. Accumula- tion was probably continuous, but sedimentary gaps dur- ing the dry mid Holocene cannot be excluded. During late- glacial times the upper coastal mountain were covered with grassland, reflecting relatively dry and cold climatic con- ditions. Large areas of natural grasslands remained in the upper mountain region during the Holocene. Only after 2000 b.p. did Araucaria forest trees, specially Ilex, some Atlantic forest trees as well as the pioneer Myrsine move to higher elevations, reflecting markedly wetter climatic con- ditions. This expansion stopped and the forest areas were reduced significantly by human activities during about the last 200–300 years. The modern grassland vegetation of the uppermost mountains may reflect the natural setting, but may also partly result from post-Columbian human activ- ities. Fires were rare during the late Pleistocene and even less frequent during the early and mid Holocene. During the wettest recorded period of the late Holocene fires increased markedly and are therefore most probably of anthropogenic origin.","author":[{"dropping-particle":"","family":"Behling","given":"Hermann","non-dropping-particle":"","parse-names":false,"suffix":""}],"container-title":"Vegetation History and Archaeobotany","id":"ITEM-1","issue":"2-3","issued":{"date-parts":[["2006","12","19"]]},"note":"SdAra\nAnalysis of the 121cm core from Serra do Aracatuba over the last 14,880 cal yr BP. Results are broadly similar to other records, but with different timing (altitude?). No massive Aa expansion but expansion of Araucaria forest (a bit distant from the bog) was mainly due to Ilex expansion. \n\nInteresting reclassification of Myrsine as 'other' - bear in mind for other reinterpretations.\n\nReally interesting comment on p83 on the difference between climate inferred from pollen records and that from speleothems. Worth exploring.","page":"77-85","publisher":"Springer-Verlag","title":"Late Quaternary vegetation, fire and climate dynamics of Serra do Araçatuba in the Atlantic coastal mountains of Paraná State, southern Brazil","type":"article-journal","volume":"16"},"uris":["http://www.mendeley.com/documents/?uuid=e0e2dc1c-e00c-3bb1-b5f2-761f12b3cc39"]},{"id":"ITEM-2","itemData":{"DOI":"10.1016/S0031-0182(03)00687-4","ISBN":"0031-0182","ISSN":"00310182","abstract":"Late Quaternary vegetation, fire and climate dynamics have been studied based on high-resolution dated pollen and charcoal samples and multivariate data analysis. The samples were taken from a 212-cm-long sediment core of a bog in the Cambará do Sul region on the highlands of northeastern Rio Grande do Sul State, Brazil. The records, including seven AMS radiocarbon dates, span 42 840 14C years, for the first time extending the reconstruction of past environmental changes on the southern Brazilian highlands back to the Last Glacial Maximum (LGM) and pre-LGM times. The last 1100 years provide a decadal resolution. Initially the site was a permanent shallow lake which became seasonally dry after 26 900 14C yr BP. Seasonal climate with a long annual dry period prevailed until the late Holocene. The climate was somewhat wetter from 42 840 to 41 470 14C yr BP and from 41 470 to 26 900 14C yr BP than during the LGM and the late-Glacial period. Natural fires were rare, but became very frequent after 7400 cal BP, suggesting human occupation of the southernmost Brazilian highlands since that time. The records suggest that a species-rich Campos (grassland) vegetation existed in the area under a relatively dry and cold climate during glacial times under possibly as low as -10°C. The record also suggests that small populations of Araucaria were probably only present in refugia of deep and protected valleys and/or on wetter coastal slopes. Campos vegetation existed through the early and mid-Holocene until 4320 cal yr BP, after which Araucaria forest expanded into the network of gallery forests along the streams. By 1100 cal yr BP the Araucaria forest replaced the Campos vegetation reflecting the onset of the wettest period with no marked annual dry season. The marked expansion of the Araucaria forest coincided with the reduction in fire. Between AD 1520 and 1770 Weinmannia became a common taxa in the Araucaria forest, suggesting a shift to warmer climatic conditions on the highlands. This interval was synchronous with a cool phase within the Little Ice Age known from North Atlantic land records. After about AD 1780 human activities changed the original forest composition, first by introducing cattle into the forest and than by selective logging of Araucaria trees. Multivariate analysis of the pollen data shows compositional changes that follow a trajectory alternating undirectional, random phases and phases with directional, sometimes fast transitions. The results al…","author":[{"dropping-particle":"","family":"Behling","given":"Hermann","non-dropping-particle":"","parse-names":false,"suffix":""},{"dropping-particle":"","family":"Pillar","given":"Valerio DePatta","non-dropping-particle":"","parse-names":false,"suffix":""},{"dropping-particle":"","family":"Orlóci","given":"László","non-dropping-particle":"","parse-names":false,"suffix":""},{"dropping-particle":"","family":"Bauermann","given":"Soraia Girardi","non-dropping-particle":"","parse-names":false,"suffix":""}],"container-title":"Palaeogeography, Palaeoclimatology, Palaeoecology","id":"ITEM-2","issue":"3-4","issued":{"date-parts":[["2004"]]},"note":"CamSu\n\nDetailed examination of Cambara do Sul core in NE Rio Grande do Sul, 42,658 C14 yr BP to present. Shows 100 year Campos-Araucaria switch in about 1100 cal yr BP.\n\nNEEDS SOME REINTERPRETING WITH LEONHARDT &amp;amp; LORSCHEITTER 2010. SEE NOTE\n\n(All dates C14 yr BP)\n\n42,840 - 41,470\n83-88% campos pollen, 8-14% Araucaria forest pollen (only 2 grains of A. angustifolia), only one pollen grain from Atlantic forest taxa, aquatics 6-16%, ferns 3-6%. Low conc and accumulation of carbonised particles.\n\n41,4701 - 26,900\n87-94% campos pollen, 3-9% Araucaria forest (less pollen from Myrtaceae), a few single grains of Atlantic forest pollen, less aquatic pollen (3-7%), fewer fern spores (0-3%). Carbonised particles still rare.\n\n26,900 - 10,120\n87-97% campos pollen (though changing composition - Poaceae down, Eryngium up; less Apiaceae), 1-5% Araucaria forest, 0-0.3% Atlantic forest (lowest for both), 1-3% aquatic, lowest time for ferns (but big increase at end of zone). Carbonised particles rare.\n\n10,120 - 3,950 (11,540 - 4,320 cal yr BP)\n74-88% campos but lower near end (Poaceae up from last time; Eryngium get more common; other compositional changes), 3-13% Araucaria forest (up slightly thanks to A. angustifolia and Myrsine), 0-4% Atlantic (up slightly), trace aquatics, big increase of ferns (up to 46%) then decrease by end (to 9%), increase in Dicksonia (0-14%). Lots of carbonised particles higher up in this section.\n\n3950 - 1140 (4320 - 1100 cal yr BP)\n65-84% campos (down a bit but still high; Cyperaceae up, Poaceae and Eryngium down), 13-27% Araucaria forest (mainly A. angustifolia 4-7%, Myrsine and Weinmannia), 2-5% Atlantic forest, fern spores up again (9-40%), Dicksonia common (9-16%). Lots and lots of carbonised particles.\n\n1140 - 410 (1100 - 430 cal yr BP)\nCampos way down and keeps going (55-24%), continuous increase of Araucaria forest pollen (39-80%) with A. angustifolia going up 14-42% and big increase in Mimosa scabrella, no change in Atlantic (2-6%), fewer fern spores (5-19%), highest Dicksonia spore level (9-26%), high point for mosses but decrease later. Low concentration of carbonised particles but higher accumulation than at beginning of core.\n\n410 - -50 (430 - -50 cal yr BP)\nCampos start way down (to 11%) but increase (to 38%, through Cyperaceae then Poaceae) then go down right at the end, Araucaria forest highest early on (87%) but decreases at the end (65%) as A. angustifolia drops off right at the end (41-2%; Mimosa scabrella jumps correspondingly; other changes), nothing much happens with Atlantic forest (2-7%), fern spores go down (21-2%) and Dicksonia crashes by end (19-0.3%). Similar carbonised particles to before.","page":"277-297","title":"Late Quaternary Araucaria forest, grassland (Campos), fire and climate dynamics, studied by high-resolution pollen, charcoal and multivariate analysis of the Cambará do Sul core in southern Brazil","type":"article-journal","volume":"203"},"uris":["http://www.mendeley.com/documents/?uuid=46579170-55fd-37c2-8f78-517419a62e98"]},{"id":"ITEM-3","itemData":{"DOI":"10.1016/j.jsames.2009.09.003","ISBN":"0895-9811","ISSN":"08959811","abstract":"The palaeoenvironmental history has been studied based on palynology of a sedimentary profile from the Alpes de S??o Francisco bog (29??29???35??????S, 50??37???18??????W), S??o Francisco de Paula municipality, Rio Grande do Sul eastern Plateau, extreme Southern Brazil. The results indicate a regional cold and dry climate between 25,000 and 12,500 yr BP, interpreted from the grassland vegetation, forest taxa were present in refuges and the shallow local lake began to fill in. Climatic conditions became more aride after 16,000 yr BP, when grassland became rare. From 12,500 yr BP onwards, the climate began to change and at 11,000-9700 yr BP a warm and moist climate permitted the slight migration of pioneer arboreal taxa from refuges and locally a marsh formation. Between 9700 and 6500 yr BP a warm and dry climate resulted in reduction of grassland, confined the forest in refuges, dried out the marsh. The gradual increase of humidity between 6500 and 4000 yr BP allowed migration of forests from refuges and a bog developed. Between 4000 and 2000 yr BP Araucaria forest spread, indicating moister climate. The local bog expanded. From 2000 yr BP onwards, humid but warmer climate seems to result in a lower reproductive capacity of Araucaria forest taxa limiting its expansion. The bog reached the present-day in a decline condition. The results are compared to previous records from Southern Brazil highlands and some places from Argentina in order to better elucidate the climatic and vegetational history of these important South America areas during the late Quaternary. ?? 2009 Elsevier Ltd. All rights reserved.","author":[{"dropping-particle":"","family":"Leonhardt","given":"Adriana","non-dropping-particle":"","parse-names":false,"suffix":""},{"dropping-particle":"","family":"Lorscheitter","given":"Maria Luisa","non-dropping-particle":"","parse-names":false,"suffix":""}],"container-title":"Journal of South American Earth Sciences","id":"ITEM-3","issue":"2","issued":{"date-parts":[["2010","3"]]},"note":"AdSF2\nAnalysis of 286cm bog core from Alpes de Sao Francisco, Rio Grande do Sul. Starts 25,000 C14 yr BP. Cold and dry until 12,500 BP, grassland and almost no trees; 11,000-9,700 was warm and humid, some trees wandered around; drier then to 6,500 BP so grassland retreated and forest stayed in refuges; humidity increased again 6500-4000, so forests escaped their refuges; 4000-2000 Araucaria forest spread (so moister still); warmer from then to the present so less expansion of Araucaria.\n\nIMPORTANT WHEN REINTERPRETING BEHLING ET AL 2004\n\nSeems a bit poorly resolved across the Holocene, but makes an important point about pollen concentration/percentage diagrams and what they show (especially with Araucaria forest expansion)","page":"454-463","title":"The last 25,000 years in the Eastern Plateau of Southern Brazil according to Alpes de São Francisco record","type":"article-journal","volume":"29"},"uris":["http://www.mendeley.com/documents/?uuid=90690911-40f6-3530-aa45-c7420e186d20"]},{"id":"ITEM-4","itemData":{"DOI":"10.1016/j.quaint.2014.01.010","ISBN":"1040-6182","ISSN":"10406182","abstract":"For the first time in the highlands of southern Brazil, a palynological study was performed on sedimentary records from two Araucaria forests. Radiocarbon dates were used. The sites were Alpes de S??o Francisco (29??27'26???S, 50??36'57???W) and Banhado Amarelo (29??18'48???S, 50??08'13???W), located in the Eastern Plateau region of Rio Grande do Sul in S??o Francisco de Paula municipality. Between 13,000 and 10,800BP, Alpes de S??o Francisco was cold and dry, and contained a shallow water reservoir surround by marsh, near sparse grassland, with forests probably in refuges. Between 10,800 and 9400BP, the climate was warmer and the moisture increased. The reservoir began to be filled with herbaceous plants, regional grassland developed, and forests probably began to expand from the refuges. Between 9400 and 5600BP, the climate was dry, grasslands decreased in size and forests became more isolated and were probably located in refuges. From 5600BP onward the moisture increased, forming a local bog at 5000BP. The bog was colonized by pioneer arboreal taxa and Araucaria forest that expanded until ca. 3300BP. Between 4300 and 3300BP, Banhado Amarelo consisted of an incipient herbaceous marsh with adjacent sparse grassland. A delay in the arrival of moisture at the site was probably due to geographic conditions. Between 3300 and 1600BP, the humidity increased in Banhado Amarelo, forming a bog with forest cover. After 3300BP in Alpes de S??o Francisco and after 1600BP in Banhado Amarelo, the data suggest a reduction in the reproductive capacity of the forest taxa, probably due to temperature elevation. Therefore, these forests need urgent environmental conservation programs and the present-day bogs are very important as possible generators of Araucaria forest patches in Eastern Plateau depressions. ?? 2014 Elsevier Ltd and INQUA.","author":[{"dropping-particle":"","family":"Scherer","given":"Caroline","non-dropping-particle":"","parse-names":false,"suffix":""},{"dropping-particle":"","family":"Lorscheitter","given":"Maria Luisa","non-dropping-particle":"","parse-names":false,"suffix":""}],"container-title":"Quaternary International","id":"ITEM-4","issued":{"date-parts":[["2014"]]},"note":"AdSF1 &amp;amp; BanAM\nStudy based on bog cores from within Araucaria forest in RGS Eastern Plateau. It might be the first time someone did cores from the forest rather than campos? No humans around. Conclusions generally match other studies - see highlighted section at top of p11. Suggests Araucaria forests can generate by colonising bogs (important for them), and that increased temperatures depressed their pollen production (seen in concentration diagrams). Important for working out pollen productivity etc. Also important discussion on other results.\n\nI think that percentages show you the composition of the vegetation (80% campos, say), and concentrations show you how dense/developed it is. You can have decreasing percentages of something (campos to 60%) and increasing concentrations, which show that the campos is being taken over by something else, but in the space that remains it's getting more campos-y. I think.","page":"3-12","title":"Vegetation dynamics in the southern Brazilian highlands during the last millennia and the role of bogs in Araucaria forest formation","type":"article-journal","volume":"325"},"uris":["http://www.mendeley.com/documents/?uuid=7f1f0c6a-d19c-3d36-8b6d-7974769b13f2"]}],"mendeley":{"formattedCitation":"(Behling, 2006; Behling et al., 2004; Leonhardt and Lorscheitter, 2010; Scherer and Lorscheitter, 2014)","plainTextFormattedCitation":"(Behling, 2006; Behling et al., 2004; Leonhardt and Lorscheitter, 2010; Scherer and Lorscheitter, 2014)","previouslyFormattedCitation":"(Behling, 2006; Behling et al., 2004; Leonhardt and Lorscheitter, 2010; Scherer and Lorscheitter, 2014)"},"properties":{"noteIndex":0},"schema":"https://github.com/citation-style-language/schema/raw/master/csl-citation.json"}</w:instrText>
      </w:r>
      <w:r w:rsidR="00714603">
        <w:fldChar w:fldCharType="separate"/>
      </w:r>
      <w:r w:rsidR="005944BB" w:rsidRPr="005944BB">
        <w:rPr>
          <w:noProof/>
        </w:rPr>
        <w:t>(Behling, 2006; Behling et al., 2004; Leonhardt and Lorscheitter, 2010; Scherer and Lorscheitter, 2014)</w:t>
      </w:r>
      <w:r w:rsidR="00714603">
        <w:fldChar w:fldCharType="end"/>
      </w:r>
      <w:r w:rsidR="00AC4B01">
        <w:t>, so</w:t>
      </w:r>
      <w:r w:rsidR="0071048F">
        <w:t xml:space="preserve"> many</w:t>
      </w:r>
      <w:r w:rsidR="00AC4B01">
        <w:t xml:space="preserve"> </w:t>
      </w:r>
      <w:r w:rsidR="004B1297">
        <w:t>plateau</w:t>
      </w:r>
      <w:r w:rsidR="00AC4B01">
        <w:t xml:space="preserve"> proxy sites</w:t>
      </w:r>
      <w:r w:rsidR="000B3498">
        <w:t>’ surroundings</w:t>
      </w:r>
      <w:r w:rsidR="00AC4B01">
        <w:t xml:space="preserve"> were probably more open at 3,000 BP than in the present. Notably, however, given its likely regional catchment, the marine core GeoB2107 records little change in the relative proportions of forest and grassland pollen between 6,000 and 3,000 BP, though forest pollen (notably </w:t>
      </w:r>
      <w:r w:rsidR="00AC4B01">
        <w:rPr>
          <w:i/>
          <w:iCs/>
        </w:rPr>
        <w:t>Araucaria</w:t>
      </w:r>
      <w:r w:rsidR="00AC4B01" w:rsidRPr="00C61C57">
        <w:t>)</w:t>
      </w:r>
      <w:r w:rsidR="00AC4B01">
        <w:t xml:space="preserve"> does increase subsequently. </w:t>
      </w:r>
    </w:p>
    <w:p w14:paraId="21158405" w14:textId="4984E618" w:rsidR="00536DDB" w:rsidRDefault="002A6A18" w:rsidP="00F74804">
      <w:pPr>
        <w:spacing w:line="360" w:lineRule="auto"/>
      </w:pPr>
      <w:r>
        <w:t>In the late Holocene, m</w:t>
      </w:r>
      <w:r w:rsidR="001D75EB">
        <w:t xml:space="preserve">ost of the </w:t>
      </w:r>
      <w:r w:rsidR="004B1297">
        <w:t>coastal region</w:t>
      </w:r>
      <w:r w:rsidR="001D75EB">
        <w:t xml:space="preserve"> </w:t>
      </w:r>
      <w:r w:rsidR="002C5137">
        <w:t xml:space="preserve">becomes </w:t>
      </w:r>
      <w:r w:rsidR="00D83C0C">
        <w:t xml:space="preserve">covered by </w:t>
      </w:r>
      <w:r w:rsidR="002C5137">
        <w:t>assemblage</w:t>
      </w:r>
      <w:r w:rsidR="00276A5D">
        <w:t>s</w:t>
      </w:r>
      <w:r w:rsidR="002C5137">
        <w:t xml:space="preserve"> 3</w:t>
      </w:r>
      <w:r w:rsidR="00D83C0C">
        <w:t xml:space="preserve"> and</w:t>
      </w:r>
      <w:r w:rsidR="002C5137">
        <w:t xml:space="preserve"> 7</w:t>
      </w:r>
      <w:r w:rsidR="00D83C0C">
        <w:t>,</w:t>
      </w:r>
      <w:r w:rsidR="004B2DF1">
        <w:t xml:space="preserve"> primarily </w:t>
      </w:r>
      <w:r w:rsidR="009F4187">
        <w:t xml:space="preserve">differentiated here </w:t>
      </w:r>
      <w:r w:rsidR="004B2DF1">
        <w:t xml:space="preserve">by </w:t>
      </w:r>
      <w:r w:rsidR="00D83C0C">
        <w:t xml:space="preserve">the distributions of </w:t>
      </w:r>
      <w:proofErr w:type="spellStart"/>
      <w:r w:rsidR="004B2DF1">
        <w:rPr>
          <w:i/>
          <w:iCs/>
        </w:rPr>
        <w:t>Myrocarpus</w:t>
      </w:r>
      <w:proofErr w:type="spellEnd"/>
      <w:r w:rsidR="004B2DF1">
        <w:rPr>
          <w:i/>
          <w:iCs/>
        </w:rPr>
        <w:t xml:space="preserve"> </w:t>
      </w:r>
      <w:proofErr w:type="spellStart"/>
      <w:r w:rsidR="004B2DF1">
        <w:rPr>
          <w:i/>
          <w:iCs/>
        </w:rPr>
        <w:t>frondosus</w:t>
      </w:r>
      <w:proofErr w:type="spellEnd"/>
      <w:r w:rsidR="004B2DF1">
        <w:rPr>
          <w:i/>
          <w:iCs/>
        </w:rPr>
        <w:t xml:space="preserve"> </w:t>
      </w:r>
      <w:r w:rsidR="004B2DF1">
        <w:t xml:space="preserve">and </w:t>
      </w:r>
      <w:r w:rsidR="004B2DF1">
        <w:rPr>
          <w:i/>
          <w:iCs/>
        </w:rPr>
        <w:t xml:space="preserve">Ocotea </w:t>
      </w:r>
      <w:proofErr w:type="spellStart"/>
      <w:r w:rsidR="004B2DF1">
        <w:rPr>
          <w:i/>
          <w:iCs/>
        </w:rPr>
        <w:t>catharinensis</w:t>
      </w:r>
      <w:proofErr w:type="spellEnd"/>
      <w:r w:rsidR="000D3753">
        <w:t xml:space="preserve">. </w:t>
      </w:r>
      <w:r w:rsidR="009F4187">
        <w:t>Accordingly, m</w:t>
      </w:r>
      <w:r w:rsidR="00961829">
        <w:t xml:space="preserve">ost </w:t>
      </w:r>
      <w:r w:rsidR="003653E9">
        <w:t>pollen cores</w:t>
      </w:r>
      <w:r w:rsidR="00BA2F31">
        <w:t xml:space="preserve"> </w:t>
      </w:r>
      <w:r w:rsidR="003E301B">
        <w:t xml:space="preserve">from the coastal lowlands </w:t>
      </w:r>
      <w:r w:rsidR="00BA2F31">
        <w:t>see increasing</w:t>
      </w:r>
      <w:r w:rsidR="00736B63">
        <w:t xml:space="preserve"> forest pollen proportions</w:t>
      </w:r>
      <w:r w:rsidR="00BA2F31">
        <w:t xml:space="preserve">, generally dominated by </w:t>
      </w:r>
      <w:r w:rsidR="00477DB4">
        <w:t xml:space="preserve">combinations of </w:t>
      </w:r>
      <w:proofErr w:type="spellStart"/>
      <w:r w:rsidR="00BA2F31">
        <w:t>Myrtaceae</w:t>
      </w:r>
      <w:proofErr w:type="spellEnd"/>
      <w:r w:rsidR="00477DB4">
        <w:t xml:space="preserve">, </w:t>
      </w:r>
      <w:proofErr w:type="spellStart"/>
      <w:r w:rsidR="00477DB4">
        <w:t>Arecaceae</w:t>
      </w:r>
      <w:proofErr w:type="spellEnd"/>
      <w:r w:rsidR="00477DB4">
        <w:t xml:space="preserve"> </w:t>
      </w:r>
      <w:r w:rsidR="00C54535">
        <w:t xml:space="preserve">and </w:t>
      </w:r>
      <w:proofErr w:type="spellStart"/>
      <w:r w:rsidR="00477DB4" w:rsidRPr="001E79AC">
        <w:rPr>
          <w:i/>
          <w:iCs/>
        </w:rPr>
        <w:t>Myrsine</w:t>
      </w:r>
      <w:proofErr w:type="spellEnd"/>
      <w:r w:rsidR="001E79AC">
        <w:t xml:space="preserve"> </w:t>
      </w:r>
      <w:r w:rsidR="00C54535">
        <w:t>(</w:t>
      </w:r>
      <w:r w:rsidR="001E79AC">
        <w:t xml:space="preserve">and, to a lesser extent, </w:t>
      </w:r>
      <w:r w:rsidR="001E79AC" w:rsidRPr="001E79AC">
        <w:rPr>
          <w:i/>
          <w:iCs/>
        </w:rPr>
        <w:t>Ilex</w:t>
      </w:r>
      <w:r w:rsidR="001E79AC">
        <w:t xml:space="preserve"> and </w:t>
      </w:r>
      <w:proofErr w:type="spellStart"/>
      <w:r w:rsidR="001E79AC" w:rsidRPr="001E79AC">
        <w:rPr>
          <w:i/>
          <w:iCs/>
        </w:rPr>
        <w:t>Alchornea</w:t>
      </w:r>
      <w:proofErr w:type="spellEnd"/>
      <w:r w:rsidR="00C54535" w:rsidRPr="00C54535">
        <w:t>)</w:t>
      </w:r>
      <w:r w:rsidR="006924FD">
        <w:rPr>
          <w:i/>
          <w:iCs/>
        </w:rPr>
        <w:t xml:space="preserve">, </w:t>
      </w:r>
      <w:r w:rsidR="006924FD">
        <w:t xml:space="preserve">likely </w:t>
      </w:r>
      <w:r w:rsidR="003E301B">
        <w:t xml:space="preserve">reflecting developing </w:t>
      </w:r>
      <w:r w:rsidR="00041C95">
        <w:t>ARF</w:t>
      </w:r>
      <w:r w:rsidR="003E301B">
        <w:t xml:space="preserve"> vegetation</w:t>
      </w:r>
      <w:r w:rsidR="001E79AC">
        <w:t>.</w:t>
      </w:r>
      <w:r w:rsidR="00736B63">
        <w:t xml:space="preserve"> </w:t>
      </w:r>
      <w:r w:rsidR="00F004C2">
        <w:t>This development was unlikely to have been complete, however, as i</w:t>
      </w:r>
      <w:r w:rsidR="00726B62">
        <w:t xml:space="preserve">n </w:t>
      </w:r>
      <w:r w:rsidR="00807CCD">
        <w:t xml:space="preserve">almost every </w:t>
      </w:r>
      <w:r w:rsidR="00726B62">
        <w:t>case</w:t>
      </w:r>
      <w:r w:rsidR="00807CCD">
        <w:t xml:space="preserve"> these coastal sites </w:t>
      </w:r>
      <w:r w:rsidR="000C06BB">
        <w:t xml:space="preserve">record </w:t>
      </w:r>
      <w:r w:rsidR="00D104EF">
        <w:t>less forest pollen at 3,000 BP than they do in the present day, suggesting that</w:t>
      </w:r>
      <w:r w:rsidR="00850B0A">
        <w:t xml:space="preserve"> – like </w:t>
      </w:r>
      <w:r w:rsidR="008B55A5">
        <w:t xml:space="preserve">the </w:t>
      </w:r>
      <w:r w:rsidR="008C10C8">
        <w:t>plateau</w:t>
      </w:r>
      <w:r w:rsidR="008B55A5">
        <w:t xml:space="preserve"> </w:t>
      </w:r>
      <w:r w:rsidR="00736DCD">
        <w:t>sites</w:t>
      </w:r>
      <w:r w:rsidR="00850B0A">
        <w:t xml:space="preserve"> – </w:t>
      </w:r>
      <w:r w:rsidR="004C01ED">
        <w:t>the</w:t>
      </w:r>
      <w:r w:rsidR="00736DCD">
        <w:t xml:space="preserve">ir surrounding </w:t>
      </w:r>
      <w:r w:rsidR="000C06BB">
        <w:t>landscape</w:t>
      </w:r>
      <w:r w:rsidR="00736DCD">
        <w:t>s</w:t>
      </w:r>
      <w:r w:rsidR="000C06BB">
        <w:t xml:space="preserve"> w</w:t>
      </w:r>
      <w:r w:rsidR="00736DCD">
        <w:t>ere</w:t>
      </w:r>
      <w:r w:rsidR="000C06BB">
        <w:t xml:space="preserve"> </w:t>
      </w:r>
      <w:r w:rsidR="00F004C2">
        <w:t xml:space="preserve">then </w:t>
      </w:r>
      <w:r w:rsidR="000C06BB">
        <w:t>more open</w:t>
      </w:r>
      <w:r w:rsidR="004C01ED">
        <w:t xml:space="preserve"> </w:t>
      </w:r>
      <w:r w:rsidR="00F004C2">
        <w:t xml:space="preserve">than now. </w:t>
      </w:r>
      <w:r w:rsidR="008D18C9">
        <w:t xml:space="preserve">In the central </w:t>
      </w:r>
      <w:r w:rsidR="00CD4EF9">
        <w:t xml:space="preserve">coastal </w:t>
      </w:r>
      <w:r w:rsidR="008D18C9">
        <w:t xml:space="preserve">mountains </w:t>
      </w:r>
      <w:proofErr w:type="spellStart"/>
      <w:r w:rsidR="00CD4EF9">
        <w:rPr>
          <w:i/>
          <w:iCs/>
        </w:rPr>
        <w:t>Weinmannia</w:t>
      </w:r>
      <w:proofErr w:type="spellEnd"/>
      <w:r w:rsidR="00CD4EF9">
        <w:rPr>
          <w:i/>
          <w:iCs/>
        </w:rPr>
        <w:t xml:space="preserve"> </w:t>
      </w:r>
      <w:r w:rsidR="00CD4EF9">
        <w:t xml:space="preserve">(with </w:t>
      </w:r>
      <w:proofErr w:type="spellStart"/>
      <w:r w:rsidR="00CD4EF9">
        <w:t>Myrtaceae</w:t>
      </w:r>
      <w:proofErr w:type="spellEnd"/>
      <w:r w:rsidR="00CD4EF9">
        <w:t>) dominates f</w:t>
      </w:r>
      <w:r w:rsidR="003037C3">
        <w:t xml:space="preserve">orest pollen </w:t>
      </w:r>
      <w:r w:rsidR="00796A07">
        <w:t xml:space="preserve">assemblages </w:t>
      </w:r>
      <w:proofErr w:type="gramStart"/>
      <w:r w:rsidR="00796A07">
        <w:t>at this time</w:t>
      </w:r>
      <w:proofErr w:type="gramEnd"/>
      <w:r w:rsidR="00F57323">
        <w:t xml:space="preserve">, whose trajectories differ between each </w:t>
      </w:r>
      <w:r w:rsidR="00947EF0">
        <w:t>site</w:t>
      </w:r>
      <w:r w:rsidR="00DF3A08">
        <w:t xml:space="preserve"> from the mid-</w:t>
      </w:r>
      <w:r w:rsidR="005949E3">
        <w:t>Holocene to 3,000 BP</w:t>
      </w:r>
      <w:r w:rsidR="00F57323">
        <w:t>,</w:t>
      </w:r>
      <w:r w:rsidR="005949E3">
        <w:t xml:space="preserve"> and </w:t>
      </w:r>
      <w:r w:rsidR="00F57323">
        <w:t>again to the present</w:t>
      </w:r>
      <w:r w:rsidR="00590511">
        <w:t>.</w:t>
      </w:r>
      <w:r w:rsidR="00F004C2">
        <w:t xml:space="preserve"> </w:t>
      </w:r>
      <w:r w:rsidR="003D554C">
        <w:t xml:space="preserve">Although our </w:t>
      </w:r>
      <w:r w:rsidR="004E4323">
        <w:t>predictions accurately place the</w:t>
      </w:r>
      <w:r w:rsidR="00D26C9D">
        <w:t xml:space="preserve">se </w:t>
      </w:r>
      <w:r w:rsidR="00623064">
        <w:t>sites</w:t>
      </w:r>
      <w:r w:rsidR="004E4323">
        <w:t xml:space="preserve"> at the intersection of tropical and more cold-adapted </w:t>
      </w:r>
      <w:r w:rsidR="00200D7D">
        <w:t xml:space="preserve">floristic </w:t>
      </w:r>
      <w:r w:rsidR="004E4323">
        <w:t>assemblages, th</w:t>
      </w:r>
      <w:r w:rsidR="00D26C9D">
        <w:t xml:space="preserve">eir </w:t>
      </w:r>
      <w:r w:rsidR="00C858B4">
        <w:t>nuances</w:t>
      </w:r>
      <w:r w:rsidR="00363E0C">
        <w:t xml:space="preserve"> </w:t>
      </w:r>
      <w:r w:rsidR="00C858B4">
        <w:t xml:space="preserve">– </w:t>
      </w:r>
      <w:r w:rsidR="00230A4F">
        <w:t xml:space="preserve">likely </w:t>
      </w:r>
      <w:r w:rsidR="00D34020">
        <w:t>caused by</w:t>
      </w:r>
      <w:r w:rsidR="00C858B4">
        <w:t xml:space="preserve"> local topograph</w:t>
      </w:r>
      <w:r w:rsidR="00363E0C">
        <w:t>y-</w:t>
      </w:r>
      <w:r w:rsidR="00C858B4">
        <w:t>weather system</w:t>
      </w:r>
      <w:r w:rsidR="00363E0C">
        <w:t xml:space="preserve"> interactions</w:t>
      </w:r>
      <w:r w:rsidR="00C858B4">
        <w:t xml:space="preserve"> </w:t>
      </w:r>
      <w:r w:rsidR="00230A4F">
        <w:fldChar w:fldCharType="begin" w:fldLock="1"/>
      </w:r>
      <w:r w:rsidR="007F330C">
        <w:instrText>ADDIN CSL_CITATION {"citationItems":[{"id":"ITEM-1","itemData":{"DOI":"10.1017/qua.2017.87","ISSN":"0033-5894","abstract":"A high-resolution pollen record of the Atlantic rain forest (ARF) biome from the coastal Serra do Tabuleiro mountains of southern Brazil documents an 11,960 yr history of vegetation and climate change. A marked expansion of Weinmannia into the grassland vegetation marks the latter part of the Younger Dryas, reflecting warm and relatively wet conditions. Between 11,490 and 9110 cal yr BP, grasslands became dominant again, indicating a long cold and dry phase, probably in response to the stronger influence of cold South Atlantic seawater and to Antarctic cold fronts. Between 9110 and 2640 cal yr BP, four distinct phases with strong or moderate expansions of different ARF biome taxa were recorded, reflecting warmer and relatively dry conditions with changes in rainfall and length of the annual dry season. After 2640 cal yr BP, the modern ARF biome became established with high amounts of ferns, reflecting somewhat cooler and wetter conditions with a reduced annual dry season. In particular, after 1000 cal yr BP tree ferns increased, reflecting wetter conditions with no dry season.","author":[{"dropping-particle":"","family":"Behling","given":"Hermann","non-dropping-particle":"","parse-names":false,"suffix":""},{"dropping-particle":"","family":"Oliveira","given":"Marcelo Accioly Teixeira","non-dropping-particle":"de","parse-names":false,"suffix":""}],"container-title":"Quaternary Research","id":"ITEM-1","issue":"01","issued":{"date-parts":[["2018","1","24"]]},"note":"TabSu (the below is about Cambara do Sul, not sure how it got here)\n\nDetailed examination of Cambara do Sul core in NE Rio Grande do Sul, 42,658 C14 yr BP to present. Shows 100 year Campos-Araucaria switch in about 1100 cal yr BP.\n\nNEEDS SOME REINTERPRETING WITH LEONHARDT &amp;amp; LORSCHEITTER 2010. SEE NOTE\n\n(All dates C14 yr BP)\n\n42,840 - 41,470\n83-88% campos pollen, 8-14% Araucaria forest pollen (only 2 grains of A. angustifolia), only one pollen grain from Atlantic forest taxa, aquatics 6-16%, ferns 3-6%. Low conc and accumulation of carbonised particles.\n\n41,4701 - 26,900\n87-94% campos pollen, 3-9% Araucaria forest (less pollen from Myrtaceae), a few single grains of Atlantic forest pollen, less aquatic pollen (3-7%), fewer fern spores (0-3%). Carbonised particles still rare.\n\n26,900 - 10,120\n87-97% campos pollen (though changing composition - Poaceae down, Eryngium up; less Apiaceae), 1-5% Araucaria forest, 0-0.3% Atlantic forest (lowest for both), 1-3% aquatic, lowest time for ferns (but big increase at end of zone). Carbonised particles rare.\n\n10,120 - 3,950 (11,540 - 4,320 cal yr BP)\n74-88% campos but lower near end (Poaceae up from last time; Eryngium get more common; other compositional changes), 3-13% Araucaria forest (up slightly thanks to A. angustifolia and Myrsine), 0-4% Atlantic (up slightly), trace aquatics, big increase of ferns (up to 46%) then decrease by end (to 9%), increase in Dicksonia (0-14%). Lots of carbonised particles higher up in this section.\n\n3950 - 1140 (4320 - 1100 cal yr BP)\n65-84% campos (down a bit but still high; Cyperaceae up, Poaceae and Eryngium down), 13-27% Araucaria forest (mainly A. angustifolia 4-7%, Myrsine and Weinmannia), 2-5% Atlantic forest, fern spores up again (9-40%), Dicksonia common (9-16%). Lots and lots of carbonised particles.\n\n1140 - 410 (1100 - 430 cal yr BP)\nCampos way down and keeps going (55-24%), continuous increase of Araucaria forest pollen (39-80%) with A. angustifolia going up 14-42% and big increase in Mimosa scabrella, no change in Atlantic (2-6%), fewer fern spores (5-19%), highest Dicksonia spore level (9-26%), high point for mosses but decrease later. Low concentration of carbonised particles but higher accumulation than at beginning of core.\n\n410 - -50 (430 - -50 cal yr BP)\nCampos start way down (to 11%) but increase (to 38%, through Cyperaceae then Poaceae) then go down right at the end, Araucaria forest highest early on (87%) but decreases at the end (65%) as A. angustifolia drops off right at the end (41-2%; Mimosa scabrella jumps correspondingly; other changes), nothing much happens with Atlantic forest (2-7%), fern spores go down (21-2%) and Dicksonia crashes by end (19-0.3%). Similar carbonised particles to before.","page":"90-102","title":"Evidence of a late glacial warming event and early Holocene cooling in the southern Brazilian coastal highlands","type":"article-journal","volume":"89"},"uris":["http://www.mendeley.com/documents/?uuid=8c402a06-c408-3fb7-bbbc-df5aaf0d758d"]}],"mendeley":{"formattedCitation":"(Behling and de Oliveira, 2018)","plainTextFormattedCitation":"(Behling and de Oliveira, 2018)","previouslyFormattedCitation":"(Behling and de Oliveira, 2018)"},"properties":{"noteIndex":0},"schema":"https://github.com/citation-style-language/schema/raw/master/csl-citation.json"}</w:instrText>
      </w:r>
      <w:r w:rsidR="00230A4F">
        <w:fldChar w:fldCharType="separate"/>
      </w:r>
      <w:r w:rsidR="005944BB" w:rsidRPr="005944BB">
        <w:rPr>
          <w:noProof/>
        </w:rPr>
        <w:t>(Behling and de Oliveira, 2018)</w:t>
      </w:r>
      <w:r w:rsidR="00230A4F">
        <w:fldChar w:fldCharType="end"/>
      </w:r>
      <w:r w:rsidR="00230A4F">
        <w:t xml:space="preserve"> </w:t>
      </w:r>
      <w:r w:rsidR="00C858B4">
        <w:t>– are not fully captured</w:t>
      </w:r>
      <w:r w:rsidR="00925B41">
        <w:t>.</w:t>
      </w:r>
    </w:p>
    <w:p w14:paraId="2B7C5856" w14:textId="1B0EFE81" w:rsidR="00925B41" w:rsidRDefault="00746323" w:rsidP="00F74804">
      <w:pPr>
        <w:pStyle w:val="Heading3"/>
        <w:numPr>
          <w:ilvl w:val="2"/>
          <w:numId w:val="5"/>
        </w:numPr>
        <w:spacing w:line="360" w:lineRule="auto"/>
      </w:pPr>
      <w:r>
        <w:t>Future (2070s)</w:t>
      </w:r>
    </w:p>
    <w:p w14:paraId="1167ABE0" w14:textId="2129E6AE" w:rsidR="00746323" w:rsidRDefault="00696A50" w:rsidP="00F74804">
      <w:pPr>
        <w:spacing w:line="360" w:lineRule="auto"/>
      </w:pPr>
      <w:r>
        <w:t>By the late 21</w:t>
      </w:r>
      <w:r w:rsidRPr="00696A50">
        <w:rPr>
          <w:vertAlign w:val="superscript"/>
        </w:rPr>
        <w:t>st</w:t>
      </w:r>
      <w:r w:rsidR="008D337E">
        <w:t xml:space="preserve"> </w:t>
      </w:r>
      <w:r>
        <w:t>Century, u</w:t>
      </w:r>
      <w:r w:rsidR="00230D7A">
        <w:t xml:space="preserve">nder a </w:t>
      </w:r>
      <w:r w:rsidR="009376B8">
        <w:t>pessimistic</w:t>
      </w:r>
      <w:r w:rsidR="00230D7A">
        <w:t xml:space="preserve"> </w:t>
      </w:r>
      <w:r w:rsidR="00C27FEF">
        <w:t xml:space="preserve">carbon </w:t>
      </w:r>
      <w:r w:rsidR="00230D7A">
        <w:t>emissions scenario,</w:t>
      </w:r>
      <w:r w:rsidR="0064048F">
        <w:t xml:space="preserve"> </w:t>
      </w:r>
      <w:r w:rsidR="00C13C87">
        <w:t xml:space="preserve">the distributions and compositions of </w:t>
      </w:r>
      <w:r w:rsidR="002101A6">
        <w:t xml:space="preserve">our modelled ecosystems are predicted to </w:t>
      </w:r>
      <w:r w:rsidR="00C13C87">
        <w:t xml:space="preserve">be </w:t>
      </w:r>
      <w:r w:rsidR="002101A6">
        <w:t xml:space="preserve">strikingly different </w:t>
      </w:r>
      <w:r w:rsidR="00C13C87">
        <w:t xml:space="preserve">to </w:t>
      </w:r>
      <w:r w:rsidR="001E1564">
        <w:t>the</w:t>
      </w:r>
      <w:r w:rsidR="008A2A24">
        <w:t>ir</w:t>
      </w:r>
      <w:r w:rsidR="001E1564">
        <w:t xml:space="preserve"> </w:t>
      </w:r>
      <w:r w:rsidR="008A2A24">
        <w:t xml:space="preserve">present and </w:t>
      </w:r>
      <w:r w:rsidR="001E1564">
        <w:t>past</w:t>
      </w:r>
      <w:r w:rsidR="003C66E1">
        <w:t xml:space="preserve">. </w:t>
      </w:r>
      <w:r w:rsidR="00B95DC1">
        <w:t>S</w:t>
      </w:r>
      <w:r w:rsidR="00C51AC4">
        <w:t xml:space="preserve">pecies </w:t>
      </w:r>
      <w:r w:rsidR="00B95DC1">
        <w:t xml:space="preserve">generally </w:t>
      </w:r>
      <w:r w:rsidR="00980391">
        <w:t>shift</w:t>
      </w:r>
      <w:r w:rsidR="009146E8">
        <w:t xml:space="preserve"> </w:t>
      </w:r>
      <w:r w:rsidR="00B95DC1">
        <w:t>to higher elevations</w:t>
      </w:r>
      <w:r w:rsidR="00230D7A">
        <w:t xml:space="preserve">, </w:t>
      </w:r>
      <w:r w:rsidR="00B95DC1">
        <w:t xml:space="preserve">with </w:t>
      </w:r>
      <w:r w:rsidR="00EA666C">
        <w:t xml:space="preserve">increasing numbers of lowland tropical trees gaining </w:t>
      </w:r>
      <w:r w:rsidR="00216E8F">
        <w:t>wider footholds in</w:t>
      </w:r>
      <w:r w:rsidR="00837BC5">
        <w:t xml:space="preserve"> </w:t>
      </w:r>
      <w:r w:rsidR="00216E8F">
        <w:t xml:space="preserve">adjacent </w:t>
      </w:r>
      <w:r w:rsidR="00837BC5">
        <w:t>highland areas</w:t>
      </w:r>
      <w:r w:rsidR="00216E8F">
        <w:t xml:space="preserve"> </w:t>
      </w:r>
      <w:r w:rsidR="00BC65FA">
        <w:t xml:space="preserve">– especially </w:t>
      </w:r>
      <w:r w:rsidR="00041C95">
        <w:t>AR</w:t>
      </w:r>
      <w:r w:rsidR="00B14140">
        <w:t xml:space="preserve">F species </w:t>
      </w:r>
      <w:r w:rsidR="00BC65FA">
        <w:t xml:space="preserve">in the </w:t>
      </w:r>
      <w:r w:rsidR="00B14140">
        <w:t xml:space="preserve">northeast </w:t>
      </w:r>
      <w:r w:rsidR="009146A4">
        <w:t xml:space="preserve">and SDF species across the </w:t>
      </w:r>
      <w:r w:rsidR="00D54B4F">
        <w:t xml:space="preserve">region’s </w:t>
      </w:r>
      <w:r w:rsidR="009146A4">
        <w:t xml:space="preserve">centre and west. </w:t>
      </w:r>
      <w:r w:rsidR="00D54B4F">
        <w:t>These uphill expansions lead s</w:t>
      </w:r>
      <w:r w:rsidR="00E23B48">
        <w:t>ome species</w:t>
      </w:r>
      <w:r w:rsidR="00D54B4F">
        <w:t xml:space="preserve"> </w:t>
      </w:r>
      <w:r w:rsidR="00264267">
        <w:t>to</w:t>
      </w:r>
      <w:r w:rsidR="00D54B4F">
        <w:t xml:space="preserve"> vacate</w:t>
      </w:r>
      <w:r w:rsidR="00264267">
        <w:t xml:space="preserve"> the</w:t>
      </w:r>
      <w:r w:rsidR="002A3C18">
        <w:t>ir present ranges’</w:t>
      </w:r>
      <w:r w:rsidR="00264267">
        <w:t xml:space="preserve"> lower</w:t>
      </w:r>
      <w:r w:rsidR="002A3C18">
        <w:t xml:space="preserve"> </w:t>
      </w:r>
      <w:r w:rsidR="00264267">
        <w:t>elevation</w:t>
      </w:r>
      <w:r w:rsidR="002A3C18">
        <w:t>s</w:t>
      </w:r>
      <w:r w:rsidR="00E23B48">
        <w:t xml:space="preserve">, </w:t>
      </w:r>
      <w:r w:rsidR="00A515E4">
        <w:t xml:space="preserve">resulting in </w:t>
      </w:r>
      <w:r w:rsidR="00A0285E">
        <w:t>(near-)</w:t>
      </w:r>
      <w:r w:rsidR="00CF5DE0">
        <w:t xml:space="preserve">novel assemblages </w:t>
      </w:r>
      <w:r w:rsidR="00A515E4">
        <w:t>being left behind</w:t>
      </w:r>
      <w:r w:rsidR="0089718D">
        <w:t xml:space="preserve">. </w:t>
      </w:r>
      <w:r w:rsidR="009E1361">
        <w:t>M</w:t>
      </w:r>
      <w:r w:rsidR="00230D7A">
        <w:t>ore cold-adapted</w:t>
      </w:r>
      <w:r w:rsidR="009E1361">
        <w:t xml:space="preserve"> </w:t>
      </w:r>
      <w:r w:rsidR="003C1E20">
        <w:t>A</w:t>
      </w:r>
      <w:r w:rsidR="009E1361">
        <w:t xml:space="preserve">MF, Campos and Cloud </w:t>
      </w:r>
      <w:r w:rsidR="00A515E4">
        <w:t>F</w:t>
      </w:r>
      <w:r w:rsidR="009E1361">
        <w:t>orest species</w:t>
      </w:r>
      <w:r w:rsidR="001D0E08">
        <w:t xml:space="preserve"> – already found at </w:t>
      </w:r>
      <w:r w:rsidR="001B4E81">
        <w:t xml:space="preserve">our study area’s </w:t>
      </w:r>
      <w:r w:rsidR="001D0E08">
        <w:t>high</w:t>
      </w:r>
      <w:r w:rsidR="001B4E81">
        <w:t>e</w:t>
      </w:r>
      <w:r w:rsidR="00B32F74">
        <w:t>st</w:t>
      </w:r>
      <w:r w:rsidR="001D0E08">
        <w:t xml:space="preserve"> elevations</w:t>
      </w:r>
      <w:r w:rsidR="001B4E81">
        <w:t xml:space="preserve"> – </w:t>
      </w:r>
      <w:r w:rsidR="009E1361">
        <w:t xml:space="preserve">tend to experience drastic </w:t>
      </w:r>
      <w:r w:rsidR="00193BC7">
        <w:t>losses from areas that are presently suitable</w:t>
      </w:r>
      <w:r w:rsidR="005A2BDF">
        <w:t xml:space="preserve">, and </w:t>
      </w:r>
      <w:r w:rsidR="00126577">
        <w:t xml:space="preserve">few </w:t>
      </w:r>
      <w:proofErr w:type="gramStart"/>
      <w:r w:rsidR="00126577">
        <w:t>spread</w:t>
      </w:r>
      <w:proofErr w:type="gramEnd"/>
      <w:r w:rsidR="00126577">
        <w:t xml:space="preserve"> into </w:t>
      </w:r>
      <w:r w:rsidR="00E65444">
        <w:t xml:space="preserve">new, </w:t>
      </w:r>
      <w:r w:rsidR="00126577">
        <w:t>previously unsuitable</w:t>
      </w:r>
      <w:r w:rsidR="00E65444">
        <w:t xml:space="preserve"> locations</w:t>
      </w:r>
      <w:r w:rsidR="00126577">
        <w:t>.</w:t>
      </w:r>
    </w:p>
    <w:p w14:paraId="0D3DC69F" w14:textId="136A4D7C" w:rsidR="006E1D98" w:rsidRDefault="000E6A41" w:rsidP="00F74804">
      <w:pPr>
        <w:spacing w:line="360" w:lineRule="auto"/>
      </w:pPr>
      <w:r>
        <w:t xml:space="preserve">In </w:t>
      </w:r>
      <w:r w:rsidR="00542C38">
        <w:t>our study area’s</w:t>
      </w:r>
      <w:r>
        <w:t xml:space="preserve"> west</w:t>
      </w:r>
      <w:r w:rsidR="005543F8">
        <w:t xml:space="preserve">, </w:t>
      </w:r>
      <w:r w:rsidR="006E6FA1">
        <w:t>assemblages 17 and 24, presently rare and scattered in the southwest, become widespread</w:t>
      </w:r>
      <w:r w:rsidR="002431B5">
        <w:t xml:space="preserve">. </w:t>
      </w:r>
      <w:r w:rsidR="009E456A">
        <w:t xml:space="preserve">Assemblage 24, the more southerly of the two, </w:t>
      </w:r>
      <w:r w:rsidR="005C4E18">
        <w:t xml:space="preserve">is characterised by </w:t>
      </w:r>
      <w:r w:rsidR="00CA7A30">
        <w:t>a mixture of SDF</w:t>
      </w:r>
      <w:r w:rsidR="00BC4C77">
        <w:t xml:space="preserve"> and </w:t>
      </w:r>
      <w:r w:rsidR="003C1E20">
        <w:t>A</w:t>
      </w:r>
      <w:r w:rsidR="00BC4C77">
        <w:t>MF/</w:t>
      </w:r>
      <w:r w:rsidR="005C4E18">
        <w:t>SDF</w:t>
      </w:r>
      <w:r w:rsidR="00C72FB8">
        <w:t xml:space="preserve"> species</w:t>
      </w:r>
      <w:r w:rsidR="002A66F9">
        <w:t xml:space="preserve">, with some </w:t>
      </w:r>
      <w:r w:rsidR="00A362D8">
        <w:t xml:space="preserve">presence of the few cold-adapted species to experience westward range expansions </w:t>
      </w:r>
      <w:r w:rsidR="001645E8">
        <w:t>(</w:t>
      </w:r>
      <w:r w:rsidR="00A362D8">
        <w:rPr>
          <w:i/>
          <w:iCs/>
        </w:rPr>
        <w:t xml:space="preserve">Podocarpus </w:t>
      </w:r>
      <w:proofErr w:type="spellStart"/>
      <w:r w:rsidR="00A362D8">
        <w:rPr>
          <w:i/>
          <w:iCs/>
        </w:rPr>
        <w:t>lambertii</w:t>
      </w:r>
      <w:proofErr w:type="spellEnd"/>
      <w:r w:rsidR="00A362D8">
        <w:t xml:space="preserve">, </w:t>
      </w:r>
      <w:r w:rsidR="00A362D8">
        <w:rPr>
          <w:i/>
          <w:iCs/>
        </w:rPr>
        <w:t xml:space="preserve">Trifolium </w:t>
      </w:r>
      <w:proofErr w:type="spellStart"/>
      <w:r w:rsidR="00A362D8">
        <w:rPr>
          <w:i/>
          <w:iCs/>
        </w:rPr>
        <w:t>riograndense</w:t>
      </w:r>
      <w:proofErr w:type="spellEnd"/>
      <w:r w:rsidR="00A362D8">
        <w:rPr>
          <w:i/>
          <w:iCs/>
        </w:rPr>
        <w:t xml:space="preserve"> </w:t>
      </w:r>
      <w:r w:rsidR="00A362D8">
        <w:t xml:space="preserve">and </w:t>
      </w:r>
      <w:proofErr w:type="spellStart"/>
      <w:r w:rsidR="00A362D8">
        <w:rPr>
          <w:i/>
          <w:iCs/>
        </w:rPr>
        <w:t>Hypochaeris</w:t>
      </w:r>
      <w:proofErr w:type="spellEnd"/>
      <w:r w:rsidR="00A362D8">
        <w:rPr>
          <w:i/>
          <w:iCs/>
        </w:rPr>
        <w:t xml:space="preserve"> lutea</w:t>
      </w:r>
      <w:r w:rsidR="001645E8">
        <w:t>)</w:t>
      </w:r>
      <w:r w:rsidR="00A362D8">
        <w:t>.</w:t>
      </w:r>
      <w:r w:rsidR="004F31B8">
        <w:t xml:space="preserve"> </w:t>
      </w:r>
      <w:r w:rsidR="004F31B8">
        <w:lastRenderedPageBreak/>
        <w:t xml:space="preserve">Fewer species characterise assemblage 17, found </w:t>
      </w:r>
      <w:r w:rsidR="00C30E9A">
        <w:t xml:space="preserve">along parts of the </w:t>
      </w:r>
      <w:r w:rsidR="00F63C39">
        <w:t>Uruguay and Iguazu river valleys</w:t>
      </w:r>
      <w:r w:rsidR="00630FFE">
        <w:t>,</w:t>
      </w:r>
      <w:r w:rsidR="00250843">
        <w:t xml:space="preserve"> and</w:t>
      </w:r>
      <w:r w:rsidR="00F70E5E">
        <w:t xml:space="preserve">, still further to the north-west, </w:t>
      </w:r>
      <w:r w:rsidR="00B91744">
        <w:t>other parts of</w:t>
      </w:r>
      <w:r w:rsidR="00902F6D">
        <w:t xml:space="preserve"> the Iguazu valley </w:t>
      </w:r>
      <w:r w:rsidR="00B91744">
        <w:t xml:space="preserve">are predicted to be unsuitable for all </w:t>
      </w:r>
      <w:r w:rsidR="007F16D3">
        <w:t xml:space="preserve">our </w:t>
      </w:r>
      <w:r w:rsidR="00B91744">
        <w:t xml:space="preserve">modelled species </w:t>
      </w:r>
      <w:r w:rsidR="00630FFE">
        <w:t xml:space="preserve">by </w:t>
      </w:r>
      <w:r w:rsidR="00B91744">
        <w:t>the 2070s.</w:t>
      </w:r>
      <w:r w:rsidR="007F16D3">
        <w:t xml:space="preserve"> These assemblages are interspersed with the SDF-like</w:t>
      </w:r>
      <w:r w:rsidR="007F6421">
        <w:t xml:space="preserve"> assemblage 5, dominated </w:t>
      </w:r>
      <w:r w:rsidR="008B3A1B">
        <w:t xml:space="preserve">here </w:t>
      </w:r>
      <w:r w:rsidR="007F6421">
        <w:t xml:space="preserve">by </w:t>
      </w:r>
      <w:proofErr w:type="spellStart"/>
      <w:r w:rsidR="007F6421">
        <w:rPr>
          <w:i/>
          <w:iCs/>
        </w:rPr>
        <w:t>L</w:t>
      </w:r>
      <w:r w:rsidR="001852FA">
        <w:rPr>
          <w:i/>
          <w:iCs/>
        </w:rPr>
        <w:t>uehea</w:t>
      </w:r>
      <w:proofErr w:type="spellEnd"/>
      <w:r w:rsidR="007F6421">
        <w:rPr>
          <w:i/>
          <w:iCs/>
        </w:rPr>
        <w:t xml:space="preserve"> </w:t>
      </w:r>
      <w:proofErr w:type="spellStart"/>
      <w:r w:rsidR="007F6421">
        <w:rPr>
          <w:i/>
          <w:iCs/>
        </w:rPr>
        <w:t>divaricata</w:t>
      </w:r>
      <w:proofErr w:type="spellEnd"/>
      <w:r w:rsidR="00646D5F" w:rsidRPr="00646D5F">
        <w:t xml:space="preserve"> </w:t>
      </w:r>
      <w:r w:rsidR="003B1121">
        <w:t>and other SDF species</w:t>
      </w:r>
      <w:r w:rsidR="008B3A1B">
        <w:t xml:space="preserve"> </w:t>
      </w:r>
      <w:r w:rsidR="00646D5F" w:rsidRPr="00646D5F">
        <w:t>with</w:t>
      </w:r>
      <w:r w:rsidR="00646D5F">
        <w:t xml:space="preserve"> some </w:t>
      </w:r>
      <w:proofErr w:type="spellStart"/>
      <w:r w:rsidR="00646D5F">
        <w:rPr>
          <w:i/>
          <w:iCs/>
        </w:rPr>
        <w:t>Lithraea</w:t>
      </w:r>
      <w:proofErr w:type="spellEnd"/>
      <w:r w:rsidR="00646D5F">
        <w:rPr>
          <w:i/>
          <w:iCs/>
        </w:rPr>
        <w:t xml:space="preserve"> </w:t>
      </w:r>
      <w:proofErr w:type="spellStart"/>
      <w:r w:rsidR="00646D5F">
        <w:rPr>
          <w:i/>
          <w:iCs/>
        </w:rPr>
        <w:t>brasiliensis</w:t>
      </w:r>
      <w:proofErr w:type="spellEnd"/>
      <w:r w:rsidR="00646D5F">
        <w:rPr>
          <w:i/>
          <w:iCs/>
        </w:rPr>
        <w:t xml:space="preserve"> </w:t>
      </w:r>
      <w:r w:rsidR="00646D5F">
        <w:t xml:space="preserve">and </w:t>
      </w:r>
      <w:proofErr w:type="spellStart"/>
      <w:r w:rsidR="00646D5F">
        <w:rPr>
          <w:i/>
          <w:iCs/>
        </w:rPr>
        <w:t>M</w:t>
      </w:r>
      <w:r w:rsidR="001852FA">
        <w:rPr>
          <w:i/>
          <w:iCs/>
        </w:rPr>
        <w:t>atayba</w:t>
      </w:r>
      <w:proofErr w:type="spellEnd"/>
      <w:r w:rsidR="00646D5F">
        <w:rPr>
          <w:i/>
          <w:iCs/>
        </w:rPr>
        <w:t xml:space="preserve"> </w:t>
      </w:r>
      <w:proofErr w:type="spellStart"/>
      <w:r w:rsidR="00646D5F">
        <w:rPr>
          <w:i/>
          <w:iCs/>
        </w:rPr>
        <w:t>elaeagnoides</w:t>
      </w:r>
      <w:proofErr w:type="spellEnd"/>
      <w:r w:rsidR="00B83691">
        <w:t xml:space="preserve">, which occupies </w:t>
      </w:r>
      <w:r w:rsidR="00D4212A">
        <w:t xml:space="preserve">large parts of present-day </w:t>
      </w:r>
      <w:r w:rsidR="003C1E20">
        <w:t>A</w:t>
      </w:r>
      <w:r w:rsidR="00D4212A">
        <w:t>MF/SDF ecotones</w:t>
      </w:r>
      <w:r w:rsidR="00A91356">
        <w:rPr>
          <w:i/>
          <w:iCs/>
        </w:rPr>
        <w:t>.</w:t>
      </w:r>
    </w:p>
    <w:p w14:paraId="79EB5A9D" w14:textId="79CDE8A5" w:rsidR="00372505" w:rsidRDefault="00C120FE" w:rsidP="00F74804">
      <w:pPr>
        <w:spacing w:line="360" w:lineRule="auto"/>
      </w:pPr>
      <w:r>
        <w:t>Across the northern part of our study area, the only species</w:t>
      </w:r>
      <w:r w:rsidR="00D01865">
        <w:t xml:space="preserve"> </w:t>
      </w:r>
      <w:r w:rsidR="00AA2A14">
        <w:t xml:space="preserve">of </w:t>
      </w:r>
      <w:r w:rsidR="003C1E20">
        <w:t>A</w:t>
      </w:r>
      <w:r w:rsidR="00AA2A14">
        <w:t xml:space="preserve">MF, Campos and Cloud forest </w:t>
      </w:r>
      <w:r w:rsidR="00D01865">
        <w:t xml:space="preserve">which largely maintains its range is </w:t>
      </w:r>
      <w:r w:rsidR="00D01865">
        <w:rPr>
          <w:i/>
          <w:iCs/>
        </w:rPr>
        <w:t xml:space="preserve">M. </w:t>
      </w:r>
      <w:proofErr w:type="spellStart"/>
      <w:r w:rsidR="00D01865">
        <w:rPr>
          <w:i/>
          <w:iCs/>
        </w:rPr>
        <w:t>elaeagnoides</w:t>
      </w:r>
      <w:proofErr w:type="spellEnd"/>
      <w:r w:rsidR="00D01865">
        <w:t xml:space="preserve">; </w:t>
      </w:r>
      <w:r w:rsidR="006900A6">
        <w:t xml:space="preserve">most </w:t>
      </w:r>
      <w:r w:rsidR="00D01865">
        <w:t>others</w:t>
      </w:r>
      <w:r w:rsidR="00A91356">
        <w:t xml:space="preserve"> </w:t>
      </w:r>
      <w:r w:rsidR="000B7C4B">
        <w:t xml:space="preserve">are </w:t>
      </w:r>
      <w:r w:rsidR="00DC5862">
        <w:t>predominantly</w:t>
      </w:r>
      <w:r w:rsidR="000B7C4B">
        <w:t xml:space="preserve"> or completely lost from this </w:t>
      </w:r>
      <w:r w:rsidR="002B3788">
        <w:t>region</w:t>
      </w:r>
      <w:r w:rsidR="00EB3AA7">
        <w:t>, but m</w:t>
      </w:r>
      <w:r w:rsidR="00747474">
        <w:t xml:space="preserve">uch less change </w:t>
      </w:r>
      <w:r w:rsidR="000815EF">
        <w:t>is predicted for</w:t>
      </w:r>
      <w:r w:rsidR="00747474">
        <w:t xml:space="preserve"> the</w:t>
      </w:r>
      <w:r w:rsidR="00EB3AA7">
        <w:t xml:space="preserve"> area’s</w:t>
      </w:r>
      <w:r w:rsidR="00747474">
        <w:t xml:space="preserve"> shared SDF/</w:t>
      </w:r>
      <w:r w:rsidR="003C1E20">
        <w:t>A</w:t>
      </w:r>
      <w:r w:rsidR="00747474">
        <w:t>MF species</w:t>
      </w:r>
      <w:r w:rsidR="00020A93">
        <w:t>. Combined</w:t>
      </w:r>
      <w:r w:rsidR="00A33F57">
        <w:t xml:space="preserve"> with northward expansions</w:t>
      </w:r>
      <w:r w:rsidR="00545974">
        <w:t xml:space="preserve"> </w:t>
      </w:r>
      <w:r w:rsidR="00060B32">
        <w:t xml:space="preserve">of </w:t>
      </w:r>
      <w:proofErr w:type="spellStart"/>
      <w:r w:rsidR="00B120BC">
        <w:rPr>
          <w:i/>
          <w:iCs/>
        </w:rPr>
        <w:t>Myrocarpus</w:t>
      </w:r>
      <w:proofErr w:type="spellEnd"/>
      <w:r w:rsidR="00B120BC">
        <w:rPr>
          <w:i/>
          <w:iCs/>
        </w:rPr>
        <w:t xml:space="preserve"> </w:t>
      </w:r>
      <w:proofErr w:type="spellStart"/>
      <w:r w:rsidR="00B120BC">
        <w:rPr>
          <w:i/>
          <w:iCs/>
        </w:rPr>
        <w:t>frondosus</w:t>
      </w:r>
      <w:proofErr w:type="spellEnd"/>
      <w:r w:rsidR="00B120BC">
        <w:rPr>
          <w:i/>
          <w:iCs/>
        </w:rPr>
        <w:t xml:space="preserve"> </w:t>
      </w:r>
      <w:r w:rsidR="00B120BC">
        <w:t>(SDF)</w:t>
      </w:r>
      <w:r w:rsidR="00D05D71">
        <w:t xml:space="preserve">, </w:t>
      </w:r>
      <w:r w:rsidR="00D05D71">
        <w:rPr>
          <w:i/>
          <w:iCs/>
        </w:rPr>
        <w:t xml:space="preserve">Euterpe edulis, Cecropia </w:t>
      </w:r>
      <w:proofErr w:type="spellStart"/>
      <w:r w:rsidR="00D05D71">
        <w:rPr>
          <w:i/>
          <w:iCs/>
        </w:rPr>
        <w:t>glaziovii</w:t>
      </w:r>
      <w:proofErr w:type="spellEnd"/>
      <w:r w:rsidR="00D05D71">
        <w:rPr>
          <w:i/>
          <w:iCs/>
        </w:rPr>
        <w:t xml:space="preserve"> </w:t>
      </w:r>
      <w:r w:rsidR="00D05D71">
        <w:t xml:space="preserve">and (to a lesser extent) </w:t>
      </w:r>
      <w:proofErr w:type="spellStart"/>
      <w:r w:rsidR="00D05D71">
        <w:rPr>
          <w:i/>
          <w:iCs/>
        </w:rPr>
        <w:t>Alchornea</w:t>
      </w:r>
      <w:proofErr w:type="spellEnd"/>
      <w:r w:rsidR="00D05D71">
        <w:rPr>
          <w:i/>
          <w:iCs/>
        </w:rPr>
        <w:t xml:space="preserve"> </w:t>
      </w:r>
      <w:proofErr w:type="spellStart"/>
      <w:r w:rsidR="00D05D71">
        <w:rPr>
          <w:i/>
          <w:iCs/>
        </w:rPr>
        <w:t>triplinervia</w:t>
      </w:r>
      <w:proofErr w:type="spellEnd"/>
      <w:r w:rsidR="00D05D71">
        <w:rPr>
          <w:i/>
          <w:iCs/>
        </w:rPr>
        <w:t xml:space="preserve"> </w:t>
      </w:r>
      <w:r w:rsidR="00D05D71">
        <w:t xml:space="preserve">(all </w:t>
      </w:r>
      <w:r w:rsidR="003C1E20">
        <w:t>AR</w:t>
      </w:r>
      <w:r w:rsidR="00D05D71">
        <w:t>F)</w:t>
      </w:r>
      <w:r w:rsidR="00F95F90">
        <w:t xml:space="preserve">, </w:t>
      </w:r>
      <w:r w:rsidR="001A5BE2">
        <w:t xml:space="preserve">our study </w:t>
      </w:r>
      <w:proofErr w:type="gramStart"/>
      <w:r w:rsidR="001A5BE2">
        <w:t>region</w:t>
      </w:r>
      <w:r w:rsidR="00F05617">
        <w:t>’s</w:t>
      </w:r>
      <w:proofErr w:type="gramEnd"/>
      <w:r w:rsidR="00F05617">
        <w:t xml:space="preserve"> north</w:t>
      </w:r>
      <w:r w:rsidR="00545974">
        <w:t xml:space="preserve"> becom</w:t>
      </w:r>
      <w:r w:rsidR="00A33F57">
        <w:t>es</w:t>
      </w:r>
      <w:r w:rsidR="00545974">
        <w:t xml:space="preserve"> classified as assemblage 6</w:t>
      </w:r>
      <w:r w:rsidR="00867E88">
        <w:t xml:space="preserve">, </w:t>
      </w:r>
      <w:r w:rsidR="0016735A">
        <w:t xml:space="preserve">presently </w:t>
      </w:r>
      <w:r w:rsidR="00867E88">
        <w:t xml:space="preserve">a relatively rare grouping found around </w:t>
      </w:r>
      <w:r w:rsidR="003C1E20">
        <w:t>A</w:t>
      </w:r>
      <w:r w:rsidR="00867E88">
        <w:t xml:space="preserve">MF’s ecotones with SDF and </w:t>
      </w:r>
      <w:r w:rsidR="003C1E20">
        <w:t>AR</w:t>
      </w:r>
      <w:r w:rsidR="00867E88">
        <w:t>F</w:t>
      </w:r>
      <w:r w:rsidR="00D73277">
        <w:t>.</w:t>
      </w:r>
    </w:p>
    <w:p w14:paraId="406CEC3B" w14:textId="6601B64F" w:rsidR="00D73277" w:rsidRDefault="0012022F" w:rsidP="00F74804">
      <w:pPr>
        <w:spacing w:line="360" w:lineRule="auto"/>
      </w:pPr>
      <w:r>
        <w:t xml:space="preserve">The loss of climatically suitable habitat </w:t>
      </w:r>
      <w:r w:rsidR="003F2309">
        <w:t xml:space="preserve">for </w:t>
      </w:r>
      <w:r w:rsidR="003C1E20">
        <w:t>A</w:t>
      </w:r>
      <w:r>
        <w:t xml:space="preserve">MF, Campos and Cloud forest species across </w:t>
      </w:r>
      <w:r w:rsidR="00BB488F">
        <w:t xml:space="preserve">our study area’s </w:t>
      </w:r>
      <w:r>
        <w:t xml:space="preserve">northern </w:t>
      </w:r>
      <w:r w:rsidR="00BB488F">
        <w:t>region</w:t>
      </w:r>
      <w:r>
        <w:t xml:space="preserve"> leads to a dramatic retraction in </w:t>
      </w:r>
      <w:r w:rsidR="00EB32C1">
        <w:t xml:space="preserve">the area </w:t>
      </w:r>
      <w:r w:rsidR="00627D1B">
        <w:t xml:space="preserve">covered by </w:t>
      </w:r>
      <w:r w:rsidR="009E08E4">
        <w:t xml:space="preserve">their </w:t>
      </w:r>
      <w:r w:rsidR="00EB32C1">
        <w:t xml:space="preserve">associated </w:t>
      </w:r>
      <w:r w:rsidR="00627D1B">
        <w:t xml:space="preserve">assemblages. Assemblage 13 covers </w:t>
      </w:r>
      <w:r w:rsidR="00554D4A">
        <w:t xml:space="preserve">a </w:t>
      </w:r>
      <w:r w:rsidR="00627D1B">
        <w:t>smalle</w:t>
      </w:r>
      <w:r w:rsidR="00554D4A">
        <w:t>r</w:t>
      </w:r>
      <w:r w:rsidR="00627D1B">
        <w:t xml:space="preserve"> area in the 2070s </w:t>
      </w:r>
      <w:r w:rsidR="00554D4A">
        <w:t xml:space="preserve">than in </w:t>
      </w:r>
      <w:r w:rsidR="00627D1B">
        <w:t xml:space="preserve">any </w:t>
      </w:r>
      <w:r w:rsidR="00554D4A">
        <w:t xml:space="preserve">other </w:t>
      </w:r>
      <w:r w:rsidR="00627D1B">
        <w:t>modelled time</w:t>
      </w:r>
      <w:r w:rsidR="00626484">
        <w:t xml:space="preserve"> </w:t>
      </w:r>
      <w:r w:rsidR="00627D1B">
        <w:t>slice</w:t>
      </w:r>
      <w:r w:rsidR="00A57D90">
        <w:t xml:space="preserve">, becoming confined to the highest elevations </w:t>
      </w:r>
      <w:r w:rsidR="00DF0EB2">
        <w:t xml:space="preserve">in </w:t>
      </w:r>
      <w:r w:rsidR="00934F7D">
        <w:t>our study area’s</w:t>
      </w:r>
      <w:r w:rsidR="00DF0EB2">
        <w:t xml:space="preserve"> centre and south-east. </w:t>
      </w:r>
      <w:r w:rsidR="00BB488F">
        <w:t>Most</w:t>
      </w:r>
      <w:r w:rsidR="00DF0EB2">
        <w:t xml:space="preserve"> </w:t>
      </w:r>
      <w:r w:rsidR="001E697A">
        <w:t xml:space="preserve">present-day </w:t>
      </w:r>
      <w:r w:rsidR="003C1E20">
        <w:t>A</w:t>
      </w:r>
      <w:r w:rsidR="001E697A">
        <w:t xml:space="preserve">MF and Campos areas </w:t>
      </w:r>
      <w:r w:rsidR="00351C01">
        <w:t xml:space="preserve">become characterised by assemblages which today mark </w:t>
      </w:r>
      <w:r w:rsidR="00F453DE">
        <w:t>ecotones with SDF – assemblage</w:t>
      </w:r>
      <w:r w:rsidR="000F6D5A">
        <w:t>s</w:t>
      </w:r>
      <w:r w:rsidR="00F453DE">
        <w:t xml:space="preserve"> 14 in the centr</w:t>
      </w:r>
      <w:r w:rsidR="000F6D5A">
        <w:t>e and 25 in the south</w:t>
      </w:r>
      <w:r w:rsidR="00F06604">
        <w:t xml:space="preserve">, with </w:t>
      </w:r>
      <w:r w:rsidR="00F06604">
        <w:rPr>
          <w:i/>
          <w:iCs/>
        </w:rPr>
        <w:t xml:space="preserve">Araucaria angustifolia </w:t>
      </w:r>
      <w:r w:rsidR="00C07388">
        <w:t>largely restricted to the latter.</w:t>
      </w:r>
      <w:r w:rsidR="00D75D8D">
        <w:t xml:space="preserve"> </w:t>
      </w:r>
      <w:r w:rsidR="00BB133D">
        <w:t>T</w:t>
      </w:r>
      <w:r w:rsidR="00D75D8D">
        <w:t xml:space="preserve">he </w:t>
      </w:r>
      <w:r w:rsidR="00934F7D">
        <w:t xml:space="preserve">plateau’s </w:t>
      </w:r>
      <w:r w:rsidR="00D75D8D">
        <w:t>south</w:t>
      </w:r>
      <w:r w:rsidR="001B5526">
        <w:t>-</w:t>
      </w:r>
      <w:r w:rsidR="00197CB1">
        <w:t>east</w:t>
      </w:r>
      <w:r w:rsidR="00D75D8D">
        <w:t xml:space="preserve">ernmost </w:t>
      </w:r>
      <w:r w:rsidR="00291F89">
        <w:t>part</w:t>
      </w:r>
      <w:r w:rsidR="00197CB1">
        <w:t>, which</w:t>
      </w:r>
      <w:r w:rsidR="00291F89">
        <w:t xml:space="preserve"> today </w:t>
      </w:r>
      <w:r w:rsidR="00197CB1">
        <w:t xml:space="preserve">is </w:t>
      </w:r>
      <w:r w:rsidR="00291F89">
        <w:t xml:space="preserve">assemblage 13, </w:t>
      </w:r>
      <w:r w:rsidR="00BB133D">
        <w:t xml:space="preserve">becomes assemblage 9 as </w:t>
      </w:r>
      <w:r w:rsidR="007F302A">
        <w:t>highland species</w:t>
      </w:r>
      <w:r w:rsidR="00B047D2">
        <w:t>’ ranges</w:t>
      </w:r>
      <w:r w:rsidR="007F302A">
        <w:t xml:space="preserve"> </w:t>
      </w:r>
      <w:r w:rsidR="00BB133D">
        <w:t xml:space="preserve">contract </w:t>
      </w:r>
      <w:r w:rsidR="00F3711E">
        <w:t xml:space="preserve">and </w:t>
      </w:r>
      <w:r w:rsidR="00A83C3D">
        <w:t xml:space="preserve">species </w:t>
      </w:r>
      <w:r w:rsidR="00BD3F8F">
        <w:t xml:space="preserve">more common in (or shared with) </w:t>
      </w:r>
      <w:r w:rsidR="003C1E20">
        <w:t>AR</w:t>
      </w:r>
      <w:r w:rsidR="00BD3F8F">
        <w:t xml:space="preserve">F and SDF </w:t>
      </w:r>
      <w:r w:rsidR="007B1488">
        <w:t>expand</w:t>
      </w:r>
      <w:r w:rsidR="00182A78">
        <w:t>.</w:t>
      </w:r>
    </w:p>
    <w:p w14:paraId="6309C8CB" w14:textId="464E6CC3" w:rsidR="00D55A09" w:rsidRDefault="005F0430" w:rsidP="00F74804">
      <w:pPr>
        <w:spacing w:line="360" w:lineRule="auto"/>
      </w:pPr>
      <w:r>
        <w:t xml:space="preserve">ARF </w:t>
      </w:r>
      <w:r w:rsidR="004532DA">
        <w:t xml:space="preserve">species showcase the </w:t>
      </w:r>
      <w:r w:rsidR="00696638">
        <w:t xml:space="preserve">interspecific </w:t>
      </w:r>
      <w:r w:rsidR="004842B9">
        <w:t>varia</w:t>
      </w:r>
      <w:r w:rsidR="00696638">
        <w:t>bility in</w:t>
      </w:r>
      <w:r w:rsidR="004842B9">
        <w:t xml:space="preserve"> </w:t>
      </w:r>
      <w:r w:rsidR="00CC1A81">
        <w:t xml:space="preserve">responses </w:t>
      </w:r>
      <w:r w:rsidR="004532DA">
        <w:t xml:space="preserve">to </w:t>
      </w:r>
      <w:r w:rsidR="00CC1A81">
        <w:t xml:space="preserve">the changing </w:t>
      </w:r>
      <w:r w:rsidR="004532DA">
        <w:t>climate</w:t>
      </w:r>
      <w:r w:rsidR="006F1348">
        <w:t xml:space="preserve">. </w:t>
      </w:r>
      <w:r w:rsidR="00DE1422">
        <w:rPr>
          <w:i/>
          <w:iCs/>
        </w:rPr>
        <w:t xml:space="preserve">Cecropia </w:t>
      </w:r>
      <w:proofErr w:type="spellStart"/>
      <w:r w:rsidR="00DE1422">
        <w:rPr>
          <w:i/>
          <w:iCs/>
        </w:rPr>
        <w:t>glaziovii</w:t>
      </w:r>
      <w:proofErr w:type="spellEnd"/>
      <w:r w:rsidR="00DE1422">
        <w:rPr>
          <w:i/>
          <w:iCs/>
        </w:rPr>
        <w:t xml:space="preserve"> </w:t>
      </w:r>
      <w:r w:rsidR="00DE1422">
        <w:t xml:space="preserve">and </w:t>
      </w:r>
      <w:proofErr w:type="spellStart"/>
      <w:r w:rsidR="00DE1422">
        <w:rPr>
          <w:i/>
          <w:iCs/>
        </w:rPr>
        <w:t>Sloanea</w:t>
      </w:r>
      <w:proofErr w:type="spellEnd"/>
      <w:r w:rsidR="00DE1422">
        <w:rPr>
          <w:i/>
          <w:iCs/>
        </w:rPr>
        <w:t xml:space="preserve"> </w:t>
      </w:r>
      <w:proofErr w:type="spellStart"/>
      <w:r w:rsidR="00DE1422">
        <w:rPr>
          <w:i/>
          <w:iCs/>
        </w:rPr>
        <w:t>guianensis</w:t>
      </w:r>
      <w:proofErr w:type="spellEnd"/>
      <w:r w:rsidR="006F1348">
        <w:rPr>
          <w:i/>
          <w:iCs/>
        </w:rPr>
        <w:t xml:space="preserve"> </w:t>
      </w:r>
      <w:r w:rsidR="004423A0">
        <w:t xml:space="preserve">retain their current range as well as </w:t>
      </w:r>
      <w:r w:rsidR="006F1348">
        <w:t>expand</w:t>
      </w:r>
      <w:r w:rsidR="004423A0">
        <w:t>ing</w:t>
      </w:r>
      <w:r w:rsidR="006F1348">
        <w:t xml:space="preserve"> to higher elevations</w:t>
      </w:r>
      <w:r w:rsidR="00DE1422">
        <w:t xml:space="preserve">; </w:t>
      </w:r>
      <w:proofErr w:type="spellStart"/>
      <w:r w:rsidR="00B63069">
        <w:rPr>
          <w:i/>
          <w:iCs/>
        </w:rPr>
        <w:t>Alchornea</w:t>
      </w:r>
      <w:proofErr w:type="spellEnd"/>
      <w:r w:rsidR="00B63069">
        <w:rPr>
          <w:i/>
          <w:iCs/>
        </w:rPr>
        <w:t xml:space="preserve"> </w:t>
      </w:r>
      <w:proofErr w:type="spellStart"/>
      <w:r w:rsidR="00B63069">
        <w:rPr>
          <w:i/>
          <w:iCs/>
        </w:rPr>
        <w:t>triplinervia</w:t>
      </w:r>
      <w:proofErr w:type="spellEnd"/>
      <w:r w:rsidR="00B354FB">
        <w:rPr>
          <w:i/>
          <w:iCs/>
        </w:rPr>
        <w:t xml:space="preserve"> </w:t>
      </w:r>
      <w:r w:rsidR="00B354FB">
        <w:t>and</w:t>
      </w:r>
      <w:r w:rsidR="00B354FB">
        <w:rPr>
          <w:i/>
          <w:iCs/>
        </w:rPr>
        <w:t xml:space="preserve"> Euterpe edulis</w:t>
      </w:r>
      <w:r w:rsidR="00DE1422">
        <w:rPr>
          <w:i/>
          <w:iCs/>
        </w:rPr>
        <w:t>,</w:t>
      </w:r>
      <w:r w:rsidR="00B354FB">
        <w:t xml:space="preserve"> </w:t>
      </w:r>
      <w:r w:rsidR="00DE1422">
        <w:t xml:space="preserve">by contrast, </w:t>
      </w:r>
      <w:r w:rsidR="007F6FF5">
        <w:t>shift away from the coast as both leading and trailing edges of their ranges shift uphill</w:t>
      </w:r>
      <w:r w:rsidR="006B635B">
        <w:t xml:space="preserve">. </w:t>
      </w:r>
      <w:r w:rsidR="00FD1A3B">
        <w:rPr>
          <w:i/>
          <w:iCs/>
        </w:rPr>
        <w:t>O</w:t>
      </w:r>
      <w:r w:rsidR="004F71CD">
        <w:rPr>
          <w:i/>
          <w:iCs/>
        </w:rPr>
        <w:t>cotea</w:t>
      </w:r>
      <w:r w:rsidR="00FD1A3B">
        <w:rPr>
          <w:i/>
          <w:iCs/>
        </w:rPr>
        <w:t xml:space="preserve"> </w:t>
      </w:r>
      <w:proofErr w:type="spellStart"/>
      <w:r w:rsidR="00FD1A3B">
        <w:rPr>
          <w:i/>
          <w:iCs/>
        </w:rPr>
        <w:t>catharinensis</w:t>
      </w:r>
      <w:r w:rsidR="003D6422" w:rsidRPr="003D6422">
        <w:t>’s</w:t>
      </w:r>
      <w:proofErr w:type="spellEnd"/>
      <w:r w:rsidR="003D6422" w:rsidRPr="003D6422">
        <w:t xml:space="preserve"> range</w:t>
      </w:r>
      <w:r w:rsidR="00BA62D5">
        <w:rPr>
          <w:i/>
          <w:iCs/>
        </w:rPr>
        <w:t xml:space="preserve"> </w:t>
      </w:r>
      <w:r w:rsidR="00174CE8">
        <w:t xml:space="preserve">already occupies high elevations and changes </w:t>
      </w:r>
      <w:r w:rsidR="00FD1A3B">
        <w:t xml:space="preserve">little </w:t>
      </w:r>
      <w:r w:rsidR="001C2526">
        <w:t>in</w:t>
      </w:r>
      <w:r w:rsidR="009B0E07">
        <w:t xml:space="preserve"> the north,</w:t>
      </w:r>
      <w:r w:rsidR="001C2526">
        <w:t xml:space="preserve"> </w:t>
      </w:r>
      <w:r w:rsidR="00360401">
        <w:t xml:space="preserve">is reduced in the centre of our study area </w:t>
      </w:r>
      <w:r w:rsidR="00922EBB">
        <w:t>(</w:t>
      </w:r>
      <w:r w:rsidR="00360401">
        <w:t>where the mountains are more isolated</w:t>
      </w:r>
      <w:proofErr w:type="gramStart"/>
      <w:r w:rsidR="00922EBB">
        <w:t>)</w:t>
      </w:r>
      <w:r w:rsidR="00360401">
        <w:t>, and</w:t>
      </w:r>
      <w:proofErr w:type="gramEnd"/>
      <w:r w:rsidR="00360401">
        <w:t xml:space="preserve"> </w:t>
      </w:r>
      <w:r w:rsidR="003D6422">
        <w:t>expands a little</w:t>
      </w:r>
      <w:r w:rsidR="009B0E07">
        <w:t xml:space="preserve"> in the south</w:t>
      </w:r>
      <w:r w:rsidR="00584947">
        <w:t>;</w:t>
      </w:r>
      <w:r w:rsidR="0075552A">
        <w:t xml:space="preserve"> </w:t>
      </w:r>
      <w:proofErr w:type="spellStart"/>
      <w:r w:rsidR="0075552A">
        <w:rPr>
          <w:i/>
          <w:iCs/>
        </w:rPr>
        <w:t>Calophyllum</w:t>
      </w:r>
      <w:proofErr w:type="spellEnd"/>
      <w:r w:rsidR="0075552A">
        <w:rPr>
          <w:i/>
          <w:iCs/>
        </w:rPr>
        <w:t xml:space="preserve"> </w:t>
      </w:r>
      <w:proofErr w:type="spellStart"/>
      <w:r w:rsidR="0075552A">
        <w:rPr>
          <w:i/>
          <w:iCs/>
        </w:rPr>
        <w:t>brasiliens</w:t>
      </w:r>
      <w:r w:rsidR="00BE417A">
        <w:rPr>
          <w:i/>
          <w:iCs/>
        </w:rPr>
        <w:t>e</w:t>
      </w:r>
      <w:proofErr w:type="spellEnd"/>
      <w:r w:rsidR="00C7268D">
        <w:rPr>
          <w:i/>
          <w:iCs/>
        </w:rPr>
        <w:t xml:space="preserve"> </w:t>
      </w:r>
      <w:r w:rsidR="00C7268D">
        <w:t>spreads considerably to the south, but its</w:t>
      </w:r>
      <w:r w:rsidR="0075552A">
        <w:rPr>
          <w:i/>
          <w:iCs/>
        </w:rPr>
        <w:t xml:space="preserve"> </w:t>
      </w:r>
      <w:r w:rsidR="00361723">
        <w:t xml:space="preserve">elevational distribution </w:t>
      </w:r>
      <w:r w:rsidR="00584947">
        <w:t>changes little</w:t>
      </w:r>
      <w:r w:rsidR="00361723">
        <w:t>.</w:t>
      </w:r>
      <w:r w:rsidR="00FD1A3B">
        <w:t xml:space="preserve"> </w:t>
      </w:r>
      <w:proofErr w:type="gramStart"/>
      <w:r w:rsidR="00C7268D">
        <w:t>Overall</w:t>
      </w:r>
      <w:proofErr w:type="gramEnd"/>
      <w:r w:rsidR="00C7268D">
        <w:t xml:space="preserve"> this </w:t>
      </w:r>
      <w:r w:rsidR="00AC5789">
        <w:t>means that</w:t>
      </w:r>
      <w:r w:rsidR="009C73C1">
        <w:t xml:space="preserve"> assemblage 3, </w:t>
      </w:r>
      <w:r w:rsidR="00AC5789">
        <w:t xml:space="preserve">typical of modern-day </w:t>
      </w:r>
      <w:r>
        <w:t>AR</w:t>
      </w:r>
      <w:r w:rsidR="009C73C1">
        <w:t xml:space="preserve">F, </w:t>
      </w:r>
      <w:r w:rsidR="006E7B21">
        <w:t xml:space="preserve">covers a </w:t>
      </w:r>
      <w:r w:rsidR="00A260B0">
        <w:t xml:space="preserve">similar </w:t>
      </w:r>
      <w:r w:rsidR="006E7B21">
        <w:t>extent</w:t>
      </w:r>
      <w:r w:rsidR="00A260B0">
        <w:t xml:space="preserve"> </w:t>
      </w:r>
      <w:r w:rsidR="006E7B21">
        <w:t xml:space="preserve">in the 2070s </w:t>
      </w:r>
      <w:r w:rsidR="00A260B0">
        <w:t>to the present day, but at a higher elevational band</w:t>
      </w:r>
      <w:r w:rsidR="00E54B68">
        <w:t>, partly replacing</w:t>
      </w:r>
      <w:r w:rsidR="002A4AAE">
        <w:t xml:space="preserve"> assemblage </w:t>
      </w:r>
      <w:r w:rsidR="00ED3558">
        <w:t>9</w:t>
      </w:r>
      <w:r w:rsidR="00E54B68">
        <w:t xml:space="preserve"> (escarpment forest).</w:t>
      </w:r>
      <w:r w:rsidR="00673CD6">
        <w:t xml:space="preserve"> </w:t>
      </w:r>
      <w:r w:rsidR="005B348A">
        <w:t xml:space="preserve">This </w:t>
      </w:r>
      <w:r w:rsidR="008D337E">
        <w:t xml:space="preserve">in turn </w:t>
      </w:r>
      <w:r w:rsidR="005B348A">
        <w:t>creates space for n</w:t>
      </w:r>
      <w:r w:rsidR="002B7CF2">
        <w:t xml:space="preserve">ovel or rare cluster </w:t>
      </w:r>
      <w:r w:rsidR="002B7CF2" w:rsidRPr="002B7CF2">
        <w:rPr>
          <w:i/>
          <w:iCs/>
        </w:rPr>
        <w:t>a</w:t>
      </w:r>
      <w:r w:rsidR="002B7CF2">
        <w:t xml:space="preserve"> (</w:t>
      </w:r>
      <w:r>
        <w:t>AR</w:t>
      </w:r>
      <w:r w:rsidR="002B7CF2">
        <w:t>F</w:t>
      </w:r>
      <w:r w:rsidR="00D74337">
        <w:t>-like</w:t>
      </w:r>
      <w:r w:rsidR="002B7CF2">
        <w:t xml:space="preserve">) </w:t>
      </w:r>
      <w:r w:rsidR="002B7CF2" w:rsidRPr="002B7CF2">
        <w:t>assemblages</w:t>
      </w:r>
      <w:r w:rsidR="005B348A">
        <w:t>, which</w:t>
      </w:r>
      <w:r w:rsidR="006C548E">
        <w:t xml:space="preserve"> appear </w:t>
      </w:r>
      <w:r w:rsidR="00394AFE">
        <w:t>along the coast</w:t>
      </w:r>
      <w:r w:rsidR="00234FF1">
        <w:t xml:space="preserve"> (</w:t>
      </w:r>
      <w:proofErr w:type="gramStart"/>
      <w:r w:rsidR="00234FF1">
        <w:t>e.g.</w:t>
      </w:r>
      <w:proofErr w:type="gramEnd"/>
      <w:r w:rsidR="00234FF1">
        <w:t xml:space="preserve"> assemblage 2)</w:t>
      </w:r>
      <w:r w:rsidR="008D337E">
        <w:t xml:space="preserve"> and </w:t>
      </w:r>
      <w:r w:rsidR="000C5381">
        <w:t xml:space="preserve">in </w:t>
      </w:r>
      <w:r w:rsidR="008D337E">
        <w:t xml:space="preserve">parts of </w:t>
      </w:r>
      <w:r w:rsidR="000C5381">
        <w:t xml:space="preserve">the </w:t>
      </w:r>
      <w:proofErr w:type="spellStart"/>
      <w:r w:rsidR="001A4315" w:rsidRPr="001A4315">
        <w:t>Itajaí</w:t>
      </w:r>
      <w:proofErr w:type="spellEnd"/>
      <w:r w:rsidR="001A4315">
        <w:t xml:space="preserve"> valley</w:t>
      </w:r>
      <w:r w:rsidR="00D74337">
        <w:t>.</w:t>
      </w:r>
    </w:p>
    <w:p w14:paraId="10A57DED" w14:textId="62DF320F" w:rsidR="00E8410B" w:rsidRDefault="007457B2" w:rsidP="00F74804">
      <w:pPr>
        <w:spacing w:line="360" w:lineRule="auto"/>
      </w:pPr>
      <w:r>
        <w:rPr>
          <w:noProof/>
        </w:rPr>
        <w:lastRenderedPageBreak/>
        <w:drawing>
          <wp:inline distT="0" distB="0" distL="0" distR="0" wp14:anchorId="19BD1674" wp14:editId="2790557F">
            <wp:extent cx="5731510" cy="3344336"/>
            <wp:effectExtent l="0" t="0" r="254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3344336"/>
                    </a:xfrm>
                    <a:prstGeom prst="rect">
                      <a:avLst/>
                    </a:prstGeom>
                  </pic:spPr>
                </pic:pic>
              </a:graphicData>
            </a:graphic>
          </wp:inline>
        </w:drawing>
      </w:r>
      <w:r w:rsidR="000D5200">
        <w:rPr>
          <w:noProof/>
        </w:rPr>
        <w:drawing>
          <wp:inline distT="0" distB="0" distL="0" distR="0" wp14:anchorId="37CE72DE" wp14:editId="5F3A7C3E">
            <wp:extent cx="5731510" cy="3375859"/>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3375859"/>
                    </a:xfrm>
                    <a:prstGeom prst="rect">
                      <a:avLst/>
                    </a:prstGeom>
                  </pic:spPr>
                </pic:pic>
              </a:graphicData>
            </a:graphic>
          </wp:inline>
        </w:drawing>
      </w:r>
      <w:r w:rsidR="000D5200">
        <w:rPr>
          <w:noProof/>
        </w:rPr>
        <w:lastRenderedPageBreak/>
        <w:drawing>
          <wp:inline distT="0" distB="0" distL="0" distR="0" wp14:anchorId="39EE1F07" wp14:editId="31834F8E">
            <wp:extent cx="5731510" cy="3372993"/>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3372993"/>
                    </a:xfrm>
                    <a:prstGeom prst="rect">
                      <a:avLst/>
                    </a:prstGeom>
                  </pic:spPr>
                </pic:pic>
              </a:graphicData>
            </a:graphic>
          </wp:inline>
        </w:drawing>
      </w:r>
    </w:p>
    <w:p w14:paraId="48DC9BB7" w14:textId="735E1498" w:rsidR="007A0880" w:rsidRDefault="000B464B" w:rsidP="00F74804">
      <w:pPr>
        <w:spacing w:line="360" w:lineRule="auto"/>
        <w:rPr>
          <w:i/>
          <w:iCs/>
          <w:sz w:val="20"/>
          <w:szCs w:val="20"/>
        </w:rPr>
      </w:pPr>
      <w:r w:rsidRPr="00CA27D2">
        <w:rPr>
          <w:i/>
          <w:iCs/>
          <w:sz w:val="20"/>
          <w:szCs w:val="20"/>
        </w:rPr>
        <w:t>Fig</w:t>
      </w:r>
      <w:r w:rsidR="00CA27D2" w:rsidRPr="00CA27D2">
        <w:rPr>
          <w:i/>
          <w:iCs/>
          <w:sz w:val="20"/>
          <w:szCs w:val="20"/>
        </w:rPr>
        <w:t>.</w:t>
      </w:r>
      <w:r w:rsidRPr="00CA27D2">
        <w:rPr>
          <w:i/>
          <w:iCs/>
          <w:sz w:val="20"/>
          <w:szCs w:val="20"/>
        </w:rPr>
        <w:t xml:space="preserve"> </w:t>
      </w:r>
      <w:r w:rsidR="00C014E2">
        <w:rPr>
          <w:i/>
          <w:iCs/>
          <w:sz w:val="20"/>
          <w:szCs w:val="20"/>
        </w:rPr>
        <w:t>6</w:t>
      </w:r>
      <w:r w:rsidRPr="00CA27D2">
        <w:rPr>
          <w:i/>
          <w:iCs/>
          <w:sz w:val="20"/>
          <w:szCs w:val="20"/>
        </w:rPr>
        <w:t>:</w:t>
      </w:r>
      <w:r>
        <w:rPr>
          <w:i/>
          <w:iCs/>
          <w:sz w:val="20"/>
          <w:szCs w:val="20"/>
        </w:rPr>
        <w:t xml:space="preserve"> predicted</w:t>
      </w:r>
      <w:r w:rsidR="006C1A6A">
        <w:rPr>
          <w:i/>
          <w:iCs/>
          <w:sz w:val="20"/>
          <w:szCs w:val="20"/>
        </w:rPr>
        <w:t xml:space="preserve"> floristic</w:t>
      </w:r>
      <w:r>
        <w:rPr>
          <w:i/>
          <w:iCs/>
          <w:sz w:val="20"/>
          <w:szCs w:val="20"/>
        </w:rPr>
        <w:t xml:space="preserve"> assemblages</w:t>
      </w:r>
      <w:r w:rsidR="008C3F4B">
        <w:rPr>
          <w:i/>
          <w:iCs/>
          <w:sz w:val="20"/>
          <w:szCs w:val="20"/>
        </w:rPr>
        <w:t xml:space="preserve"> (</w:t>
      </w:r>
      <w:r w:rsidR="002564EB">
        <w:rPr>
          <w:i/>
          <w:iCs/>
          <w:sz w:val="20"/>
          <w:szCs w:val="20"/>
        </w:rPr>
        <w:t xml:space="preserve">clusters a and b, </w:t>
      </w:r>
      <w:r w:rsidR="008C3F4B">
        <w:rPr>
          <w:i/>
          <w:iCs/>
          <w:sz w:val="20"/>
          <w:szCs w:val="20"/>
        </w:rPr>
        <w:t>left</w:t>
      </w:r>
      <w:r w:rsidR="002564EB">
        <w:rPr>
          <w:i/>
          <w:iCs/>
          <w:sz w:val="20"/>
          <w:szCs w:val="20"/>
        </w:rPr>
        <w:t>, and cluster c, right</w:t>
      </w:r>
      <w:r w:rsidR="008C3F4B">
        <w:rPr>
          <w:i/>
          <w:iCs/>
          <w:sz w:val="20"/>
          <w:szCs w:val="20"/>
        </w:rPr>
        <w:t xml:space="preserve">) and </w:t>
      </w:r>
      <w:proofErr w:type="spellStart"/>
      <w:r w:rsidR="008C3F4B">
        <w:rPr>
          <w:i/>
          <w:iCs/>
          <w:sz w:val="20"/>
          <w:szCs w:val="20"/>
        </w:rPr>
        <w:t>palaeo</w:t>
      </w:r>
      <w:proofErr w:type="spellEnd"/>
      <w:r w:rsidR="00F73B30">
        <w:rPr>
          <w:i/>
          <w:iCs/>
          <w:sz w:val="20"/>
          <w:szCs w:val="20"/>
        </w:rPr>
        <w:t>-</w:t>
      </w:r>
      <w:r w:rsidR="008C3F4B">
        <w:rPr>
          <w:i/>
          <w:iCs/>
          <w:sz w:val="20"/>
          <w:szCs w:val="20"/>
        </w:rPr>
        <w:t>proxy values (</w:t>
      </w:r>
      <w:r w:rsidR="002564EB">
        <w:rPr>
          <w:i/>
          <w:iCs/>
          <w:sz w:val="20"/>
          <w:szCs w:val="20"/>
        </w:rPr>
        <w:t>centre</w:t>
      </w:r>
      <w:r w:rsidR="008C3F4B">
        <w:rPr>
          <w:i/>
          <w:iCs/>
          <w:sz w:val="20"/>
          <w:szCs w:val="20"/>
        </w:rPr>
        <w:t>) for our study area through time.</w:t>
      </w:r>
      <w:r w:rsidR="00FA46CE">
        <w:rPr>
          <w:i/>
          <w:iCs/>
          <w:sz w:val="20"/>
          <w:szCs w:val="20"/>
        </w:rPr>
        <w:t xml:space="preserve"> For maps of individual assemblages, see </w:t>
      </w:r>
      <w:r w:rsidR="002564EB">
        <w:rPr>
          <w:i/>
          <w:iCs/>
          <w:sz w:val="20"/>
          <w:szCs w:val="20"/>
        </w:rPr>
        <w:t xml:space="preserve">Fig. </w:t>
      </w:r>
      <w:r w:rsidR="00C014E2">
        <w:rPr>
          <w:i/>
          <w:iCs/>
          <w:sz w:val="20"/>
          <w:szCs w:val="20"/>
        </w:rPr>
        <w:t>4</w:t>
      </w:r>
      <w:r w:rsidR="00DA1CFA">
        <w:rPr>
          <w:i/>
          <w:iCs/>
          <w:sz w:val="20"/>
          <w:szCs w:val="20"/>
        </w:rPr>
        <w:t xml:space="preserve"> or </w:t>
      </w:r>
      <w:r w:rsidR="00FA46CE">
        <w:rPr>
          <w:i/>
          <w:iCs/>
          <w:sz w:val="20"/>
          <w:szCs w:val="20"/>
        </w:rPr>
        <w:t>Supplementary Information.</w:t>
      </w:r>
    </w:p>
    <w:p w14:paraId="6DD5C555" w14:textId="70EB2755" w:rsidR="00325BF1" w:rsidRDefault="00EA74AC" w:rsidP="00F74804">
      <w:pPr>
        <w:pStyle w:val="Heading2"/>
        <w:numPr>
          <w:ilvl w:val="1"/>
          <w:numId w:val="5"/>
        </w:numPr>
        <w:spacing w:line="360" w:lineRule="auto"/>
      </w:pPr>
      <w:r>
        <w:t xml:space="preserve">Long-term context for present and future </w:t>
      </w:r>
      <w:r w:rsidR="006C1A6A">
        <w:t>floristic</w:t>
      </w:r>
      <w:r w:rsidR="00626484">
        <w:t xml:space="preserve"> </w:t>
      </w:r>
      <w:r w:rsidR="002A3445">
        <w:t>assemblages</w:t>
      </w:r>
    </w:p>
    <w:p w14:paraId="308E8B3F" w14:textId="7B48F89C" w:rsidR="00F91F1A" w:rsidRDefault="007D783D" w:rsidP="00F74804">
      <w:pPr>
        <w:spacing w:line="360" w:lineRule="auto"/>
      </w:pPr>
      <w:r>
        <w:t xml:space="preserve">When have </w:t>
      </w:r>
      <w:r w:rsidR="00FB2DFE">
        <w:t xml:space="preserve">locations </w:t>
      </w:r>
      <w:r w:rsidR="00C02717">
        <w:t xml:space="preserve">previously </w:t>
      </w:r>
      <w:r w:rsidR="00626484">
        <w:t>been occupied by</w:t>
      </w:r>
      <w:r w:rsidR="00C02717">
        <w:t xml:space="preserve"> </w:t>
      </w:r>
      <w:r w:rsidR="004955AC">
        <w:t xml:space="preserve">plant </w:t>
      </w:r>
      <w:r>
        <w:t xml:space="preserve">assemblages </w:t>
      </w:r>
      <w:r w:rsidR="00C02717">
        <w:t xml:space="preserve">most </w:t>
      </w:r>
      <w:r w:rsidR="00F723B0">
        <w:t>like</w:t>
      </w:r>
      <w:r w:rsidR="00C02717">
        <w:t xml:space="preserve"> those of the modern day</w:t>
      </w:r>
      <w:r>
        <w:t xml:space="preserve">? </w:t>
      </w:r>
      <w:r w:rsidR="00EA74AC">
        <w:t>Our results show that</w:t>
      </w:r>
      <w:r w:rsidR="00F91F1A">
        <w:t xml:space="preserve"> the </w:t>
      </w:r>
      <w:r w:rsidR="00C24C6B">
        <w:t xml:space="preserve">southern Atlantic Forest’s </w:t>
      </w:r>
      <w:r w:rsidR="00F91F1A">
        <w:t>different ecosystems find their closest analogues at different times over the last 21,000 years</w:t>
      </w:r>
      <w:r w:rsidR="00234077">
        <w:t xml:space="preserve"> </w:t>
      </w:r>
      <w:r w:rsidR="00234077" w:rsidRPr="00CA27D2">
        <w:t xml:space="preserve">(Fig. </w:t>
      </w:r>
      <w:r w:rsidR="00BF4520">
        <w:t>7</w:t>
      </w:r>
      <w:r w:rsidR="00234077" w:rsidRPr="00CA27D2">
        <w:t>)</w:t>
      </w:r>
      <w:r w:rsidR="00F91F1A" w:rsidRPr="00CA27D2">
        <w:t>.</w:t>
      </w:r>
      <w:r w:rsidR="00F91F1A">
        <w:t xml:space="preserve"> </w:t>
      </w:r>
      <w:r w:rsidR="00CD4E1D">
        <w:t xml:space="preserve">In the west, </w:t>
      </w:r>
      <w:r w:rsidR="00354A06">
        <w:t xml:space="preserve">modern </w:t>
      </w:r>
      <w:r w:rsidR="004955AC">
        <w:t>plant</w:t>
      </w:r>
      <w:r w:rsidR="00626484">
        <w:t xml:space="preserve"> </w:t>
      </w:r>
      <w:r w:rsidR="00354A06">
        <w:t xml:space="preserve">assemblages in some SDF areas are most </w:t>
      </w:r>
      <w:proofErr w:type="gramStart"/>
      <w:r w:rsidR="00354A06">
        <w:t>similar to</w:t>
      </w:r>
      <w:proofErr w:type="gramEnd"/>
      <w:r w:rsidR="00354A06">
        <w:t xml:space="preserve"> those found in the mid-Holocene </w:t>
      </w:r>
      <w:r w:rsidR="00F055D9">
        <w:t>(</w:t>
      </w:r>
      <w:r w:rsidR="00354A06">
        <w:t>6,000 BP</w:t>
      </w:r>
      <w:r w:rsidR="00F055D9">
        <w:t>)</w:t>
      </w:r>
      <w:r w:rsidR="002F1DDB">
        <w:t xml:space="preserve"> and</w:t>
      </w:r>
      <w:r w:rsidR="00F055D9">
        <w:t xml:space="preserve"> others to those of the early Holocene (12,000-9,000 BP)</w:t>
      </w:r>
      <w:r w:rsidR="00EC31BB">
        <w:t xml:space="preserve">, but all are </w:t>
      </w:r>
      <w:r w:rsidR="00060413">
        <w:t>very unlike</w:t>
      </w:r>
      <w:r w:rsidR="00EC31BB">
        <w:t xml:space="preserve"> </w:t>
      </w:r>
      <w:r w:rsidR="00C9154E">
        <w:t xml:space="preserve">floristic </w:t>
      </w:r>
      <w:r w:rsidR="00060413">
        <w:t>assemblages</w:t>
      </w:r>
      <w:r w:rsidR="00EC31BB">
        <w:t xml:space="preserve"> found in these areas </w:t>
      </w:r>
      <w:r w:rsidR="00325D35">
        <w:t>during the LGM and Late Glacial (before 15,000 BP)</w:t>
      </w:r>
      <w:r w:rsidR="00F055D9">
        <w:t>.</w:t>
      </w:r>
      <w:r w:rsidR="00CF388A">
        <w:t xml:space="preserve"> By contrast, </w:t>
      </w:r>
      <w:r w:rsidR="003977C4">
        <w:t>closely related</w:t>
      </w:r>
      <w:r w:rsidR="00E577BF">
        <w:t xml:space="preserve"> </w:t>
      </w:r>
      <w:r w:rsidR="00CC7B3F">
        <w:t>assemblages</w:t>
      </w:r>
      <w:r w:rsidR="00E577BF">
        <w:t xml:space="preserve"> have </w:t>
      </w:r>
      <w:r w:rsidR="008220FD">
        <w:t xml:space="preserve">occupied the </w:t>
      </w:r>
      <w:r w:rsidR="00CF388A">
        <w:t>highlands</w:t>
      </w:r>
      <w:r w:rsidR="008220FD">
        <w:t xml:space="preserve"> </w:t>
      </w:r>
      <w:r w:rsidR="000256A1">
        <w:t xml:space="preserve">from </w:t>
      </w:r>
      <w:r w:rsidR="00340586">
        <w:t>at least the LGM</w:t>
      </w:r>
      <w:r w:rsidR="00CF388A">
        <w:t xml:space="preserve"> through to the present</w:t>
      </w:r>
      <w:r w:rsidR="00805011">
        <w:t xml:space="preserve">. Areas in the north had </w:t>
      </w:r>
      <w:r w:rsidR="00C9154E">
        <w:t xml:space="preserve">floristic </w:t>
      </w:r>
      <w:r w:rsidR="00805011">
        <w:t xml:space="preserve">assemblages most like the present day </w:t>
      </w:r>
      <w:r w:rsidR="00FC0115">
        <w:t xml:space="preserve">at various points through the Holocene, though in the southern </w:t>
      </w:r>
      <w:r w:rsidR="00120918">
        <w:t>part of the highlands the closest match is found 3,000 years ago. Notably, the highest elevations have experienced very little compositional change over the last 21,000 years.</w:t>
      </w:r>
      <w:r w:rsidR="007643A6">
        <w:t xml:space="preserve"> The </w:t>
      </w:r>
      <w:r w:rsidR="00E51E0C">
        <w:t xml:space="preserve">present-day coastal </w:t>
      </w:r>
      <w:r w:rsidR="00010911">
        <w:t>assemblages</w:t>
      </w:r>
      <w:r w:rsidR="00E51E0C">
        <w:t xml:space="preserve"> are largely </w:t>
      </w:r>
      <w:r w:rsidR="00115478">
        <w:t>closest</w:t>
      </w:r>
      <w:r w:rsidR="00E51E0C">
        <w:t xml:space="preserve"> to those found 3,000 BP</w:t>
      </w:r>
      <w:r w:rsidR="00246B15">
        <w:t xml:space="preserve">, though some areas in the north and in the </w:t>
      </w:r>
      <w:proofErr w:type="spellStart"/>
      <w:r w:rsidR="00246B15">
        <w:t>Itajaí</w:t>
      </w:r>
      <w:proofErr w:type="spellEnd"/>
      <w:r w:rsidR="00246B15">
        <w:t xml:space="preserve"> valley have closer matches earlier in the Holocene.</w:t>
      </w:r>
    </w:p>
    <w:p w14:paraId="4067BC98" w14:textId="31408C21" w:rsidR="00234077" w:rsidRDefault="00234077" w:rsidP="00F74804">
      <w:pPr>
        <w:spacing w:line="360" w:lineRule="auto"/>
      </w:pPr>
      <w:r>
        <w:rPr>
          <w:noProof/>
          <w:lang w:val="sv-SE" w:eastAsia="sv-SE"/>
        </w:rPr>
        <w:lastRenderedPageBreak/>
        <w:drawing>
          <wp:inline distT="0" distB="0" distL="0" distR="0" wp14:anchorId="4E46EE0A" wp14:editId="6F62E09C">
            <wp:extent cx="5731510" cy="2695600"/>
            <wp:effectExtent l="0" t="0" r="254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8">
                      <a:extLst>
                        <a:ext uri="{28A0092B-C50C-407E-A947-70E740481C1C}">
                          <a14:useLocalDpi xmlns:a14="http://schemas.microsoft.com/office/drawing/2010/main" val="0"/>
                        </a:ext>
                      </a:extLst>
                    </a:blip>
                    <a:stretch>
                      <a:fillRect/>
                    </a:stretch>
                  </pic:blipFill>
                  <pic:spPr>
                    <a:xfrm>
                      <a:off x="0" y="0"/>
                      <a:ext cx="5731510" cy="2695600"/>
                    </a:xfrm>
                    <a:prstGeom prst="rect">
                      <a:avLst/>
                    </a:prstGeom>
                  </pic:spPr>
                </pic:pic>
              </a:graphicData>
            </a:graphic>
          </wp:inline>
        </w:drawing>
      </w:r>
    </w:p>
    <w:p w14:paraId="144CABA7" w14:textId="3976805E" w:rsidR="00234077" w:rsidRPr="00234077" w:rsidRDefault="00234077" w:rsidP="00F74804">
      <w:pPr>
        <w:spacing w:line="360" w:lineRule="auto"/>
        <w:rPr>
          <w:i/>
          <w:iCs/>
          <w:sz w:val="20"/>
          <w:szCs w:val="20"/>
        </w:rPr>
      </w:pPr>
      <w:r w:rsidRPr="00CA27D2">
        <w:rPr>
          <w:i/>
          <w:iCs/>
          <w:sz w:val="20"/>
          <w:szCs w:val="20"/>
        </w:rPr>
        <w:t>Fi</w:t>
      </w:r>
      <w:r w:rsidR="00CA27D2" w:rsidRPr="00CA27D2">
        <w:rPr>
          <w:i/>
          <w:iCs/>
          <w:sz w:val="20"/>
          <w:szCs w:val="20"/>
        </w:rPr>
        <w:t xml:space="preserve">g. </w:t>
      </w:r>
      <w:r w:rsidR="0013552D">
        <w:rPr>
          <w:i/>
          <w:iCs/>
          <w:sz w:val="20"/>
          <w:szCs w:val="20"/>
        </w:rPr>
        <w:t>7</w:t>
      </w:r>
      <w:r w:rsidRPr="00CA27D2">
        <w:rPr>
          <w:i/>
          <w:iCs/>
          <w:sz w:val="20"/>
          <w:szCs w:val="20"/>
        </w:rPr>
        <w:t>:</w:t>
      </w:r>
      <w:r>
        <w:rPr>
          <w:i/>
          <w:iCs/>
          <w:sz w:val="20"/>
          <w:szCs w:val="20"/>
        </w:rPr>
        <w:t xml:space="preserve"> </w:t>
      </w:r>
      <w:r w:rsidR="008F790F">
        <w:rPr>
          <w:i/>
          <w:iCs/>
          <w:sz w:val="20"/>
          <w:szCs w:val="20"/>
        </w:rPr>
        <w:t xml:space="preserve">the </w:t>
      </w:r>
      <w:r w:rsidR="00FE5908">
        <w:rPr>
          <w:i/>
          <w:iCs/>
          <w:sz w:val="20"/>
          <w:szCs w:val="20"/>
        </w:rPr>
        <w:t>(dis)</w:t>
      </w:r>
      <w:r w:rsidR="008F790F">
        <w:rPr>
          <w:i/>
          <w:iCs/>
          <w:sz w:val="20"/>
          <w:szCs w:val="20"/>
        </w:rPr>
        <w:t xml:space="preserve">similarity of present-day </w:t>
      </w:r>
      <w:r w:rsidR="006C1A6A">
        <w:rPr>
          <w:i/>
          <w:iCs/>
          <w:sz w:val="20"/>
          <w:szCs w:val="20"/>
        </w:rPr>
        <w:t xml:space="preserve">floristic </w:t>
      </w:r>
      <w:r w:rsidR="008F790F">
        <w:rPr>
          <w:i/>
          <w:iCs/>
          <w:sz w:val="20"/>
          <w:szCs w:val="20"/>
        </w:rPr>
        <w:t>assemblages to those of past and future time</w:t>
      </w:r>
      <w:r w:rsidR="0092530B">
        <w:rPr>
          <w:i/>
          <w:iCs/>
          <w:sz w:val="20"/>
          <w:szCs w:val="20"/>
        </w:rPr>
        <w:t xml:space="preserve"> </w:t>
      </w:r>
      <w:r w:rsidR="008F790F">
        <w:rPr>
          <w:i/>
          <w:iCs/>
          <w:sz w:val="20"/>
          <w:szCs w:val="20"/>
        </w:rPr>
        <w:t>slices</w:t>
      </w:r>
      <w:r w:rsidR="00FE5908">
        <w:rPr>
          <w:i/>
          <w:iCs/>
          <w:sz w:val="20"/>
          <w:szCs w:val="20"/>
        </w:rPr>
        <w:t xml:space="preserve"> – red denotes assemblages </w:t>
      </w:r>
      <w:r w:rsidR="00FA0DA9">
        <w:rPr>
          <w:i/>
          <w:iCs/>
          <w:sz w:val="20"/>
          <w:szCs w:val="20"/>
        </w:rPr>
        <w:t xml:space="preserve">which are </w:t>
      </w:r>
      <w:proofErr w:type="gramStart"/>
      <w:r w:rsidR="00FA0DA9">
        <w:rPr>
          <w:i/>
          <w:iCs/>
          <w:sz w:val="20"/>
          <w:szCs w:val="20"/>
        </w:rPr>
        <w:t>more dissimilar and blue</w:t>
      </w:r>
      <w:proofErr w:type="gramEnd"/>
      <w:r w:rsidR="00FA0DA9">
        <w:rPr>
          <w:i/>
          <w:iCs/>
          <w:sz w:val="20"/>
          <w:szCs w:val="20"/>
        </w:rPr>
        <w:t xml:space="preserve"> those which are mo</w:t>
      </w:r>
      <w:r w:rsidR="003D39E3">
        <w:rPr>
          <w:i/>
          <w:iCs/>
          <w:sz w:val="20"/>
          <w:szCs w:val="20"/>
        </w:rPr>
        <w:t>re</w:t>
      </w:r>
      <w:r w:rsidR="00FA0DA9">
        <w:rPr>
          <w:i/>
          <w:iCs/>
          <w:sz w:val="20"/>
          <w:szCs w:val="20"/>
        </w:rPr>
        <w:t xml:space="preserve"> similar</w:t>
      </w:r>
      <w:r w:rsidR="008F790F">
        <w:rPr>
          <w:i/>
          <w:iCs/>
          <w:sz w:val="20"/>
          <w:szCs w:val="20"/>
        </w:rPr>
        <w:t>.</w:t>
      </w:r>
    </w:p>
    <w:p w14:paraId="2133009A" w14:textId="12276E31" w:rsidR="00C12480" w:rsidRDefault="004D3384" w:rsidP="00F74804">
      <w:pPr>
        <w:spacing w:line="360" w:lineRule="auto"/>
      </w:pPr>
      <w:r>
        <w:t xml:space="preserve">Our results also show that, without </w:t>
      </w:r>
      <w:r w:rsidR="00B174E4">
        <w:t>reduc</w:t>
      </w:r>
      <w:r w:rsidR="00160B5B">
        <w:t>tions in</w:t>
      </w:r>
      <w:r w:rsidR="00B174E4">
        <w:t xml:space="preserve"> greenhouse gas emissions, </w:t>
      </w:r>
      <w:r w:rsidR="00160B5B">
        <w:t xml:space="preserve">by the 2070s </w:t>
      </w:r>
      <w:r w:rsidR="00D24B79">
        <w:t xml:space="preserve">much of </w:t>
      </w:r>
      <w:r w:rsidR="0052253F">
        <w:t>the</w:t>
      </w:r>
      <w:r w:rsidR="00D24B79">
        <w:t xml:space="preserve"> southern Atlantic Forest</w:t>
      </w:r>
      <w:r w:rsidR="0076488F">
        <w:t xml:space="preserve"> will have</w:t>
      </w:r>
      <w:r w:rsidR="009203C7">
        <w:t xml:space="preserve"> </w:t>
      </w:r>
      <w:r w:rsidR="00547A3B">
        <w:t xml:space="preserve">– or at least </w:t>
      </w:r>
      <w:r w:rsidR="00580123">
        <w:t xml:space="preserve">will </w:t>
      </w:r>
      <w:r w:rsidR="00547A3B">
        <w:t xml:space="preserve">be on track to have – </w:t>
      </w:r>
      <w:r w:rsidR="009203C7">
        <w:t>very different floristic</w:t>
      </w:r>
      <w:r w:rsidR="00D24B79">
        <w:t xml:space="preserve"> </w:t>
      </w:r>
      <w:r w:rsidR="00947DC3">
        <w:t xml:space="preserve">composition </w:t>
      </w:r>
      <w:r w:rsidR="00685E8E">
        <w:t xml:space="preserve">to </w:t>
      </w:r>
      <w:r w:rsidR="0052253F">
        <w:t xml:space="preserve">any </w:t>
      </w:r>
      <w:r w:rsidR="009203C7">
        <w:t xml:space="preserve">experienced </w:t>
      </w:r>
      <w:r w:rsidR="0052253F">
        <w:t>since at least the LGM</w:t>
      </w:r>
      <w:r w:rsidR="00B8660C">
        <w:t xml:space="preserve"> </w:t>
      </w:r>
      <w:r w:rsidR="002A3445" w:rsidRPr="00CF388A">
        <w:t xml:space="preserve">(Fig. </w:t>
      </w:r>
      <w:r w:rsidR="00BF4520">
        <w:t>8</w:t>
      </w:r>
      <w:r w:rsidR="002A3445" w:rsidRPr="00CF388A">
        <w:t>)</w:t>
      </w:r>
      <w:r w:rsidR="00685E8E" w:rsidRPr="00CF388A">
        <w:t>.</w:t>
      </w:r>
      <w:r w:rsidR="00E92AE5">
        <w:t xml:space="preserve"> </w:t>
      </w:r>
      <w:r w:rsidR="00AA4708">
        <w:t xml:space="preserve">Close </w:t>
      </w:r>
      <w:r w:rsidR="00A16986">
        <w:t xml:space="preserve">local </w:t>
      </w:r>
      <w:r w:rsidR="00AA4708">
        <w:t xml:space="preserve">analogues for future </w:t>
      </w:r>
      <w:r w:rsidR="00663349">
        <w:t xml:space="preserve">assemblages </w:t>
      </w:r>
      <w:r w:rsidR="00AA4708">
        <w:t xml:space="preserve">can only really be found for </w:t>
      </w:r>
      <w:r w:rsidR="005E2993">
        <w:t>ecosystems at the highest elevations</w:t>
      </w:r>
      <w:r w:rsidR="00B170D4">
        <w:t>;</w:t>
      </w:r>
      <w:r w:rsidR="00B170D4" w:rsidRPr="00B170D4">
        <w:t xml:space="preserve"> </w:t>
      </w:r>
      <w:r w:rsidR="00B170D4">
        <w:t>in some western and south-western areas</w:t>
      </w:r>
      <w:r w:rsidR="00F2710C">
        <w:t xml:space="preserve"> </w:t>
      </w:r>
      <w:r w:rsidR="00B170D4">
        <w:t>t</w:t>
      </w:r>
      <w:r w:rsidR="00F2710C">
        <w:t xml:space="preserve">he early and mid-Holocene </w:t>
      </w:r>
      <w:r w:rsidR="00831DBC">
        <w:t xml:space="preserve">(9,000-6,000 BP) </w:t>
      </w:r>
      <w:r w:rsidR="00F2710C">
        <w:t>provide</w:t>
      </w:r>
      <w:r w:rsidR="00B170D4">
        <w:t>s</w:t>
      </w:r>
      <w:r w:rsidR="00F2710C">
        <w:t xml:space="preserve"> some </w:t>
      </w:r>
      <w:r w:rsidR="00831DBC">
        <w:t xml:space="preserve">relatively close matches for </w:t>
      </w:r>
      <w:r w:rsidR="00966298">
        <w:t>future assemblages</w:t>
      </w:r>
      <w:r w:rsidR="00AA63BD">
        <w:t>. By contrast,</w:t>
      </w:r>
      <w:r w:rsidR="00605569">
        <w:t xml:space="preserve"> </w:t>
      </w:r>
      <w:r w:rsidR="00A12FA5">
        <w:t>more than 48,000 km</w:t>
      </w:r>
      <w:r w:rsidR="00A12FA5">
        <w:rPr>
          <w:vertAlign w:val="superscript"/>
        </w:rPr>
        <w:t>2</w:t>
      </w:r>
      <w:r w:rsidR="00A12FA5">
        <w:t xml:space="preserve"> of </w:t>
      </w:r>
      <w:r w:rsidR="00195C67">
        <w:t xml:space="preserve">assemblages predicted to arise across </w:t>
      </w:r>
      <w:r w:rsidR="00455C37">
        <w:t xml:space="preserve">our study area’s </w:t>
      </w:r>
      <w:r w:rsidR="00195C67">
        <w:t xml:space="preserve">north and east are </w:t>
      </w:r>
      <w:r w:rsidR="00A12FA5">
        <w:t xml:space="preserve">highly </w:t>
      </w:r>
      <w:r w:rsidR="00195C67">
        <w:t xml:space="preserve">dissimilar </w:t>
      </w:r>
      <w:r w:rsidR="00A12FA5">
        <w:t xml:space="preserve">(Bray-Curtis score above 0.5) </w:t>
      </w:r>
      <w:r w:rsidR="00195C67">
        <w:t xml:space="preserve">to </w:t>
      </w:r>
      <w:r w:rsidR="002E5D7B">
        <w:t xml:space="preserve">those </w:t>
      </w:r>
      <w:r w:rsidR="00F007AE">
        <w:t xml:space="preserve">modelled for those </w:t>
      </w:r>
      <w:r w:rsidR="002E5D7B">
        <w:t xml:space="preserve">areas in </w:t>
      </w:r>
      <w:r w:rsidR="00C12480">
        <w:t xml:space="preserve">any </w:t>
      </w:r>
      <w:r w:rsidR="00F007AE">
        <w:t xml:space="preserve">other </w:t>
      </w:r>
      <w:r w:rsidR="00605569">
        <w:t>time</w:t>
      </w:r>
      <w:r w:rsidR="00C9154E">
        <w:t xml:space="preserve"> </w:t>
      </w:r>
      <w:r w:rsidR="00605569">
        <w:t>slice</w:t>
      </w:r>
      <w:r w:rsidR="00B53BD8">
        <w:t>,</w:t>
      </w:r>
      <w:r w:rsidR="00EA6F17">
        <w:t xml:space="preserve"> </w:t>
      </w:r>
      <w:r w:rsidR="00B53BD8">
        <w:t xml:space="preserve">including </w:t>
      </w:r>
      <w:r w:rsidR="006A792F">
        <w:t>the present day.</w:t>
      </w:r>
      <w:r w:rsidR="009E3939">
        <w:t xml:space="preserve"> </w:t>
      </w:r>
    </w:p>
    <w:p w14:paraId="21852410" w14:textId="67A15664" w:rsidR="00EA74AC" w:rsidRPr="009E3939" w:rsidRDefault="009E3939" w:rsidP="00F74804">
      <w:pPr>
        <w:spacing w:line="360" w:lineRule="auto"/>
      </w:pPr>
      <w:r>
        <w:t>More than 10</w:t>
      </w:r>
      <w:r w:rsidR="00DB5821">
        <w:t>2</w:t>
      </w:r>
      <w:r>
        <w:t>,000 km</w:t>
      </w:r>
      <w:r>
        <w:rPr>
          <w:vertAlign w:val="superscript"/>
        </w:rPr>
        <w:t>2</w:t>
      </w:r>
      <w:r>
        <w:t xml:space="preserve"> of our study area </w:t>
      </w:r>
      <w:r w:rsidR="00501404">
        <w:t xml:space="preserve">is predicted to experience </w:t>
      </w:r>
      <w:r w:rsidR="0063478E">
        <w:t>greater</w:t>
      </w:r>
      <w:r w:rsidR="00501404">
        <w:t xml:space="preserve"> floristic change between the present day and the high-emissions future </w:t>
      </w:r>
      <w:r w:rsidR="00A87920">
        <w:t xml:space="preserve">scenario </w:t>
      </w:r>
      <w:r w:rsidR="00501404">
        <w:t>than in any other 3,000-year interval modelled here</w:t>
      </w:r>
      <w:r w:rsidR="006656DF">
        <w:t xml:space="preserve"> (Fig. </w:t>
      </w:r>
      <w:r w:rsidR="00BF4520">
        <w:t>9</w:t>
      </w:r>
      <w:r w:rsidR="006656DF">
        <w:t>, Table S3).</w:t>
      </w:r>
      <w:r w:rsidR="00785E2F">
        <w:t xml:space="preserve"> </w:t>
      </w:r>
      <w:r w:rsidR="006656DF">
        <w:t>B</w:t>
      </w:r>
      <w:r w:rsidR="0068626A">
        <w:t xml:space="preserve">y comparison, </w:t>
      </w:r>
      <w:r w:rsidR="00C16E27">
        <w:t>deglacial warming during the last glacial-Holocene transition</w:t>
      </w:r>
      <w:r w:rsidR="0008033E">
        <w:t xml:space="preserve"> </w:t>
      </w:r>
      <w:r w:rsidR="00C77085">
        <w:t xml:space="preserve">(15,000 – 12,000 BP) </w:t>
      </w:r>
      <w:r w:rsidR="003D52CC">
        <w:t xml:space="preserve">brought the greatest </w:t>
      </w:r>
      <w:r w:rsidR="007B302E">
        <w:t xml:space="preserve">vegetation </w:t>
      </w:r>
      <w:r w:rsidR="003D52CC">
        <w:t>change to</w:t>
      </w:r>
      <w:r w:rsidR="00D84494">
        <w:t xml:space="preserve"> over 105</w:t>
      </w:r>
      <w:r w:rsidR="0068626A">
        <w:t>,000 km</w:t>
      </w:r>
      <w:r w:rsidR="0068626A">
        <w:rPr>
          <w:vertAlign w:val="superscript"/>
        </w:rPr>
        <w:t>2</w:t>
      </w:r>
      <w:r w:rsidR="006656DF">
        <w:t>;</w:t>
      </w:r>
      <w:r w:rsidR="0068626A">
        <w:t xml:space="preserve"> </w:t>
      </w:r>
      <w:r w:rsidR="00D215D2">
        <w:t>around 15%</w:t>
      </w:r>
      <w:r w:rsidR="007B16DC">
        <w:t xml:space="preserve"> of that area would experience even greater floristic change </w:t>
      </w:r>
      <w:r w:rsidR="00180E36">
        <w:t xml:space="preserve">over </w:t>
      </w:r>
      <w:r w:rsidR="00EC5920">
        <w:t xml:space="preserve">the coming decades </w:t>
      </w:r>
      <w:r w:rsidR="0084626A">
        <w:t xml:space="preserve">in </w:t>
      </w:r>
      <w:r w:rsidR="00180E36">
        <w:t>a high-emissions 21</w:t>
      </w:r>
      <w:r w:rsidR="00180E36" w:rsidRPr="00180E36">
        <w:rPr>
          <w:vertAlign w:val="superscript"/>
        </w:rPr>
        <w:t>st</w:t>
      </w:r>
      <w:r w:rsidR="00180E36">
        <w:t xml:space="preserve"> Century </w:t>
      </w:r>
      <w:r w:rsidR="00E76B1A">
        <w:t>(</w:t>
      </w:r>
      <w:r w:rsidR="00180E36">
        <w:t>Table S3</w:t>
      </w:r>
      <w:r w:rsidR="00E76B1A">
        <w:t>).</w:t>
      </w:r>
      <w:r w:rsidR="0068626A">
        <w:t xml:space="preserve"> </w:t>
      </w:r>
      <w:r w:rsidR="00D54EB9">
        <w:t xml:space="preserve">Notably, the spatial distribution of </w:t>
      </w:r>
      <w:r w:rsidR="007B302E">
        <w:t xml:space="preserve">vegetation changes during </w:t>
      </w:r>
      <w:r w:rsidR="00A13392">
        <w:t>the 21</w:t>
      </w:r>
      <w:r w:rsidR="00A13392" w:rsidRPr="00D01DF8">
        <w:rPr>
          <w:vertAlign w:val="superscript"/>
        </w:rPr>
        <w:t>st</w:t>
      </w:r>
      <w:r w:rsidR="00A13392">
        <w:t xml:space="preserve">-Century and </w:t>
      </w:r>
      <w:r w:rsidR="007B302E">
        <w:t>glacial-Holocene transition</w:t>
      </w:r>
      <w:r w:rsidR="00A13392">
        <w:t xml:space="preserve"> </w:t>
      </w:r>
      <w:proofErr w:type="gramStart"/>
      <w:r w:rsidR="00A13392">
        <w:t>differ:</w:t>
      </w:r>
      <w:proofErr w:type="gramEnd"/>
      <w:r w:rsidR="00A13392">
        <w:t xml:space="preserve"> </w:t>
      </w:r>
      <w:r w:rsidR="00D65851">
        <w:t xml:space="preserve">climate change associated with </w:t>
      </w:r>
      <w:r w:rsidR="0047453E">
        <w:t xml:space="preserve">the onset of the Holocene affected </w:t>
      </w:r>
      <w:r w:rsidR="002A30C4">
        <w:t xml:space="preserve">vegetation in </w:t>
      </w:r>
      <w:r w:rsidR="0047453E">
        <w:t xml:space="preserve">the south and western </w:t>
      </w:r>
      <w:r w:rsidR="001F1468">
        <w:t>parts of our study area significantly</w:t>
      </w:r>
      <w:r w:rsidR="002A30C4">
        <w:t>,</w:t>
      </w:r>
      <w:r w:rsidR="001F1468">
        <w:t xml:space="preserve"> </w:t>
      </w:r>
      <w:r w:rsidR="0037648D">
        <w:t>whereas future</w:t>
      </w:r>
      <w:r w:rsidR="002A30C4">
        <w:t xml:space="preserve"> climate</w:t>
      </w:r>
      <w:r w:rsidR="0037648D">
        <w:t xml:space="preserve"> changes </w:t>
      </w:r>
      <w:r w:rsidR="002A30C4">
        <w:t xml:space="preserve">are predicted to </w:t>
      </w:r>
      <w:r w:rsidR="0037648D">
        <w:t xml:space="preserve">have </w:t>
      </w:r>
      <w:r w:rsidR="00532E5F">
        <w:t xml:space="preserve">their </w:t>
      </w:r>
      <w:r w:rsidR="0037648D">
        <w:t>greate</w:t>
      </w:r>
      <w:r w:rsidR="00532E5F">
        <w:t>st</w:t>
      </w:r>
      <w:r w:rsidR="0037648D">
        <w:t xml:space="preserve"> impact on </w:t>
      </w:r>
      <w:r w:rsidR="002A30C4">
        <w:t xml:space="preserve">vegetation in </w:t>
      </w:r>
      <w:r w:rsidR="0037648D">
        <w:t xml:space="preserve">northern and eastern </w:t>
      </w:r>
      <w:r w:rsidR="00B74805">
        <w:t xml:space="preserve">regions which </w:t>
      </w:r>
      <w:r w:rsidR="007A59C8">
        <w:t xml:space="preserve">have </w:t>
      </w:r>
      <w:r w:rsidR="00B74805">
        <w:t xml:space="preserve">otherwise experienced </w:t>
      </w:r>
      <w:r w:rsidR="007A59C8">
        <w:t xml:space="preserve">relatively </w:t>
      </w:r>
      <w:r w:rsidR="00B74805">
        <w:t xml:space="preserve">little </w:t>
      </w:r>
      <w:r w:rsidR="007A59C8">
        <w:t xml:space="preserve">change since the LGM (Figs. </w:t>
      </w:r>
      <w:r w:rsidR="00BF4520">
        <w:t>9</w:t>
      </w:r>
      <w:r w:rsidR="007A59C8">
        <w:t>, S1</w:t>
      </w:r>
      <w:r w:rsidR="00BF4520">
        <w:t>3</w:t>
      </w:r>
      <w:r w:rsidR="007521EB">
        <w:t>-</w:t>
      </w:r>
      <w:r w:rsidR="007A59C8">
        <w:t>1</w:t>
      </w:r>
      <w:r w:rsidR="00BF4520">
        <w:t>4</w:t>
      </w:r>
      <w:r w:rsidR="007521EB">
        <w:t>)</w:t>
      </w:r>
      <w:r w:rsidR="007A59C8">
        <w:t>.</w:t>
      </w:r>
    </w:p>
    <w:p w14:paraId="7D7BC4A3" w14:textId="389DF245" w:rsidR="004D3384" w:rsidRDefault="004D3384" w:rsidP="00F74804">
      <w:pPr>
        <w:spacing w:line="360" w:lineRule="auto"/>
      </w:pPr>
      <w:r>
        <w:rPr>
          <w:noProof/>
          <w:lang w:val="sv-SE" w:eastAsia="sv-SE"/>
        </w:rPr>
        <w:lastRenderedPageBreak/>
        <w:drawing>
          <wp:inline distT="0" distB="0" distL="0" distR="0" wp14:anchorId="71EB2B26" wp14:editId="361087A7">
            <wp:extent cx="5731510" cy="2695600"/>
            <wp:effectExtent l="0" t="0" r="254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9">
                      <a:extLst>
                        <a:ext uri="{28A0092B-C50C-407E-A947-70E740481C1C}">
                          <a14:useLocalDpi xmlns:a14="http://schemas.microsoft.com/office/drawing/2010/main" val="0"/>
                        </a:ext>
                      </a:extLst>
                    </a:blip>
                    <a:stretch>
                      <a:fillRect/>
                    </a:stretch>
                  </pic:blipFill>
                  <pic:spPr>
                    <a:xfrm>
                      <a:off x="0" y="0"/>
                      <a:ext cx="5731510" cy="2695600"/>
                    </a:xfrm>
                    <a:prstGeom prst="rect">
                      <a:avLst/>
                    </a:prstGeom>
                  </pic:spPr>
                </pic:pic>
              </a:graphicData>
            </a:graphic>
          </wp:inline>
        </w:drawing>
      </w:r>
    </w:p>
    <w:p w14:paraId="010A2C3A" w14:textId="337C2879" w:rsidR="00B5495C" w:rsidRDefault="00B5495C" w:rsidP="00F74804">
      <w:pPr>
        <w:spacing w:line="360" w:lineRule="auto"/>
        <w:rPr>
          <w:i/>
          <w:iCs/>
          <w:sz w:val="20"/>
          <w:szCs w:val="20"/>
        </w:rPr>
      </w:pPr>
      <w:r w:rsidRPr="00CF388A">
        <w:rPr>
          <w:i/>
          <w:iCs/>
          <w:sz w:val="20"/>
          <w:szCs w:val="20"/>
        </w:rPr>
        <w:t>Fig</w:t>
      </w:r>
      <w:r w:rsidR="00CF388A" w:rsidRPr="00CF388A">
        <w:rPr>
          <w:i/>
          <w:iCs/>
          <w:sz w:val="20"/>
          <w:szCs w:val="20"/>
        </w:rPr>
        <w:t>.</w:t>
      </w:r>
      <w:r w:rsidRPr="00CF388A">
        <w:rPr>
          <w:i/>
          <w:iCs/>
          <w:sz w:val="20"/>
          <w:szCs w:val="20"/>
        </w:rPr>
        <w:t xml:space="preserve"> </w:t>
      </w:r>
      <w:r w:rsidR="0013552D">
        <w:rPr>
          <w:i/>
          <w:iCs/>
          <w:sz w:val="20"/>
          <w:szCs w:val="20"/>
        </w:rPr>
        <w:t>8</w:t>
      </w:r>
      <w:r w:rsidRPr="00CF388A">
        <w:rPr>
          <w:i/>
          <w:iCs/>
          <w:sz w:val="20"/>
          <w:szCs w:val="20"/>
        </w:rPr>
        <w:t>:</w:t>
      </w:r>
      <w:r>
        <w:rPr>
          <w:i/>
          <w:iCs/>
          <w:sz w:val="20"/>
          <w:szCs w:val="20"/>
        </w:rPr>
        <w:t xml:space="preserve"> </w:t>
      </w:r>
      <w:r w:rsidR="00B81AF7">
        <w:rPr>
          <w:i/>
          <w:iCs/>
          <w:sz w:val="20"/>
          <w:szCs w:val="20"/>
        </w:rPr>
        <w:t>T</w:t>
      </w:r>
      <w:r>
        <w:rPr>
          <w:i/>
          <w:iCs/>
          <w:sz w:val="20"/>
          <w:szCs w:val="20"/>
        </w:rPr>
        <w:t xml:space="preserve">he </w:t>
      </w:r>
      <w:r w:rsidR="00F22A07">
        <w:rPr>
          <w:i/>
          <w:iCs/>
          <w:sz w:val="20"/>
          <w:szCs w:val="20"/>
        </w:rPr>
        <w:t>(dis)</w:t>
      </w:r>
      <w:r>
        <w:rPr>
          <w:i/>
          <w:iCs/>
          <w:sz w:val="20"/>
          <w:szCs w:val="20"/>
        </w:rPr>
        <w:t xml:space="preserve">similarity of future </w:t>
      </w:r>
      <w:r w:rsidR="006F0E30">
        <w:rPr>
          <w:i/>
          <w:iCs/>
          <w:sz w:val="20"/>
          <w:szCs w:val="20"/>
        </w:rPr>
        <w:t xml:space="preserve">floristic </w:t>
      </w:r>
      <w:r>
        <w:rPr>
          <w:i/>
          <w:iCs/>
          <w:sz w:val="20"/>
          <w:szCs w:val="20"/>
        </w:rPr>
        <w:t>assemblages to those of past and present time</w:t>
      </w:r>
      <w:r w:rsidR="0092530B">
        <w:rPr>
          <w:i/>
          <w:iCs/>
          <w:sz w:val="20"/>
          <w:szCs w:val="20"/>
        </w:rPr>
        <w:t xml:space="preserve"> </w:t>
      </w:r>
      <w:r>
        <w:rPr>
          <w:i/>
          <w:iCs/>
          <w:sz w:val="20"/>
          <w:szCs w:val="20"/>
        </w:rPr>
        <w:t>slices</w:t>
      </w:r>
      <w:r w:rsidR="007F1CAB">
        <w:rPr>
          <w:i/>
          <w:iCs/>
          <w:sz w:val="20"/>
          <w:szCs w:val="20"/>
        </w:rPr>
        <w:t xml:space="preserve"> – red denotes assemblages which are </w:t>
      </w:r>
      <w:proofErr w:type="gramStart"/>
      <w:r w:rsidR="007F1CAB">
        <w:rPr>
          <w:i/>
          <w:iCs/>
          <w:sz w:val="20"/>
          <w:szCs w:val="20"/>
        </w:rPr>
        <w:t>more dissimilar and blue</w:t>
      </w:r>
      <w:proofErr w:type="gramEnd"/>
      <w:r w:rsidR="007F1CAB">
        <w:rPr>
          <w:i/>
          <w:iCs/>
          <w:sz w:val="20"/>
          <w:szCs w:val="20"/>
        </w:rPr>
        <w:t xml:space="preserve"> those which are mo</w:t>
      </w:r>
      <w:r w:rsidR="003D39E3">
        <w:rPr>
          <w:i/>
          <w:iCs/>
          <w:sz w:val="20"/>
          <w:szCs w:val="20"/>
        </w:rPr>
        <w:t>re</w:t>
      </w:r>
      <w:r w:rsidR="007F1CAB">
        <w:rPr>
          <w:i/>
          <w:iCs/>
          <w:sz w:val="20"/>
          <w:szCs w:val="20"/>
        </w:rPr>
        <w:t xml:space="preserve"> similar</w:t>
      </w:r>
      <w:r w:rsidR="0052253F">
        <w:rPr>
          <w:i/>
          <w:iCs/>
          <w:sz w:val="20"/>
          <w:szCs w:val="20"/>
        </w:rPr>
        <w:t>.</w:t>
      </w:r>
    </w:p>
    <w:p w14:paraId="271F35F5" w14:textId="78DFBA19" w:rsidR="00E76B1A" w:rsidRDefault="00E76B1A" w:rsidP="00F74804">
      <w:pPr>
        <w:spacing w:line="360" w:lineRule="auto"/>
        <w:rPr>
          <w:i/>
          <w:iCs/>
          <w:sz w:val="20"/>
          <w:szCs w:val="20"/>
        </w:rPr>
      </w:pPr>
      <w:r>
        <w:rPr>
          <w:i/>
          <w:iCs/>
          <w:noProof/>
          <w:sz w:val="20"/>
          <w:szCs w:val="20"/>
        </w:rPr>
        <w:drawing>
          <wp:inline distT="0" distB="0" distL="0" distR="0" wp14:anchorId="59454E9A" wp14:editId="64BBA62B">
            <wp:extent cx="5613009" cy="3334109"/>
            <wp:effectExtent l="0" t="0" r="6985" b="0"/>
            <wp:docPr id="5" name="Picture 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10;&#10;Description automatically generated"/>
                    <pic:cNvPicPr/>
                  </pic:nvPicPr>
                  <pic:blipFill rotWithShape="1">
                    <a:blip r:embed="rId30" cstate="print">
                      <a:extLst>
                        <a:ext uri="{28A0092B-C50C-407E-A947-70E740481C1C}">
                          <a14:useLocalDpi xmlns:a14="http://schemas.microsoft.com/office/drawing/2010/main" val="0"/>
                        </a:ext>
                      </a:extLst>
                    </a:blip>
                    <a:srcRect l="10800" r="10042"/>
                    <a:stretch/>
                  </pic:blipFill>
                  <pic:spPr bwMode="auto">
                    <a:xfrm>
                      <a:off x="0" y="0"/>
                      <a:ext cx="5627228" cy="3342555"/>
                    </a:xfrm>
                    <a:prstGeom prst="rect">
                      <a:avLst/>
                    </a:prstGeom>
                    <a:ln>
                      <a:noFill/>
                    </a:ln>
                    <a:extLst>
                      <a:ext uri="{53640926-AAD7-44D8-BBD7-CCE9431645EC}">
                        <a14:shadowObscured xmlns:a14="http://schemas.microsoft.com/office/drawing/2010/main"/>
                      </a:ext>
                    </a:extLst>
                  </pic:spPr>
                </pic:pic>
              </a:graphicData>
            </a:graphic>
          </wp:inline>
        </w:drawing>
      </w:r>
    </w:p>
    <w:p w14:paraId="39F34512" w14:textId="68951F63" w:rsidR="009332DB" w:rsidRPr="00234077" w:rsidRDefault="009332DB" w:rsidP="00F74804">
      <w:pPr>
        <w:spacing w:line="360" w:lineRule="auto"/>
        <w:rPr>
          <w:i/>
          <w:iCs/>
          <w:sz w:val="20"/>
          <w:szCs w:val="20"/>
        </w:rPr>
      </w:pPr>
      <w:r>
        <w:rPr>
          <w:i/>
          <w:iCs/>
          <w:sz w:val="20"/>
          <w:szCs w:val="20"/>
        </w:rPr>
        <w:t xml:space="preserve">Fig. </w:t>
      </w:r>
      <w:r w:rsidR="0013552D">
        <w:rPr>
          <w:i/>
          <w:iCs/>
          <w:sz w:val="20"/>
          <w:szCs w:val="20"/>
        </w:rPr>
        <w:t>9</w:t>
      </w:r>
      <w:r>
        <w:rPr>
          <w:i/>
          <w:iCs/>
          <w:sz w:val="20"/>
          <w:szCs w:val="20"/>
        </w:rPr>
        <w:t xml:space="preserve">: </w:t>
      </w:r>
      <w:r w:rsidR="00B30342">
        <w:rPr>
          <w:i/>
          <w:iCs/>
          <w:sz w:val="20"/>
          <w:szCs w:val="20"/>
        </w:rPr>
        <w:t xml:space="preserve">Between-time slice intervals during which the greatest floristic change </w:t>
      </w:r>
      <w:r w:rsidR="005F26A8">
        <w:rPr>
          <w:i/>
          <w:iCs/>
          <w:sz w:val="20"/>
          <w:szCs w:val="20"/>
        </w:rPr>
        <w:t>is predicted.</w:t>
      </w:r>
      <w:r w:rsidR="00B73A6A">
        <w:rPr>
          <w:i/>
          <w:iCs/>
          <w:sz w:val="20"/>
          <w:szCs w:val="20"/>
        </w:rPr>
        <w:t xml:space="preserve"> For figures underpinning column chart, see Table S3. For </w:t>
      </w:r>
      <w:r w:rsidR="00D27E20">
        <w:rPr>
          <w:i/>
          <w:iCs/>
          <w:sz w:val="20"/>
          <w:szCs w:val="20"/>
        </w:rPr>
        <w:t>past time slices only (</w:t>
      </w:r>
      <w:proofErr w:type="gramStart"/>
      <w:r w:rsidR="00D27E20">
        <w:rPr>
          <w:i/>
          <w:iCs/>
          <w:sz w:val="20"/>
          <w:szCs w:val="20"/>
        </w:rPr>
        <w:t>i.e.</w:t>
      </w:r>
      <w:proofErr w:type="gramEnd"/>
      <w:r w:rsidR="00D27E20">
        <w:rPr>
          <w:i/>
          <w:iCs/>
          <w:sz w:val="20"/>
          <w:szCs w:val="20"/>
        </w:rPr>
        <w:t xml:space="preserve"> excluding the future scenario), see Fig. </w:t>
      </w:r>
      <w:r w:rsidR="00D54EB9">
        <w:rPr>
          <w:i/>
          <w:iCs/>
          <w:sz w:val="20"/>
          <w:szCs w:val="20"/>
        </w:rPr>
        <w:t>S1</w:t>
      </w:r>
      <w:r w:rsidR="00887237">
        <w:rPr>
          <w:i/>
          <w:iCs/>
          <w:sz w:val="20"/>
          <w:szCs w:val="20"/>
        </w:rPr>
        <w:t>3</w:t>
      </w:r>
      <w:r w:rsidR="00D54EB9">
        <w:rPr>
          <w:i/>
          <w:iCs/>
          <w:sz w:val="20"/>
          <w:szCs w:val="20"/>
        </w:rPr>
        <w:t>.</w:t>
      </w:r>
      <w:r w:rsidR="00875E3F">
        <w:rPr>
          <w:i/>
          <w:iCs/>
          <w:sz w:val="20"/>
          <w:szCs w:val="20"/>
        </w:rPr>
        <w:t xml:space="preserve"> For change between all intervals, see Fig. S1</w:t>
      </w:r>
      <w:r w:rsidR="00887237">
        <w:rPr>
          <w:i/>
          <w:iCs/>
          <w:sz w:val="20"/>
          <w:szCs w:val="20"/>
        </w:rPr>
        <w:t>4</w:t>
      </w:r>
      <w:r w:rsidR="00875E3F">
        <w:rPr>
          <w:i/>
          <w:iCs/>
          <w:sz w:val="20"/>
          <w:szCs w:val="20"/>
        </w:rPr>
        <w:t xml:space="preserve">. </w:t>
      </w:r>
    </w:p>
    <w:p w14:paraId="104ED38B" w14:textId="3D528405" w:rsidR="00E9764E" w:rsidRDefault="00E9764E" w:rsidP="00F74804">
      <w:pPr>
        <w:pStyle w:val="Heading1"/>
        <w:numPr>
          <w:ilvl w:val="0"/>
          <w:numId w:val="5"/>
        </w:numPr>
        <w:spacing w:line="360" w:lineRule="auto"/>
      </w:pPr>
      <w:r>
        <w:t>Discussion</w:t>
      </w:r>
    </w:p>
    <w:p w14:paraId="07B2584C" w14:textId="195CB215" w:rsidR="00E9764E" w:rsidRDefault="00EC212A" w:rsidP="00F74804">
      <w:pPr>
        <w:spacing w:line="360" w:lineRule="auto"/>
      </w:pPr>
      <w:r>
        <w:t xml:space="preserve">Our </w:t>
      </w:r>
      <w:r w:rsidR="00E2085B">
        <w:t>study</w:t>
      </w:r>
      <w:r>
        <w:t xml:space="preserve"> demonstrate</w:t>
      </w:r>
      <w:r w:rsidR="00E2085B">
        <w:t>s</w:t>
      </w:r>
      <w:r>
        <w:t xml:space="preserve"> the value of combining species-level distribution modelling </w:t>
      </w:r>
      <w:r w:rsidR="00C9154E">
        <w:t>with</w:t>
      </w:r>
      <w:r>
        <w:t xml:space="preserve"> a granular synthesis of </w:t>
      </w:r>
      <w:proofErr w:type="spellStart"/>
      <w:r>
        <w:t>palaeo</w:t>
      </w:r>
      <w:r w:rsidR="00BF332D">
        <w:t>vegetation</w:t>
      </w:r>
      <w:proofErr w:type="spellEnd"/>
      <w:r w:rsidR="00592E44">
        <w:t>-</w:t>
      </w:r>
      <w:r>
        <w:t xml:space="preserve">proxy evidence </w:t>
      </w:r>
      <w:r w:rsidR="008E656F">
        <w:t xml:space="preserve">to better understand </w:t>
      </w:r>
      <w:r w:rsidR="00697051">
        <w:t xml:space="preserve">how </w:t>
      </w:r>
      <w:r w:rsidR="008E656F">
        <w:t>plant species</w:t>
      </w:r>
      <w:r w:rsidR="00701097">
        <w:t xml:space="preserve"> in Brazil’s </w:t>
      </w:r>
      <w:r w:rsidR="00701097">
        <w:lastRenderedPageBreak/>
        <w:t>southern Atlantic Forest</w:t>
      </w:r>
      <w:r w:rsidR="008E656F">
        <w:t xml:space="preserve"> </w:t>
      </w:r>
      <w:r w:rsidR="00701097">
        <w:t xml:space="preserve">have </w:t>
      </w:r>
      <w:r w:rsidR="008E656F">
        <w:t>respon</w:t>
      </w:r>
      <w:r w:rsidR="00701097">
        <w:t>ded</w:t>
      </w:r>
      <w:r w:rsidR="008E656F">
        <w:t xml:space="preserve"> </w:t>
      </w:r>
      <w:r w:rsidR="00697051">
        <w:t>to climate changes since the LGM</w:t>
      </w:r>
      <w:r w:rsidR="00B81AF7">
        <w:t>.</w:t>
      </w:r>
      <w:r w:rsidR="00697051">
        <w:t xml:space="preserve"> </w:t>
      </w:r>
      <w:r>
        <w:t xml:space="preserve">The </w:t>
      </w:r>
      <w:r w:rsidR="00E2085B">
        <w:t>results</w:t>
      </w:r>
      <w:r>
        <w:t xml:space="preserve"> generated show that our downscaled climate data and predicted species distributions are broadly aligned with independent proxy </w:t>
      </w:r>
      <w:proofErr w:type="gramStart"/>
      <w:r>
        <w:t>evidence, and</w:t>
      </w:r>
      <w:proofErr w:type="gramEnd"/>
      <w:r>
        <w:t xml:space="preserve"> provide a number of important </w:t>
      </w:r>
      <w:r w:rsidR="00B81AF7">
        <w:t xml:space="preserve">novel </w:t>
      </w:r>
      <w:r>
        <w:t xml:space="preserve">insights into the past and future of </w:t>
      </w:r>
      <w:r w:rsidR="00786142">
        <w:t>southern Brazil’s</w:t>
      </w:r>
      <w:r>
        <w:t xml:space="preserve"> Atlantic Forest.</w:t>
      </w:r>
    </w:p>
    <w:p w14:paraId="0085734B" w14:textId="2444A569" w:rsidR="00B1424A" w:rsidRDefault="00CE7582" w:rsidP="00F74804">
      <w:pPr>
        <w:pStyle w:val="Heading2"/>
        <w:numPr>
          <w:ilvl w:val="1"/>
          <w:numId w:val="5"/>
        </w:numPr>
        <w:spacing w:line="360" w:lineRule="auto"/>
      </w:pPr>
      <w:r>
        <w:t>P</w:t>
      </w:r>
      <w:r w:rsidR="00697EC9">
        <w:t>lant community</w:t>
      </w:r>
      <w:r>
        <w:t xml:space="preserve"> change</w:t>
      </w:r>
      <w:r w:rsidR="00B81AF7">
        <w:t xml:space="preserve"> since the LGM</w:t>
      </w:r>
    </w:p>
    <w:p w14:paraId="44B30F77" w14:textId="3BE20FE0" w:rsidR="00C05565" w:rsidRDefault="00275138" w:rsidP="00F74804">
      <w:pPr>
        <w:spacing w:line="360" w:lineRule="auto"/>
      </w:pPr>
      <w:r>
        <w:t xml:space="preserve">Our results highlight the importance of </w:t>
      </w:r>
      <w:r w:rsidR="00C05565">
        <w:t xml:space="preserve">considering ecosystems’ </w:t>
      </w:r>
      <w:r>
        <w:t>compositional change</w:t>
      </w:r>
      <w:r w:rsidR="00C05565">
        <w:t>s</w:t>
      </w:r>
      <w:r>
        <w:t xml:space="preserve"> </w:t>
      </w:r>
      <w:r w:rsidR="00C05565">
        <w:t>alongside shifts in distribution</w:t>
      </w:r>
      <w:r w:rsidR="00A34CF1">
        <w:t xml:space="preserve"> – especially in the southern Atlantic Forest’s variable ecosystems</w:t>
      </w:r>
      <w:r w:rsidR="00C05565">
        <w:t xml:space="preserve">. </w:t>
      </w:r>
      <w:r w:rsidR="00A34CF1">
        <w:t>At a</w:t>
      </w:r>
      <w:r w:rsidR="00B64946">
        <w:t>n aggregate</w:t>
      </w:r>
      <w:r w:rsidR="00A34CF1">
        <w:t xml:space="preserve"> </w:t>
      </w:r>
      <w:r w:rsidR="002963C5">
        <w:t xml:space="preserve">(e.g. cluster </w:t>
      </w:r>
      <w:r w:rsidR="002963C5" w:rsidRPr="002963C5">
        <w:rPr>
          <w:i/>
          <w:iCs/>
        </w:rPr>
        <w:t>a, b, c</w:t>
      </w:r>
      <w:r w:rsidR="002963C5">
        <w:t xml:space="preserve">) </w:t>
      </w:r>
      <w:r w:rsidR="00A34CF1">
        <w:t>level</w:t>
      </w:r>
      <w:r w:rsidR="00DA783D">
        <w:t xml:space="preserve">, </w:t>
      </w:r>
      <w:r w:rsidR="00147B5F">
        <w:t xml:space="preserve">our findings </w:t>
      </w:r>
      <w:r w:rsidR="00E4085B">
        <w:t>confirm</w:t>
      </w:r>
      <w:r w:rsidR="00147B5F">
        <w:t xml:space="preserve"> expect</w:t>
      </w:r>
      <w:r w:rsidR="00E4085B">
        <w:t>ations</w:t>
      </w:r>
      <w:r w:rsidR="001150CC">
        <w:t xml:space="preserve"> based upon previously published fossil pollen data</w:t>
      </w:r>
      <w:r w:rsidR="00DF722C">
        <w:t xml:space="preserve"> and modelling studies </w:t>
      </w:r>
      <w:r w:rsidR="00D821A4">
        <w:fldChar w:fldCharType="begin" w:fldLock="1"/>
      </w:r>
      <w:r w:rsidR="00D14D9C">
        <w:instrText>ADDIN CSL_CITATION {"citationItems":[{"id":"ITEM-1","itemData":{"DOI":"10.1111/geb.12694","ISBN":"4170","ISSN":"14668238","abstract":"Aim: The aim was to examine the links between past biome stability, vegetation dynamics and biodiversity patterns. Location: South America. Time period: Last 30,000 years. Major taxa studied: Plants. Methods: We classified South America into major biomes according to their dominant plant functional groups (grasses, trees and shrubs) and ran a random forest (RF) classification with data on current climate. We then fitted the algorithm to predict biome distributions for every 1,000 years back to 21,000 yr BP and estimated biome stability by counting how many times a change in climate was predicted to shift a grid cell from one biome to another. We compared our model-based stability map with empirical estimates from selected pollen records covering the past 30 kyr in terms of vegetation shifts, changes in species composition and time-lag of vegetation responses. Results: We found a strong correlation between our habitat stability map and regional vegetation dynamics. Four scenarios emerged according to the way forest distribution shifted during a climate change. Each scenario related to specific regional features of biome stability and diversity, allowing us to formulate specific predictions on how taxonomic, genetic and functional components of biodiversity might be impacted by modern climate change. Main conclusions: Our validated map of biome stability provides important baseline information for studying the impacts of past climate on biodiversity in South America. By focusing exclusively on climatic changes of manifested relevance (i.e., those resulting in significant habitat changes), it provides a novel perspective that complements previous datasets and allows scientists to explore new questions and hypotheses at the local, regional and continental scales.","author":[{"dropping-particle":"","family":"Costa","given":"Gabriel C.","non-dropping-particle":"","parse-names":false,"suffix":""},{"dropping-particle":"","family":"Hampe","given":"Arndt","non-dropping-particle":"","parse-names":false,"suffix":""},{"dropping-particle":"","family":"Ledru","given":"Marie Pierre","non-dropping-particle":"","parse-names":false,"suffix":""},{"dropping-particle":"","family":"Martinez","given":"Pablo A.","non-dropping-particle":"","parse-names":false,"suffix":""},{"dropping-particle":"","family":"Mazzochini","given":"Guilherme G.","non-dropping-particle":"","parse-names":false,"suffix":""},{"dropping-particle":"","family":"Shepard","given":"Donald B.","non-dropping-particle":"","parse-names":false,"suffix":""},{"dropping-particle":"","family":"Werneck","given":"Fernanda P.","non-dropping-particle":"","parse-names":false,"suffix":""},{"dropping-particle":"","family":"Moritz","given":"Craig","non-dropping-particle":"","parse-names":false,"suffix":""},{"dropping-particle":"","family":"Carnaval","given":"Ana Carolina","non-dropping-particle":"","parse-names":false,"suffix":""}],"container-title":"Global Ecology and Biogeography","id":"ITEM-1","issue":"August 2017","issued":{"date-parts":[["2017"]]},"note":"Uses RFs to model biomes (tropical rainforest, grassland etc - all Mata Atlantica ends up rainforest) from LGM at 1000yr intervals (HadCM3) with comparison to pollen records. Looks at biome stability through time. Large (unexpected?) refuge area in southern Brazil (SC, S PR) with only one shift from grassland to forest (but which might include Campos grasslands). Lots of interesting discussion about microrefugia and what you'd expect to see in different places in terms of genetic/taxonomic diversity etc. Use as springboard for higher taxonomic resolution modelling to see floristic changes through time - specifically investigating the stable zone.","page":"285-297","title":"Biome stability in South America over the last 30 kyr: Inferences from long-term vegetation dynamics and habitat modelling","type":"article-journal"},"uris":["http://www.mendeley.com/documents/?uuid=b7c29cbb-73a3-4cdf-807b-397f0068a642"]},{"id":"ITEM-2","itemData":{"DOI":"10.1111/geb.12646","ISSN":"14668238","abstract":"Aim: The two main hypotheses about the Neotropical palaeovegetation, namely that of Ama- zonian refugia by Haffer and of the Pleistocene arc by Prado and Gibbs, are still constantly debated. We offer new insights on this debate using ecological niche modelling with combined climate–soil predictors to test both hypotheses, reconstruct the palaeovegetation of the Last Glacial Maximum (LGM; 21 ka) and Mid-Holocene (Mid-H; 6 ka) and indicate the configuration of refugia areas. Location: Brazil. Time period: Last 21 ka. Major taxa studied: Biomes. Methods: We modelled the environmental space of the 10 most representative biomes with the RandomForest classifier, using climate predictors from three atmospheric general circulation mod- els (CCSM4, MPI-ESM-P and MIROC-ESM) and soil predictors, the same for the different situations. Based on the consensus among the models, we reconstructed the palaeovegetation cover for LGM and Mid-H and used fossil pollen sites to validate the reconstructions in a direct comparison. Abstract Aim: The two main hypotheses about the Neotropical palaeovegetation, namely that of Ama- zonian refugia by Haffer and of the Pleistocene arc by Prado and Gibbs, are still constantly debated. We offer new insights on this debate using ecological niche modelling with combined climate–soil predictors to test both hypotheses, reconstruct the palaeovegetation of the Last Glacial Maximum (LGM; 21 ka) and Mid-Holocene (Mid-H; 6 ka) and indicate the configuration of refugia areas. Location: Brazil. Time period: Last 21 ka. Major taxa studied: Biomes. Methods: We modelled the environmental space of the 10 most representative biomes with the RandomForest classifier, using climate predictors from three atmospheric general circulation mod- els (CCSM4, MPI-ESM-P and MIROC-ESM) and soil predictors, the same for the different situations. Based on the consensus among the models, we reconstructed the palaeovegetation cover for LGM and Mid-H and used fossil pollen sites to validate the reconstructions in a direct comparison. Results: The climate in the past was cooler and wetter throughout most of the territory. The Ama- zon basin region was the most affected by climate change in the last 21 ka, with equatorial rain forest retracting to refugia areas, while the tropical rain forest (with climatic preferences similar to the Atlantic forest) expanded in the basin. In southern Brazil, the mixed forest (Araucaria forest) shifted to lower latitudes, while the gras…","author":[{"dropping-particle":"","family":"Arruda","given":"Daniel M.","non-dropping-particle":"","parse-names":false,"suffix":""},{"dropping-particle":"","family":"Schaefer","given":"Carlos E.G.R.","non-dropping-particle":"","parse-names":false,"suffix":""},{"dropping-particle":"","family":"Fonseca","given":"Rúbia S.","non-dropping-particle":"","parse-names":false,"suffix":""},{"dropping-particle":"","family":"Solar","given":"Ricardo R.C.","non-dropping-particle":"","parse-names":false,"suffix":""},{"dropping-particle":"","family":"Fernandes-Filho","given":"Elpídio I.","non-dropping-particle":"","parse-names":false,"suffix":""}],"container-title":"Global Ecology and Biogeography","id":"ITEM-2","issue":"August 2017","issued":{"date-parts":[["2017"]]},"note":"Models biomes in high resolution (1km) using 4 worldclim bioclim variables and 6 soil variables. Looks at LGM and MH. Interesting things about MOF and campos, and seems to agree more with Atlantic Forest hypothesis. Would be interesting to test this with species-centred models in S Brazil, with more explicit evaluation against fossil pollen, and changes in sea level modelled too","page":"47-56","title":"Vegetation cover of Brazil in the last 21 ka: New insights into the Amazonian refugia and Pleistocenic arc hypotheses","type":"article-journal"},"uris":["http://www.mendeley.com/documents/?uuid=1c764ef1-ded9-4832-89e6-a30d6484b1d2"]},{"id":"ITEM-3","itemData":{"DOI":"10.1080/17550874.2019.1618408","ISSN":"1755-0874","abstract":"Background: Araucaria forests are mountain ecosystems that might have expanded in the late Holocene, however past distributions remain uncertain. If current distribution reflects climatic conditions, past and future distributions may be projected using climate models. Aims: To contribute to the understanding of past and future distribution of Araucaria forests as a function of climate, we hypothesised that (1) they have increased their geographic distribution since the Last Glacial Maximum (LGM) until the present; and (2) would contract under predicted future climates. Methods: We modelled the spatial distributions of Araucaria forests under current, past and future climatic scenarios. Ecological niche models of 12 indicator species were developed using ensemble modelling. Results: The greatest extent of distribution of Araucaria forests appeared to have occurred during the LGM, after which a continuous retraction followed until the present. Our models suggested that Araucaria forests would experience an even greater retraction in the future. Conclusion: Araucaria forests could have covered larger areas during the LGM than suggested by earlier palynological studies, because climate was suitable for their distribution. The degree of loss of modelled distribution area since the LGM until today indicate these forests are likely to continue to shrink under projected future climatic changes.","author":[{"dropping-particle":"","family":"Bergamin","given":"Rodrigo Scarton","non-dropping-particle":"","parse-names":false,"suffix":""},{"dropping-particle":"","family":"Debastiani","given":"Vanderlei","non-dropping-particle":"","parse-names":false,"suffix":""},{"dropping-particle":"","family":"Joner","given":"Daiany C.","non-dropping-particle":"","parse-names":false,"suffix":""},{"dropping-particle":"","family":"Lemes","given":"Priscila","non-dropping-particle":"","parse-names":false,"suffix":""},{"dropping-particle":"","family":"Guimarães","given":"Taís","non-dropping-particle":"","parse-names":false,"suffix":""},{"dropping-particle":"","family":"Loyola","given":"Rafael D.","non-dropping-particle":"","parse-names":false,"suffix":""},{"dropping-particle":"","family":"Müller","given":"Sandra C.","non-dropping-particle":"","parse-names":false,"suffix":""}],"container-title":"Plant Ecology &amp; Diversity","id":"ITEM-3","issue":"2","issued":{"date-parts":[["2019","3","4"]]},"note":"Models 12 MOF indicator species at the LGM, MH, present and 2070 (RCP 2.5 and 8.5). Predicts widest extent at LGM, markedly decreased by the MH, and slightly decreased again to the present. (Matches with expansions of cerrado and SDF modelled in other studies.) Retractions mainly in N and W, where palaeo records are few; stable in the E. Big declines expected to future. Species tended to respond in unison (possibly a side effect of using indicator species).","page":"115-126","publisher":"Taylor and Francis Ltd.","title":"Loss of suitable climatic areas for Araucaria forests over time","type":"article-journal","volume":"12"},"uris":["http://www.mendeley.com/documents/?uuid=34ad3c79-a6b8-35e2-970b-6ff82fbce254"]},{"id":"ITEM-4","itemData":{"DOI":"10.1016/S0031-0182(03)00687-4","ISBN":"0031-0182","ISSN":"00310182","abstract":"Late Quaternary vegetation, fire and climate dynamics have been studied based on high-resolution dated pollen and charcoal samples and multivariate data analysis. The samples were taken from a 212-cm-long sediment core of a bog in the Cambará do Sul region on the highlands of northeastern Rio Grande do Sul State, Brazil. The records, including seven AMS radiocarbon dates, span 42 840 14C years, for the first time extending the reconstruction of past environmental changes on the southern Brazilian highlands back to the Last Glacial Maximum (LGM) and pre-LGM times. The last 1100 years provide a decadal resolution. Initially the site was a permanent shallow lake which became seasonally dry after 26 900 14C yr BP. Seasonal climate with a long annual dry period prevailed until the late Holocene. The climate was somewhat wetter from 42 840 to 41 470 14C yr BP and from 41 470 to 26 900 14C yr BP than during the LGM and the late-Glacial period. Natural fires were rare, but became very frequent after 7400 cal BP, suggesting human occupation of the southernmost Brazilian highlands since that time. The records suggest that a species-rich Campos (grassland) vegetation existed in the area under a relatively dry and cold climate during glacial times under possibly as low as -10°C. The record also suggests that small populations of Araucaria were probably only present in refugia of deep and protected valleys and/or on wetter coastal slopes. Campos vegetation existed through the early and mid-Holocene until 4320 cal yr BP, after which Araucaria forest expanded into the network of gallery forests along the streams. By 1100 cal yr BP the Araucaria forest replaced the Campos vegetation reflecting the onset of the wettest period with no marked annual dry season. The marked expansion of the Araucaria forest coincided with the reduction in fire. Between AD 1520 and 1770 Weinmannia became a common taxa in the Araucaria forest, suggesting a shift to warmer climatic conditions on the highlands. This interval was synchronous with a cool phase within the Little Ice Age known from North Atlantic land records. After about AD 1780 human activities changed the original forest composition, first by introducing cattle into the forest and than by selective logging of Araucaria trees. Multivariate analysis of the pollen data shows compositional changes that follow a trajectory alternating undirectional, random phases and phases with directional, sometimes fast transitions. The results al…","author":[{"dropping-particle":"","family":"Behling","given":"Hermann","non-dropping-particle":"","parse-names":false,"suffix":""},{"dropping-particle":"","family":"Pillar","given":"Valerio DePatta","non-dropping-particle":"","parse-names":false,"suffix":""},{"dropping-particle":"","family":"Orlóci","given":"László","non-dropping-particle":"","parse-names":false,"suffix":""},{"dropping-particle":"","family":"Bauermann","given":"Soraia Girardi","non-dropping-particle":"","parse-names":false,"suffix":""}],"container-title":"Palaeogeography, Palaeoclimatology, Palaeoecology","id":"ITEM-4","issue":"3-4","issued":{"date-parts":[["2004"]]},"note":"CamSu\n\nDetailed examination of Cambara do Sul core in NE Rio Grande do Sul, 42,658 C14 yr BP to present. Shows 100 year Campos-Araucaria switch in about 1100 cal yr BP.\n\nNEEDS SOME REINTERPRETING WITH LEONHARDT &amp;amp; LORSCHEITTER 2010. SEE NOTE\n\n(All dates C14 yr BP)\n\n42,840 - 41,470\n83-88% campos pollen, 8-14% Araucaria forest pollen (only 2 grains of A. angustifolia), only one pollen grain from Atlantic forest taxa, aquatics 6-16%, ferns 3-6%. Low conc and accumulation of carbonised particles.\n\n41,4701 - 26,900\n87-94% campos pollen, 3-9% Araucaria forest (less pollen from Myrtaceae), a few single grains of Atlantic forest pollen, less aquatic pollen (3-7%), fewer fern spores (0-3%). Carbonised particles still rare.\n\n26,900 - 10,120\n87-97% campos pollen (though changing composition - Poaceae down, Eryngium up; less Apiaceae), 1-5% Araucaria forest, 0-0.3% Atlantic forest (lowest for both), 1-3% aquatic, lowest time for ferns (but big increase at end of zone). Carbonised particles rare.\n\n10,120 - 3,950 (11,540 - 4,320 cal yr BP)\n74-88% campos but lower near end (Poaceae up from last time; Eryngium get more common; other compositional changes), 3-13% Araucaria forest (up slightly thanks to A. angustifolia and Myrsine), 0-4% Atlantic (up slightly), trace aquatics, big increase of ferns (up to 46%) then decrease by end (to 9%), increase in Dicksonia (0-14%). Lots of carbonised particles higher up in this section.\n\n3950 - 1140 (4320 - 1100 cal yr BP)\n65-84% campos (down a bit but still high; Cyperaceae up, Poaceae and Eryngium down), 13-27% Araucaria forest (mainly A. angustifolia 4-7%, Myrsine and Weinmannia), 2-5% Atlantic forest, fern spores up again (9-40%), Dicksonia common (9-16%). Lots and lots of carbonised particles.\n\n1140 - 410 (1100 - 430 cal yr BP)\nCampos way down and keeps going (55-24%), continuous increase of Araucaria forest pollen (39-80%) with A. angustifolia going up 14-42% and big increase in Mimosa scabrella, no change in Atlantic (2-6%), fewer fern spores (5-19%), highest Dicksonia spore level (9-26%), high point for mosses but decrease later. Low concentration of carbonised particles but higher accumulation than at beginning of core.\n\n410 - -50 (430 - -50 cal yr BP)\nCampos start way down (to 11%) but increase (to 38%, through Cyperaceae then Poaceae) then go down right at the end, Araucaria forest highest early on (87%) but decreases at the end (65%) as A. angustifolia drops off right at the end (41-2%; Mimosa scabrella jumps correspondingly; other changes), nothing much happens with Atlantic forest (2-7%), fern spores go down (21-2%) and Dicksonia crashes by end (19-0.3%). Similar carbonised particles to before.","page":"277-297","title":"Late Quaternary Araucaria forest, grassland (Campos), fire and climate dynamics, studied by high-resolution pollen, charcoal and multivariate analysis of the Cambará do Sul core in southern Brazil","type":"article-journal","volume":"203"},"uris":["http://www.mendeley.com/documents/?uuid=46579170-55fd-37c2-8f78-517419a62e98"]},{"id":"ITEM-5","itemData":{"author":[{"dropping-particle":"","family":"Bauermann","given":"Soraia Girardi","non-dropping-particle":"","parse-names":false,"suffix":""}],"id":"ITEM-5","issued":{"date-parts":[["2003"]]},"note":"AgCla &amp;amp; Barro","number-of-pages":"137","publisher":"Universidade Federal do Rio Grande do Sul","title":"Analises palinologicas e evolucao paleovegetacional e paleoambiental das turfeiras de Barrocadas e Águas Claras, Planicie Costeira do Rio Grande do Sul, Brasil","type":"thesis"},"uris":["http://www.mendeley.com/documents/?uuid=57d91572-bb73-4927-9ac3-f05403cba750"]}],"mendeley":{"formattedCitation":"(Arruda et al., 2017; Bauermann, 2003; Behling et al., 2004; Bergamin et al., 2019; Costa et al., 2017)","plainTextFormattedCitation":"(Arruda et al., 2017; Bauermann, 2003; Behling et al., 2004; Bergamin et al., 2019; Costa et al., 2017)","previouslyFormattedCitation":"(Arruda et al., 2017; Bauermann, 2003; Behling et al., 2004; Bergamin et al., 2019; Costa et al., 2017)"},"properties":{"noteIndex":0},"schema":"https://github.com/citation-style-language/schema/raw/master/csl-citation.json"}</w:instrText>
      </w:r>
      <w:r w:rsidR="00D821A4">
        <w:fldChar w:fldCharType="separate"/>
      </w:r>
      <w:r w:rsidR="005260FD" w:rsidRPr="005260FD">
        <w:rPr>
          <w:noProof/>
        </w:rPr>
        <w:t>(Arruda et al., 2017; Bauermann, 2003; Behling et al., 2004; Bergamin et al., 2019; Costa et al., 2017)</w:t>
      </w:r>
      <w:r w:rsidR="00D821A4">
        <w:fldChar w:fldCharType="end"/>
      </w:r>
      <w:r w:rsidR="00147B5F">
        <w:t xml:space="preserve">: cold-adapted </w:t>
      </w:r>
      <w:r w:rsidR="00B81AF7">
        <w:t xml:space="preserve">floristic </w:t>
      </w:r>
      <w:r w:rsidR="00147B5F">
        <w:t>assemblages have occupied most of the highlands for most of the last 21,000 years</w:t>
      </w:r>
      <w:r w:rsidR="0040731D">
        <w:t>, with their wider LGM extent reduced by the early Holocene;</w:t>
      </w:r>
      <w:r w:rsidR="003745FD">
        <w:t xml:space="preserve"> </w:t>
      </w:r>
      <w:r w:rsidR="00053206">
        <w:t xml:space="preserve">large areas of </w:t>
      </w:r>
      <w:r w:rsidR="00A934D4">
        <w:t xml:space="preserve">more </w:t>
      </w:r>
      <w:r w:rsidR="00EE0817">
        <w:t>warm</w:t>
      </w:r>
      <w:r w:rsidR="00AD15B7">
        <w:t>-adapted</w:t>
      </w:r>
      <w:r w:rsidR="00726587">
        <w:t xml:space="preserve"> </w:t>
      </w:r>
      <w:r w:rsidR="00676F1A">
        <w:t>and</w:t>
      </w:r>
      <w:r w:rsidR="00A14C59">
        <w:t xml:space="preserve"> seasonal</w:t>
      </w:r>
      <w:r w:rsidR="00EE0817">
        <w:t xml:space="preserve"> </w:t>
      </w:r>
      <w:r w:rsidR="00053206">
        <w:t>communities</w:t>
      </w:r>
      <w:r w:rsidR="00EE0817">
        <w:t xml:space="preserve"> emerged at lower elevations in the south and west around </w:t>
      </w:r>
      <w:r w:rsidR="00A14C59">
        <w:t xml:space="preserve">12,000 years ago </w:t>
      </w:r>
      <w:r w:rsidR="00813533">
        <w:t>before receding</w:t>
      </w:r>
      <w:r w:rsidR="00A14C59">
        <w:t xml:space="preserve"> </w:t>
      </w:r>
      <w:r w:rsidR="00B66642">
        <w:t xml:space="preserve">in the late Holocene; </w:t>
      </w:r>
      <w:r w:rsidR="00813533">
        <w:t xml:space="preserve">and the full development of coastal tropical forest only occurred in the last few thousand years. </w:t>
      </w:r>
      <w:r w:rsidR="00AD15B7">
        <w:t>H</w:t>
      </w:r>
      <w:r w:rsidR="00813533">
        <w:t xml:space="preserve">owever, </w:t>
      </w:r>
      <w:r w:rsidR="00AD15B7">
        <w:t xml:space="preserve">our </w:t>
      </w:r>
      <w:r w:rsidR="001150CC">
        <w:t>approach</w:t>
      </w:r>
      <w:r w:rsidR="00AD15B7">
        <w:t xml:space="preserve"> provides </w:t>
      </w:r>
      <w:r w:rsidR="006F7758">
        <w:t>unique</w:t>
      </w:r>
      <w:r w:rsidR="00E82B84">
        <w:t xml:space="preserve"> insight</w:t>
      </w:r>
      <w:r w:rsidR="001150CC">
        <w:t>s</w:t>
      </w:r>
      <w:r w:rsidR="00E82B84">
        <w:t xml:space="preserve"> </w:t>
      </w:r>
      <w:r w:rsidR="00AD15B7">
        <w:t>into the floristic</w:t>
      </w:r>
      <w:r w:rsidR="00E82B84">
        <w:t xml:space="preserve"> changes </w:t>
      </w:r>
      <w:r w:rsidR="00BB654B">
        <w:t>within</w:t>
      </w:r>
      <w:r w:rsidR="001150CC">
        <w:t xml:space="preserve"> these broad-scale vegetation shifts by providing </w:t>
      </w:r>
      <w:r w:rsidR="000174D0">
        <w:t>significantly enhanced</w:t>
      </w:r>
      <w:r w:rsidR="001150CC">
        <w:t xml:space="preserve"> </w:t>
      </w:r>
      <w:r w:rsidR="000174D0">
        <w:t xml:space="preserve">spatial and </w:t>
      </w:r>
      <w:r w:rsidR="001150CC">
        <w:t>taxonomic (species-level) resolution</w:t>
      </w:r>
      <w:r w:rsidR="00CF0136">
        <w:t xml:space="preserve"> (Fig. </w:t>
      </w:r>
      <w:r w:rsidR="00887237">
        <w:t>6</w:t>
      </w:r>
      <w:r w:rsidR="00CF0136">
        <w:t>)</w:t>
      </w:r>
      <w:r w:rsidR="00E82B84">
        <w:t>.</w:t>
      </w:r>
      <w:r w:rsidR="00441FB8">
        <w:t xml:space="preserve"> </w:t>
      </w:r>
      <w:r w:rsidR="001150CC">
        <w:t>Our modelling results show that h</w:t>
      </w:r>
      <w:r w:rsidR="00441FB8">
        <w:t xml:space="preserve">ighland LGM assemblages were not </w:t>
      </w:r>
      <w:r w:rsidR="001150CC">
        <w:t xml:space="preserve">floristically </w:t>
      </w:r>
      <w:r w:rsidR="00441FB8">
        <w:t xml:space="preserve">uniform across the </w:t>
      </w:r>
      <w:r w:rsidR="00DC2EC2">
        <w:t>plateau</w:t>
      </w:r>
      <w:r w:rsidR="00625E5E">
        <w:t xml:space="preserve"> – </w:t>
      </w:r>
      <w:r w:rsidR="0083578A">
        <w:t xml:space="preserve">vegetation in </w:t>
      </w:r>
      <w:r w:rsidR="00441FB8">
        <w:t>western</w:t>
      </w:r>
      <w:r w:rsidR="0083578A">
        <w:t xml:space="preserve"> highland</w:t>
      </w:r>
      <w:r w:rsidR="00441FB8">
        <w:t xml:space="preserve"> areas </w:t>
      </w:r>
      <w:r w:rsidR="00625E5E">
        <w:t>w</w:t>
      </w:r>
      <w:r w:rsidR="0083578A">
        <w:t>as</w:t>
      </w:r>
      <w:r w:rsidR="00625E5E">
        <w:t xml:space="preserve"> compositionally </w:t>
      </w:r>
      <w:r w:rsidR="006A67A0">
        <w:t xml:space="preserve">closer </w:t>
      </w:r>
      <w:r w:rsidR="00625E5E">
        <w:t xml:space="preserve">to modern </w:t>
      </w:r>
      <w:r w:rsidR="00441FB8">
        <w:t>Campos and Cloud Forest</w:t>
      </w:r>
      <w:r w:rsidR="00625E5E">
        <w:t>, w</w:t>
      </w:r>
      <w:r w:rsidR="0083578A">
        <w:t>hile</w:t>
      </w:r>
      <w:r w:rsidR="00441FB8">
        <w:t xml:space="preserve"> </w:t>
      </w:r>
      <w:r w:rsidR="006A67A0">
        <w:t>more Araucaria Mixed Forest elements occurr</w:t>
      </w:r>
      <w:r w:rsidR="0083578A">
        <w:t>ed</w:t>
      </w:r>
      <w:r w:rsidR="006A67A0">
        <w:t xml:space="preserve"> </w:t>
      </w:r>
      <w:r w:rsidR="0083578A">
        <w:t>in</w:t>
      </w:r>
      <w:r w:rsidR="006A67A0">
        <w:t xml:space="preserve"> east</w:t>
      </w:r>
      <w:r w:rsidR="0083578A">
        <w:t>ern highland areas</w:t>
      </w:r>
      <w:r w:rsidR="006A67A0">
        <w:t>.</w:t>
      </w:r>
      <w:r w:rsidR="0091510F">
        <w:t xml:space="preserve"> </w:t>
      </w:r>
      <w:r w:rsidR="00F776E4">
        <w:t>Our evidence suggests that t</w:t>
      </w:r>
      <w:r w:rsidR="00A94D0C">
        <w:t xml:space="preserve">he eastern plateau and coastal plain </w:t>
      </w:r>
      <w:r w:rsidR="00F776E4">
        <w:t xml:space="preserve">experienced no </w:t>
      </w:r>
      <w:r w:rsidR="00CF0136">
        <w:t>ecosystem</w:t>
      </w:r>
      <w:r w:rsidR="0097712A">
        <w:t>-</w:t>
      </w:r>
      <w:r w:rsidR="00212F41">
        <w:t xml:space="preserve"> (</w:t>
      </w:r>
      <w:proofErr w:type="gramStart"/>
      <w:r w:rsidR="00212F41">
        <w:t>i.e.</w:t>
      </w:r>
      <w:proofErr w:type="gramEnd"/>
      <w:r w:rsidR="00212F41">
        <w:t xml:space="preserve"> cluster-) </w:t>
      </w:r>
      <w:r w:rsidR="0097712A">
        <w:t>level</w:t>
      </w:r>
      <w:r w:rsidR="00CF0136">
        <w:t xml:space="preserve"> </w:t>
      </w:r>
      <w:r w:rsidR="0083578A">
        <w:t>turnover</w:t>
      </w:r>
      <w:r w:rsidR="00CF0136">
        <w:t xml:space="preserve"> </w:t>
      </w:r>
      <w:r w:rsidR="0083578A">
        <w:t>over the last 21</w:t>
      </w:r>
      <w:r w:rsidR="00F776E4">
        <w:t>,000 years</w:t>
      </w:r>
      <w:r w:rsidR="00364DDD">
        <w:t>, but rather</w:t>
      </w:r>
      <w:r w:rsidR="0083578A">
        <w:t xml:space="preserve"> </w:t>
      </w:r>
      <w:r w:rsidR="00CF0136">
        <w:t xml:space="preserve">underwent numerous </w:t>
      </w:r>
      <w:r w:rsidR="00AD15B7">
        <w:t>subtle</w:t>
      </w:r>
      <w:r w:rsidR="00CF0136">
        <w:t xml:space="preserve"> compositional shifts. </w:t>
      </w:r>
    </w:p>
    <w:p w14:paraId="7DDC0466" w14:textId="5C4B13B3" w:rsidR="00E216A3" w:rsidRDefault="00536BBE" w:rsidP="00F74804">
      <w:pPr>
        <w:spacing w:line="360" w:lineRule="auto"/>
      </w:pPr>
      <w:r>
        <w:t xml:space="preserve">Our </w:t>
      </w:r>
      <w:r w:rsidR="004D68DD">
        <w:t>species-</w:t>
      </w:r>
      <w:r w:rsidR="00364DDD">
        <w:t>level</w:t>
      </w:r>
      <w:r w:rsidR="004D68DD">
        <w:t xml:space="preserve"> </w:t>
      </w:r>
      <w:r>
        <w:t>modelling approach provides important new insights in</w:t>
      </w:r>
      <w:r w:rsidR="004D68DD">
        <w:t>to Holocene plant communities</w:t>
      </w:r>
      <w:r w:rsidR="00631DD2">
        <w:t xml:space="preserve"> that were unlike any currently known from the region</w:t>
      </w:r>
      <w:r w:rsidR="004D68DD">
        <w:t>.</w:t>
      </w:r>
      <w:r>
        <w:t xml:space="preserve"> </w:t>
      </w:r>
      <w:r w:rsidR="004D68DD">
        <w:t>Although</w:t>
      </w:r>
      <w:r w:rsidR="00401E8A">
        <w:t xml:space="preserve"> no-analogue </w:t>
      </w:r>
      <w:r w:rsidR="004D68DD">
        <w:t xml:space="preserve">Quaternary </w:t>
      </w:r>
      <w:r w:rsidR="007A0031">
        <w:t xml:space="preserve">floristic </w:t>
      </w:r>
      <w:r w:rsidR="00401E8A">
        <w:t xml:space="preserve">assemblages have </w:t>
      </w:r>
      <w:r w:rsidR="004D68DD">
        <w:t xml:space="preserve">been inferred from </w:t>
      </w:r>
      <w:r w:rsidR="00634715">
        <w:t xml:space="preserve">previously </w:t>
      </w:r>
      <w:r w:rsidR="004D68DD">
        <w:t>published</w:t>
      </w:r>
      <w:r w:rsidR="00634715">
        <w:t xml:space="preserve"> fossil pollen studies </w:t>
      </w:r>
      <w:r w:rsidR="007A2F43">
        <w:t>elsewhere in</w:t>
      </w:r>
      <w:r w:rsidR="00634715">
        <w:t xml:space="preserve"> the neotropics</w:t>
      </w:r>
      <w:r w:rsidR="00202303">
        <w:t xml:space="preserve">, including Brazil’s </w:t>
      </w:r>
      <w:proofErr w:type="spellStart"/>
      <w:r w:rsidR="00202303">
        <w:t>Cerrado</w:t>
      </w:r>
      <w:proofErr w:type="spellEnd"/>
      <w:r w:rsidR="00202303">
        <w:t xml:space="preserve"> </w:t>
      </w:r>
      <w:r w:rsidR="004D68DD">
        <w:t xml:space="preserve">biome </w:t>
      </w:r>
      <w:r w:rsidR="00202303">
        <w:t xml:space="preserve">and </w:t>
      </w:r>
      <w:r w:rsidR="004D68DD">
        <w:t xml:space="preserve">the central </w:t>
      </w:r>
      <w:r w:rsidR="00B763A2">
        <w:t xml:space="preserve">sector of the </w:t>
      </w:r>
      <w:r w:rsidR="00202303">
        <w:t>Atlantic Forest biome</w:t>
      </w:r>
      <w:r w:rsidR="0031423D">
        <w:t xml:space="preserve"> </w:t>
      </w:r>
      <w:r w:rsidR="00B763A2">
        <w:t xml:space="preserve">to the north </w:t>
      </w:r>
      <w:r w:rsidR="0031423D">
        <w:fldChar w:fldCharType="begin" w:fldLock="1"/>
      </w:r>
      <w:r w:rsidR="007F330C">
        <w:instrText>ADDIN CSL_CITATION {"citationItems":[{"id":"ITEM-1","itemData":{"DOI":"10.1016/j.quascirev.2020.106489","ISSN":"02773791","abstract":"The Atlantic Rainforest, covering the area from northern Espirito Santo to Southern Bahia states, has been considered as a stable forest during Pleistocene Glacial times. Aside from modelling and phylogenetic studies, this hypothesis has never been tested with empirical, fossil pollen, paleo-vegetation data. By using palynology, radiocarbon dating, and carbon and nitrogen elemental and isotopic analyses of organic matter, we reconstructed the vegetation dynamics and inferred climatic changes since the Late Pleistocene in the centre of this global biodiversity hotspot. Our results show that the forest biome was resilient to Last Glacial Maximum - LGM conditions, but that the floristic composition differed from that of today. Since the late glacial, the floristic composition of the dense forest changed from cold- to warm-adapted taxa. Structural, as well as floristic, changes occurred during drier conditions of the early and middle Holocene, with an opening of the forest, providing insights into the type of vegetation impacts that might be expected under predicted future drought.","author":[{"dropping-particle":"","family":"Francisquini","given":"Mariah Izar","non-dropping-particle":"","parse-names":false,"suffix":""},{"dropping-particle":"","family":"Lorente","given":"Flávio Lima","non-dropping-particle":"","parse-names":false,"suffix":""},{"dropping-particle":"","family":"Ruiz Pessenda","given":"Luiz Carlos","non-dropping-particle":"","parse-names":false,"suffix":""},{"dropping-particle":"","family":"Buso Junior","given":"Antonio Alvaro","non-dropping-particle":"","parse-names":false,"suffix":""},{"dropping-particle":"","family":"Mayle","given":"Francis Edward","non-dropping-particle":"","parse-names":false,"suffix":""},{"dropping-particle":"","family":"Lisboa Cohen","given":"Marcelo Cancela","non-dropping-particle":"","parse-names":false,"suffix":""},{"dropping-particle":"","family":"França","given":"Marlon Carlos","non-dropping-particle":"","parse-names":false,"suffix":""},{"dropping-particle":"","family":"Bendassolli","given":"José Albertino","non-dropping-particle":"","parse-names":false,"suffix":""},{"dropping-particle":"","family":"Fonseca Giannini","given":"Paulo César","non-dropping-particle":"","parse-names":false,"suffix":""},{"dropping-particle":"","family":"Schiavo","given":"Jolimar Antonio","non-dropping-particle":"","parse-names":false,"suffix":""},{"dropping-particle":"","family":"Macario","given":"Kita","non-dropping-particle":"","parse-names":false,"suffix":""}],"container-title":"Quaternary Science Reviews","id":"ITEM-1","issued":{"date-parts":[["2020"]]},"title":"Cold and humid Atlantic Rainforest during the last glacial maximum, northern Espírito Santo state, southeastern Brazil","type":"article-journal","volume":"244"},"uris":["http://www.mendeley.com/documents/?uuid=c2571655-db3f-4a56-8c90-682c76ade877"]},{"id":"ITEM-2","itemData":{"DOI":"10.1002/jqs.3209","ISSN":"10991417","abstract":"The late Quaternary evolution of central-eastern Brazil has been under-researched. Questions remain as to the origin of the Cerrado, a highly endangered biome, and other types of vegetation, such as the Capões – small vegetation islands of semi-deciduous and mountain forests. We investigated the factors that influenced the expansion and contraction of the Cerrado and Capões during the late Quaternary (last ~35 ka), using a multi-proxy approach: stable isotopes (δ13C, δ15N), geochemistry, pollen and multivariate statistics derived from a peat core (Pinheiro mire, Serra do Espinhaço Meridional). Five major shifts in precipitation, temperature, vegetation and landscape stability occurred at different timescales. Our study revealed that changes in the South Atlantic Convergence Zone (SACZ) seem to have been coeval with these shifts: from the Late Glacial Maximum to mid-Holocene the SACZ remained near (~29.6 to ~16.5k cal a bp) and over (~16.5 to ~6.1 k cal a bp) the study area, providing humidity to the region. This challenges previous research which suggested that climate was drier for this time period. At present, the Capões are likely to be a remnant of a more humid climate; meanwhile, the Cerrado biome seems to have stablished in the late Holocene, after ~3.1 k cal a bp.","author":[{"dropping-particle":"","family":"Horák-Terra","given":"Ingrid","non-dropping-particle":"","parse-names":false,"suffix":""},{"dropping-particle":"","family":"Cortizas","given":"Antonio Martínez","non-dropping-particle":"","parse-names":false,"suffix":""},{"dropping-particle":"","family":"Luz","given":"Cynthia Fernandes Pinto","non-dropping-particle":"Da","parse-names":false,"suffix":""},{"dropping-particle":"","family":"Silva","given":"Alexandre Christófaro","non-dropping-particle":"","parse-names":false,"suffix":""},{"dropping-particle":"","family":"Mighall","given":"Tim","non-dropping-particle":"","parse-names":false,"suffix":""},{"dropping-particle":"","family":"Camargo","given":"Plínio Barbosa","non-dropping-particle":"De","parse-names":false,"suffix":""},{"dropping-particle":"","family":"Mendonça-Filho","given":"Carlos Victor","non-dropping-particle":"","parse-names":false,"suffix":""},{"dropping-particle":"","family":"Oliveira","given":"Paulo Eduardo","non-dropping-particle":"De","parse-names":false,"suffix":""},{"dropping-particle":"","family":"Cruz","given":"Francisco Willian","non-dropping-particle":"","parse-names":false,"suffix":""},{"dropping-particle":"","family":"Vidal-Torrado","given":"Pablo","non-dropping-particle":"","parse-names":false,"suffix":""}],"container-title":"Journal of Quaternary Science","id":"ITEM-2","issue":"5","issued":{"date-parts":[["2020"]]},"note":"Extra pollen diagrams in SI. Also, Sorocea...","page":"664-676","title":"Late Quaternary vegetation and climate dynamics in central-eastern Brazil: insights from a ~35k cal a bp peat record in the Cerrado biome","type":"article-journal","volume":"35"},"uris":["http://www.mendeley.com/documents/?uuid=ddb105d0-4599-4d3f-9da4-10ef5deb14f9"]},{"id":"ITEM-3","itemData":{"DOI":"10.1002/jqs.2597","ISBN":"1099-1417","ISSN":"02678179","abstract":"The absence of human occupation sites in southeastern Brazil during the mid Holocene has been referred to as the 'Archaic Gap' (8970–1940 cal. a BP) and is predicted to have resulted from increased aridity. A ca. 14 000 cal. a pollen history from two well-dated lake sediment cores located within the archeological district of Lagoa Santa, in the State of Minas Gerais, southeastern Brazil, was used to test this hypothesis. Our analyses indicated that the present cerrado and tropical semi-deciduous forest mosaic persisted throughout the mid Holocene, until ca. 5500 cal. a BP, and the Lagoa Santa region did not experience especially dry conditions during the Holocene period. The early Holocene pollen spectra contained an assemblage of cold-adapted taxa such as Podocarpus, Myrsine and Araucaria, co-occurring with taxa from cerrado, e.g. Caryocar. A replacement of cold taxa by the modern cerrado–semi-deciduous forest vegetation took place progressively, but appears to have been completed by the mid Holocene. No evidence of sustained drought was found in sedimentation or forest composition, nor any prolonged dry event in the study region. Holocene dryness as an explanation for the abandonment of Lagoa Santa region is not supported by the palynological analyses conducted in this study. Rather it is suggested that unpredictable climate may have underlain that abandonment. Copyright © 2012 John Wiley &amp; Sons, Ltd.","author":[{"dropping-particle":"","family":"Raczka","given":"Marco F.","non-dropping-particle":"","parse-names":false,"suffix":""},{"dropping-particle":"","family":"Oliveira","given":"Paulo E.","non-dropping-particle":"De","parse-names":false,"suffix":""},{"dropping-particle":"","family":"Bush","given":"Mark","non-dropping-particle":"","parse-names":false,"suffix":""},{"dropping-particle":"","family":"McMichael","given":"Crystal H.","non-dropping-particle":"","parse-names":false,"suffix":""}],"container-title":"Journal of Quaternary Science","id":"ITEM-3","issue":"2","issued":{"date-parts":[["2013"]]},"note":"Looks for evidence of sustained aridity in SE Brazil between about 9ka and 1500BP, and doesn't find it. There's Araucaria pollen (and pollen from other MOFish taxa) from about 15ka to the early Holocene, and bits until the middle. Comments on its relevance, especially for local climate, novel communities, and microrefugia","page":"144-151","title":"Two paleoecological histories spanning the period of human settlement in southeastern Brazil","type":"article-journal","volume":"28"},"uris":["http://www.mendeley.com/documents/?uuid=6bdcb28b-3190-44c2-89b4-777861450b23"]},{"id":"ITEM-4","itemData":{"author":[{"dropping-particle":"","family":"Oliveira","given":"Paulo Eduardo","non-dropping-particle":"De","parse-names":false,"suffix":""}],"id":"ITEM-4","issued":{"date-parts":[["1992"]]},"note":"Weird no-analog Caryocar-Podocarpus forest/cold cerrado (LGM/late Glacial) discussed","number-of-pages":"238","publisher":"Ohio State University","title":"A Palynological record of Late Quaternary vegetational and climatic change in southeastern Brazil","type":"thesis"},"uris":["http://www.mendeley.com/documents/?uuid=3405b058-2f47-4f20-95c4-4b24f90997e8"]},{"id":"ITEM-5","itemData":{"DOI":"10.1111/jbi.13732","ISSN":"13652699","abstract":"Aim: To investigate cerrado responses to glacial–interglacial climate change and the potential for connective rain forest corridors between the Atlantic Coastal Forest and Amazonian rain forest. Location: The crater lake of Serra Negra (18 °S, 46 °W) in Minas Gerais, Brazil. Taxon: 117 fossil pollen types, 22 non-pollen palynomorphs were documented. Methods: We recovered 7.82 m of sediment from the lake, and analysed fossil pollen at 62 depth intervals throughout the core. We derived a chronology based on radiocarbon dating with simple rate extrapolation to the base of the core. Results: The c. 90,000-year fossil record showed a trend towards cooler climates at the Last Glacial Maximum (LGM), but interstadial warming coupled with reduced evaporative stress allowed the expansion of woodlands under cool, moist conditions. Cool-adapted trees were most abundant between c. 67,000 and 48,000 years ago. A cool cerrado-like environment marked full glacial conditions between c. 48,000 and 34,000 years ago. The peak of the LGM between c. 34,000 and 17,000 years ago is inferred to have been dry as no sediment accumulated in the system. Main conclusions: Expanded ranges of cold-tolerant forest taxa led to establishment of a series of assemblages without modern analogue. A system characteristic of modern cerrado was rare in the history of this site. Multiple forest expansions were observed, each differing in composition. The periods of forest abundance at Serra Negra were not temporally aligned with forest expansion in the Atlantic Coastal Forest, and did not provide a continuous corridor of similar forest that connected the cerrado to the Atlantic Coastal Forest.","author":[{"dropping-particle":"","family":"Oliveira","given":"Paulo Eduardo","non-dropping-particle":"De","parse-names":false,"suffix":""},{"dropping-particle":"","family":"Raczka","given":"Marco","non-dropping-particle":"","parse-names":false,"suffix":""},{"dropping-particle":"","family":"McMichael","given":"Crystal N.H.","non-dropping-particle":"","parse-names":false,"suffix":""},{"dropping-particle":"","family":"Pinaya","given":"Jorge L.D.","non-dropping-particle":"","parse-names":false,"suffix":""},{"dropping-particle":"","family":"Bush","given":"Mark B.","non-dropping-particle":"","parse-names":false,"suffix":""}],"container-title":"Journal of Biogeography","id":"ITEM-5","issue":"2","issued":{"date-parts":[["2020"]]},"page":"396-407","title":"Climate change and biogeographic connectivity across the Brazilian cerrado","type":"article-journal","volume":"47"},"uris":["http://www.mendeley.com/documents/?uuid=e2d97bd9-b912-4e52-a202-4c322f0e6eb9"]}],"mendeley":{"formattedCitation":"(De Oliveira, 1992; De Oliveira et al., 2020; Francisquini et al., 2020; Horák-Terra et al., 2020; Raczka et al., 2013)","plainTextFormattedCitation":"(De Oliveira, 1992; De Oliveira et al., 2020; Francisquini et al., 2020; Horák-Terra et al., 2020; Raczka et al., 2013)","previouslyFormattedCitation":"(De Oliveira, 1992; De Oliveira et al., 2020; Francisquini et al., 2020; Horák-Terra et al., 2020; Raczka et al., 2013)"},"properties":{"noteIndex":0},"schema":"https://github.com/citation-style-language/schema/raw/master/csl-citation.json"}</w:instrText>
      </w:r>
      <w:r w:rsidR="0031423D">
        <w:fldChar w:fldCharType="separate"/>
      </w:r>
      <w:r w:rsidR="005944BB" w:rsidRPr="005944BB">
        <w:rPr>
          <w:noProof/>
          <w:lang w:val="sv-SE"/>
        </w:rPr>
        <w:t>(De Oliveira, 1992; De Oliveira et al., 2020; Francisquini et al., 2020; Horák-Terra et al., 2020; Raczka et al., 2013)</w:t>
      </w:r>
      <w:r w:rsidR="0031423D">
        <w:fldChar w:fldCharType="end"/>
      </w:r>
      <w:r w:rsidR="002F7BBE">
        <w:t xml:space="preserve">, </w:t>
      </w:r>
      <w:r w:rsidR="004D68DD">
        <w:t>the taxonomic limitations of pollen analysis</w:t>
      </w:r>
      <w:r w:rsidR="00B763A2">
        <w:t>, combined with the paucity of sites,</w:t>
      </w:r>
      <w:r w:rsidR="004D68DD">
        <w:t xml:space="preserve"> </w:t>
      </w:r>
      <w:r w:rsidR="00D61E9F">
        <w:t xml:space="preserve">mean their full </w:t>
      </w:r>
      <w:r w:rsidR="005E211B">
        <w:t xml:space="preserve">nature, </w:t>
      </w:r>
      <w:r w:rsidR="00D61E9F">
        <w:t>extent</w:t>
      </w:r>
      <w:r w:rsidR="00A25706">
        <w:t>,</w:t>
      </w:r>
      <w:r w:rsidR="005E211B">
        <w:t xml:space="preserve"> and presence in southern Brazil have not previously been ascertained</w:t>
      </w:r>
      <w:r w:rsidR="00821B05" w:rsidRPr="00A82061">
        <w:rPr>
          <w:lang w:val="sv-SE"/>
        </w:rPr>
        <w:t xml:space="preserve">. </w:t>
      </w:r>
      <w:r w:rsidR="00B763A2">
        <w:rPr>
          <w:lang w:val="sv-SE"/>
        </w:rPr>
        <w:t xml:space="preserve">Our palaeo SDM results </w:t>
      </w:r>
      <w:r w:rsidR="00202303">
        <w:t xml:space="preserve">provide the first evidence </w:t>
      </w:r>
      <w:r w:rsidR="00994E66">
        <w:t xml:space="preserve">that </w:t>
      </w:r>
      <w:r w:rsidR="00880CA1">
        <w:t>significant species turnover in</w:t>
      </w:r>
      <w:r w:rsidR="002F7BBE">
        <w:t xml:space="preserve"> Brazil’s </w:t>
      </w:r>
      <w:r w:rsidR="00880CA1">
        <w:t xml:space="preserve">southern </w:t>
      </w:r>
      <w:r w:rsidR="002F7BBE">
        <w:t>Atlantic Forest</w:t>
      </w:r>
      <w:r w:rsidR="00AE6F6C" w:rsidRPr="00AE6F6C">
        <w:t xml:space="preserve"> </w:t>
      </w:r>
      <w:r w:rsidR="00AE6F6C">
        <w:t>in the early Holocene (12,000-9,000 BP)</w:t>
      </w:r>
      <w:r w:rsidR="0046604C">
        <w:t xml:space="preserve"> – </w:t>
      </w:r>
      <w:r w:rsidR="00E216A3">
        <w:t>most notabl</w:t>
      </w:r>
      <w:r w:rsidR="0046604C">
        <w:t>y</w:t>
      </w:r>
      <w:r w:rsidR="00E216A3">
        <w:t xml:space="preserve"> across the plateau’s (south-)west </w:t>
      </w:r>
      <w:r w:rsidR="002F7BBE">
        <w:t xml:space="preserve">sector </w:t>
      </w:r>
      <w:r w:rsidR="00880CA1">
        <w:t>– creat</w:t>
      </w:r>
      <w:r w:rsidR="001E77DD">
        <w:t>ed</w:t>
      </w:r>
      <w:r w:rsidR="00880CA1">
        <w:t xml:space="preserve"> novel plant communities without modern analogue</w:t>
      </w:r>
      <w:r w:rsidR="00E216A3">
        <w:t xml:space="preserve">. </w:t>
      </w:r>
      <w:r w:rsidR="004A3CFD">
        <w:t>H</w:t>
      </w:r>
      <w:r w:rsidR="00E216A3">
        <w:t xml:space="preserve">owever, the </w:t>
      </w:r>
      <w:r w:rsidR="009A04F4">
        <w:t xml:space="preserve">absence of existing </w:t>
      </w:r>
      <w:proofErr w:type="spellStart"/>
      <w:r w:rsidR="009A04F4">
        <w:t>palaeo</w:t>
      </w:r>
      <w:r w:rsidR="002C03F7">
        <w:t>vegetation</w:t>
      </w:r>
      <w:proofErr w:type="spellEnd"/>
      <w:r w:rsidR="002C03F7">
        <w:t xml:space="preserve"> </w:t>
      </w:r>
      <w:r w:rsidR="00113399">
        <w:t>data</w:t>
      </w:r>
      <w:r w:rsidR="009A04F4">
        <w:t xml:space="preserve"> sites from much of </w:t>
      </w:r>
      <w:r w:rsidR="007A2F43">
        <w:t>our study</w:t>
      </w:r>
      <w:r w:rsidR="009A04F4">
        <w:t xml:space="preserve"> area </w:t>
      </w:r>
      <w:r w:rsidR="00D72281">
        <w:t>makes these predictions hard to verify</w:t>
      </w:r>
      <w:r w:rsidR="00E216A3">
        <w:t>.</w:t>
      </w:r>
      <w:r w:rsidR="00A4448F">
        <w:t xml:space="preserve"> </w:t>
      </w:r>
      <w:proofErr w:type="spellStart"/>
      <w:r w:rsidR="00A4448F">
        <w:t>Buriti</w:t>
      </w:r>
      <w:proofErr w:type="spellEnd"/>
      <w:r w:rsidR="00A4448F">
        <w:t xml:space="preserve"> </w:t>
      </w:r>
      <w:r w:rsidR="00A4448F">
        <w:fldChar w:fldCharType="begin" w:fldLock="1"/>
      </w:r>
      <w:r w:rsidR="001024DE">
        <w:instrText>ADDIN CSL_CITATION {"citationItems":[{"id":"ITEM-1","itemData":{"abstract":"Among the forest formations of southern and southeastern of Brazil, the Araucaria Pine Forest is considered one of the most sensitive to climatic variations. Several paleoenvironmental studies try to identify the time at which this type of forest was established in southern Brazil. This paper aims to present the Araucaria Pine Forest records in southwestern and southern Paraná State, from palynological and geochronological data. This study was developed in the State Conservation Unit, Área de Relevante Interesse Ecológico do Buriti, PatoBranco, Paraná State. Frompollen analysis, the presence of 37 taxa was recorded.The record of Araucaria is at least 13,400 years BP (est.), one of the oldest records ever found in the state of Paraná. The expansion of Araucaria and Podocarpus around 4,210 years BP indicates that the climate was cooler and wetter, with well distributed rainfall. RESUMO -(Registro de Floresta Ombrófila Mista nas regiões sudoeste e sul do do Estado do Paraná, Brasil, durante o Pleistoceno/Holoceno). Dentre as formações florestais do sul e sudeste do Brasil, a Floresta Ombrófila Mista é considerada uma das mais sensíveis às variações climáticas. Vários estudos paleoambientais buscam identificar em que época esse tipo de floresta se estabeleceu no sul do Brasil. Este artigo tem como objetivo apresentar o registro da Floresta Ombrófila Mista na região sudoeste e sul do Estado do Paraná, a partir de dados palinológicos e geocronológicos. Este estudo foi desenvolvido na Unidade de Conservação Estadual Área de Relevante Interesse Ecológico do Buriti, município de Pato Branco, PR, Brasil. Na análise palinológica foi registrado a presença de 37 táxons, sendo que, o registro de Araucaria é de pelo menos 13.400 anos AP 14C (est.), portanto, um dos registros mais antigos já encontrados no Estado do Paraná. A expansão de Araucaria e Podocarpus em torno de 4.210 anos A.P. indica que o clima era mais frio e mais úmido, com chuvas bem distribuídas. Palavras-chave: Araucária, palinomorfos, Quaternário","author":[{"dropping-particle":"","family":"Bertoldo","given":"Édson","non-dropping-particle":"","parse-names":false,"suffix":""},{"dropping-particle":"","family":"Paisani","given":"Julio Cesar","non-dropping-particle":"","parse-names":false,"suffix":""},{"dropping-particle":"de","family":"Oliveira","given":"Paulo Eduardo","non-dropping-particle":"","parse-names":false,"suffix":""}],"container-title":"Hoehnea","id":"ITEM-1","issue":"41","issued":{"date-parts":[["2014"]]},"note":"TerIv &amp;amp; TrinR","page":"1-8","title":"Registro de Floresta Ombrófila Mista nas regiões sudoeste e sul do Estado do Paraná, Brasil, durante o Pleistoceno / Holoceno","type":"article-journal","volume":"1"},"uris":["http://www.mendeley.com/documents/?uuid=f407c3cf-8834-34a5-b98f-97ade6f251ac"]}],"mendeley":{"formattedCitation":"(Bertoldo et al., 2014)","plainTextFormattedCitation":"(Bertoldo et al., 2014)","previouslyFormattedCitation":"(Bertoldo et al., 2014)"},"properties":{"noteIndex":0},"schema":"https://github.com/citation-style-language/schema/raw/master/csl-citation.json"}</w:instrText>
      </w:r>
      <w:r w:rsidR="00A4448F">
        <w:fldChar w:fldCharType="separate"/>
      </w:r>
      <w:r w:rsidR="00A4448F" w:rsidRPr="00A4448F">
        <w:rPr>
          <w:noProof/>
        </w:rPr>
        <w:t>(Bertoldo et al., 2014)</w:t>
      </w:r>
      <w:r w:rsidR="00A4448F">
        <w:fldChar w:fldCharType="end"/>
      </w:r>
      <w:r w:rsidR="0094133F">
        <w:t>, at</w:t>
      </w:r>
      <w:r w:rsidR="004A5F82">
        <w:t xml:space="preserve"> the modelled assemblages’ </w:t>
      </w:r>
      <w:r w:rsidR="004A5F82">
        <w:lastRenderedPageBreak/>
        <w:t xml:space="preserve">northern </w:t>
      </w:r>
      <w:r w:rsidR="0094133F">
        <w:t>edge,</w:t>
      </w:r>
      <w:r w:rsidR="004A5F82">
        <w:t xml:space="preserve"> </w:t>
      </w:r>
      <w:r w:rsidR="008B2416">
        <w:t xml:space="preserve">does </w:t>
      </w:r>
      <w:r w:rsidR="00B678BE">
        <w:t>provide some support for this</w:t>
      </w:r>
      <w:r w:rsidR="007A2F43">
        <w:t xml:space="preserve"> early Holocene no-analogue plant community</w:t>
      </w:r>
      <w:r w:rsidR="00B678BE">
        <w:t xml:space="preserve"> hypothesis</w:t>
      </w:r>
      <w:r w:rsidR="00D74F47">
        <w:t xml:space="preserve">, </w:t>
      </w:r>
      <w:r w:rsidR="00E216A3">
        <w:t>record</w:t>
      </w:r>
      <w:r w:rsidR="00D74F47">
        <w:t>ing</w:t>
      </w:r>
      <w:r w:rsidR="00E216A3">
        <w:t xml:space="preserve"> </w:t>
      </w:r>
      <w:r w:rsidR="00EA4309">
        <w:t xml:space="preserve">high levels of Asteraceae pollen and </w:t>
      </w:r>
      <w:r w:rsidR="00E216A3">
        <w:t>an unusual mixture of cold- and warm-adapted trees (</w:t>
      </w:r>
      <w:r w:rsidR="00E216A3">
        <w:rPr>
          <w:i/>
          <w:iCs/>
        </w:rPr>
        <w:t xml:space="preserve">Araucaria, Ilex, Hieronyma, </w:t>
      </w:r>
      <w:proofErr w:type="spellStart"/>
      <w:r w:rsidR="00E216A3">
        <w:rPr>
          <w:i/>
          <w:iCs/>
        </w:rPr>
        <w:t>Luehea</w:t>
      </w:r>
      <w:proofErr w:type="spellEnd"/>
      <w:r w:rsidR="00E216A3" w:rsidRPr="00DF70D9">
        <w:t>)</w:t>
      </w:r>
      <w:r w:rsidR="00E216A3">
        <w:t xml:space="preserve"> </w:t>
      </w:r>
      <w:r w:rsidR="00EA4309">
        <w:t>at this period</w:t>
      </w:r>
      <w:r w:rsidR="004A5F82">
        <w:t xml:space="preserve">. </w:t>
      </w:r>
      <w:r w:rsidR="000B4386">
        <w:t xml:space="preserve">Other sites </w:t>
      </w:r>
      <w:r w:rsidR="00A75C8C">
        <w:fldChar w:fldCharType="begin" w:fldLock="1"/>
      </w:r>
      <w:r w:rsidR="007F330C">
        <w:instrText>ADDIN CSL_CITATION {"citationItems":[{"id":"ITEM-1","itemData":{"DOI":"10.1016/j.quaint.2014.01.010","ISBN":"1040-6182","ISSN":"10406182","abstract":"For the first time in the highlands of southern Brazil, a palynological study was performed on sedimentary records from two Araucaria forests. Radiocarbon dates were used. The sites were Alpes de S??o Francisco (29??27'26???S, 50??36'57???W) and Banhado Amarelo (29??18'48???S, 50??08'13???W), located in the Eastern Plateau region of Rio Grande do Sul in S??o Francisco de Paula municipality. Between 13,000 and 10,800BP, Alpes de S??o Francisco was cold and dry, and contained a shallow water reservoir surround by marsh, near sparse grassland, with forests probably in refuges. Between 10,800 and 9400BP, the climate was warmer and the moisture increased. The reservoir began to be filled with herbaceous plants, regional grassland developed, and forests probably began to expand from the refuges. Between 9400 and 5600BP, the climate was dry, grasslands decreased in size and forests became more isolated and were probably located in refuges. From 5600BP onward the moisture increased, forming a local bog at 5000BP. The bog was colonized by pioneer arboreal taxa and Araucaria forest that expanded until ca. 3300BP. Between 4300 and 3300BP, Banhado Amarelo consisted of an incipient herbaceous marsh with adjacent sparse grassland. A delay in the arrival of moisture at the site was probably due to geographic conditions. Between 3300 and 1600BP, the humidity increased in Banhado Amarelo, forming a bog with forest cover. After 3300BP in Alpes de S??o Francisco and after 1600BP in Banhado Amarelo, the data suggest a reduction in the reproductive capacity of the forest taxa, probably due to temperature elevation. Therefore, these forests need urgent environmental conservation programs and the present-day bogs are very important as possible generators of Araucaria forest patches in Eastern Plateau depressions. ?? 2014 Elsevier Ltd and INQUA.","author":[{"dropping-particle":"","family":"Scherer","given":"Caroline","non-dropping-particle":"","parse-names":false,"suffix":""},{"dropping-particle":"","family":"Lorscheitter","given":"Maria Luisa","non-dropping-particle":"","parse-names":false,"suffix":""}],"container-title":"Quaternary International","id":"ITEM-1","issued":{"date-parts":[["2014"]]},"note":"AdSF1 &amp;amp; BanAM\nStudy based on bog cores from within Araucaria forest in RGS Eastern Plateau. It might be the first time someone did cores from the forest rather than campos? No humans around. Conclusions generally match other studies - see highlighted section at top of p11. Suggests Araucaria forests can generate by colonising bogs (important for them), and that increased temperatures depressed their pollen production (seen in concentration diagrams). Important for working out pollen productivity etc. Also important discussion on other results.\n\nI think that percentages show you the composition of the vegetation (80% campos, say), and concentrations show you how dense/developed it is. You can have decreasing percentages of something (campos to 60%) and increasing concentrations, which show that the campos is being taken over by something else, but in the space that remains it's getting more campos-y. I think.","page":"3-12","title":"Vegetation dynamics in the southern Brazilian highlands during the last millennia and the role of bogs in Araucaria forest formation","type":"article-journal","volume":"325"},"uris":["http://www.mendeley.com/documents/?uuid=7f1f0c6a-d19c-3d36-8b6d-7974769b13f2"]},{"id":"ITEM-2","itemData":{"DOI":"10.1016/j.jsames.2009.09.003","ISBN":"0895-9811","ISSN":"08959811","abstract":"The palaeoenvironmental history has been studied based on palynology of a sedimentary profile from the Alpes de S??o Francisco bog (29??29???35??????S, 50??37???18??????W), S??o Francisco de Paula municipality, Rio Grande do Sul eastern Plateau, extreme Southern Brazil. The results indicate a regional cold and dry climate between 25,000 and 12,500 yr BP, interpreted from the grassland vegetation, forest taxa were present in refuges and the shallow local lake began to fill in. Climatic conditions became more aride after 16,000 yr BP, when grassland became rare. From 12,500 yr BP onwards, the climate began to change and at 11,000-9700 yr BP a warm and moist climate permitted the slight migration of pioneer arboreal taxa from refuges and locally a marsh formation. Between 9700 and 6500 yr BP a warm and dry climate resulted in reduction of grassland, confined the forest in refuges, dried out the marsh. The gradual increase of humidity between 6500 and 4000 yr BP allowed migration of forests from refuges and a bog developed. Between 4000 and 2000 yr BP Araucaria forest spread, indicating moister climate. The local bog expanded. From 2000 yr BP onwards, humid but warmer climate seems to result in a lower reproductive capacity of Araucaria forest taxa limiting its expansion. The bog reached the present-day in a decline condition. The results are compared to previous records from Southern Brazil highlands and some places from Argentina in order to better elucidate the climatic and vegetational history of these important South America areas during the late Quaternary. ?? 2009 Elsevier Ltd. All rights reserved.","author":[{"dropping-particle":"","family":"Leonhardt","given":"Adriana","non-dropping-particle":"","parse-names":false,"suffix":""},{"dropping-particle":"","family":"Lorscheitter","given":"Maria Luisa","non-dropping-particle":"","parse-names":false,"suffix":""}],"container-title":"Journal of South American Earth Sciences","id":"ITEM-2","issue":"2","issued":{"date-parts":[["2010","3"]]},"note":"AdSF2\nAnalysis of 286cm bog core from Alpes de Sao Francisco, Rio Grande do Sul. Starts 25,000 C14 yr BP. Cold and dry until 12,500 BP, grassland and almost no trees; 11,000-9,700 was warm and humid, some trees wandered around; drier then to 6,500 BP so grassland retreated and forest stayed in refuges; humidity increased again 6500-4000, so forests escaped their refuges; 4000-2000 Araucaria forest spread (so moister still); warmer from then to the present so less expansion of Araucaria.\n\nIMPORTANT WHEN REINTERPRETING BEHLING ET AL 2004\n\nSeems a bit poorly resolved across the Holocene, but makes an important point about pollen concentration/percentage diagrams and what they show (especially with Araucaria forest expansion)","page":"454-463","title":"The last 25,000 years in the Eastern Plateau of Southern Brazil according to Alpes de São Francisco record","type":"article-journal","volume":"29"},"uris":["http://www.mendeley.com/documents/?uuid=90690911-40f6-3530-aa45-c7420e186d20"]},{"id":"ITEM-3","itemData":{"DOI":"10.1177/0959683611414930","ISSN":"0959-6836","abstract":"We present new palaeoenvironmental data from a 281 cm long sediment core studied by means of pollen and charcoal analyses from Rincão das Cabritas of the São Francisco de Paula area, which lies in the wettest region of southern Brazil at the present time. The high-resolution record, dated with seven AMS dates, spans the last 16 700 cal. BP. The continuous presence of grassland vegetation (Campos) throughout the glacial period reflects cold and markedly drier climatic conditions than today. Nowadays, remote areas of Campos on the highlands represent remnants of an early and widely expanded vegetation of glacial times that was gradually replaced by forest ecosystems during the late Holocene. Araucaria forest began to develop after 3200 cal. BP, with its expansion over Campos starting at about 2950 cal. BP. This was probably due to the presence of a somewhat wetter climate after about 4600 cal. BP, which supported the initial development of forest ecosystems and allowed Atlantic rainforest to spread from the...","author":[{"dropping-particle":"","family":"Jeske-Pieruschka","given":"Vivian","non-dropping-particle":"","parse-names":false,"suffix":""},{"dropping-particle":"","family":"Behling","given":"Hermann","non-dropping-particle":"","parse-names":false,"suffix":""}],"container-title":"The Holocene","id":"ITEM-3","issue":"11","issued":{"date-parts":[["2012","11","12"]]},"note":"RidCa\nStudy of the Rincao das Cabritas core in Rio Grande do Sul from 16,700 cal yr BP. Not an area of southern proto-Je (instead Caaguaras Indians). Araucaria forest expansion began 2900 yr BP and just kind of continued (no mad expansion), though it increased more during the last 1000 years. They reckon climate was the most important factor controlling forest expansion.\n\nHas a useful table of core coordinates, references and vegetation change summaries.","page":"1251-1262","publisher":"SAGE PublicationsSage UK: London, England","title":"Palaeoenvironmental history of the São Francisco de Paula region in southern Brazil during the late Quaternary inferred from the Rincão das Cabritas core","type":"article-journal","volume":"22"},"uris":["http://www.mendeley.com/documents/?uuid=966112de-0d54-3ff6-b35a-5c64de9b42f7"]},{"id":"ITEM-4","itemData":{"DOI":"10.1590/S0102-33062007000100001","ISSN":"1677941X","abstract":"The study of plant succession provides information on vegetation dynamics of a region and, therefore, improves our understanding of the natural trends of present ecosystems. With this objective, plant succession based on palynology of a sediment profile in a swamp forest was studied on the Lower Northeast Slope of Serra Geral, Rio Grande do Sul. Samples were treated with HCl, HF, KOH and acetolysis; slides were mounted in glycerol-jelly. For each sample a minimum of 500 grains of pollen + pteridophyte and bryophyte spores was counted and other palynomorphs were counted in parallel. Tilia and Tilia Graph software were used to construct percentage and concentration diagrams, with three 14C datings. The results show a local water reservoir in the beginning of the Holocene (± 9800 yrs. BP), creating a herbaceous plant marsh by hydrosere. The initial colonization of the marsh by trees occurred about 8800 yrs. BP, with tropical species from the Coastal Plain migrating in an east-west direction. Afterwards, there was a dry phase between 7000-5000 yrs. BP. The second appearance of regional tree species began at about 5000 yrs. BP, resulting in the present forest and in the west-east migration of tropical species from interior lowlands, like this one, to re-colonize the coast after the last marine regression.","author":[{"dropping-particle":"","family":"Leal","given":"Márcia Grala","non-dropping-particle":"","parse-names":false,"suffix":""},{"dropping-particle":"","family":"Lorscheitter","given":"Maria Luisa","non-dropping-particle":"","parse-names":false,"suffix":""}],"container-title":"Acta Botanica Brasilica","id":"ITEM-4","issue":"1","issued":{"date-parts":[["2007"]]},"note":"SeVel","page":"1-10","title":"Plant succession in a forest on the Lower Northeast Slope of Serra Geral, Rio Grande do Sul, and Holocene palaeoenvironments, Southern Brazil","type":"article-journal","volume":"21"},"uris":["http://www.mendeley.com/documents/?uuid=a487e8ff-0509-3176-b027-315cc1c2cffb"]}],"mendeley":{"formattedCitation":"(Jeske-Pieruschka and Behling, 2012; Leal and Lorscheitter, 2007; Leonhardt and Lorscheitter, 2010; Scherer and Lorscheitter, 2014)","plainTextFormattedCitation":"(Jeske-Pieruschka and Behling, 2012; Leal and Lorscheitter, 2007; Leonhardt and Lorscheitter, 2010; Scherer and Lorscheitter, 2014)","previouslyFormattedCitation":"(Jeske-Pieruschka and Behling, 2012; Leal and Lorscheitter, 2007; Leonhardt and Lorscheitter, 2010; Scherer and Lorscheitter, 2014)"},"properties":{"noteIndex":0},"schema":"https://github.com/citation-style-language/schema/raw/master/csl-citation.json"}</w:instrText>
      </w:r>
      <w:r w:rsidR="00A75C8C">
        <w:fldChar w:fldCharType="separate"/>
      </w:r>
      <w:r w:rsidR="005944BB" w:rsidRPr="005944BB">
        <w:rPr>
          <w:noProof/>
        </w:rPr>
        <w:t>(Jeske-Pieruschka and Behling, 2012; Leal and Lorscheitter, 2007; Leonhardt and Lorscheitter, 2010; Scherer and Lorscheitter, 2014)</w:t>
      </w:r>
      <w:r w:rsidR="00A75C8C">
        <w:fldChar w:fldCharType="end"/>
      </w:r>
      <w:r w:rsidR="00A75C8C">
        <w:t xml:space="preserve"> </w:t>
      </w:r>
      <w:r w:rsidR="000B4386">
        <w:t xml:space="preserve">at the opposite ends of this putative </w:t>
      </w:r>
      <w:r w:rsidR="00B21C67">
        <w:t xml:space="preserve">non-analogue </w:t>
      </w:r>
      <w:r w:rsidR="001024DE">
        <w:t xml:space="preserve">community differ from </w:t>
      </w:r>
      <w:proofErr w:type="spellStart"/>
      <w:r w:rsidR="001024DE">
        <w:t>Buriti</w:t>
      </w:r>
      <w:proofErr w:type="spellEnd"/>
      <w:r w:rsidR="001024DE">
        <w:t xml:space="preserve"> and one another, </w:t>
      </w:r>
      <w:r w:rsidR="00050712">
        <w:t xml:space="preserve">suggesting that </w:t>
      </w:r>
      <w:r w:rsidR="00333281">
        <w:t>floristic</w:t>
      </w:r>
      <w:r w:rsidR="007F0CBB">
        <w:t xml:space="preserve"> </w:t>
      </w:r>
      <w:r w:rsidR="00B21C67">
        <w:t xml:space="preserve">composition </w:t>
      </w:r>
      <w:r w:rsidR="00A7780D">
        <w:t xml:space="preserve">was </w:t>
      </w:r>
      <w:r w:rsidR="00050712">
        <w:t>not homogeneous</w:t>
      </w:r>
      <w:r w:rsidR="00B21C67">
        <w:t xml:space="preserve"> across this region</w:t>
      </w:r>
      <w:r w:rsidR="00A7780D">
        <w:t>.</w:t>
      </w:r>
      <w:r w:rsidR="00E216A3">
        <w:t xml:space="preserve"> </w:t>
      </w:r>
      <w:r w:rsidR="00B21C67">
        <w:t xml:space="preserve">More fossil pollen records are </w:t>
      </w:r>
      <w:r w:rsidR="002A7E4D">
        <w:t xml:space="preserve">therefore </w:t>
      </w:r>
      <w:r w:rsidR="00B21C67">
        <w:t xml:space="preserve">needed to </w:t>
      </w:r>
      <w:proofErr w:type="gramStart"/>
      <w:r w:rsidR="00B21C67">
        <w:t xml:space="preserve">more rigorously </w:t>
      </w:r>
      <w:r w:rsidR="001B271A">
        <w:t xml:space="preserve">test the </w:t>
      </w:r>
      <w:r w:rsidR="003743B1">
        <w:t>accuracy</w:t>
      </w:r>
      <w:r w:rsidR="001B271A">
        <w:t xml:space="preserve"> of these </w:t>
      </w:r>
      <w:r w:rsidR="007F0CBB">
        <w:t>findings</w:t>
      </w:r>
      <w:r w:rsidR="00050F96">
        <w:t xml:space="preserve"> and confirm, clarify or refute the </w:t>
      </w:r>
      <w:r w:rsidR="001B271A">
        <w:t>model predictions</w:t>
      </w:r>
      <w:proofErr w:type="gramEnd"/>
      <w:r w:rsidR="00E216A3">
        <w:t xml:space="preserve">. </w:t>
      </w:r>
    </w:p>
    <w:p w14:paraId="52A2A5A2" w14:textId="6A87E854" w:rsidR="00290D71" w:rsidRDefault="00290D71" w:rsidP="00F74804">
      <w:pPr>
        <w:spacing w:line="360" w:lineRule="auto"/>
      </w:pPr>
      <w:r>
        <w:t xml:space="preserve">The importance of </w:t>
      </w:r>
      <w:r w:rsidR="00B62E26">
        <w:t>redoubled</w:t>
      </w:r>
      <w:r>
        <w:t xml:space="preserve"> </w:t>
      </w:r>
      <w:r w:rsidR="001B271A">
        <w:t xml:space="preserve">proxy-based </w:t>
      </w:r>
      <w:r>
        <w:t xml:space="preserve">palaeoecological </w:t>
      </w:r>
      <w:r w:rsidR="00B62E26">
        <w:t>investigation</w:t>
      </w:r>
      <w:r w:rsidR="001B271A">
        <w:t>s</w:t>
      </w:r>
      <w:r w:rsidR="00B62E26">
        <w:t xml:space="preserve"> </w:t>
      </w:r>
      <w:r>
        <w:t xml:space="preserve">on southern Brazil’s </w:t>
      </w:r>
      <w:r w:rsidR="0072410C">
        <w:t>plateau</w:t>
      </w:r>
      <w:r>
        <w:t xml:space="preserve"> is </w:t>
      </w:r>
      <w:r w:rsidR="00B62E26">
        <w:t xml:space="preserve">further </w:t>
      </w:r>
      <w:r>
        <w:t>emphasised by our finding that most</w:t>
      </w:r>
      <w:r w:rsidR="0072410C">
        <w:t xml:space="preserve"> highland</w:t>
      </w:r>
      <w:r>
        <w:t xml:space="preserve"> fossil pollen sites occur in the most historically stable area</w:t>
      </w:r>
      <w:r w:rsidR="0072410C">
        <w:t>s</w:t>
      </w:r>
      <w:r>
        <w:t xml:space="preserve">. </w:t>
      </w:r>
      <w:r w:rsidR="007D7BD4">
        <w:t xml:space="preserve">Recording long periods of continuous </w:t>
      </w:r>
      <w:r w:rsidR="00381254">
        <w:t>grassland</w:t>
      </w:r>
      <w:r w:rsidR="007D7BD4">
        <w:t xml:space="preserve">, </w:t>
      </w:r>
      <w:r w:rsidR="00D64478">
        <w:t>these records do not show notable compositional changes</w:t>
      </w:r>
      <w:r w:rsidR="00CF0136">
        <w:t xml:space="preserve"> – in part, this may be a function of </w:t>
      </w:r>
      <w:r w:rsidR="00381254">
        <w:t xml:space="preserve">low taxonomic resolution </w:t>
      </w:r>
      <w:r w:rsidR="00CF0136">
        <w:t>in</w:t>
      </w:r>
      <w:r w:rsidR="00381254">
        <w:t xml:space="preserve"> herbaceous pollen</w:t>
      </w:r>
      <w:r w:rsidR="00267978">
        <w:t xml:space="preserve"> and </w:t>
      </w:r>
      <w:r w:rsidR="00CF0136">
        <w:t xml:space="preserve">the </w:t>
      </w:r>
      <w:r w:rsidR="00267978">
        <w:t>rarity of</w:t>
      </w:r>
      <w:r w:rsidR="00C67282">
        <w:t xml:space="preserve"> pollen from </w:t>
      </w:r>
      <w:r w:rsidR="00CF0136">
        <w:t xml:space="preserve">(systematically under-represented) </w:t>
      </w:r>
      <w:r w:rsidR="00381254">
        <w:t>forest taxa</w:t>
      </w:r>
      <w:r w:rsidR="00CF0136">
        <w:t xml:space="preserve"> </w:t>
      </w:r>
      <w:r w:rsidR="00F83974">
        <w:fldChar w:fldCharType="begin" w:fldLock="1"/>
      </w:r>
      <w:r w:rsidR="007F330C">
        <w:instrText>ADDIN CSL_CITATION {"citationItems":[{"id":"ITEM-1","itemData":{"DOI":"10.1016/j.revpalbo.2019.03.003","ISSN":"00346667","abstract":"Southern Brazil's highland Araucaria forest is ancient, diverse and unique, but its future is under significant threat from 20th Century habitat loss and 21st Century climate change. Paleoecological studies have revealed that it expanded rapidly over highland grasslands around 1000 years ago, but whether this expansion was caused by human land use or climate change has been a topic of considerable debate. Discriminating between these potential drivers has so far not been possible with fossil pollen, however, as the palynological representation of floristic and structural differences in Araucaria forest remains poorly understood. Here, we address this shortcoming using modern pollen rain from moss polsters and vegetation surveys in forest areas with minimal current human disturbance. We show that forest plots with evident structural differences lack consistent differences in their floristic composition and cannot be reliably distinguished by their pollen spectra. We quantify pollen–vegetation relationships for 27 key tree genera of Araucaria forest, showing that, despite significant intra-taxon variability, 22 of these are under-represented or absent in the pollen record. These palynologically under-represented and silent taxa include many of the forest's most ecologically important tree species, with only Araucaria, Lamanonia, Podocarpus, Myrsine and Clethra being more abundant in the pollen rain than vegetation. Our results suggest that subtle structural changes in Araucaria forest, as well as moderate to significant floristic changes, may not be clearly distinguished in fossil pollen records – an important limitation when attempting to identify past human and climatic impacts on Araucaria forest via pollen analysis.","author":[{"dropping-particle":"","family":"Cárdenas","given":"Macarena L.","non-dropping-particle":"","parse-names":false,"suffix":""},{"dropping-particle":"","family":"Wilson","given":"Oliver J.","non-dropping-particle":"","parse-names":false,"suffix":""},{"dropping-particle":"","family":"Schorn","given":"Lauri A.","non-dropping-particle":"","parse-names":false,"suffix":""},{"dropping-particle":"","family":"Mayle","given":"Francis E.","non-dropping-particle":"","parse-names":false,"suffix":""},{"dropping-particle":"","family":"Iriarte","given":"José","non-dropping-particle":"","parse-names":false,"suffix":""}],"container-title":"Review of Palaeobotany and Palynology","id":"ITEM-1","issued":{"date-parts":[["2019","6","1"]]},"page":"27-40","publisher":"Elsevier","title":"A quantitative study of modern pollen–vegetation relationships in southern Brazil's Araucaria forest","type":"article-journal","volume":"265"},"uris":["http://www.mendeley.com/documents/?uuid=b50fd978-9319-3e2d-8d5a-4fe356acc5cf"]},{"id":"ITEM-2","itemData":{"DOI":"10.1016/j.revpalbo.2020.104314","ISSN":"00346667","abstract":"We analyzed modern pollen deposition along an altitudinal gradient in the Brazilian southeastern coastal mountains between 1600 and 2200 m elevation in order to investigate the relationship between modern vegetation and pollen rain, within vegetation composed of montane and upper montane forest in a mosaic with campos de altitude (CDA). The results revealed that the CDA pollen assemblage represents a much larger source area than the forest pollen assemblage, which is comprised of more local taxa. Anemophilous pollen from vegetation at lower elevations is overrepresented in the higher elevation pollen traps. Although arboreal taxa dominate the pollen assemblages – even in the grassland pollen traps – the composition of the pollen traps can be confidently related to the vegetation surrounding the collection site. To improve distinction between grassland and forest dominance in a complex environmental mosaic subject to temporal dynamism, we selected a suite of arboreal pollen taxa aiming to reduce the influence of over- and underrepresentation of some pollen taxa in such kind of environment. Our findings permit more robust interpretation of paleoecological and -geographical relationships between forest and CDA and build a firmer foundation for understanding how future climatic change may impact montane vegetation in SE Brazil.","author":[{"dropping-particle":"","family":"Guarinello de Oliveira Portes","given":"Maria Carolina","non-dropping-particle":"","parse-names":false,"suffix":""},{"dropping-particle":"","family":"DeForest Safford","given":"Hugh","non-dropping-particle":"","parse-names":false,"suffix":""},{"dropping-particle":"","family":"Montade","given":"Vincent","non-dropping-particle":"","parse-names":false,"suffix":""},{"dropping-particle":"","family":"Behling","given":"Hermann","non-dropping-particle":"","parse-names":false,"suffix":""}],"container-title":"Review of Palaeobotany and Palynology","id":"ITEM-2","issued":{"date-parts":[["2020","12","1"]]},"page":"104314","publisher":"Elsevier B.V.","title":"Pollen rain–vegetation relationship along an elevational gradient in the Serra dos Órgãos National Park, southeastern Brazil","type":"article-journal","volume":"283"},"uris":["http://www.mendeley.com/documents/?uuid=9e786cb4-2cc9-3214-a0c8-45cd5574c4d9"]},{"id":"ITEM-3","itemData":{"DOI":"10.1086/285757","ISSN":"0003-0147","abstract":"A high potential for outcrossing is suggested to be the key reproductive character that determines representation of taxa in palynological records. In the tropics, where anemophily is a rare condition (ca. 2.5% of all trees), a disproportionate number of the most common pollen types found in sediment are anemophilous (ca. 27%). However, entomophilous species are not all underrepresented, as monoecious and dioecious species pollinated by small insects were also abundant in pollen records (73% of taxa in the most abundant pollen classes). A ranking of reproductive characters leading to outcrossing is suggested to predict the representation of pollen taxa within a pollen spectrum.","author":[{"dropping-particle":"","family":"Bush","given":"M.B.","non-dropping-particle":"","parse-names":false,"suffix":""}],"container-title":"The American Naturalist","id":"ITEM-3","issue":"4","issued":{"date-parts":[["1995","4"]]},"note":"Anemophily still results in overrepresentation in tropical plants, but so does small-insect pollination of monoecious or dioecious tropical plants (because insects are always available to help with outcrossing) - something that's not true in temperate regions. Plants with moth, bird or bat pollinators are very underrepresented.","page":"594-609","title":"Neotropical Plant Reproductive Strategies and Fossil Pollen Representation","type":"article-journal","volume":"145"},"uris":["http://www.mendeley.com/documents/?uuid=facfd124-41cc-31e3-8eb5-0254d94eb512"]},{"id":"ITEM-4","itemData":{"DOI":"10.1007/s00334-010-0264-0","ISBN":"0939-6314","ISSN":"09396314","abstract":"During the Quaternary, in particular during glacial times, different grassland ecosystems played a much larger role and had a significantly larger distribution. Little is known yet about past development, biodiversity and dynamics of grassland ecosystems. In this innovative study, we attempt to distinguish between different South American grassland types in space and time based on morphological pollen grain characteristics of Poaceae. For this purpose[60–80 Poaceae pollen grains of 20 grassland samples were measured using their length, width and pore diameter as well as annulus width. Samples were taken from five sites in wet Pa´ramo vegetation from the Late Pleistocene to the Late Holocene in South Ecuador and from two sites in the south-eastern Brazilian highlands (Campos do Altitude) of the same period. Additionally, we investigated two samples from a Pampa site as well as six samples from one Campos grassland site in southern Brazil from the Late Pleistocene to the Late Holocene. Subsets of samples of the Campos grasslands and of the Pa´ramo were investigated in order to retrieve more detailed information on patterns within these vegetation types. Multivariate data analysis of the complete data set shows changes in taxonomic composition along an elevational gradient in the Pa´ramo grasslands. Our results reveal a highly dynamic development of the individual grassland types; they also provide interesting information on Poaceae taxa composition patterns, development and possibly changes in biodiversity within these ecosystems. Moreover, our data provide an indication about the origin and dynamics of the Campos ecosystems in the southern Brazilian highlands during the Late Pleistocene and the Holocene before and after the onset of human activities. Keywords Grasslands South America Poaceae Pollen grain morphology Grain size Pampa Campos Pa´ramo Campos de Altitude Biodiversity","author":[{"dropping-particle":"","family":"Schüler","given":"Lisa","non-dropping-particle":"","parse-names":false,"suffix":""},{"dropping-particle":"","family":"Behling","given":"Hermann","non-dropping-particle":"","parse-names":false,"suffix":""}],"container-title":"Vegetation History and Archaeobotany","id":"ITEM-4","issue":"2","issued":{"date-parts":[["2011","3","15"]]},"note":"A study showing that you can (to some extent) distinguish campos, campos de altitude, paramos and pampas grasslands, as well as seeing some form of taxonomic change through the dimensions of the pollen grains. CdA grass pollen seems to be almost entirely a subset of campos grass pollen. You can see a change/more variability from Pleistocene to end-Holocene in CdS pollen samples, suggesting changes that happened on the grasslands in this time.\n\nIs it worth doing measurements of Poaceae pollen grains for grassland samples to see what they're like/how they change? For samples that come out as forest this probably isn't needed (so a waste of time) but it might be a useful addition to ones that appear to be campos.","page":"97-108","publisher":"Springer-Verlag","title":"Characteristics of Poaceae pollen grains as a tool to assess palaeoecological grassland dynamics in South America","type":"article-journal","volume":"20"},"uris":["http://www.mendeley.com/documents/?uuid=a419a66c-0428-3123-adec-33974cc2a549"]},{"id":"ITEM-5","itemData":{"DOI":"10.1080/00173134.2014.966754","ISBN":"0017-3134","ISSN":"0017-3134","abstract":"This pilot study aims to find whether C3 and C4 Poaceae species can be separated by their pollen grain size. One hundred and sixty Poaceae species were prepared for pollen grain size analyses using standard methods. The whole dataset included 70 species from northern Pakistan, 35 species from Tanzania, 25 from South America and 30 from Germany. We measured four pollen grain parameters, i.e. pollen grain length, pollen grain width, pore diameter and annulus width. Results of the statistical tests and multivariate analyses performed on our specific dataset confirmed that C3 polyploid and C4 polyploid species show trends of larger grain size than the respective diploid species. Results of our fresh Poaceae grains should be applied on fossil pollen embedded in environmental archives for reconstructing past climate, for detecting shifts between their C3/C4 Poaceae compositions and assessing the dynamics of grassland ecosystems.","author":[{"dropping-particle":"","family":"Jan","given":"Farooq","non-dropping-particle":"","parse-names":false,"suffix":""},{"dropping-particle":"","family":"Schüler","given":"Lisa","non-dropping-particle":"","parse-names":false,"suffix":""},{"dropping-particle":"","family":"Behling","given":"Hermann","non-dropping-particle":"","parse-names":false,"suffix":""}],"container-title":"Grana","id":"ITEM-5","issue":"2","issued":{"date-parts":[["2015"]]},"note":"Not many Brazilian spp, and shows you can't separate C3 and C4 spp.","page":"129-145","title":"Trends of pollen grain size variation in C3 and C4 Poaceae species using pollen morphology for future assessment of grassland ecosystem dynamics","type":"article-journal","volume":"54"},"uris":["http://www.mendeley.com/documents/?uuid=718d4d50-a88f-36a4-8602-05db8eef7db7"]},{"id":"ITEM-6","itemData":{"DOI":"10.1007/s00334-010-0265-z","ISBN":"0939-6314","ISSN":"09396314","abstract":"Despite the dominance of grasslands during the last glacial period, especially in South America, the highly uniform morphology of Poaceae pollen grains has so far allowed only very few palynological studies based on Poaceae pollen. In our study we compare two methods of distinguishing between South American grassland ecosys- tems based on quantitative morphology of Poaceae pollen grains. We investigated data sets from Pa ´ramo in southern Ecuador, Campos de Altitude and Campos in south-eastern and southern Brazil as well as data sets from the Pampa in Argentina by measuring the pollen grain length, grain width, pore diameter and annulus width. Firstly we inves- tigated the potential influence of chemical treatment of pollen grains on pollen grain size as well as the measure- ment setting for defining the boundary conditions for using Poaceae pollen grains in a palaeoecological investigation. Finally the measured pollen grain parameters were ana- lyzed by comparison of average grain length using statistical tests. This approach reveals highly significant differences in average grain size between all grassland ecosystems. Assuming that a certain grain size range can be assigned to a certain Poaceae taxon, conclusions about differences and similarities in taxa composition can be derived. We used two methods of multivariate data anal- ysis. One uses the pollen grain parameters directly for a Principle Component Analysis (PCA). The other is an already established method in grassland ecology which defines parameter based pollen grain types to investigate similarities between grassland ecosystems. Both approa- ches confirm the results of the grain length analysis. In this work we demonstrate that the method we developed has the potential to provide acquisition of so far inaccessible information on spatial and temporal patterns and dynamics of South American grasslands.","author":[{"dropping-particle":"","family":"Schüler","given":"Lisa","non-dropping-particle":"","parse-names":false,"suffix":""},{"dropping-particle":"","family":"Behling","given":"Hermann","non-dropping-particle":"","parse-names":false,"suffix":""}],"container-title":"Vegetation History and Archaeobotany","id":"ITEM-6","issue":"2","issued":{"date-parts":[["2011","3","30"]]},"note":"Uses Poaceae pollen grain size to distinguish between four different South American grassland ecosystems in the palaeo record. Pollen grain length was the most important measure for distinguishing them. This paper isn't trying to say which pollen grains might belong to which taxa, though.","page":"83-96","publisher":"Springer-Verlag","title":"Poaceae pollen grain size as a tool to distinguish past grasslands in South America: A new methodological approach","type":"article-journal","volume":"20"},"uris":["http://www.mendeley.com/documents/?uuid=76cff208-6cbb-3955-9e8e-a699332ec952"]}],"mendeley":{"formattedCitation":"(Bush, 1995; Cárdenas et al., 2019; Guarinello de Oliveira Portes et al., 2020; Jan et al., 2015; Schüler and Behling, 2011a, 2011b)","plainTextFormattedCitation":"(Bush, 1995; Cárdenas et al., 2019; Guarinello de Oliveira Portes et al., 2020; Jan et al., 2015; Schüler and Behling, 2011a, 2011b)","previouslyFormattedCitation":"(Bush, 1995; Cárdenas et al., 2019; Guarinello de Oliveira Portes et al., 2020; Jan et al., 2015; Schüler and Behling, 2011a, 2011b)"},"properties":{"noteIndex":0},"schema":"https://github.com/citation-style-language/schema/raw/master/csl-citation.json"}</w:instrText>
      </w:r>
      <w:r w:rsidR="00F83974">
        <w:fldChar w:fldCharType="separate"/>
      </w:r>
      <w:r w:rsidR="005944BB" w:rsidRPr="005944BB">
        <w:rPr>
          <w:noProof/>
          <w:lang w:val="sv-SE"/>
        </w:rPr>
        <w:t>(Bush, 1995; Cárdenas et al., 2019; Guarinello de Oliveira Portes et al., 2020; Jan et al., 2015; Schüler and Behling, 2011a, 2011b)</w:t>
      </w:r>
      <w:r w:rsidR="00F83974">
        <w:fldChar w:fldCharType="end"/>
      </w:r>
      <w:r w:rsidR="00F83974" w:rsidRPr="00A82061">
        <w:rPr>
          <w:lang w:val="sv-SE"/>
        </w:rPr>
        <w:t>.</w:t>
      </w:r>
      <w:r w:rsidR="00D47E82" w:rsidRPr="00A82061">
        <w:rPr>
          <w:lang w:val="sv-SE"/>
        </w:rPr>
        <w:t xml:space="preserve"> </w:t>
      </w:r>
      <w:r>
        <w:t xml:space="preserve">These sites </w:t>
      </w:r>
      <w:r w:rsidR="003C2766">
        <w:t>alo</w:t>
      </w:r>
      <w:r w:rsidR="001B271A">
        <w:t>n</w:t>
      </w:r>
      <w:r w:rsidR="003C2766">
        <w:t>g</w:t>
      </w:r>
      <w:r>
        <w:t xml:space="preserve"> the plateau’s south-east</w:t>
      </w:r>
      <w:r w:rsidR="003C2766">
        <w:t>ern edge</w:t>
      </w:r>
      <w:r>
        <w:t xml:space="preserve"> have been used to characterise the highlands as largely or entirely treeless from the LGM to the late Holocene </w:t>
      </w:r>
      <w:r>
        <w:fldChar w:fldCharType="begin" w:fldLock="1"/>
      </w:r>
      <w:r w:rsidR="008C4AA5">
        <w:instrText>ADDIN CSL_CITATION {"citationItems":[{"id":"ITEM-1","itemData":{"DOI":"10.1016/S0031-0182(01)00349-2","ISBN":"0031-0182","ISSN":"00310182","abstract":"Fourteen pollen records from the south (S) and the southeast (SE) Brazilian regions have been synthesised. Late Glacial records from S Brazilian highlands document the predominance of grassland (campos) where today Araucaria forests occur. Records from SE Brazil show that during pre- and full-glacial times modern tropical semideciduous forest and cerrado (savanna to dry forest) were mostly replaced by grassland and some subtropical gallery forest. Modern montane Araucaria forests and cloud forests in SE Brazil were mostly replaced by grassland during pre- and full-glacial times. There is evidence that the modern tropical Atlantic rainforest in S Brazil was significantly reduced and replaced by cold-adapted forest taxa or grassland during glacial, especially during full-glacial times. The synthesis indicates that grasslands dominated the S and SE Brazilian landscape during the Late Pleistocene where today different forest ecosystems exist. Grassland extended over 750 km from S to SE Brazil from latitudes of about 28??/27?? S to at least 20?? S. These results indicate that climates in the region were markedly drier and 5-7??C cooler during glacial times. Antarctic cold fronts must have been much stronger and more frequent than today. Studies from S Brazil show that huge areas of Late Pleistocene campos vegetation were still found on the S Brazilian highlands during early and mid Holocene times, reflecting dry climatic conditions with an annual dry period of probably 3 months. Modern wet climatic conditions with no or only short dry periods were not established until the Late Holocene period when Araucaria forests replaced large areas of grassland vegetation after about 3000 14C yr B.P. and especially after 1500/1000 14C yr B.P. ?? 2002 Elsevier Science B.V. All rights reserved.","author":[{"dropping-particle":"","family":"Behling","given":"Hermann","non-dropping-particle":"","parse-names":false,"suffix":""}],"container-title":"Palaeogeography, Palaeoclimatology, Palaeoecology","id":"ITEM-1","issue":"1-2","issued":{"date-parts":[["2002"]]},"note":"A review looking at campos in southern and southeastern Brazil from the Pleistocene to the present. No new palaeoecological information presented but does emphasise the significance of campos in its own right, which is not to be missed.","page":"19-27","title":"South and southeast Brazilian grasslands during Late Quaternary times: A synthesis","type":"article-journal","volume":"177"},"prefix":"e.g.","uris":["http://www.mendeley.com/documents/?uuid=2967f0bb-154d-3dad-a00f-9d52d3c3ed4b"]},{"id":"ITEM-2","itemData":{"abstract":"Brazil comprises about 50% of the South American continent including prominent ecosystems like the Amazon and the Atlantic rain forests, semideciduous forests, cerrado, Araucaria forests and campos (grasslands). Detailed palynological studies on new sediment cores located on a transect from southern to northern Brazil allow a regional reconstruction of late Quaternary vegetation and climate history. This paper presents an overview and a paleoclimatic synthesis based on 10 paleoecological records from Brazil. Several changes within different vegetation types and shifts of vegetation belts during glacial and Holocene times were found. Pollen records from the south Brazilian highlands demonstrate that campos vegetation extended from glacial to early Holocene times which was replaced by Araucaria forests only during the late Holocene. Records from the southeast Brazilian lowlands and highlands show a replacement of modern tropical semideciduous forests and cerrado vegetation by subtropical grasslands and gallery forests during the last glacial period, indicating a relatively dry climate with a longer annual dry season and a cold climate with frosts. Some areas of cerrado were replaced by semideciduous forests in southeastern Brazil only in the last millennium. During the early Holocene a longer annual dry season is found in southern and in southeastern Brazil. The latest Holocene period is the wettest since the Last Glacial Maximum for which the shortest dry season has bee inferred. Pollen records near the Amazon mouth indicate palaeovegetation of non analog composition and changes in Amazon rain forest during the late-glacial and early Holocene. Evidence of Podocarpus pollen indicates cooler conditions during the late-glacial.","author":[{"dropping-particle":"","family":"Behling","given":"Hermann","non-dropping-particle":"","parse-names":false,"suffix":""}],"container-title":"Review of Palaeobotany and Palynology","id":"ITEM-2","issue":"2","issued":{"date-parts":[["1998"]]},"note":"Summary of cores from across Brazil (including Amazonia) and vegetation changes.\n\nTL;DR, read the highlighted section of the abstract or italics below.\n\nSouthern Brazil. Pre-Holocene the lowlands were chilly-ish and subtropical, then got more tropical and moist into the Holocene. The highlands started off cold and dry; they got warmer into the Holocene (though still fairly dry) and then SC highlands got cooler and moister (and moister) towards the end; Parana also got much wetter. \nSE Brazil. Lowlands: for the first half of the Holocene they were dry (6 month dry season) and had little rain, apart from 1000yrs early on when it went a little bit wetter (with 4 month dry season). For the last 2800yrs the dry season has gone back to about 4 months and it's about as wet as it's been. The highlands went into the Holocene cold and pretty dry; they got warmer and even the plateau has got more moist in the last 3000yrs.\n\nPre-Holocene:\nSC lowland is subtropical, sometimes frosty. Atlantic forest. SC highland is cold and fairly dry. Lots of campos and occasional Araucaria forest taxa in moister valleys. Parana highland is dry and cold, very frosty, sometimes below -10 in winter. Lots of different campos, some Araucaria forest/rain forest trees in valleys. \n\nEarly/mid-Holocene:\nSC lowland becomes tropical (drier first, then moister, getting more so as it went on). Rain forest. SC highland becomes very warm and dry. Varied vegetation, mostly campos, expansion of Atlantic followed by Araucaria at highland-lowland transition. Parana highland gets warmer, tropical with no frost and moisture in valleys. Campos still in charge but changing, rain forest taxa more frequent, Araucaria still rare (too dry).\n\nLate Holocene:\nSC lowland stays tropical. Rain forest. SC highland is cooler and progressively moister than before. Expansion of Araucaria forest along rivers (c2900-1000yBP) then strongly into campos (c1000-0yBP) when climate was very moist. Parana highland gets more permanently wet and shorter dry season; wettest/no dry season after 1530yBP. Mostly grassland on heights (Araucaria inflitrating slowly)/tropical forest in valleys 2850yBP-1530yBP. After 1530yBP (when wettest), more Araucaria forest patches on highlands but still mostly campos-Araucaria mosaic","page":"143-156","title":"Late Quaternary vegetational and climatic changes in Brazil","type":"article-journal","volume":"99"},"uris":["http://www.mendeley.com/documents/?uuid=01617c73-3902-3525-8152-4d96e63b6f97"]},{"id":"ITEM-3","itemData":{"DOI":"10.1007/s11295-018-1250-4","ISSN":"1614-2942","abstract":"Phylogeographic studies allow us to better understand the past history of species and the factors that mold their current distri-bution. Here, we demonstrate the potential human impact on the distribution of a tree species. In particular, it was hypothesized that Araucaria angustifolia, an endangered South American conifer, was dispersed from its Pleistocene glacial refugium to its maximum occurrence distribution (MOD), mainly by pre-Columbian human groups (ca 2000 years ago). In order to test this hypothesis, we sampled 20 A. angustifolia populations in southern Brazil. Our analysis consisted of an integrative phylogeo-graphic approach, supported by ecological aspects of the species. Therefore, we constructed the species chloroplast haplotype network, tested for possible neutrality deviations, genetic divergence, association between genetic and geographic distances, and simulated the amount of time that the species required to reach its MOD without human help. The species showed clear signs of rapid and recent expansion from a single refugium. The haplotype network had a star-like shape. Populations and the species showed negative values for the neutrality tests and low divergence values among populations (F ST = 0.041) not associated with geographic distance. The estimated dispersal time required for the species to reach its MOD from its putative refugium without human help is not consistent with the rapid and recent expansion of the species. Hence, we argue that humans played an important role in expanding the distribution of the currently endangered species, and it needs to be accounted for when analyzing landscape genetics or in the development of conservation strategies.","author":[{"dropping-particle":"","family":"Lauterjung","given":"Miguel Busarello","non-dropping-particle":"","parse-names":false,"suffix":""},{"dropping-particle":"","family":"Bernardi","given":"Alison Paulo","non-dropping-particle":"","parse-names":false,"suffix":""},{"dropping-particle":"","family":"Montagna","given":"Tiago","non-dropping-particle":"","parse-names":false,"suffix":""},{"dropping-particle":"","family":"Candido-Ribeiro","given":"Rafael","non-dropping-particle":"","parse-names":false,"suffix":""},{"dropping-particle":"","family":"Costa","given":"Newton Clóvis Freitas","non-dropping-particle":"da","parse-names":false,"suffix":""},{"dropping-particle":"","family":"Mantovani","given":"Adelar","non-dropping-particle":"","parse-names":false,"suffix":""},{"dropping-particle":"","family":"Reis","given":"Maurício Sedrez","non-dropping-particle":"dos","parse-names":false,"suffix":""}],"container-title":"Tree Genetics &amp; Genomes","id":"ITEM-3","issue":"3","issued":{"date-parts":[["2018"]]},"note":"This is an interesting paper looking for genetic evidence of anthropogenic expansion of Aa. I don't agree with all of it, but there is still good, useful stuff within it. Particularly, it finds that there's very little differentiation between populations compared to within, and not really any isolation by distance. This (and other factors) suggests quite rapid expansion from an origin point.\n\nHowever, the proposal here is that the origin point was in the SE highlands, and I don't think that's likely to be right. My modelling suggests Aa could have been present more widely to the west (backed up by the 13ka core by Bertoldo et al 2014) so it's not unreasonable that Aa might have been able to spread across its whole range in the time allowed - it's much less far than the authors assume. Also, there's very little pollen evidence in much of this region - need to be careful about extrapolating to wider area. This does not, however, completely rule out these results - perhaps the spJ ~domesticated Aa or otherwise bottlenecked it in places where it was already suitable, or helped spread it faster than it would otherwise have gone (but it would, nonetheless, have spread there). To explore with past modelling, I think.","page":"36","title":"Phylogeography of Brazilian pine (Araucaria angustifolia): integrative evidence for pre-Columbian anthropogenic dispersal","type":"article-journal","volume":"14"},"uris":["http://www.mendeley.com/documents/?uuid=9809cb5b-ef0a-3553-8096-e722f9a8a6ca"]},{"id":"ITEM-4","itemData":{"DOI":"10.1080/17550874.2019.1618408","ISSN":"1755-0874","abstract":"Background: Araucaria forests are mountain ecosystems that might have expanded in the late Holocene, however past distributions remain uncertain. If current distribution reflects climatic conditions, past and future distributions may be projected using climate models. Aims: To contribute to the understanding of past and future distribution of Araucaria forests as a function of climate, we hypothesised that (1) they have increased their geographic distribution since the Last Glacial Maximum (LGM) until the present; and (2) would contract under predicted future climates. Methods: We modelled the spatial distributions of Araucaria forests under current, past and future climatic scenarios. Ecological niche models of 12 indicator species were developed using ensemble modelling. Results: The greatest extent of distribution of Araucaria forests appeared to have occurred during the LGM, after which a continuous retraction followed until the present. Our models suggested that Araucaria forests would experience an even greater retraction in the future. Conclusion: Araucaria forests could have covered larger areas during the LGM than suggested by earlier palynological studies, because climate was suitable for their distribution. The degree of loss of modelled distribution area since the LGM until today indicate these forests are likely to continue to shrink under projected future climatic changes.","author":[{"dropping-particle":"","family":"Bergamin","given":"Rodrigo Scarton","non-dropping-particle":"","parse-names":false,"suffix":""},{"dropping-particle":"","family":"Debastiani","given":"Vanderlei","non-dropping-particle":"","parse-names":false,"suffix":""},{"dropping-particle":"","family":"Joner","given":"Daiany C.","non-dropping-particle":"","parse-names":false,"suffix":""},{"dropping-particle":"","family":"Lemes","given":"Priscila","non-dropping-particle":"","parse-names":false,"suffix":""},{"dropping-particle":"","family":"Guimarães","given":"Taís","non-dropping-particle":"","parse-names":false,"suffix":""},{"dropping-particle":"","family":"Loyola","given":"Rafael D.","non-dropping-particle":"","parse-names":false,"suffix":""},{"dropping-particle":"","family":"Müller","given":"Sandra C.","non-dropping-particle":"","parse-names":false,"suffix":""}],"container-title":"Plant Ecology &amp; Diversity","id":"ITEM-4","issue":"2","issued":{"date-parts":[["2019","3","4"]]},"note":"Models 12 MOF indicator species at the LGM, MH, present and 2070 (RCP 2.5 and 8.5). Predicts widest extent at LGM, markedly decreased by the MH, and slightly decreased again to the present. (Matches with expansions of cerrado and SDF modelled in other studies.) Retractions mainly in N and W, where palaeo records are few; stable in the E. Big declines expected to future. Species tended to respond in unison (possibly a side effect of using indicator species).","page":"115-126","publisher":"Taylor and Francis Ltd.","title":"Loss of suitable climatic areas for Araucaria forests over time","type":"article-journal","volume":"12"},"uris":["http://www.mendeley.com/documents/?uuid=34ad3c79-a6b8-35e2-970b-6ff82fbce254"]}],"mendeley":{"formattedCitation":"(e.g. Behling, 2002, 1998; Bergamin et al., 2019; Lauterjung et al., 2018)","plainTextFormattedCitation":"(e.g. Behling, 2002, 1998; Bergamin et al., 2019; Lauterjung et al., 2018)","previouslyFormattedCitation":"(e.g. Behling, 2002, 1998; Bergamin et al., 2019; Lauterjung et al., 2018)"},"properties":{"noteIndex":0},"schema":"https://github.com/citation-style-language/schema/raw/master/csl-citation.json"}</w:instrText>
      </w:r>
      <w:r>
        <w:fldChar w:fldCharType="separate"/>
      </w:r>
      <w:r w:rsidR="007F330C" w:rsidRPr="007F330C">
        <w:rPr>
          <w:noProof/>
        </w:rPr>
        <w:t>(e.g. Behling, 2002, 1998; Bergamin et al., 2019; Lauterjung et al., 2018)</w:t>
      </w:r>
      <w:r>
        <w:fldChar w:fldCharType="end"/>
      </w:r>
      <w:r>
        <w:t xml:space="preserve">, an extrapolation that our modelling and </w:t>
      </w:r>
      <w:proofErr w:type="spellStart"/>
      <w:r>
        <w:t>palaeo</w:t>
      </w:r>
      <w:proofErr w:type="spellEnd"/>
      <w:r w:rsidR="00B62E26">
        <w:t>-data</w:t>
      </w:r>
      <w:r>
        <w:t xml:space="preserve"> synthesis shows to be over-simplistic. </w:t>
      </w:r>
      <w:r w:rsidR="00B3546F">
        <w:t>As with</w:t>
      </w:r>
      <w:r>
        <w:t xml:space="preserve"> Arruda et al.’s </w:t>
      </w:r>
      <w:r>
        <w:fldChar w:fldCharType="begin" w:fldLock="1"/>
      </w:r>
      <w:r>
        <w:instrText>ADDIN CSL_CITATION {"citationItems":[{"id":"ITEM-1","itemData":{"DOI":"10.1111/geb.12646","ISSN":"14668238","abstract":"Aim: The two main hypotheses about the Neotropical palaeovegetation, namely that of Ama- zonian refugia by Haffer and of the Pleistocene arc by Prado and Gibbs, are still constantly debated. We offer new insights on this debate using ecological niche modelling with combined climate–soil predictors to test both hypotheses, reconstruct the palaeovegetation of the Last Glacial Maximum (LGM; 21 ka) and Mid-Holocene (Mid-H; 6 ka) and indicate the configuration of refugia areas. Location: Brazil. Time period: Last 21 ka. Major taxa studied: Biomes. Methods: We modelled the environmental space of the 10 most representative biomes with the RandomForest classifier, using climate predictors from three atmospheric general circulation mod- els (CCSM4, MPI-ESM-P and MIROC-ESM) and soil predictors, the same for the different situations. Based on the consensus among the models, we reconstructed the palaeovegetation cover for LGM and Mid-H and used fossil pollen sites to validate the reconstructions in a direct comparison. Abstract Aim: The two main hypotheses about the Neotropical palaeovegetation, namely that of Ama- zonian refugia by Haffer and of the Pleistocene arc by Prado and Gibbs, are still constantly debated. We offer new insights on this debate using ecological niche modelling with combined climate–soil predictors to test both hypotheses, reconstruct the palaeovegetation of the Last Glacial Maximum (LGM; 21 ka) and Mid-Holocene (Mid-H; 6 ka) and indicate the configuration of refugia areas. Location: Brazil. Time period: Last 21 ka. Major taxa studied: Biomes. Methods: We modelled the environmental space of the 10 most representative biomes with the RandomForest classifier, using climate predictors from three atmospheric general circulation mod- els (CCSM4, MPI-ESM-P and MIROC-ESM) and soil predictors, the same for the different situations. Based on the consensus among the models, we reconstructed the palaeovegetation cover for LGM and Mid-H and used fossil pollen sites to validate the reconstructions in a direct comparison. Results: The climate in the past was cooler and wetter throughout most of the territory. The Ama- zon basin region was the most affected by climate change in the last 21 ka, with equatorial rain forest retracting to refugia areas, while the tropical rain forest (with climatic preferences similar to the Atlantic forest) expanded in the basin. In southern Brazil, the mixed forest (Araucaria forest) shifted to lower latitudes, while the gras…","author":[{"dropping-particle":"","family":"Arruda","given":"Daniel M.","non-dropping-particle":"","parse-names":false,"suffix":""},{"dropping-particle":"","family":"Schaefer","given":"Carlos E.G.R.","non-dropping-particle":"","parse-names":false,"suffix":""},{"dropping-particle":"","family":"Fonseca","given":"Rúbia S.","non-dropping-particle":"","parse-names":false,"suffix":""},{"dropping-particle":"","family":"Solar","given":"Ricardo R.C.","non-dropping-particle":"","parse-names":false,"suffix":""},{"dropping-particle":"","family":"Fernandes-Filho","given":"Elpídio I.","non-dropping-particle":"","parse-names":false,"suffix":""}],"container-title":"Global Ecology and Biogeography","id":"ITEM-1","issue":"August 2017","issued":{"date-parts":[["2017"]]},"note":"Models biomes in high resolution (1km) using 4 worldclim bioclim variables and 6 soil variables. Looks at LGM and MH. Interesting things about MOF and campos, and seems to agree more with Atlantic Forest hypothesis. Would be interesting to test this with species-centred models in S Brazil, with more explicit evaluation against fossil pollen, and changes in sea level modelled too","page":"47-56","title":"Vegetation cover of Brazil in the last 21 ka: New insights into the Amazonian refugia and Pleistocenic arc hypotheses","type":"article-journal"},"suppress-author":1,"uris":["http://www.mendeley.com/documents/?uuid=1c764ef1-ded9-4832-89e6-a30d6484b1d2"]}],"mendeley":{"formattedCitation":"(2017)","plainTextFormattedCitation":"(2017)","previouslyFormattedCitation":"(2017)"},"properties":{"noteIndex":0},"schema":"https://github.com/citation-style-language/schema/raw/master/csl-citation.json"}</w:instrText>
      </w:r>
      <w:r>
        <w:fldChar w:fldCharType="separate"/>
      </w:r>
      <w:r w:rsidRPr="00001540">
        <w:rPr>
          <w:noProof/>
        </w:rPr>
        <w:t>(2017)</w:t>
      </w:r>
      <w:r>
        <w:fldChar w:fldCharType="end"/>
      </w:r>
      <w:r>
        <w:t xml:space="preserve"> ecosystem-level models, we find that AMF-like assemblages could have been found across much of </w:t>
      </w:r>
      <w:r w:rsidR="00806F79">
        <w:t xml:space="preserve">the </w:t>
      </w:r>
      <w:r>
        <w:t>AMF’s current range since the LGM</w:t>
      </w:r>
      <w:r w:rsidR="00CF0136">
        <w:t xml:space="preserve"> (Fig. </w:t>
      </w:r>
      <w:r w:rsidR="00D5427C">
        <w:t>6</w:t>
      </w:r>
      <w:r w:rsidR="00CF0136">
        <w:t>)</w:t>
      </w:r>
      <w:r>
        <w:t xml:space="preserve">, and proxy sites frequently </w:t>
      </w:r>
      <w:r w:rsidR="00CF0136">
        <w:t>omitted from</w:t>
      </w:r>
      <w:r>
        <w:t xml:space="preserve"> other syntheses attest to AMF taxa and/or forest areas on the highlands before the late Holocene </w:t>
      </w:r>
      <w:r>
        <w:fldChar w:fldCharType="begin" w:fldLock="1"/>
      </w:r>
      <w:r w:rsidR="007F330C">
        <w:instrText>ADDIN CSL_CITATION {"citationItems":[{"id":"ITEM-1","itemData":{"abstract":"Among the forest formations of southern and southeastern of Brazil, the Araucaria Pine Forest is considered one of the most sensitive to climatic variations. Several paleoenvironmental studies try to identify the time at which this type of forest was established in southern Brazil. This paper aims to present the Araucaria Pine Forest records in southwestern and southern Paraná State, from palynological and geochronological data. This study was developed in the State Conservation Unit, Área de Relevante Interesse Ecológico do Buriti, PatoBranco, Paraná State. Frompollen analysis, the presence of 37 taxa was recorded.The record of Araucaria is at least 13,400 years BP (est.), one of the oldest records ever found in the state of Paraná. The expansion of Araucaria and Podocarpus around 4,210 years BP indicates that the climate was cooler and wetter, with well distributed rainfall. RESUMO -(Registro de Floresta Ombrófila Mista nas regiões sudoeste e sul do do Estado do Paraná, Brasil, durante o Pleistoceno/Holoceno). Dentre as formações florestais do sul e sudeste do Brasil, a Floresta Ombrófila Mista é considerada uma das mais sensíveis às variações climáticas. Vários estudos paleoambientais buscam identificar em que época esse tipo de floresta se estabeleceu no sul do Brasil. Este artigo tem como objetivo apresentar o registro da Floresta Ombrófila Mista na região sudoeste e sul do Estado do Paraná, a partir de dados palinológicos e geocronológicos. Este estudo foi desenvolvido na Unidade de Conservação Estadual Área de Relevante Interesse Ecológico do Buriti, município de Pato Branco, PR, Brasil. Na análise palinológica foi registrado a presença de 37 táxons, sendo que, o registro de Araucaria é de pelo menos 13.400 anos AP 14C (est.), portanto, um dos registros mais antigos já encontrados no Estado do Paraná. A expansão de Araucaria e Podocarpus em torno de 4.210 anos A.P. indica que o clima era mais frio e mais úmido, com chuvas bem distribuídas. Palavras-chave: Araucária, palinomorfos, Quaternário","author":[{"dropping-particle":"","family":"Bertoldo","given":"Édson","non-dropping-particle":"","parse-names":false,"suffix":""},{"dropping-particle":"","family":"Paisani","given":"Julio Cesar","non-dropping-particle":"","parse-names":false,"suffix":""},{"dropping-particle":"de","family":"Oliveira","given":"Paulo Eduardo","non-dropping-particle":"","parse-names":false,"suffix":""}],"container-title":"Hoehnea","id":"ITEM-1","issue":"41","issued":{"date-parts":[["2014"]]},"note":"TerIv &amp;amp; TrinR","page":"1-8","title":"Registro de Floresta Ombrófila Mista nas regiões sudoeste e sul do Estado do Paraná, Brasil, durante o Pleistoceno / Holoceno","type":"article-journal","volume":"1"},"uris":["http://www.mendeley.com/documents/?uuid=f407c3cf-8834-34a5-b98f-97ade6f251ac"]},{"id":"ITEM-2","itemData":{"DOI":"10.1016/j.quascirev.2017.06.028","ISSN":"02773791","abstract":"Long-term changes in vegetation and climate of southern Brazil, as well as ocean dynamics of the adjacent South Atlantic, were studied by analyses of pollen, spores and organic-walled dinoflagellate cysts (dinocysts) in marine sediment core GeoB2107-3 collected offshore southern Brazil covering the last 73.5 cal kyr BP. The pollen record indicates that grasslands were much more frequent in the landscapes of southern Brazil during the last glacial period if compared to the late Holocene, reflecting relatively colder and/or less humid climatic conditions. Patches of forest occurred in the lowlands and probably also on the exposed continental shelf that was mainly covered by salt marshes. Interestingly, drought-susceptible Araucaria trees were frequent in the highlands (with a similar abundance as during the late Holocene) until 65 cal kyr BP, but were rare during the following glacial period. Atlantic rainforest was present in the northern lowlands of southern Brazil during the recorded last glacial period, but was strongly reduced from 38.5 until 13.0 cal kyr BP. The reduction was probably controlled by colder and/or less humid climatic conditions. Atlantic rainforest expanded to the south since the Lateglacial period, while Araucaria forests advanced in the highlands only during the late Holocene. Dinocysts data indicate that the Brazil Current (BC) with its warm, salty and nutrient-poor waters influenced the study area throughout the investigated period. However, variations in the proportion of dinocyst taxa indicating an eutrophic environment reflect the input of nutrients transported mainly by the Brazilian Coastal Current (BCC) and partly discharged by the Rio Itajaí (the major river closest to the core site). This was strongly related to changes in sea level. A stronger influence of the BCC with nutrient rich waters occurred during Marine Isotope Stage (MIS) 4 and in particular during the late MIS 3 and MIS 2 under low sea level. Evidence of Nothofagus pollen grains from the southern Andes during late MIS 3 and MIS 2 suggests an efficient transport by the southern westerlies and Argentinean rivers, then by the Malvinas Current and finally by the BCC to the study site. Major changes in the pollen/spore and dinocyst assemblages occur with similar pacing, indicating strongly interlinked continental and marine environmental changes. Proxy comparisons suggest that the changes were driven by similar overarching factors, of which the most important was or…","author":[{"dropping-particle":"","family":"Gu","given":"Fang","non-dropping-particle":"","parse-names":false,"suffix":""},{"dropping-particle":"","family":"Zonneveld","given":"Karin A.F.","non-dropping-particle":"","parse-names":false,"suffix":""},{"dropping-particle":"","family":"Chiessi","given":"Cristiano M.","non-dropping-particle":"","parse-names":false,"suffix":""},{"dropping-particle":"","family":"Arz","given":"Helge W.","non-dropping-particle":"","parse-names":false,"suffix":""},{"dropping-particle":"","family":"Pätzold","given":"Jürgen","non-dropping-particle":"","parse-names":false,"suffix":""},{"dropping-particle":"","family":"Behling","given":"Hermann","non-dropping-particle":"","parse-names":false,"suffix":""}],"container-title":"Quaternary Science Reviews","id":"ITEM-2","issued":{"date-parts":[["2017"]]},"note":"GeB27\nVery interesting paper that uses an offshore core east of SC to reconstruct vegetation and climate for 74kyr in a spatially and temporally low resolution. Suggests the Atlantis rainforest hypothesis might not hold (but doesn't examine this explicitly) and has interesting things to say about Aa through time. Long ago there was more grassland; the exposed shelf was probably a mosaic of forest and grassland, with Aa-campos on higher ground. Has things to say about speleothems comparison too, as well as xrf data.","page":"55-71","title":"Long-term vegetation, climate and ocean dynamics inferred from a 73,500 years old marine sediment core (GeoB2107-3) off southern Brazil","type":"article-journal","volume":"172"},"uris":["http://www.mendeley.com/documents/?uuid=5ca3af1b-048b-4799-ab8a-595fdfde2aa7"]},{"id":"ITEM-3","itemData":{"DOI":"10.1016/j.catena.2008.04.003","ISSN":"03418162","abstract":"During the past 40 years colluvial and alluvial deposits have been used in Brazil as good indicators of regional landscape sensitivity to Quaternary environmental changes. In spite of the low resolution of most of the continental sedimentary record, geomorphology and sedimentology may favor palaeoenvironmental interpretation when supported by independent proxy data. This paper presents results obtained from pedostratigraphic sequences, in near-valley head sites of southern Brazilian highlands, based on geomorphologic, sedimentologic, micromorphologic, isotopic and palynologic data. Results point to environmental changes, with ages that coincide with Marine Isotopic Stages (MIS) 5b; 3; 2 and 1. During the late Pleistocene, although under temperatures and precipitation lower than today, the local record points to relatively wet local environments, where shallow soil-water saturated zones contributed to erosion and sedimentation during periods of climatic change, as during the transition between MIS 2 and MIS 1. Late Pleistocene events with ages that coincide with the Northern Hemisphere Younger Dryas are also depicted. During the mid Holocene, slope-wash deposits suggest a climate drier than today, probably under the influence of seasonally contrasted precipitation regimes. The predominance of overland flow-related sedimentary deposits suggests an excess of precipitation over evaporation that influenced local palaeohydrology. This environmental condition seems to be recurrent and explains how slope morphology had influenced pedogenesis and sedimentation in the study area. Due to relative sensitiveness, resilience and short source-to-sink sedimentary pathways, near-valley head sites deserve further attention in Quaternary studies in the humid tropics. © 2008 Elsevier B.V. All rights reserved.","author":[{"dropping-particle":"","family":"Oliveira","given":"Marcelo Accioly Teixeira","non-dropping-particle":"de","parse-names":false,"suffix":""},{"dropping-particle":"","family":"Behling","given":"Hermann","non-dropping-particle":"","parse-names":false,"suffix":""},{"dropping-particle":"","family":"Pessenda","given":"Luiz Carlos Ruiz","non-dropping-particle":"","parse-names":false,"suffix":""},{"dropping-particle":"","family":"Lima","given":"Gisele Leite","non-dropping-particle":"de","parse-names":false,"suffix":""}],"container-title":"Catena","id":"ITEM-3","issue":"1","issued":{"date-parts":[["2008","9"]]},"note":"Has two of the same sites as de Oliveira et al (2008) JSAmES paper, but also has Valley Bottom sequence which shows rapid (500year) overtake of campos by MOF at beginning of the Holocene. d13C results for Watershed site (covers LGM and period to the Holocene; trees/C3); pollen and d13C results for old old buried peat in Valley Head site (campos and C3-dominated).","page":"77-92","title":"Stratigraphy of near-valley head quaternary deposits and evidence of climate-driven slope-channel processes in southern Brazilian highlands","type":"article-journal","volume":"75"},"uris":["http://www.mendeley.com/documents/?uuid=2bb97552-b350-326c-8b2e-5871b00467d5"]},{"id":"ITEM-4","itemData":{"DOI":"10.1007/s10021-011-9486-y","ISBN":"1432-9840","ISSN":"14329840","abstract":"Recent studies have shown that tropical and subtropical forests expanded during the late Holocene, but rates and mechanisms of expansion are still unknown. Here, we investigate how a forest-grassland mosaic changed over the past 10,000 years at the southernmost limit of the Brazilian Atlantic forest. We used soil organic matter carbon isotopes (δ 13C and 14C) to quantify and date changes in vegetation, examining soil properties and leaf traits of tree species (nutrient content, δ 13C, δ 15N, and specific leaf area-SLA) to describe potential mechanisms of expansion. Our results show that after several millennia of stability, forests have been expanding over grasslands through continuous, but very slow, border dynamics and patch formation (&lt;100 m since ~4,000 YBP). This process of expansion coincided with past changes in climate, but biotic feedback mechanisms also appear to be important for the long-term persistence and expansion of forests. Soil fertility and microbial biomass match current rather than past vegetation distribution, increasing progressively across the gradient: grasslands &lt; isolated trees &lt; forest patches &lt; forests. Foliar δ 15N values of trees that are able to colonize the grassland are consistently lower across this vegetation gradient, suggesting an increasingly greater reliance on symbiotic nutrient uptake from grasslands to forests. No significant relationships were found between soil and leaf nutrients, but SLA explained variation in leaf N, P, and K (positive relationships) and in leaf δ 13C (negative relationship). These findings suggest that a tradeoff between tree growth and water use efficiency is an important regulator of forest-grassland dynamics in the study region. © 2011 Springer Science+Business Media, LLC.","author":[{"dropping-particle":"","family":"Silva","given":"Lucas C R","non-dropping-particle":"","parse-names":false,"suffix":""},{"dropping-particle":"","family":"Anand","given":"Madhur","non-dropping-particle":"","parse-names":false,"suffix":""}],"container-title":"Ecosystems","id":"ITEM-4","issue":"8","issued":{"date-parts":[["2011"]]},"note":"Interesting paper on expansion of ARF over 9,000 years. Good diagrams showing how and when the patches and forest areas expanded. Expansion speeds suggested, with implications for refugia and past humans mentioned. Thoughts in notes.","page":"1354-1371","title":"Mechanisms of Araucaria (Atlantic) Forest Expansion into Southern Brazilian Grasslands","type":"article-journal","volume":"14"},"uris":["http://www.mendeley.com/documents/?uuid=26302ea3-b67e-3725-bd0a-3f81476d906b"]}],"mendeley":{"formattedCitation":"(Bertoldo et al., 2014; de Oliveira et al., 2008; Gu et al., 2017; Silva and Anand, 2011)","plainTextFormattedCitation":"(Bertoldo et al., 2014; de Oliveira et al., 2008; Gu et al., 2017; Silva and Anand, 2011)","previouslyFormattedCitation":"(Bertoldo et al., 2014; de Oliveira et al., 2008; Gu et al., 2017; Silva and Anand, 2011)"},"properties":{"noteIndex":0},"schema":"https://github.com/citation-style-language/schema/raw/master/csl-citation.json"}</w:instrText>
      </w:r>
      <w:r>
        <w:fldChar w:fldCharType="separate"/>
      </w:r>
      <w:r w:rsidR="005944BB" w:rsidRPr="005944BB">
        <w:rPr>
          <w:noProof/>
          <w:lang w:val="sv-SE"/>
        </w:rPr>
        <w:t>(Bertoldo et al., 2014; de Oliveira et al., 2008; Gu et al., 2017; Silva and Anand, 2011)</w:t>
      </w:r>
      <w:r>
        <w:fldChar w:fldCharType="end"/>
      </w:r>
      <w:r w:rsidRPr="00A82061">
        <w:rPr>
          <w:lang w:val="sv-SE"/>
        </w:rPr>
        <w:t xml:space="preserve">. </w:t>
      </w:r>
      <w:r>
        <w:t xml:space="preserve">Our results highlight areas that could be investigated </w:t>
      </w:r>
      <w:r w:rsidR="001B271A">
        <w:t xml:space="preserve">by proxy-based palaeoecological study </w:t>
      </w:r>
      <w:r>
        <w:t xml:space="preserve">to test </w:t>
      </w:r>
      <w:r w:rsidR="00AC3BB5">
        <w:t>these predictions of compositional change amid</w:t>
      </w:r>
      <w:r>
        <w:t xml:space="preserve"> long-term </w:t>
      </w:r>
      <w:r w:rsidR="0098076D">
        <w:t xml:space="preserve">ecosystem-level </w:t>
      </w:r>
      <w:r>
        <w:t>persistence, such as central or north-eastern Santa Catarina and south-eastern Paraná</w:t>
      </w:r>
      <w:r w:rsidR="001B271A">
        <w:t xml:space="preserve"> states</w:t>
      </w:r>
      <w:r w:rsidR="0034672A">
        <w:t>.</w:t>
      </w:r>
      <w:r w:rsidR="0097143C">
        <w:t xml:space="preserve"> </w:t>
      </w:r>
      <w:r w:rsidR="003A0B23">
        <w:t xml:space="preserve">Understanding </w:t>
      </w:r>
      <w:r w:rsidR="006B5B81">
        <w:t xml:space="preserve">whether </w:t>
      </w:r>
      <w:r w:rsidR="00204525">
        <w:t xml:space="preserve">and how </w:t>
      </w:r>
      <w:r w:rsidR="002E6E82">
        <w:t>modelled</w:t>
      </w:r>
      <w:r w:rsidR="00204525">
        <w:t xml:space="preserve"> </w:t>
      </w:r>
      <w:r w:rsidR="00697EC9">
        <w:t>vegetation</w:t>
      </w:r>
      <w:r w:rsidR="00204525">
        <w:t xml:space="preserve"> changes </w:t>
      </w:r>
      <w:r w:rsidR="005B19A2">
        <w:t xml:space="preserve">in these regions </w:t>
      </w:r>
      <w:r w:rsidR="00204525">
        <w:t xml:space="preserve">are </w:t>
      </w:r>
      <w:r w:rsidR="005B19A2">
        <w:t>represented in palaeoecological data</w:t>
      </w:r>
      <w:r w:rsidR="00697EC9">
        <w:t xml:space="preserve"> </w:t>
      </w:r>
      <w:r w:rsidR="00FD399C">
        <w:t>(</w:t>
      </w:r>
      <w:r w:rsidR="00697EC9">
        <w:t xml:space="preserve">and </w:t>
      </w:r>
      <w:r w:rsidR="00697EC9" w:rsidRPr="0080559A">
        <w:rPr>
          <w:i/>
          <w:iCs/>
        </w:rPr>
        <w:t>vice versa</w:t>
      </w:r>
      <w:r w:rsidR="00FD399C">
        <w:t>)</w:t>
      </w:r>
      <w:r w:rsidR="005B19A2">
        <w:t xml:space="preserve"> will improve our </w:t>
      </w:r>
      <w:r w:rsidR="00697EC9">
        <w:t>understanding of</w:t>
      </w:r>
      <w:r w:rsidR="005575AC">
        <w:t xml:space="preserve"> </w:t>
      </w:r>
      <w:r w:rsidR="00B3261D">
        <w:t xml:space="preserve">the southern Atlantic Forest’s </w:t>
      </w:r>
      <w:r w:rsidR="00B3546F">
        <w:t xml:space="preserve">multi-millennial-scale </w:t>
      </w:r>
      <w:r w:rsidR="00697EC9">
        <w:t>plant community</w:t>
      </w:r>
      <w:r w:rsidR="00B3546F">
        <w:t xml:space="preserve"> dynamics, the</w:t>
      </w:r>
      <w:r w:rsidR="003F3B29">
        <w:t>ir</w:t>
      </w:r>
      <w:r w:rsidR="00B3546F">
        <w:t xml:space="preserve"> under</w:t>
      </w:r>
      <w:r w:rsidR="002E1ABD">
        <w:t>lyi</w:t>
      </w:r>
      <w:r w:rsidR="00B3546F">
        <w:t>ng drivers</w:t>
      </w:r>
      <w:r w:rsidR="003F3B29">
        <w:t>, and the</w:t>
      </w:r>
      <w:r w:rsidR="00651062">
        <w:t>se techniques’</w:t>
      </w:r>
      <w:r w:rsidR="003F3B29">
        <w:t xml:space="preserve"> complementary roles </w:t>
      </w:r>
      <w:r w:rsidR="00651062">
        <w:t>in driving these investigations</w:t>
      </w:r>
      <w:r w:rsidR="005575AC">
        <w:t>.</w:t>
      </w:r>
    </w:p>
    <w:p w14:paraId="19BBC758" w14:textId="3749ED22" w:rsidR="00CE7582" w:rsidRDefault="00820668" w:rsidP="00F74804">
      <w:pPr>
        <w:pStyle w:val="Heading2"/>
        <w:numPr>
          <w:ilvl w:val="1"/>
          <w:numId w:val="5"/>
        </w:numPr>
        <w:spacing w:line="360" w:lineRule="auto"/>
      </w:pPr>
      <w:r>
        <w:t>G</w:t>
      </w:r>
      <w:r w:rsidR="005D3C65">
        <w:t>rassland-forest mosaics</w:t>
      </w:r>
      <w:r>
        <w:t xml:space="preserve"> </w:t>
      </w:r>
      <w:r w:rsidR="005D3C65">
        <w:t>across space and time</w:t>
      </w:r>
    </w:p>
    <w:p w14:paraId="7C1F94EB" w14:textId="7AE8C431" w:rsidR="00724AF3" w:rsidRDefault="00373FD6" w:rsidP="00F74804">
      <w:pPr>
        <w:spacing w:line="360" w:lineRule="auto"/>
      </w:pPr>
      <w:r>
        <w:t>The</w:t>
      </w:r>
      <w:r w:rsidR="00EC2040">
        <w:t xml:space="preserve"> palaeoecolog</w:t>
      </w:r>
      <w:r w:rsidR="00C4212B">
        <w:t>ical value of model-data comparisons for understanding the biogeographic history of the Atlantic Forest</w:t>
      </w:r>
      <w:r w:rsidR="00EC2040">
        <w:t xml:space="preserve"> can be </w:t>
      </w:r>
      <w:r w:rsidR="0080559A">
        <w:t xml:space="preserve">effectively </w:t>
      </w:r>
      <w:r w:rsidR="00EC2040">
        <w:t xml:space="preserve">illustrated </w:t>
      </w:r>
      <w:r w:rsidR="0063680F">
        <w:t xml:space="preserve">with Araucaria Mixed Forest and Campos. </w:t>
      </w:r>
      <w:r w:rsidR="001F2FF8">
        <w:t>M</w:t>
      </w:r>
      <w:r w:rsidR="00C4212B">
        <w:t>illennial-scale</w:t>
      </w:r>
      <w:r w:rsidR="00273B9B">
        <w:t xml:space="preserve"> </w:t>
      </w:r>
      <w:r w:rsidR="005D1D62">
        <w:t>interplay between</w:t>
      </w:r>
      <w:r w:rsidR="00273B9B">
        <w:t xml:space="preserve"> these ecosystems </w:t>
      </w:r>
      <w:r w:rsidR="005D1D62">
        <w:t>is</w:t>
      </w:r>
      <w:r w:rsidR="00273B9B">
        <w:t xml:space="preserve"> generally </w:t>
      </w:r>
      <w:r w:rsidR="00D33731">
        <w:t xml:space="preserve">attributed </w:t>
      </w:r>
      <w:r w:rsidR="005D1D62">
        <w:t>to rainfall and/or temperature</w:t>
      </w:r>
      <w:r w:rsidR="00D33731">
        <w:t xml:space="preserve"> changes </w:t>
      </w:r>
      <w:r w:rsidR="00247BB1">
        <w:fldChar w:fldCharType="begin" w:fldLock="1"/>
      </w:r>
      <w:r w:rsidR="00AB68BA">
        <w:instrText>ADDIN CSL_CITATION {"citationItems":[{"id":"ITEM-1","itemData":{"DOI":"10.1016/S0031-0182(03)00687-4","ISBN":"0031-0182","ISSN":"00310182","abstract":"Late Quaternary vegetation, fire and climate dynamics have been studied based on high-resolution dated pollen and charcoal samples and multivariate data analysis. The samples were taken from a 212-cm-long sediment core of a bog in the Cambará do Sul region on the highlands of northeastern Rio Grande do Sul State, Brazil. The records, including seven AMS radiocarbon dates, span 42 840 14C years, for the first time extending the reconstruction of past environmental changes on the southern Brazilian highlands back to the Last Glacial Maximum (LGM) and pre-LGM times. The last 1100 years provide a decadal resolution. Initially the site was a permanent shallow lake which became seasonally dry after 26 900 14C yr BP. Seasonal climate with a long annual dry period prevailed until the late Holocene. The climate was somewhat wetter from 42 840 to 41 470 14C yr BP and from 41 470 to 26 900 14C yr BP than during the LGM and the late-Glacial period. Natural fires were rare, but became very frequent after 7400 cal BP, suggesting human occupation of the southernmost Brazilian highlands since that time. The records suggest that a species-rich Campos (grassland) vegetation existed in the area under a relatively dry and cold climate during glacial times under possibly as low as -10°C. The record also suggests that small populations of Araucaria were probably only present in refugia of deep and protected valleys and/or on wetter coastal slopes. Campos vegetation existed through the early and mid-Holocene until 4320 cal yr BP, after which Araucaria forest expanded into the network of gallery forests along the streams. By 1100 cal yr BP the Araucaria forest replaced the Campos vegetation reflecting the onset of the wettest period with no marked annual dry season. The marked expansion of the Araucaria forest coincided with the reduction in fire. Between AD 1520 and 1770 Weinmannia became a common taxa in the Araucaria forest, suggesting a shift to warmer climatic conditions on the highlands. This interval was synchronous with a cool phase within the Little Ice Age known from North Atlantic land records. After about AD 1780 human activities changed the original forest composition, first by introducing cattle into the forest and than by selective logging of Araucaria trees. Multivariate analysis of the pollen data shows compositional changes that follow a trajectory alternating undirectional, random phases and phases with directional, sometimes fast transitions. The results al…","author":[{"dropping-particle":"","family":"Behling","given":"Hermann","non-dropping-particle":"","parse-names":false,"suffix":""},{"dropping-particle":"","family":"Pillar","given":"Valerio DePatta","non-dropping-particle":"","parse-names":false,"suffix":""},{"dropping-particle":"","family":"Orlóci","given":"László","non-dropping-particle":"","parse-names":false,"suffix":""},{"dropping-particle":"","family":"Bauermann","given":"Soraia Girardi","non-dropping-particle":"","parse-names":false,"suffix":""}],"container-title":"Palaeogeography, Palaeoclimatology, Palaeoecology","id":"ITEM-1","issue":"3-4","issued":{"date-parts":[["2004"]]},"note":"CamSu\n\nDetailed examination of Cambara do Sul core in NE Rio Grande do Sul, 42,658 C14 yr BP to present. Shows 100 year Campos-Araucaria switch in about 1100 cal yr BP.\n\nNEEDS SOME REINTERPRETING WITH LEONHARDT &amp;amp; LORSCHEITTER 2010. SEE NOTE\n\n(All dates C14 yr BP)\n\n42,840 - 41,470\n83-88% campos pollen, 8-14% Araucaria forest pollen (only 2 grains of A. angustifolia), only one pollen grain from Atlantic forest taxa, aquatics 6-16%, ferns 3-6%. Low conc and accumulation of carbonised particles.\n\n41,4701 - 26,900\n87-94% campos pollen, 3-9% Araucaria forest (less pollen from Myrtaceae), a few single grains of Atlantic forest pollen, less aquatic pollen (3-7%), fewer fern spores (0-3%). Carbonised particles still rare.\n\n26,900 - 10,120\n87-97% campos pollen (though changing composition - Poaceae down, Eryngium up; less Apiaceae), 1-5% Araucaria forest, 0-0.3% Atlantic forest (lowest for both), 1-3% aquatic, lowest time for ferns (but big increase at end of zone). Carbonised particles rare.\n\n10,120 - 3,950 (11,540 - 4,320 cal yr BP)\n74-88% campos but lower near end (Poaceae up from last time; Eryngium get more common; other compositional changes), 3-13% Araucaria forest (up slightly thanks to A. angustifolia and Myrsine), 0-4% Atlantic (up slightly), trace aquatics, big increase of ferns (up to 46%) then decrease by end (to 9%), increase in Dicksonia (0-14%). Lots of carbonised particles higher up in this section.\n\n3950 - 1140 (4320 - 1100 cal yr BP)\n65-84% campos (down a bit but still high; Cyperaceae up, Poaceae and Eryngium down), 13-27% Araucaria forest (mainly A. angustifolia 4-7%, Myrsine and Weinmannia), 2-5% Atlantic forest, fern spores up again (9-40%), Dicksonia common (9-16%). Lots and lots of carbonised particles.\n\n1140 - 410 (1100 - 430 cal yr BP)\nCampos way down and keeps going (55-24%), continuous increase of Araucaria forest pollen (39-80%) with A. angustifolia going up 14-42% and big increase in Mimosa scabrella, no change in Atlantic (2-6%), fewer fern spores (5-19%), highest Dicksonia spore level (9-26%), high point for mosses but decrease later. Low concentration of carbonised particles but higher accumulation than at beginning of core.\n\n410 - -50 (430 - -50 cal yr BP)\nCampos start way down (to 11%) but increase (to 38%, through Cyperaceae then Poaceae) then go down right at the end, Araucaria forest highest early on (87%) but decreases at the end (65%) as A. angustifolia drops off right at the end (41-2%; Mimosa scabrella jumps correspondingly; other changes), nothing much happens with Atlantic forest (2-7%), fern spores go down (21-2%) and Dicksonia crashes by end (19-0.3%). Similar carbonised particles to before.","page":"277-297","title":"Late Quaternary Araucaria forest, grassland (Campos), fire and climate dynamics, studied by high-resolution pollen, charcoal and multivariate analysis of the Cambará do Sul core in southern Brazil","type":"article-journal","volume":"203"},"uris":["http://www.mendeley.com/documents/?uuid=46579170-55fd-37c2-8f78-517419a62e98"]},{"id":"ITEM-2","itemData":{"DOI":"10.1016/S0031-0182(01)00349-2","ISBN":"0031-0182","ISSN":"00310182","abstract":"Fourteen pollen records from the south (S) and the southeast (SE) Brazilian regions have been synthesised. Late Glacial records from S Brazilian highlands document the predominance of grassland (campos) where today Araucaria forests occur. Records from SE Brazil show that during pre- and full-glacial times modern tropical semideciduous forest and cerrado (savanna to dry forest) were mostly replaced by grassland and some subtropical gallery forest. Modern montane Araucaria forests and cloud forests in SE Brazil were mostly replaced by grassland during pre- and full-glacial times. There is evidence that the modern tropical Atlantic rainforest in S Brazil was significantly reduced and replaced by cold-adapted forest taxa or grassland during glacial, especially during full-glacial times. The synthesis indicates that grasslands dominated the S and SE Brazilian landscape during the Late Pleistocene where today different forest ecosystems exist. Grassland extended over 750 km from S to SE Brazil from latitudes of about 28??/27?? S to at least 20?? S. These results indicate that climates in the region were markedly drier and 5-7??C cooler during glacial times. Antarctic cold fronts must have been much stronger and more frequent than today. Studies from S Brazil show that huge areas of Late Pleistocene campos vegetation were still found on the S Brazilian highlands during early and mid Holocene times, reflecting dry climatic conditions with an annual dry period of probably 3 months. Modern wet climatic conditions with no or only short dry periods were not established until the Late Holocene period when Araucaria forests replaced large areas of grassland vegetation after about 3000 14C yr B.P. and especially after 1500/1000 14C yr B.P. ?? 2002 Elsevier Science B.V. All rights reserved.","author":[{"dropping-particle":"","family":"Behling","given":"Hermann","non-dropping-particle":"","parse-names":false,"suffix":""}],"container-title":"Palaeogeography, Palaeoclimatology, Palaeoecology","id":"ITEM-2","issue":"1-2","issued":{"date-parts":[["2002"]]},"note":"A review looking at campos in southern and southeastern Brazil from the Pleistocene to the present. No new palaeoecological information presented but does emphasise the significance of campos in its own right, which is not to be missed.","page":"19-27","title":"South and southeast Brazilian grasslands during Late Quaternary times: A synthesis","type":"article-journal","volume":"177"},"uris":["http://www.mendeley.com/documents/?uuid=2967f0bb-154d-3dad-a00f-9d52d3c3ed4b"]}],"mendeley":{"formattedCitation":"(Behling, 2002; Behling et al., 2004)","plainTextFormattedCitation":"(Behling, 2002; Behling et al., 2004)","previouslyFormattedCitation":"(Behling, 2002; Behling et al., 2004)"},"properties":{"noteIndex":0},"schema":"https://github.com/citation-style-language/schema/raw/master/csl-citation.json"}</w:instrText>
      </w:r>
      <w:r w:rsidR="00247BB1">
        <w:fldChar w:fldCharType="separate"/>
      </w:r>
      <w:r w:rsidR="00247BB1" w:rsidRPr="00247BB1">
        <w:rPr>
          <w:noProof/>
        </w:rPr>
        <w:t>(Behling, 2002; Behling et al., 2004)</w:t>
      </w:r>
      <w:r w:rsidR="00247BB1">
        <w:fldChar w:fldCharType="end"/>
      </w:r>
      <w:r w:rsidR="00247BB1">
        <w:t>, but</w:t>
      </w:r>
      <w:r w:rsidR="00724AF3">
        <w:t xml:space="preserve"> our analysis shows that </w:t>
      </w:r>
      <w:r w:rsidR="00CF05B1">
        <w:t>SDMs</w:t>
      </w:r>
      <w:r w:rsidR="00724AF3">
        <w:t xml:space="preserve"> of </w:t>
      </w:r>
      <w:r w:rsidR="0063680F">
        <w:t xml:space="preserve">their </w:t>
      </w:r>
      <w:r w:rsidR="0063680F">
        <w:lastRenderedPageBreak/>
        <w:t>constituent species</w:t>
      </w:r>
      <w:r w:rsidR="00724AF3">
        <w:t xml:space="preserve"> cannot distinguish the two ecosystems</w:t>
      </w:r>
      <w:r w:rsidR="00CF05B1">
        <w:t xml:space="preserve"> in the present</w:t>
      </w:r>
      <w:r w:rsidR="00724AF3">
        <w:t xml:space="preserve">, suggesting significant overlap between their climatic niches and therefore that non-climatic factors dictate their boundaries. This </w:t>
      </w:r>
      <w:r w:rsidR="002E1ABD">
        <w:t>corroborates</w:t>
      </w:r>
      <w:r w:rsidR="00724AF3">
        <w:t xml:space="preserve"> other published modelling studies </w:t>
      </w:r>
      <w:r w:rsidR="00724AF3">
        <w:fldChar w:fldCharType="begin" w:fldLock="1"/>
      </w:r>
      <w:r w:rsidR="00E038D6">
        <w:instrText>ADDIN CSL_CITATION {"citationItems":[{"id":"ITEM-1","itemData":{"DOI":"10.1177/0959683618810406","ISSN":"14770911","abstract":"We provide a comprehensive analysis of the Holocene climate and vegetation changes over South America through numerical simulations. Holocene climate for several periods (8 ka, 6 ka, 4 ka, 2 ka, and present) were simulated by an atmospheric general circulation model, forced with orbital parameters, CO 2 concentrations, and sea surface temperature (SST), while the analysis of the biome distributions was made with a potential vegetation model (PVM). Compared with the present climate, our four simulated periods of the Holocene were characterized by reduced South Atlantic Convergence Zone intensity and weaker South American Monsoon System (SAMS). The model simulated conditions drier than present over most of South America and gradual strengthening of SAMS toward the present. The Northeast Brazil was wetter because of southward migration of the intertropical convergence zone (ITCZ). Moreover, SST conditions were the main forcing for the climate changes during the mid Holocene inducing larger austral summer southward ITCZ migration. PVM paleovegetation projections are shown to be consistent with paleodata proxies which suggest fluctuations between biomes, despite the fact that ages of dry/wet indicators are not synchronous over large areas of the Amazonian ecosystem. Holocene PVM simulations show distinct retreat in Amazonian forest biome in all four simulated periods. In 6 ka, present caatinga vegetation in Northeastern Brazil was replaced with savanna or dense shrubland. The simulations also suggest the existence of rainforest in western Amazonia and the expansion of savanna and seasonal forest in the eastern Amazon, with shifts in plant community compositions and fragmentation located mostly in ecotone regions. Moreover, our PVM results show that during the Holocene, the Amazonian tropical forest was smaller in area than today, although western Amazonia persisted as a tropical forest throughout the Holocene.","author":[{"dropping-particle":"","family":"Maksic","given":"Jelena","non-dropping-particle":"","parse-names":false,"suffix":""},{"dropping-particle":"","family":"Shimizu","given":"Marilia Harumi","non-dropping-particle":"","parse-names":false,"suffix":""},{"dropping-particle":"","family":"Oliveira","given":"Gilvan Sampaio","non-dropping-particle":"de","parse-names":false,"suffix":""},{"dropping-particle":"","family":"Venancio","given":"Igor Martins","non-dropping-particle":"","parse-names":false,"suffix":""},{"dropping-particle":"","family":"Cardoso","given":"Manoel","non-dropping-particle":"","parse-names":false,"suffix":""},{"dropping-particle":"","family":"Ferreira","given":"Felipe Alexandre","non-dropping-particle":"","parse-names":false,"suffix":""}],"container-title":"Holocene","id":"ITEM-1","issue":"2","issued":{"date-parts":[["2019","2","16"]]},"page":"287-299","publisher":"SAGE PublicationsSage UK: London, England","title":"Simulation of the Holocene climate over South America and impacts on the vegetation","type":"article-journal","volume":"29"},"uris":["http://www.mendeley.com/documents/?uuid=174dd882-a4bb-4be8-9a1c-47dc3e6f57d6"]},{"id":"ITEM-2","itemData":{"DOI":"10.1111/geb.12694","ISBN":"4170","ISSN":"14668238","abstract":"Aim: The aim was to examine the links between past biome stability, vegetation dynamics and biodiversity patterns. Location: South America. Time period: Last 30,000 years. Major taxa studied: Plants. Methods: We classified South America into major biomes according to their dominant plant functional groups (grasses, trees and shrubs) and ran a random forest (RF) classification with data on current climate. We then fitted the algorithm to predict biome distributions for every 1,000 years back to 21,000 yr BP and estimated biome stability by counting how many times a change in climate was predicted to shift a grid cell from one biome to another. We compared our model-based stability map with empirical estimates from selected pollen records covering the past 30 kyr in terms of vegetation shifts, changes in species composition and time-lag of vegetation responses. Results: We found a strong correlation between our habitat stability map and regional vegetation dynamics. Four scenarios emerged according to the way forest distribution shifted during a climate change. Each scenario related to specific regional features of biome stability and diversity, allowing us to formulate specific predictions on how taxonomic, genetic and functional components of biodiversity might be impacted by modern climate change. Main conclusions: Our validated map of biome stability provides important baseline information for studying the impacts of past climate on biodiversity in South America. By focusing exclusively on climatic changes of manifested relevance (i.e., those resulting in significant habitat changes), it provides a novel perspective that complements previous datasets and allows scientists to explore new questions and hypotheses at the local, regional and continental scales.","author":[{"dropping-particle":"","family":"Costa","given":"Gabriel C.","non-dropping-particle":"","parse-names":false,"suffix":""},{"dropping-particle":"","family":"Hampe","given":"Arndt","non-dropping-particle":"","parse-names":false,"suffix":""},{"dropping-particle":"","family":"Ledru","given":"Marie Pierre","non-dropping-particle":"","parse-names":false,"suffix":""},{"dropping-particle":"","family":"Martinez","given":"Pablo A.","non-dropping-particle":"","parse-names":false,"suffix":""},{"dropping-particle":"","family":"Mazzochini","given":"Guilherme G.","non-dropping-particle":"","parse-names":false,"suffix":""},{"dropping-particle":"","family":"Shepard","given":"Donald B.","non-dropping-particle":"","parse-names":false,"suffix":""},{"dropping-particle":"","family":"Werneck","given":"Fernanda P.","non-dropping-particle":"","parse-names":false,"suffix":""},{"dropping-particle":"","family":"Moritz","given":"Craig","non-dropping-particle":"","parse-names":false,"suffix":""},{"dropping-particle":"","family":"Carnaval","given":"Ana Carolina","non-dropping-particle":"","parse-names":false,"suffix":""}],"container-title":"Global Ecology and Biogeography","id":"ITEM-2","issue":"August 2017","issued":{"date-parts":[["2017"]]},"note":"Uses RFs to model biomes (tropical rainforest, grassland etc - all Mata Atlantica ends up rainforest) from LGM at 1000yr intervals (HadCM3) with comparison to pollen records. Looks at biome stability through time. Large (unexpected?) refuge area in southern Brazil (SC, S PR) with only one shift from grassland to forest (but which might include Campos grasslands). Lots of interesting discussion about microrefugia and what you'd expect to see in different places in terms of genetic/taxonomic diversity etc. Use as springboard for higher taxonomic resolution modelling to see floristic changes through time - specifically investigating the stable zone.","page":"285-297","title":"Biome stability in South America over the last 30 kyr: Inferences from long-term vegetation dynamics and habitat modelling","type":"article-journal"},"uris":["http://www.mendeley.com/documents/?uuid=b7c29cbb-73a3-4cdf-807b-397f0068a642"]},{"id":"ITEM-3","itemData":{"DOI":"10.1080/17550874.2019.1618408","ISSN":"1755-0874","abstract":"Background: Araucaria forests are mountain ecosystems that might have expanded in the late Holocene, however past distributions remain uncertain. If current distribution reflects climatic conditions, past and future distributions may be projected using climate models. Aims: To contribute to the understanding of past and future distribution of Araucaria forests as a function of climate, we hypothesised that (1) they have increased their geographic distribution since the Last Glacial Maximum (LGM) until the present; and (2) would contract under predicted future climates. Methods: We modelled the spatial distributions of Araucaria forests under current, past and future climatic scenarios. Ecological niche models of 12 indicator species were developed using ensemble modelling. Results: The greatest extent of distribution of Araucaria forests appeared to have occurred during the LGM, after which a continuous retraction followed until the present. Our models suggested that Araucaria forests would experience an even greater retraction in the future. Conclusion: Araucaria forests could have covered larger areas during the LGM than suggested by earlier palynological studies, because climate was suitable for their distribution. The degree of loss of modelled distribution area since the LGM until today indicate these forests are likely to continue to shrink under projected future climatic changes.","author":[{"dropping-particle":"","family":"Bergamin","given":"Rodrigo Scarton","non-dropping-particle":"","parse-names":false,"suffix":""},{"dropping-particle":"","family":"Debastiani","given":"Vanderlei","non-dropping-particle":"","parse-names":false,"suffix":""},{"dropping-particle":"","family":"Joner","given":"Daiany C.","non-dropping-particle":"","parse-names":false,"suffix":""},{"dropping-particle":"","family":"Lemes","given":"Priscila","non-dropping-particle":"","parse-names":false,"suffix":""},{"dropping-particle":"","family":"Guimarães","given":"Taís","non-dropping-particle":"","parse-names":false,"suffix":""},{"dropping-particle":"","family":"Loyola","given":"Rafael D.","non-dropping-particle":"","parse-names":false,"suffix":""},{"dropping-particle":"","family":"Müller","given":"Sandra C.","non-dropping-particle":"","parse-names":false,"suffix":""}],"container-title":"Plant Ecology &amp; Diversity","id":"ITEM-3","issue":"2","issued":{"date-parts":[["2019","3","4"]]},"note":"Models 12 MOF indicator species at the LGM, MH, present and 2070 (RCP 2.5 and 8.5). Predicts widest extent at LGM, markedly decreased by the MH, and slightly decreased again to the present. (Matches with expansions of cerrado and SDF modelled in other studies.) Retractions mainly in N and W, where palaeo records are few; stable in the E. Big declines expected to future. Species tended to respond in unison (possibly a side effect of using indicator species).","page":"115-126","publisher":"Taylor and Francis Ltd.","title":"Loss of suitable climatic areas for Araucaria forests over time","type":"article-journal","volume":"12"},"uris":["http://www.mendeley.com/documents/?uuid=34ad3c79-a6b8-35e2-970b-6ff82fbce254"]},{"id":"ITEM-4","itemData":{"DOI":"10.1016/j.ppees.2015.08.001","ISSN":"16180437","abstract":"The aim of this study was to identify major bioclimatic variables associated with the diversity patterns of plant genera and the contribution of elevations in highly diverse areas of the Subtropical Highland Grasslands (SHG), which form mosaics with Araucaria forests. We selected three plant genera that have diversified, in part, within the Neotropical SHG: Adesmia (Fabaceae) and Calibrachoa and Petunia (Solanaceae). We delimited the major high elevation areas of the region and calculated the taxonomic diversity for these taxa in each area. Ecological Niche Models (ENMs) were used to predict the distribution of each taxon and to project it to the Last Glacial Maximum (LGM), allowing searching for stable areas. Those stable areas were then compared to areas with high diversity levels. We explored the spatial occurrences and the multivariate contribution of environmental factors to differentiate among the Araucaria forest and the SHG. Finally, we examined the correlations between the environmental variables and the molecular and taxonomic diversity. Niche stability was directly linked to diversity and positively correlated with altitude. Although some niche aspects differed subtly, the predicted distributions of grassland and forest taxa were not different at larger scales. Two of the four studied areas were suggested by the ENMs to be high-relevant sites for conservation studies and the maintenance of diversity.","author":[{"dropping-particle":"","family":"Barros","given":"Michel J F","non-dropping-particle":"","parse-names":false,"suffix":""},{"dropping-particle":"","family":"Silva-Arias","given":"Gustavo A","non-dropping-particle":"","parse-names":false,"suffix":""},{"dropping-particle":"","family":"Fregonezi","given":"Jeferson N","non-dropping-particle":"","parse-names":false,"suffix":""},{"dropping-particle":"","family":"Turchetto-Zolet","given":"Andreia C","non-dropping-particle":"","parse-names":false,"suffix":""},{"dropping-particle":"V","family":"Iganci","given":"João R","non-dropping-particle":"","parse-names":false,"suffix":""},{"dropping-particle":"","family":"Diniz-Filho","given":"José Alexandre F","non-dropping-particle":"","parse-names":false,"suffix":""},{"dropping-particle":"","family":"Freitas","given":"Loreta B","non-dropping-particle":"","parse-names":false,"suffix":""}],"container-title":"Perspectives in Plant Ecology, Evolution and Systematics","id":"ITEM-4","issue":"5","issued":{"date-parts":[["2015"]]},"note":"Interesting but slightly confusing paper that looks at climatic stability and genetic diversity in highland campos from LGM to now. More stable (and higher altitude) areas are associated with higher diversity, which is discussed. Maps of Aa extent (based on maxent and &amp;gt;900masl occurrences) included, which would be worth comparing to new models. Also found that forest and campos niches overlapped at this scale - can this be discriminated with finer scale modelling?","page":"360-368","title":"Environmental drivers of diversity in Subtropical Highland Grasslands","type":"article-journal","volume":"17"},"uris":["http://www.mendeley.com/documents/?uuid=092f3f94-67ce-3021-8b03-fff7233b7355"]},{"id":"ITEM-5","itemData":{"DOI":"10.1111/gcb.14755","ISSN":"1354-1013","author":[{"dropping-particle":"","family":"Wilson","given":"Oliver J.","non-dropping-particle":"","parse-names":false,"suffix":""},{"dropping-particle":"","family":"Walters","given":"Richard J.","non-dropping-particle":"","parse-names":false,"suffix":""},{"dropping-particle":"","family":"Mayle","given":"Francis E.","non-dropping-particle":"","parse-names":false,"suffix":""},{"dropping-particle":"V.","family":"Lingner","given":"Débora","non-dropping-particle":"","parse-names":false,"suffix":""},{"dropping-particle":"","family":"Vibrans","given":"Alexander C.","non-dropping-particle":"","parse-names":false,"suffix":""}],"container-title":"Global Change Biology","id":"ITEM-5","issue":"12","issued":{"date-parts":[["2019","12","10"]]},"note":"169cm core covering nearly 40.000 years analysed. Finds mostly campos (with some Myrtaceae, though they could be campos spp) from 40,000 - early Holocene, with rise in Atlantic forest from lower levels from about 10,000 BP to 3,300 BP. There's a bit of Araucaria forest 40,000 - 18,000 BP, but it disappears until about 10,000 BP, when it's still fairly rare. There's a big increase of Atlantic forest pollen between 3300 BP and present, and a decent increase of Araucaria forest too (though Aa is only up to 4% max).\n\nThere's a much later Araucaria forest expansion than in other cores. Maybe due to location, maybe because this area wasn't a glacial refugium, but maybe also because of people..?\n\nThe core is chiefly used to interpret climate as it's the only long-term core around other than Cambara do Sul. Also worth bearing in mind that this is quite a lot closer to the coast than most of the other studies I've looked at.","page":"4339-4351","title":"Cold spot microrefugia hold the key to survival for Brazil's Critically Endangered Araucaria tree","type":"article-journal","volume":"25"},"uris":["http://www.mendeley.com/documents/?uuid=0c1389e8-ae73-3b22-b5bb-44dd34667df5"]}],"mendeley":{"formattedCitation":"(Barros et al., 2015; Bergamin et al., 2019; Costa et al., 2017; Maksic et al., 2019; Wilson et al., 2019)","plainTextFormattedCitation":"(Barros et al., 2015; Bergamin et al., 2019; Costa et al., 2017; Maksic et al., 2019; Wilson et al., 2019)","previouslyFormattedCitation":"(Barros et al., 2015; Bergamin et al., 2019; Costa et al., 2017; Maksic et al., 2019; Wilson et al., 2019)"},"properties":{"noteIndex":0},"schema":"https://github.com/citation-style-language/schema/raw/master/csl-citation.json"}</w:instrText>
      </w:r>
      <w:r w:rsidR="00724AF3">
        <w:fldChar w:fldCharType="separate"/>
      </w:r>
      <w:r w:rsidR="00724AF3" w:rsidRPr="00B02C5A">
        <w:rPr>
          <w:noProof/>
        </w:rPr>
        <w:t>(Barros et al., 2015; Bergamin et al., 2019; Costa et al., 2017; Maksic et al., 2019; Wilson et al., 2019)</w:t>
      </w:r>
      <w:r w:rsidR="00724AF3">
        <w:fldChar w:fldCharType="end"/>
      </w:r>
      <w:r w:rsidR="00724AF3">
        <w:t xml:space="preserve">, as well as contemporary and palaeoecological observations of AMF expanding over Campos in the absence of fire and/or grazing </w:t>
      </w:r>
      <w:r w:rsidR="00724AF3">
        <w:fldChar w:fldCharType="begin" w:fldLock="1"/>
      </w:r>
      <w:r w:rsidR="004F4F54">
        <w:instrText>ADDIN CSL_CITATION {"citationItems":[{"id":"ITEM-1","itemData":{"DOI":"10.1038/s41598-020-57564-z","ISSN":"2045-2322","abstract":"Woody encroachment threatens several ecosystems around the world. In general, management of grasslands includes regulation of fire and grazing regimes. Changes in these two types of disturbances are potential drivers of woody encroachment. Here we assessed how the traditional management carried out by local landholders affects a highland grassland ecosystem in southern Brazil. We hypothesized that grasslands converted to protected areas undergo fast woody encroachment. To reconstruct changes in vegetation, we interviewed former and current landholders and coupled their knowledge with an analysis of aerial and satellite images. During the first 11 years without fire and cattle, woody encroachment in grasslands increased exponentially. Woody encroachment occurred mostly by the replacement of grasslands by shrublands. Meanwhile, grasslands under traditional management remained almost unchanged for the last 40 years. The management of fire by local landholders has been part of their traditional practices for decades. Such management prevents large-scale wildfires and maintains natural highland grasslands. The quick pace of shrub encroachment in such grasslands threatens its exclusive diversity, human well-being and regional cultural heritage. Thus, conservation policies are needed to regulate and instruct about the use of fire as a management tool in highland grasslands of southern Brazil.","author":[{"dropping-particle":"","family":"Sühs","given":"Rafael Barbizan","non-dropping-particle":"","parse-names":false,"suffix":""},{"dropping-particle":"","family":"Giehl","given":"Eduardo Luís Hettwer","non-dropping-particle":"","parse-names":false,"suffix":""},{"dropping-particle":"","family":"Peroni","given":"Nivaldo","non-dropping-particle":"","parse-names":false,"suffix":""}],"container-title":"Scientific Reports","id":"ITEM-1","issue":"1","issued":{"date-parts":[["2020","12","21"]]},"page":"783","publisher":"Nature Research","title":"Preventing traditional management can cause grassland loss within 30 years in southern Brazil","type":"article-journal","volume":"10"},"uris":["http://www.mendeley.com/documents/?uuid=d9eeb1b6-3666-30a9-a983-71a7e1d4fe6a"]},{"id":"ITEM-2","itemData":{"DOI":"10.1007/978-1-4614-3797-0_7","ISBN":"9781461437970","ISSN":"1098-6596","PMID":"25246403","abstract":"The southernmost part of Brazil is characterized by extended grasslands—the southern Campos. In some parts of the region, these grasslands occur in close contact with different forest types of the Atlantic forest biome or riparian forests, forming mosaics. Otherwise, they form large and continuous areas toward south and southwest, where they reach the Pampa grassland of Uruguay and Argentina. Throughout this region, forest expansion and/or shrub encroachment can be observed and have been related both to site conditions (abiotic variables and disturbance regimes) and climatic changes. We know today, based on studies of pollen records from peat profiles, that expansion of woody vegetation throughout the past centuries was driven by changes in the climatic conditions towards a climate increasingly favorable for forest development, and evidence exists that this process is halted or at least slowed down as consequence of land use and disturbances. Current vegetation dynamics in forest-grassland ecotones thus likely are linked both to climatic changes (on the regional scale) and vegetation management and/or disturbance regime (on the local scale).","author":[{"dropping-particle":"","family":"Müller","given":"Sandra Cristina","non-dropping-particle":"","parse-names":false,"suffix":""},{"dropping-particle":"","family":"Overbeck","given":"Gerhard E.","non-dropping-particle":"","parse-names":false,"suffix":""},{"dropping-particle":"","family":"Blanco","given":"Carolina C.","non-dropping-particle":"","parse-names":false,"suffix":""},{"dropping-particle":"","family":"Oliveira","given":"Juliano M.","non-dropping-particle":"de","parse-names":false,"suffix":""},{"dropping-particle":"","family":"Pillar","given":"Valério D.","non-dropping-particle":"","parse-names":false,"suffix":""}],"chapter-number":"7","container-title":"Ecotones Between Forest and Grassland","editor":[{"dropping-particle":"","family":"Myster","given":"Randall W.","non-dropping-particle":"","parse-names":false,"suffix":""}],"id":"ITEM-2","issued":{"date-parts":[["2012"]]},"note":"General overview of campos-forest mosaic maintenance, mostly from the point of view of campos persistence. Grazing and fire pressures described and explained","page":"167-187","publisher":"Springer New York","publisher-place":"New York, NY","title":"South Brazilian Forest-Grassland Ecotones: Dynamics Affected by Climate, Disturbance, and Woody Species Traits","type":"chapter","volume":"9781461437"},"uris":["http://www.mendeley.com/documents/?uuid=8188166e-730b-4178-99e9-ce95a661de13"]},{"id":"ITEM-3","itemData":{"DOI":"10.1016/j.geoderma.2007.06.005","ISBN":"0016-7061","ISSN":"00167061","PMID":"778","abstract":"The vegetation of the southern Brazilian highlands in Rio Grande do Sul State is a mosaic of grassland (C4) and deciduous forests (C3) with the conifer Araucaria angustifolia. It was uncertain, whether the grasslands represent relics of drier periods in the Holocene or if they are the result of deforestation in recent times. We analyzed plant tissues from gramineous and woody species, organic surface layers, as well as soil organic matter of 13 Andosols and Umbrisols in grassland, shrubland, pine plantations and Araucaria forest for stable carbon isotope ratios (δ13C) and 14C activity. The soil organic matter was separated into a free particulate organic matter (fPOM) and a heavy, organo-mineral fraction by density fractionation. All grassland soils have consistently ??13C values of - 18.7 to - 14.3??? typical for C4 grasses. In Araucaria forests and forest patches within grassland the δ13C values of both, the fPOM throughout the soil and the organic surface layers, are characteristic for the present below- and above-ground input from C3 trees. The C3- and C4-derived SOC stocks reflect expansion of Araucaria forest on grassland, which started after 1300??yr BP. The youngest forests are found at the forest border and in forest patches. Grassland soils lose their typically black colour from the top downwards after shrub encroachment or establishment of forest as indicated by increasing melanic indexes which are closely related to the δ13C values. The natural 13C depletion with depth in grassland soils counteracts the enrichment of 13C in the subsoils of present Araucaria forest. The results clearly indicate that current grasslands represent relics at least from the early and mid Holocene period (6000-8000??yr BP) and are not the result of recent deforestation.","author":[{"dropping-particle":"","family":"Dümig","given":"Alexander","non-dropping-particle":"","parse-names":false,"suffix":""},{"dropping-particle":"","family":"Schad","given":"Peter","non-dropping-particle":"","parse-names":false,"suffix":""},{"dropping-particle":"","family":"Rumpel","given":"Cornelia","non-dropping-particle":"","parse-names":false,"suffix":""},{"dropping-particle":"","family":"Dignac","given":"Marie France","non-dropping-particle":"","parse-names":false,"suffix":""},{"dropping-particle":"","family":"Kögel-Knabner","given":"Ingrid","non-dropping-particle":"","parse-names":false,"suffix":""}],"container-title":"Geoderma","id":"ITEM-3","issue":"1-2","issued":{"date-parts":[["2008"]]},"note":"Looks at soil carbon, carbon dating and soil colour changes (?) to see whether Araucaria forest or grassland was there first; agrees strongly with Behling 2001 - expansion of Araucaria forest over campos after 1300 (cal?) yr BP. Suggestions are made in the conclusions about climate and the ages of different forest blocks that could be the basis of a hypothesis re climate and people","page":"143-157","title":"Araucaria forest expansion on grassland in the southern Brazilian highlands as revealed by 14C and δ13C studies","type":"article-journal","volume":"145"},"uris":["http://www.mendeley.com/documents/?uuid=5e3493b9-8502-33ea-a9ad-898e8f2a4c5d"]},{"id":"ITEM-4","itemData":{"DOI":"10.1007/s10021-011-9486-y","ISBN":"1432-9840","ISSN":"14329840","abstract":"Recent studies have shown that tropical and subtropical forests expanded during the late Holocene, but rates and mechanisms of expansion are still unknown. Here, we investigate how a forest-grassland mosaic changed over the past 10,000 years at the southernmost limit of the Brazilian Atlantic forest. We used soil organic matter carbon isotopes (δ 13C and 14C) to quantify and date changes in vegetation, examining soil properties and leaf traits of tree species (nutrient content, δ 13C, δ 15N, and specific leaf area-SLA) to describe potential mechanisms of expansion. Our results show that after several millennia of stability, forests have been expanding over grasslands through continuous, but very slow, border dynamics and patch formation (&lt;100 m since ~4,000 YBP). This process of expansion coincided with past changes in climate, but biotic feedback mechanisms also appear to be important for the long-term persistence and expansion of forests. Soil fertility and microbial biomass match current rather than past vegetation distribution, increasing progressively across the gradient: grasslands &lt; isolated trees &lt; forest patches &lt; forests. Foliar δ 15N values of trees that are able to colonize the grassland are consistently lower across this vegetation gradient, suggesting an increasingly greater reliance on symbiotic nutrient uptake from grasslands to forests. No significant relationships were found between soil and leaf nutrients, but SLA explained variation in leaf N, P, and K (positive relationships) and in leaf δ 13C (negative relationship). These findings suggest that a tradeoff between tree growth and water use efficiency is an important regulator of forest-grassland dynamics in the study region. © 2011 Springer Science+Business Media, LLC.","author":[{"dropping-particle":"","family":"Silva","given":"Lucas C R","non-dropping-particle":"","parse-names":false,"suffix":""},{"dropping-particle":"","family":"Anand","given":"Madhur","non-dropping-particle":"","parse-names":false,"suffix":""}],"container-title":"Ecosystems","id":"ITEM-4","issue":"8","issued":{"date-parts":[["2011"]]},"note":"Interesting paper on expansion of ARF over 9,000 years. Good diagrams showing how and when the patches and forest areas expanded. Expansion speeds suggested, with implications for refugia and past humans mentioned. Thoughts in notes.","page":"1354-1371","title":"Mechanisms of Araucaria (Atlantic) Forest Expansion into Southern Brazilian Grasslands","type":"article-journal","volume":"14"},"uris":["http://www.mendeley.com/documents/?uuid=26302ea3-b67e-3725-bd0a-3f81476d906b"]},{"id":"ITEM-5","itemData":{"DOI":"10.1556/ComEc.5.2004.2.8","ISBN":"3099","ISSN":"1585-8553","abstract":"A mosaic of Campos grassland and Araucaria forest characterizes the vegetation of the Southern Brazilian highland plateau. Palaeoecological evidence indicates that forest expansion over grassland initiated after the mid Holocene, when climate changed towards present day cool and moist conditions. In this paper, we discuss landscape level changes that occurred on vegetation patterns after grazing and fire exclusion in a mosaic of Campos and Araucaria forest in Southern Brazil. The analysis of aerial photographs from 1974 and 1999 showed alterations on grassland communities under grazing and fire exclusion, especially pronounced shrub establishment near the edge of the forest. Considering the change in the cover of vegetation classes relative to the total altered cover in all classes from 1974 to 1999, the most prominent alterations were: 48% from grassland with tussock grasses dominance (GRA) to grassland with shrubs (GSR), 24% from GRA to grassland with tall shrubs (GTS), 16% from GSR to GTS and 9% from GTS to forest (FOR). Considering the alteration relatively to the vegetation cover in 1974, the most relevant changes were: 44% from GSR to GTS and 94% from GTS to FOR. These observations support a directional forest expansion over grassland under grazing and fire exclusion.","author":[{"dropping-particle":"","family":"Oliveira","given":"J.M.","non-dropping-particle":"","parse-names":false,"suffix":""},{"dropping-particle":"","family":"Pillar","given":"Valério de Patta","non-dropping-particle":"","parse-names":false,"suffix":""}],"container-title":"Community Ecology","id":"ITEM-5","issue":"2","issued":{"date-parts":[["2005"]]},"note":"Most common changes were GRA - GSR and GTS, GSR - GTS, and GTS - FOR. Shows the general pattern of forest expansion over grassland and provides a model for how the Holocene expansion may have progressed. This type of expansion is all about edge dynamics (as opposed to nucleation).","page":"197-202","title":"Vegetation dynamics on mosaics of Campos and Araucaria forest between 1974 and 1999 in Southern Brazil","type":"article-journal","volume":"5"},"uris":["http://www.mendeley.com/documents/?uuid=89e8b57e-d51a-46d5-b069-1390db69b38c"]},{"id":"ITEM-6","itemData":{"DOI":"10.1098/rstb.2006.1984","abstract":"Palaeoecological background information is needed for management and conservation of the highly diverse mosaic of Araucaria forest and Campos (grassland) in southern Brazil. Questions on the origin of Araucaria forest and grasslands; its development, dynamic and stability; its response to environmental change such as climate; and the role of human impact are essential. Further questions on its natural stage of vegetation or its alteration by pre-and post-Columbian anthropogenic activity are also important. To answer these questions, palaeoecological and palaeoenvironmental data based on pollen, charcoal and multivariate data analysis of radiocarbon dated sedimentary archives from southern Brazil are used to provide an insight into past vegetation changes, which allows us to improve our understanding of the modern vegetation and to develop conservation and management strategies for the strongly affected ecosystems in southern Brazil.","author":[{"dropping-particle":"","family":"Behling","given":"Hermann","non-dropping-particle":"","parse-names":false,"suffix":""},{"dropping-particle":"","family":"Pillar","given":"Valério de Patta","non-dropping-particle":"","parse-names":false,"suffix":""}],"container-title":"Philosophical Transactions of the Royal Society B","id":"ITEM-6","issue":"1478","issued":{"date-parts":[["2007"]]},"note":"Summarises regional findings on dynamics of Araucaria and Campos with fire, including looking at directionality/random changes. Implications for conservation and management of the modern ecosystem are discussed. No new core.","page":"243-251","title":"Late Quaternary vegetation, biodiversity and fire dynamics on the southern Brazilian highland and their implication for conservation and management of modern Araucaria forest and grassland ecosystems","type":"article-journal","volume":"362"},"uris":["http://www.mendeley.com/documents/?uuid=250b4142-43fc-3cb5-b885-4a9f888fea95"]},{"id":"ITEM-7","itemData":{"DOI":"10.1016/S0031-0182(01)00349-2","ISBN":"0031-0182","ISSN":"00310182","abstract":"Fourteen pollen records from the south (S) and the southeast (SE) Brazilian regions have been synthesised. Late Glacial records from S Brazilian highlands document the predominance of grassland (campos) where today Araucaria forests occur. Records from SE Brazil show that during pre- and full-glacial times modern tropical semideciduous forest and cerrado (savanna to dry forest) were mostly replaced by grassland and some subtropical gallery forest. Modern montane Araucaria forests and cloud forests in SE Brazil were mostly replaced by grassland during pre- and full-glacial times. There is evidence that the modern tropical Atlantic rainforest in S Brazil was significantly reduced and replaced by cold-adapted forest taxa or grassland during glacial, especially during full-glacial times. The synthesis indicates that grasslands dominated the S and SE Brazilian landscape during the Late Pleistocene where today different forest ecosystems exist. Grassland extended over 750 km from S to SE Brazil from latitudes of about 28??/27?? S to at least 20?? S. These results indicate that climates in the region were markedly drier and 5-7??C cooler during glacial times. Antarctic cold fronts must have been much stronger and more frequent than today. Studies from S Brazil show that huge areas of Late Pleistocene campos vegetation were still found on the S Brazilian highlands during early and mid Holocene times, reflecting dry climatic conditions with an annual dry period of probably 3 months. Modern wet climatic conditions with no or only short dry periods were not established until the Late Holocene period when Araucaria forests replaced large areas of grassland vegetation after about 3000 14C yr B.P. and especially after 1500/1000 14C yr B.P. ?? 2002 Elsevier Science B.V. All rights reserved.","author":[{"dropping-particle":"","family":"Behling","given":"Hermann","non-dropping-particle":"","parse-names":false,"suffix":""}],"container-title":"Palaeogeography, Palaeoclimatology, Palaeoecology","id":"ITEM-7","issue":"1-2","issued":{"date-parts":[["2002"]]},"note":"A review looking at campos in southern and southeastern Brazil from the Pleistocene to the present. No new palaeoecological information presented but does emphasise the significance of campos in its own right, which is not to be missed.","page":"19-27","title":"South and southeast Brazilian grasslands during Late Quaternary times: A synthesis","type":"article-journal","volume":"177"},"uris":["http://www.mendeley.com/documents/?uuid=2967f0bb-154d-3dad-a00f-9d52d3c3ed4b"]}],"mendeley":{"formattedCitation":"(Behling, 2002; Behling and Pillar, 2007; Dümig et al., 2008; Müller et al., 2012; Oliveira and Pillar, 2005; Silva and Anand, 2011; Sühs et al., 2020)","plainTextFormattedCitation":"(Behling, 2002; Behling and Pillar, 2007; Dümig et al., 2008; Müller et al., 2012; Oliveira and Pillar, 2005; Silva and Anand, 2011; Sühs et al., 2020)","previouslyFormattedCitation":"(Behling, 2002; Behling and Pillar, 2007; Dümig et al., 2008; Müller et al., 2012; Oliveira and Pillar, 2005; Silva and Anand, 2011; Sühs et al., 2020)"},"properties":{"noteIndex":0},"schema":"https://github.com/citation-style-language/schema/raw/master/csl-citation.json"}</w:instrText>
      </w:r>
      <w:r w:rsidR="00724AF3">
        <w:fldChar w:fldCharType="separate"/>
      </w:r>
      <w:r w:rsidR="005944BB" w:rsidRPr="005944BB">
        <w:rPr>
          <w:noProof/>
          <w:lang w:val="sv-SE"/>
        </w:rPr>
        <w:t>(Behling, 2002; Behling and Pillar, 2007; Dümig et al., 2008; Müller et al., 2012; Oliveira and Pillar, 2005; Silva and Anand, 2011; Sühs et al., 2020)</w:t>
      </w:r>
      <w:r w:rsidR="00724AF3">
        <w:fldChar w:fldCharType="end"/>
      </w:r>
      <w:r w:rsidR="00724AF3" w:rsidRPr="00A82061">
        <w:rPr>
          <w:lang w:val="sv-SE"/>
        </w:rPr>
        <w:t xml:space="preserve">. </w:t>
      </w:r>
      <w:r w:rsidR="00724AF3">
        <w:t xml:space="preserve">One consequence of this difficulty in differentiating forest and grassland in our SDMs is that, where predicted past assemblages include both herb and tree species, their actual physiognomy is unclear. </w:t>
      </w:r>
      <w:r w:rsidR="00DA4A4A">
        <w:t>O</w:t>
      </w:r>
      <w:r w:rsidR="00724AF3">
        <w:t>ur LGM (21,000-18,000 BP) data</w:t>
      </w:r>
      <w:r w:rsidR="00DA4A4A">
        <w:t xml:space="preserve"> </w:t>
      </w:r>
      <w:r w:rsidR="005D5E0C">
        <w:t>are</w:t>
      </w:r>
      <w:r w:rsidR="00DA4A4A">
        <w:t xml:space="preserve"> a case in point</w:t>
      </w:r>
      <w:r w:rsidR="00724AF3">
        <w:t xml:space="preserve">: </w:t>
      </w:r>
      <w:proofErr w:type="gramStart"/>
      <w:r w:rsidR="00724AF3">
        <w:t xml:space="preserve">at this </w:t>
      </w:r>
      <w:r w:rsidR="00532CB1">
        <w:t>time</w:t>
      </w:r>
      <w:proofErr w:type="gramEnd"/>
      <w:r w:rsidR="00724AF3">
        <w:t xml:space="preserve">, most </w:t>
      </w:r>
      <w:proofErr w:type="spellStart"/>
      <w:r w:rsidR="00724AF3">
        <w:t>palaeo</w:t>
      </w:r>
      <w:proofErr w:type="spellEnd"/>
      <w:r w:rsidR="00924780">
        <w:t>-</w:t>
      </w:r>
      <w:r w:rsidR="005D5E0C">
        <w:t>data</w:t>
      </w:r>
      <w:r w:rsidR="00724AF3">
        <w:t xml:space="preserve"> sites in our study area record pollen, soil </w:t>
      </w:r>
      <w:r w:rsidR="002E1ABD">
        <w:t>stable</w:t>
      </w:r>
      <w:r w:rsidR="009E5B9C">
        <w:t>-</w:t>
      </w:r>
      <w:r w:rsidR="00724AF3">
        <w:t xml:space="preserve">carbon </w:t>
      </w:r>
      <w:r w:rsidR="002E1ABD">
        <w:t xml:space="preserve">isotope </w:t>
      </w:r>
      <w:r w:rsidR="00724AF3">
        <w:t xml:space="preserve">and phytolith evidence </w:t>
      </w:r>
      <w:r w:rsidR="00532CB1">
        <w:t>for</w:t>
      </w:r>
      <w:r w:rsidR="00724AF3">
        <w:t xml:space="preserve"> dominant grasslands</w:t>
      </w:r>
      <w:r w:rsidR="00C77A3E">
        <w:t>,</w:t>
      </w:r>
      <w:r w:rsidR="00724AF3">
        <w:t xml:space="preserve"> barely differ</w:t>
      </w:r>
      <w:r w:rsidR="00C77A3E">
        <w:t>ing</w:t>
      </w:r>
      <w:r w:rsidR="00724AF3">
        <w:t xml:space="preserve"> between modelled assemblages 9 (modern escarpment forests), 15 (Campos/Cloud Forest) and 13 (which encompasses both Campos and AMF</w:t>
      </w:r>
      <w:r w:rsidR="00FA46CE">
        <w:t xml:space="preserve">; Fig. </w:t>
      </w:r>
      <w:r w:rsidR="00D5427C">
        <w:t>6</w:t>
      </w:r>
      <w:r w:rsidR="00724AF3">
        <w:t>). Wh</w:t>
      </w:r>
      <w:r w:rsidR="006A52A5">
        <w:t>ich</w:t>
      </w:r>
      <w:r w:rsidR="00724AF3">
        <w:t xml:space="preserve"> non-climatic factors </w:t>
      </w:r>
      <w:r w:rsidR="006A52A5">
        <w:t>might</w:t>
      </w:r>
      <w:r w:rsidR="00724AF3">
        <w:t xml:space="preserve"> explain why these </w:t>
      </w:r>
      <w:r w:rsidR="006A52A5">
        <w:t xml:space="preserve">LGM plant </w:t>
      </w:r>
      <w:r w:rsidR="00724AF3">
        <w:t xml:space="preserve">assemblages were grasslands rather than forests (as large parts are today)? </w:t>
      </w:r>
    </w:p>
    <w:p w14:paraId="62A0EB16" w14:textId="7024EF8C" w:rsidR="00724AF3" w:rsidRPr="00493779" w:rsidRDefault="00724AF3" w:rsidP="00F74804">
      <w:pPr>
        <w:spacing w:line="360" w:lineRule="auto"/>
      </w:pPr>
      <w:r>
        <w:t>There is little evidence that fire restricted forest species’ distributions at the (cold, generally wet) LGM</w:t>
      </w:r>
      <w:r w:rsidR="009E5B9C">
        <w:t>;</w:t>
      </w:r>
      <w:r>
        <w:t xml:space="preserve"> although only three microcharcoal records cover the period </w:t>
      </w:r>
      <w:r>
        <w:fldChar w:fldCharType="begin" w:fldLock="1"/>
      </w:r>
      <w:r w:rsidR="007F330C">
        <w:instrText>ADDIN CSL_CITATION {"citationItems":[{"id":"ITEM-1","itemData":{"DOI":"10.1016/S0031-0182(03)00687-4","ISBN":"0031-0182","ISSN":"00310182","abstract":"Late Quaternary vegetation, fire and climate dynamics have been studied based on high-resolution dated pollen and charcoal samples and multivariate data analysis. The samples were taken from a 212-cm-long sediment core of a bog in the Cambará do Sul region on the highlands of northeastern Rio Grande do Sul State, Brazil. The records, including seven AMS radiocarbon dates, span 42 840 14C years, for the first time extending the reconstruction of past environmental changes on the southern Brazilian highlands back to the Last Glacial Maximum (LGM) and pre-LGM times. The last 1100 years provide a decadal resolution. Initially the site was a permanent shallow lake which became seasonally dry after 26 900 14C yr BP. Seasonal climate with a long annual dry period prevailed until the late Holocene. The climate was somewhat wetter from 42 840 to 41 470 14C yr BP and from 41 470 to 26 900 14C yr BP than during the LGM and the late-Glacial period. Natural fires were rare, but became very frequent after 7400 cal BP, suggesting human occupation of the southernmost Brazilian highlands since that time. The records suggest that a species-rich Campos (grassland) vegetation existed in the area under a relatively dry and cold climate during glacial times under possibly as low as -10°C. The record also suggests that small populations of Araucaria were probably only present in refugia of deep and protected valleys and/or on wetter coastal slopes. Campos vegetation existed through the early and mid-Holocene until 4320 cal yr BP, after which Araucaria forest expanded into the network of gallery forests along the streams. By 1100 cal yr BP the Araucaria forest replaced the Campos vegetation reflecting the onset of the wettest period with no marked annual dry season. The marked expansion of the Araucaria forest coincided with the reduction in fire. Between AD 1520 and 1770 Weinmannia became a common taxa in the Araucaria forest, suggesting a shift to warmer climatic conditions on the highlands. This interval was synchronous with a cool phase within the Little Ice Age known from North Atlantic land records. After about AD 1780 human activities changed the original forest composition, first by introducing cattle into the forest and than by selective logging of Araucaria trees. Multivariate analysis of the pollen data shows compositional changes that follow a trajectory alternating undirectional, random phases and phases with directional, sometimes fast transitions. The results al…","author":[{"dropping-particle":"","family":"Behling","given":"Hermann","non-dropping-particle":"","parse-names":false,"suffix":""},{"dropping-particle":"","family":"Pillar","given":"Valerio DePatta","non-dropping-particle":"","parse-names":false,"suffix":""},{"dropping-particle":"","family":"Orlóci","given":"László","non-dropping-particle":"","parse-names":false,"suffix":""},{"dropping-particle":"","family":"Bauermann","given":"Soraia Girardi","non-dropping-particle":"","parse-names":false,"suffix":""}],"container-title":"Palaeogeography, Palaeoclimatology, Palaeoecology","id":"ITEM-1","issue":"3-4","issued":{"date-parts":[["2004"]]},"note":"CamSu\n\nDetailed examination of Cambara do Sul core in NE Rio Grande do Sul, 42,658 C14 yr BP to present. Shows 100 year Campos-Araucaria switch in about 1100 cal yr BP.\n\nNEEDS SOME REINTERPRETING WITH LEONHARDT &amp;amp; LORSCHEITTER 2010. SEE NOTE\n\n(All dates C14 yr BP)\n\n42,840 - 41,470\n83-88% campos pollen, 8-14% Araucaria forest pollen (only 2 grains of A. angustifolia), only one pollen grain from Atlantic forest taxa, aquatics 6-16%, ferns 3-6%. Low conc and accumulation of carbonised particles.\n\n41,4701 - 26,900\n87-94% campos pollen, 3-9% Araucaria forest (less pollen from Myrtaceae), a few single grains of Atlantic forest pollen, less aquatic pollen (3-7%), fewer fern spores (0-3%). Carbonised particles still rare.\n\n26,900 - 10,120\n87-97% campos pollen (though changing composition - Poaceae down, Eryngium up; less Apiaceae), 1-5% Araucaria forest, 0-0.3% Atlantic forest (lowest for both), 1-3% aquatic, lowest time for ferns (but big increase at end of zone). Carbonised particles rare.\n\n10,120 - 3,950 (11,540 - 4,320 cal yr BP)\n74-88% campos but lower near end (Poaceae up from last time; Eryngium get more common; other compositional changes), 3-13% Araucaria forest (up slightly thanks to A. angustifolia and Myrsine), 0-4% Atlantic (up slightly), trace aquatics, big increase of ferns (up to 46%) then decrease by end (to 9%), increase in Dicksonia (0-14%). Lots of carbonised particles higher up in this section.\n\n3950 - 1140 (4320 - 1100 cal yr BP)\n65-84% campos (down a bit but still high; Cyperaceae up, Poaceae and Eryngium down), 13-27% Araucaria forest (mainly A. angustifolia 4-7%, Myrsine and Weinmannia), 2-5% Atlantic forest, fern spores up again (9-40%), Dicksonia common (9-16%). Lots and lots of carbonised particles.\n\n1140 - 410 (1100 - 430 cal yr BP)\nCampos way down and keeps going (55-24%), continuous increase of Araucaria forest pollen (39-80%) with A. angustifolia going up 14-42% and big increase in Mimosa scabrella, no change in Atlantic (2-6%), fewer fern spores (5-19%), highest Dicksonia spore level (9-26%), high point for mosses but decrease later. Low concentration of carbonised particles but higher accumulation than at beginning of core.\n\n410 - -50 (430 - -50 cal yr BP)\nCampos start way down (to 11%) but increase (to 38%, through Cyperaceae then Poaceae) then go down right at the end, Araucaria forest highest early on (87%) but decreases at the end (65%) as A. angustifolia drops off right at the end (41-2%; Mimosa scabrella jumps correspondingly; other changes), nothing much happens with Atlantic forest (2-7%), fern spores go down (21-2%) and Dicksonia crashes by end (19-0.3%). Similar carbonised particles to before.","page":"277-297","title":"Late Quaternary Araucaria forest, grassland (Campos), fire and climate dynamics, studied by high-resolution pollen, charcoal and multivariate analysis of the Cambará do Sul core in southern Brazil","type":"article-journal","volume":"203"},"uris":["http://www.mendeley.com/documents/?uuid=46579170-55fd-37c2-8f78-517419a62e98"]},{"id":"ITEM-2","itemData":{"DOI":"10.1007/s00334-012-0382-y","ISBN":"0939-6314","ISSN":"09396314","abstract":"The present study reveals palaeoenvironmental changes in the coastal southern Brazilian highlands during the last 39720 b.p., by the means of pollen, charcoal and multivariate data analyses. The isolated mountain range of Serra do Tabuleiro corresponds to the southern distribution limit of many tropical plant species and is therefore sensitive to climate change. Palaeoenvironmental reconstructions from the Ciama 2 core at 860 m a.s.l. indicate that Campos (subtropical grassland) covered extensive areas on the highlands throughout the recorded glacial period, thus suggesting cold and dry climatic conditions. The initial development of the Atlantic rainforest occurred after the glacial period, whereas plant diversity began to increase at the beginning of the Holocene due to climate change towards warmer and wetter conditions. At about 10400 cal. b.p., the Atlantic rainforest started to move over the slopes and Campos retracted. Multivariate data analysis showed a change of vegetation dynamics after 11200 cal. b.p. with the initial development of the Atlantic rainforest continuing until the mid-Holocene. Major vegetation changes, including the further expansion of the Atlantic rainforest and the initial development of the Araucaria forest in the higher regions of the Serra do Tabuleiro, occurred during the late Holocene after about 3600 cal. b.p. These changes reflect higher precipitation levels without an annual dry season. Multivariate data analysis reveals a clearly directional change of vegetation dynamics corresponding to the progressive expansion of the Atlantic rainforest from 3850 to 1600 cal. b.p. A second directional change of vegetation dynamics occurred from 320 to 160 cal. b.p. (a.d. 1630 to 1790) with a further development of the Atlantic rainforest and the partial replacement of Campos by Araucaria forest and Atlantic rainforest. Thereafter, an ecosystem disturbance, which resulted in forest opening, took place. Palaeofires probably did not occur during glacial times, whereas fire events, which were probably caused by Amerindians, were common in the Serra do Tabuleiro region from ca. 10400 until 3600 cal. b.p.","author":[{"dropping-particle":"","family":"Jeske-Pieruschka","given":"Vivian","non-dropping-particle":"","parse-names":false,"suffix":""},{"dropping-particle":"","family":"Pillar","given":"Valerio D.","non-dropping-particle":"","parse-names":false,"suffix":""},{"dropping-particle":"","family":"Oliveira","given":"Marcelo Accioly Teixeira","non-dropping-particle":"de","parse-names":false,"suffix":""},{"dropping-particle":"","family":"Behling","given":"Hermann","non-dropping-particle":"","parse-names":false,"suffix":""}],"container-title":"Vegetation History and Archaeobotany","id":"ITEM-2","issue":"4","issued":{"date-parts":[["2013","7","20"]]},"note":"Ciam2\n169cm core covering nearly 40.000 years analysed. Finds mostly campos (with some Myrtaceae, though they could be campos spp) from 40,000 - early Holocene, with rise in Atlantic forest from lower levels from about 10,000 BP to 3,300 BP. There's a bit of Araucaria forest 40,000 - 18,000 BP, but it disappears until about 10,000 BP, when it's still fairly rare. There's a big increase of Atlantic forest pollen between 3300 BP and present, and a decent increase of Araucaria forest too (though Aa is only up to 4% max).\n\nThere's a much later Araucaria forest expansion than in other cores. Maybe due to location, maybe because this area wasn't a glacial refugium, but maybe also because of people..?\n\nThe core is chiefly used to interpret climate as it's the only long-term core around other than Cambara do Sul. Also worth bearing in mind that this is quite a lot closer to the coast than most of the other studies I've looked at.","page":"299-314","publisher":"Springer-Verlag","title":"New insights into vegetation, climate and fire history of southern Brazil revealed by a 40,000 year environmental record from the State Park Serra do Tabuleiro","type":"article-journal","volume":"22"},"uris":["http://www.mendeley.com/documents/?uuid=d9a9619d-5dd8-33cc-ba51-570cce662b1d"]},{"id":"ITEM-3","itemData":{"DOI":"10.1016/S0031-0182(97)88177-1","ISBN":"0031-0182","ISSN":"00310182","abstract":"Late Quaternary paleoenvironments have been interpreted from a 35,000 yr B.P. pollen and charcoal record from Morro de Itapeva (22''47'S, 45''32'W, 1850 m a.s.l.) in the SE Brazilian highlands. Changes in taxa composition and elevational shifts in high elevation grassland (campos de altitude), Araucaria forest, cloud forest and Atlantic rain forest, all of which can be found in the study area today, indicate climatic changes in the past. Expanded high elevation grasslands, absence of Araucaria forest, cloud forest and Atlantic rain forest during the recorded last glacial period (ca. 35,000-17,000 yr B.P.) suggest a climate markedly cooler and drier than today. Development of a Sphagnum peat bog, rare presence of Araucaria forest taxa and existence of a narrow cloud forest and rain forest belt at lower elevations during the late glacial period (17,000-ca. 10,000 yr B.P.) indicate a change to a cool and somewhat moister climates. During the early Holocene cloud forest developed close to the study site, reflecting a warm and moist climate on the east facing slopes, but a drier climate on the highland plateau, evidenced by the rare presence of Araucaria and Podocarpus. Only during the late Holocene moisture increases in the highlands, suggested by the higher frequency of Araucaria and Podocarpus. Fires were more frequent daring the last glacial than during the Holocene.","author":[{"dropping-particle":"","family":"Behling","given":"Hermann","non-dropping-particle":"","parse-names":false,"suffix":""}],"container-title":"Palaeogeography, Palaeoclimatology, Palaeoecology","id":"ITEM-3","issue":"3-4","issued":{"date-parts":[["1997"]]},"note":"MdIta\nUSE TO COMPARE WITH LEDRU 1993 ON MOIST LGM (OR NOT - SEE PART 4.1 IN THIS PAPER)\n\nAnalysis of the 142cm core at Morro de Itapeva to look back over 35,000 yr BP of vegetation changes on the Serra de Mantiqueira. There are quite a few differences to some S Brazil records because influences on climate differ between there and SE Brazil where this is. The pollen diagram does show an increase in Aa around 1000 yr BP but as mentioned in the discussion it's not pronounced. This could be due to climatic differences, but it's not inconceivable that no spJ meant no spread.\n\nReally useful diagram showing the relation between elevation, rainfall, distance from the ocean, and vegetation types. Also useful bits on the meaning of different pollen taxa for the palaeoecological record, and a fair diagram on the climatic changes recorded in different places.","page":"407-422","title":"Late Quaternary vegetation, climate and fire history from the tropical mountain region of Morro de Itapeva, SE Brazil","type":"article-journal","volume":"129"},"uris":["http://www.mendeley.com/documents/?uuid=06644376-eb15-3141-b819-60ab5253043f"]}],"mendeley":{"formattedCitation":"(Behling, 1997b; Behling et al., 2004; Jeske-Pieruschka et al., 2013)","plainTextFormattedCitation":"(Behling, 1997b; Behling et al., 2004; Jeske-Pieruschka et al., 2013)","previouslyFormattedCitation":"(Behling, 1997b; Behling et al., 2004; Jeske-Pieruschka et al., 2013)"},"properties":{"noteIndex":0},"schema":"https://github.com/citation-style-language/schema/raw/master/csl-citation.json"}</w:instrText>
      </w:r>
      <w:r>
        <w:fldChar w:fldCharType="separate"/>
      </w:r>
      <w:r w:rsidR="005944BB" w:rsidRPr="005944BB">
        <w:rPr>
          <w:noProof/>
        </w:rPr>
        <w:t>(Behling, 1997b; Behling et al., 2004; Jeske-Pieruschka et al., 2013)</w:t>
      </w:r>
      <w:r>
        <w:fldChar w:fldCharType="end"/>
      </w:r>
      <w:r>
        <w:t xml:space="preserve">, fire does not appear to have been common across the highlands. </w:t>
      </w:r>
      <w:r w:rsidR="00532CB1">
        <w:t>As yet, t</w:t>
      </w:r>
      <w:r>
        <w:t xml:space="preserve">here is also no evidence </w:t>
      </w:r>
      <w:r w:rsidR="00532CB1">
        <w:t>that</w:t>
      </w:r>
      <w:r>
        <w:t xml:space="preserve"> </w:t>
      </w:r>
      <w:r w:rsidR="00C77A3E">
        <w:t>herbivory</w:t>
      </w:r>
      <w:r>
        <w:t xml:space="preserve"> played</w:t>
      </w:r>
      <w:r w:rsidR="00532CB1">
        <w:t xml:space="preserve"> a role</w:t>
      </w:r>
      <w:r>
        <w:t xml:space="preserve">, despite their importance in controlling modern AMF-Campos ecotones: although southern Brazil’s herbivorous megafauna persisted into the early Holocene </w:t>
      </w:r>
      <w:r>
        <w:fldChar w:fldCharType="begin" w:fldLock="1"/>
      </w:r>
      <w:r w:rsidR="007F330C">
        <w:instrText>ADDIN CSL_CITATION {"citationItems":[{"id":"ITEM-1","itemData":{"DOI":"10.1017/qua.2017.60","abstract":"Whether humans or climate change caused the extinction of megafaunal populations is actively debated. Caves in the Lagoa Santa provide mixed assemblages of megafauna and human remains; however, it remains uncertain the extent to which humans and megafauna interacted or overlapped temporally. Here we present the first paleoecological record from lowland South America that tracks the decline of megafauna and its ecological implications. We provide a data set for pollen, charcoal, and Sporormiella, from two lakes in southeastern Brazil that span the last 23,000 yr. The data showed reduced abundances of Sporormiella and an inferred megafaunal population decline that began 18,000 yr ago, with the functional extinction occurring between 12,000 and 11,500 yr ago. Population declines coincided with wet events. The age of the final megafaunal decline is within the range of the first human occupation of the region. Our data are consistent with climate causing the population collapse, with humans preventing population recovery and inducing extinction. We did not observe some of the ecological repercussions documented at other sites and attributed to the megafaunal extinction. Habitat-specific ecological consequences of the extinction add to the heterogeneity of late Pleistocene and early Holocene landscapes.","author":[{"dropping-particle":"","family":"Raczka","given":"Marco F.","non-dropping-particle":"","parse-names":false,"suffix":""},{"dropping-particle":"","family":"Bush","given":"Mark B","non-dropping-particle":"","parse-names":false,"suffix":""},{"dropping-particle":"","family":"Oliveira","given":"Paulo Eduardo","non-dropping-particle":"De","parse-names":false,"suffix":""}],"container-title":"Quaternary Research","id":"ITEM-1","issued":{"date-parts":[["2018"]]},"page":"103-118","title":"The collapse of megafaunal populations in southeastern Brazil","type":"article-journal","volume":"89"},"uris":["http://www.mendeley.com/documents/?uuid=a4f0db5e-61a9-3997-9bd4-7cd378998689"]},{"id":"ITEM-2","itemData":{"DOI":"10.1016/j.palaeo.2019.109523","ISSN":"00310182","abstract":"The proboscidean Notiomastodon platensis is widely recognized in the Pleistocene of Brazil, but direct evidence for its feeding behavior is scant. In this paper, we report palynological assemblages preserved in dental calculi to infer dietary preferences and habitats. Molar specimens (m1 and M3/m3) with significant calculus accumulation were examined from localities along the Coastal Plain (CPRS) and the Campanha region (western state in Pampa biome) in Rio Grande do Sul state, southern Brazil. Palynomorphs obtained from calculus were identified with light microscopy, and we applied species distribution modelling (SDM) for arboreal/shrub pollen taxa to investigate the environmental contexts for proboscideans during the Last Interglacial (LIG, 120 ka BP) and Last Glacial Maximum (LGM, 21 ka BP). Pollen assemblages indicate a generalist diet for N. platensis, and corroborate previous paleoecological studies. N. platensis from CPRS showed two patterns: the subadult individual was a specialized browser in wooded habitats, inferred from pollen taxa dominated by arboreal species (mainly Myrtaceae), while mature/senile adult individuals were dominantly grazers to mixed-feeders in open habitats inferred from herbaceous pollen (mainly Cyperaceae) mixed with woody elements. For the Campanha region, diet interpretation is difficult due to the absence of pollen; however, Poaceae phytoliths indicate that grasses may have been important food items, notably pooid C3 grasses. N. platensis potentially accessed a more heterogeneous environment with mixed open grasslands and forests around the LIG interval because of the larger extension of forest at the time. Grassland landscapes could have been more foraged by proboscideans around the LGM given the dry and cold climate conditions, which resulted in a northward retraction of forest.","author":[{"dropping-particle":"","family":"Asevedo","given":"Lidiane","non-dropping-particle":"","parse-names":false,"suffix":""},{"dropping-particle":"","family":"D'Apolito","given":"Carlos","non-dropping-particle":"","parse-names":false,"suffix":""},{"dropping-particle":"","family":"Misumi","given":"Shana Yuri","non-dropping-particle":"","parse-names":false,"suffix":""},{"dropping-particle":"de","family":"Barros","given":"Marcia Aguiar","non-dropping-particle":"","parse-names":false,"suffix":""},{"dropping-particle":"","family":"Barth","given":"Ortrud Monika","non-dropping-particle":"","parse-names":false,"suffix":""},{"dropping-particle":"","family":"Avilla","given":"Leonardo dos Santos","non-dropping-particle":"","parse-names":false,"suffix":""}],"container-title":"Palaeogeography, Palaeoclimatology, Palaeoecology","id":"ITEM-2","issued":{"date-parts":[["2020","2","15"]]},"publisher":"Elsevier B.V.","title":"Palynological analysis of dental calculus from Pleistocene proboscideans of southern Brazil: A new approach for paleodiet and paleoenvironmental reconstructions","type":"article-journal","volume":"540"},"uris":["http://www.mendeley.com/documents/?uuid=081a72cf-3ba5-324c-a0e0-54dc7768c024"]},{"id":"ITEM-3","itemData":{"DOI":"10.1016/j.jsames.2010.11.003","ISBN":"08959811","ISSN":"08959811","abstract":"Fossils of terrestrial mammals preserved in submarine environment have been recorded in several places around the world. In Brazil such fossils are rather abundant in the southernmost portion of the coast, associated to fossiliferous concentrations at depths up to 10 m. Here is presented a review of such occurrences and the first record of fossils in deeper areas of the continental shelf. The fossils encompass several groups of both extinct and extant mammals, and exhibit several distinct taphonomic features, related to the marine environment. Those from the inner continental shelf are removed and transported from the submarine deposits to the coast during storm events, thus forming large konzentrat-lagerst??tte on the beach, called \" Concheiros\" The only fossils from deeper zones of the shelf known so far are a portion of a skull, a left humerus and of a femur of Toxodon sp. and a lower right molar of a Stegomastodon waringi, all collected by fishermen at depths around 20 m. The presence of fossils at great depths and distances from the present coastline, without signs of abrasion and far from areas of fluvial discharges does indicate that these remains have not been transported from the continent to the shelf, but have been preserved directly on the area that today correspond to the continental shelf. These remains indicate the existence of large fossiliferous deposits that have developed during periods of sea-level lowstand (glacial maxima) and have been submerged and reworked by the sea-level rise at the end of the last glaciation. ?? 2010 Elsevier Ltd.","author":[{"dropping-particle":"","family":"Lopes","given":"Renato Pereira","non-dropping-particle":"","parse-names":false,"suffix":""},{"dropping-particle":"","family":"Buchmann","given":"Francisco Sekiguchi","non-dropping-particle":"","parse-names":false,"suffix":""}],"container-title":"Journal of South American Earth Sciences","id":"ITEM-3","issue":"1","issued":{"date-parts":[["2011","2"]]},"note":"A list of pleistocene animals found as fossils in RS; brief chat about climatic/vegetation conditions they'd have needed","page":"17-27","title":"Pleistocene mammals from the southern Brazilian continental shelf","type":"article-journal","volume":"31"},"uris":["http://www.mendeley.com/documents/?uuid=dddb9adc-e05e-3b69-b98a-8e9700657c37"]}],"mendeley":{"formattedCitation":"(Asevedo et al., 2020; Lopes and Buchmann, 2011; Raczka et al., 2018)","plainTextFormattedCitation":"(Asevedo et al., 2020; Lopes and Buchmann, 2011; Raczka et al., 2018)","previouslyFormattedCitation":"(Asevedo et al., 2020; Lopes and Buchmann, 2011; Raczka et al., 2018)"},"properties":{"noteIndex":0},"schema":"https://github.com/citation-style-language/schema/raw/master/csl-citation.json"}</w:instrText>
      </w:r>
      <w:r>
        <w:fldChar w:fldCharType="separate"/>
      </w:r>
      <w:r w:rsidR="005944BB" w:rsidRPr="005944BB">
        <w:rPr>
          <w:noProof/>
        </w:rPr>
        <w:t>(Asevedo et al., 2020; Lopes and Buchmann, 2011; Raczka et al., 2018)</w:t>
      </w:r>
      <w:r>
        <w:fldChar w:fldCharType="end"/>
      </w:r>
      <w:r>
        <w:t xml:space="preserve">, proxies </w:t>
      </w:r>
      <w:r w:rsidR="002E2624">
        <w:t xml:space="preserve">indicative </w:t>
      </w:r>
      <w:r w:rsidR="00532CB1">
        <w:t xml:space="preserve">of megafauna, </w:t>
      </w:r>
      <w:r>
        <w:t xml:space="preserve">such as </w:t>
      </w:r>
      <w:proofErr w:type="spellStart"/>
      <w:r>
        <w:rPr>
          <w:i/>
          <w:iCs/>
        </w:rPr>
        <w:t>Sporormiella</w:t>
      </w:r>
      <w:proofErr w:type="spellEnd"/>
      <w:r>
        <w:rPr>
          <w:i/>
          <w:iCs/>
        </w:rPr>
        <w:t xml:space="preserve"> </w:t>
      </w:r>
      <w:r>
        <w:t>spores</w:t>
      </w:r>
      <w:r w:rsidR="00532CB1">
        <w:t>,</w:t>
      </w:r>
      <w:r>
        <w:t xml:space="preserve"> have not yet been examined in the region. </w:t>
      </w:r>
      <w:r w:rsidR="009E5B9C">
        <w:t>It is likely</w:t>
      </w:r>
      <w:r>
        <w:t>, however, that the LGM’s reduced atmospheric CO</w:t>
      </w:r>
      <w:r>
        <w:rPr>
          <w:vertAlign w:val="subscript"/>
        </w:rPr>
        <w:t>2</w:t>
      </w:r>
      <w:r>
        <w:t xml:space="preserve"> concentrations </w:t>
      </w:r>
      <w:r w:rsidR="009E5B9C">
        <w:t xml:space="preserve">(ca. 190 ppm) </w:t>
      </w:r>
      <w:r>
        <w:t xml:space="preserve">would have disproportionately stressed C3-photosynthesising plants, conferring </w:t>
      </w:r>
      <w:r w:rsidR="002E2624">
        <w:t xml:space="preserve">a </w:t>
      </w:r>
      <w:r>
        <w:t xml:space="preserve">competitive advantage to C4-photosynthesisers and potentially confining woody vegetation to moister microclimates such as river valleys </w:t>
      </w:r>
      <w:r>
        <w:fldChar w:fldCharType="begin" w:fldLock="1"/>
      </w:r>
      <w:r w:rsidR="007F330C">
        <w:instrText>ADDIN CSL_CITATION {"citationItems":[{"id":"ITEM-1","itemData":{"DOI":"10.1111/j.1469-8137.2010.03441.x","ISSN":"0028646X","abstract":"During the Last Glacial Maximum (LGM; 18 000-20 000 yr ago) and previous glacial periods, atmospheric [CO 2 ] dropped to 180-190 ppm, which is among the lowest concentrations that occurred during the evolution of land plants. Modern atmospheric CO 2 concentrations ([CO 2 ]) are more than twice those of the LGM and 45% higher than pre-industrial concentrations. Since CO 2 is the carbon source for photosynthesis, lower carbon availability during glacial periods likely had a major impact on plant productivity and evolution. From the studies highlighted here, it is clear that the influence of low [CO 2 ] transcends several scales, ranging from physiological effects on individual plants to changes in ecosystem functioning, and may have even influenced the development of early human cultures (via the timing of agriculture). Through low-[CO 2 ] studies, we have determined a baseline for plant response to minimal [CO 2 ] that occurred during the evolution of land plants. Moreover, an increased understanding of plant responses to low [CO 2 ] contributes to our knowledge of how natural global change factors in the past may continue to influence plant responses to future anthropogenic changes. Future work, however, should focus more on the evolutionary responses of plants to changing [CO 2 ] in order to account for the potentially large effects of genetic change.","author":[{"dropping-particle":"","family":"Gerhart","given":"Laci M","non-dropping-particle":"","parse-names":false,"suffix":""},{"dropping-particle":"","family":"Ward","given":"Joy K","non-dropping-particle":"","parse-names":false,"suffix":""}],"container-title":"New Phytologist","id":"ITEM-1","issue":"3","issued":{"date-parts":[["2010","11"]]},"page":"674-695","title":"Plant responses to low [CO2] of the past","type":"article-journal","volume":"188"},"uris":["http://www.mendeley.com/documents/?uuid=93c75e78-a8c4-3e1f-b52e-13692475ad54"]},{"id":"ITEM-2","itemData":{"DOI":"10.1016/j.quascirev.2011.06.012","ISSN":"02773791","abstract":"Species distribution modeling (SDM: statistical and/or mechanistic approaches to the assessment of range determinants and prediction of species occurrence) offers new possibilities for estimating and studying past organism distributions. SDM complements fossil and genetic evidence by providing (i) quantitative and potentially high-resolution predictions of the past organism distributions, (ii) statistically formulated, testable ecological hypotheses regarding past distributions and communities, and (iii) statistical assessment of range determinants. In this article, we provide an overview of applications of SDM to paleobiology, outlining the methodology, reviewing SDM-based studies to paleobiology or at the interface of paleo- and neobiology, discussing assumptions and uncertainties as well as how to handle them, and providing a synthesis and outlook. Key methodological issues for SDM applications to paleobiology include predictor variables (types and properties; special emphasis is given to paleoclimate), model validation (particularly important given the emphasis on cross-temporal predictions in paleobiological applications), and the integration of SDM and genetics approaches. Over the last few years the number of studies using SDM to address paleobiology-related questions has increased considerably. While some of these studies only use SDM (23%), most combine them with genetically inferred patterns (49%), paleoecological records (22%), or both (6%). A large number of SDM-based studies have addressed the role of Pleistocene glacial refugia in biogeography and evolution, especially in Europe, but also in many other regions. SDM-based approaches are also beginning to contribute to a suite of other research questions, such as historical constraints on current distributions and diversity patterns, the end-Pleistocene megafaunal extinctions, past community assembly, human paleobiogeography, Holocene paleoecology, and even deep-time biogeography (notably, providing insights into biogeographic dynamics &gt;400 million years ago). We discuss important assumptions and uncertainties that affect the SDM approach to paleobiology - the equilibrium postulate, niche stability, changing atmospheric CO2 concentrations - as well as ways to address these (ensemble, functional SDM, and non-SDM ecoinformatics approaches). We conclude that the SDM approach offers important opportunities for advances in paleobiology by providing a quantitative ecological perspective, and hereb…","author":[{"dropping-particle":"","family":"Svenning","given":"Jens-Christian","non-dropping-particle":"","parse-names":false,"suffix":""},{"dropping-particle":"","family":"Fløjgaard","given":"Camilla","non-dropping-particle":"","parse-names":false,"suffix":""},{"dropping-particle":"","family":"Marske","given":"Katharine A.","non-dropping-particle":"","parse-names":false,"suffix":""},{"dropping-particle":"","family":"Nógues-Bravo","given":"David","non-dropping-particle":"","parse-names":false,"suffix":""},{"dropping-particle":"","family":"Normand","given":"Signe","non-dropping-particle":"","parse-names":false,"suffix":""}],"container-title":"Quaternary Science Reviews","id":"ITEM-2","issue":"21-22","issued":{"date-parts":[["2011","10","1"]]},"page":"2930-2947","publisher":"Pergamon","title":"Applications of species distribution modeling to paleobiology","type":"article-journal","volume":"30"},"uris":["http://www.mendeley.com/documents/?uuid=dc7d6126-6df6-38de-a46c-6fd4148fbbb2"]},{"id":"ITEM-3","itemData":{"DOI":"10.1177/0959683619846981","ISSN":"0959-6836","abstract":"To improve our understanding of the Atlantic Forest responses to climate changes in space and time, it is essential to explore how the Brazilian Atlantic rain forest is structured as observed in modern pollen assemblages and which climate parameters determine these patterns. In this context, we compiled 196 modern pollen samples including 125 from the Atlantic Forest biome and assigned each sample to one or more eco-physiognomies. We identified seven eco-physiognomies of which four clusters of one or two eco-physiognomies were clearly distinguished, namely (1) Araucaria forest with high elevation grassland, (2) lowland rain forest, (3) semi-deciduous with riverine forests and (4) northeastern Atlantic rain forest. Climatically distinct, these clusters reflect a general temperature increase and precipitation increase from the first to the fourth cluster. Furthermore, comparison of the modern pollen dataset with the Côlonia pollen record from southeastern Brazil revealed that vegetation attributed to Araucaria forest with high elevation grassland showed an important variability with several shifts towards the lowland rain forest. As illustrated by comparison with the long fossil pollen record of Côlonia, developing such a modern training set is crucial for the understanding of responses of Atlantic Forest to environmental changes. However, additional samples are still necessary to improve characterization of different eco-physiognomies at a local scale following a defined floristic and climatic gradient. This sampling effort is becoming increasing urgent as a result of strong biodiversity loss and habitat destruction in this region.","author":[{"dropping-particle":"","family":"Montade","given":"Vincent","non-dropping-particle":"","parse-names":false,"suffix":""},{"dropping-particle":"","family":"Ledru","given":"Marie-Pierre","non-dropping-particle":"","parse-names":false,"suffix":""},{"dropping-particle":"","family":"Giesecke","given":"Thomas","non-dropping-particle":"","parse-names":false,"suffix":""},{"dropping-particle":"","family":"Flantua","given":"Suzette GA","non-dropping-particle":"","parse-names":false,"suffix":""},{"dropping-particle":"","family":"Behling","given":"Hermann","non-dropping-particle":"","parse-names":false,"suffix":""},{"dropping-particle":"","family":"Peyron","given":"Odile","non-dropping-particle":"","parse-names":false,"suffix":""}],"container-title":"The Holocene","id":"ITEM-3","issue":"8","issued":{"date-parts":[["2019","8","13"]]},"note":"Splits modern pollen assemblages from across the length of the Atlantic Forest into different groups. Campos and MOF not clearly distinguished, but different key indicator species listed for each type, and proportions of each mentioned too. Use for interpreting palaeo records.","page":"1253-1262","title":"A new modern pollen dataset describing the Brazilian Atlantic Forest","type":"article-journal","volume":"29"},"uris":["http://www.mendeley.com/documents/?uuid=a37d3212-bed1-39bd-9e57-d17abfe5d817"]},{"id":"ITEM-4","itemData":{"DOI":"10.4072/rbp.2010.2.01","ISBN":"1519-7530","ISSN":"15197530","abstract":"Changes in the oxygen isotopic composition of the planktonic foraminifer Globigerinoides ruber and in the foraminifera faunal composition in a core retrieved from the southeastern Brazilian continental margin were used to infer past changes in the hydrological balance and monsoon precipitation in the western South Atlantic since the Last Glacial Maximum (LGM). The results suggest a first-order orbital (precessional) control on the South American Monsoon precipitation. This agrees with previous studies based on continental proxies except for LGM estimates provided by pollen records. The causes for this disagreement are discussed. © 2010 by the Sociedade Brasileira de Paleontologia.","author":[{"dropping-particle":"","family":"Pivel","given":"M.A.G.","non-dropping-particle":"","parse-names":false,"suffix":""},{"dropping-particle":"","family":"Toledo","given":"Felipe","non-dropping-particle":"","parse-names":false,"suffix":""},{"dropping-particle":"","family":"Costa","given":"Karen","non-dropping-particle":"","parse-names":false,"suffix":""}],"container-title":"Revista Brasileira de Paleontologia","id":"ITEM-4","issue":"2","issued":{"date-parts":[["2010","8","28"]]},"note":"Uses forams to reconstruct sea temperature (and rainfall?) from the LGM. Has good points about comparisons with pollen records. \nTropical (sea) cooling during the LGM was probably around 2degC - less than suggested by pollen. Highest temperatures occurred 4-6ka and at present; coldest at the LGM.\nMax precip at LGM and late Holocene; minimum precip ca 12ka.","page":"79-88","title":"Foraminiferal record of changes in summer monsoon precipitation at the Southeastern Brazilian continental margin since the Last Glacial Maximum","type":"article-journal","volume":"13"},"uris":["http://www.mendeley.com/documents/?uuid=3c24aaeb-8a35-3309-bb88-12286195a0f6"]}],"mendeley":{"formattedCitation":"(Gerhart and Ward, 2010; Montade et al., 2019; Pivel et al., 2010; Svenning et al., 2011)","plainTextFormattedCitation":"(Gerhart and Ward, 2010; Montade et al., 2019; Pivel et al., 2010; Svenning et al., 2011)","previouslyFormattedCitation":"(Gerhart and Ward, 2010; Montade et al., 2019; Pivel et al., 2010; Svenning et al., 2011)"},"properties":{"noteIndex":0},"schema":"https://github.com/citation-style-language/schema/raw/master/csl-citation.json"}</w:instrText>
      </w:r>
      <w:r>
        <w:fldChar w:fldCharType="separate"/>
      </w:r>
      <w:r w:rsidR="005944BB" w:rsidRPr="005944BB">
        <w:rPr>
          <w:noProof/>
        </w:rPr>
        <w:t>(Gerhart and Ward, 2010; Montade et al., 2019; Pivel et al., 2010; Svenning et al., 2011)</w:t>
      </w:r>
      <w:r>
        <w:fldChar w:fldCharType="end"/>
      </w:r>
      <w:r>
        <w:t xml:space="preserve">. </w:t>
      </w:r>
      <w:r w:rsidR="00BF7E0E">
        <w:t>Our evidence</w:t>
      </w:r>
      <w:r>
        <w:t xml:space="preserve"> suggest</w:t>
      </w:r>
      <w:r w:rsidR="00BF7E0E">
        <w:t>s</w:t>
      </w:r>
      <w:r>
        <w:t xml:space="preserve"> that </w:t>
      </w:r>
      <w:r w:rsidR="00BF7E0E">
        <w:t xml:space="preserve">these </w:t>
      </w:r>
      <w:r w:rsidR="00AF742D">
        <w:t xml:space="preserve">non-climatic </w:t>
      </w:r>
      <w:r>
        <w:t xml:space="preserve">factors </w:t>
      </w:r>
      <w:r w:rsidR="006C725F">
        <w:t xml:space="preserve">may </w:t>
      </w:r>
      <w:r w:rsidR="00AF742D">
        <w:t>explain southern Brazil’s extensive LGM grasslands</w:t>
      </w:r>
      <w:r w:rsidR="002152A7">
        <w:t xml:space="preserve"> better than </w:t>
      </w:r>
      <w:r w:rsidR="00A226F7">
        <w:t xml:space="preserve">climatic </w:t>
      </w:r>
      <w:r w:rsidR="00D64FDF">
        <w:t>determinants</w:t>
      </w:r>
      <w:r w:rsidR="00A226F7">
        <w:t xml:space="preserve"> </w:t>
      </w:r>
      <w:r w:rsidR="006C725F">
        <w:fldChar w:fldCharType="begin" w:fldLock="1"/>
      </w:r>
      <w:r w:rsidR="00D821A4">
        <w:instrText>ADDIN CSL_CITATION {"citationItems":[{"id":"ITEM-1","itemData":{"DOI":"10.1016/S0031-0182(03)00687-4","ISBN":"0031-0182","ISSN":"00310182","abstract":"Late Quaternary vegetation, fire and climate dynamics have been studied based on high-resolution dated pollen and charcoal samples and multivariate data analysis. The samples were taken from a 212-cm-long sediment core of a bog in the Cambará do Sul region on the highlands of northeastern Rio Grande do Sul State, Brazil. The records, including seven AMS radiocarbon dates, span 42 840 14C years, for the first time extending the reconstruction of past environmental changes on the southern Brazilian highlands back to the Last Glacial Maximum (LGM) and pre-LGM times. The last 1100 years provide a decadal resolution. Initially the site was a permanent shallow lake which became seasonally dry after 26 900 14C yr BP. Seasonal climate with a long annual dry period prevailed until the late Holocene. The climate was somewhat wetter from 42 840 to 41 470 14C yr BP and from 41 470 to 26 900 14C yr BP than during the LGM and the late-Glacial period. Natural fires were rare, but became very frequent after 7400 cal BP, suggesting human occupation of the southernmost Brazilian highlands since that time. The records suggest that a species-rich Campos (grassland) vegetation existed in the area under a relatively dry and cold climate during glacial times under possibly as low as -10°C. The record also suggests that small populations of Araucaria were probably only present in refugia of deep and protected valleys and/or on wetter coastal slopes. Campos vegetation existed through the early and mid-Holocene until 4320 cal yr BP, after which Araucaria forest expanded into the network of gallery forests along the streams. By 1100 cal yr BP the Araucaria forest replaced the Campos vegetation reflecting the onset of the wettest period with no marked annual dry season. The marked expansion of the Araucaria forest coincided with the reduction in fire. Between AD 1520 and 1770 Weinmannia became a common taxa in the Araucaria forest, suggesting a shift to warmer climatic conditions on the highlands. This interval was synchronous with a cool phase within the Little Ice Age known from North Atlantic land records. After about AD 1780 human activities changed the original forest composition, first by introducing cattle into the forest and than by selective logging of Araucaria trees. Multivariate analysis of the pollen data shows compositional changes that follow a trajectory alternating undirectional, random phases and phases with directional, sometimes fast transitions. The results al…","author":[{"dropping-particle":"","family":"Behling","given":"Hermann","non-dropping-particle":"","parse-names":false,"suffix":""},{"dropping-particle":"","family":"Pillar","given":"Valerio DePatta","non-dropping-particle":"","parse-names":false,"suffix":""},{"dropping-particle":"","family":"Orlóci","given":"László","non-dropping-particle":"","parse-names":false,"suffix":""},{"dropping-particle":"","family":"Bauermann","given":"Soraia Girardi","non-dropping-particle":"","parse-names":false,"suffix":""}],"container-title":"Palaeogeography, Palaeoclimatology, Palaeoecology","id":"ITEM-1","issue":"3-4","issued":{"date-parts":[["2004"]]},"note":"CamSu\n\nDetailed examination of Cambara do Sul core in NE Rio Grande do Sul, 42,658 C14 yr BP to present. Shows 100 year Campos-Araucaria switch in about 1100 cal yr BP.\n\nNEEDS SOME REINTERPRETING WITH LEONHARDT &amp;amp; LORSCHEITTER 2010. SEE NOTE\n\n(All dates C14 yr BP)\n\n42,840 - 41,470\n83-88% campos pollen, 8-14% Araucaria forest pollen (only 2 grains of A. angustifolia), only one pollen grain from Atlantic forest taxa, aquatics 6-16%, ferns 3-6%. Low conc and accumulation of carbonised particles.\n\n41,4701 - 26,900\n87-94% campos pollen, 3-9% Araucaria forest (less pollen from Myrtaceae), a few single grains of Atlantic forest pollen, less aquatic pollen (3-7%), fewer fern spores (0-3%). Carbonised particles still rare.\n\n26,900 - 10,120\n87-97% campos pollen (though changing composition - Poaceae down, Eryngium up; less Apiaceae), 1-5% Araucaria forest, 0-0.3% Atlantic forest (lowest for both), 1-3% aquatic, lowest time for ferns (but big increase at end of zone). Carbonised particles rare.\n\n10,120 - 3,950 (11,540 - 4,320 cal yr BP)\n74-88% campos but lower near end (Poaceae up from last time; Eryngium get more common; other compositional changes), 3-13% Araucaria forest (up slightly thanks to A. angustifolia and Myrsine), 0-4% Atlantic (up slightly), trace aquatics, big increase of ferns (up to 46%) then decrease by end (to 9%), increase in Dicksonia (0-14%). Lots of carbonised particles higher up in this section.\n\n3950 - 1140 (4320 - 1100 cal yr BP)\n65-84% campos (down a bit but still high; Cyperaceae up, Poaceae and Eryngium down), 13-27% Araucaria forest (mainly A. angustifolia 4-7%, Myrsine and Weinmannia), 2-5% Atlantic forest, fern spores up again (9-40%), Dicksonia common (9-16%). Lots and lots of carbonised particles.\n\n1140 - 410 (1100 - 430 cal yr BP)\nCampos way down and keeps going (55-24%), continuous increase of Araucaria forest pollen (39-80%) with A. angustifolia going up 14-42% and big increase in Mimosa scabrella, no change in Atlantic (2-6%), fewer fern spores (5-19%), highest Dicksonia spore level (9-26%), high point for mosses but decrease later. Low concentration of carbonised particles but higher accumulation than at beginning of core.\n\n410 - -50 (430 - -50 cal yr BP)\nCampos start way down (to 11%) but increase (to 38%, through Cyperaceae then Poaceae) then go down right at the end, Araucaria forest highest early on (87%) but decreases at the end (65%) as A. angustifolia drops off right at the end (41-2%; Mimosa scabrella jumps correspondingly; other changes), nothing much happens with Atlantic forest (2-7%), fern spores go down (21-2%) and Dicksonia crashes by end (19-0.3%). Similar carbonised particles to before.","page":"277-297","title":"Late Quaternary Araucaria forest, grassland (Campos), fire and climate dynamics, studied by high-resolution pollen, charcoal and multivariate analysis of the Cambará do Sul core in southern Brazil","type":"article-journal","volume":"203"},"uris":["http://www.mendeley.com/documents/?uuid=46579170-55fd-37c2-8f78-517419a62e98"]},{"id":"ITEM-2","itemData":{"DOI":"10.1016/S0031-0182(01)00349-2","ISBN":"0031-0182","ISSN":"00310182","abstract":"Fourteen pollen records from the south (S) and the southeast (SE) Brazilian regions have been synthesised. Late Glacial records from S Brazilian highlands document the predominance of grassland (campos) where today Araucaria forests occur. Records from SE Brazil show that during pre- and full-glacial times modern tropical semideciduous forest and cerrado (savanna to dry forest) were mostly replaced by grassland and some subtropical gallery forest. Modern montane Araucaria forests and cloud forests in SE Brazil were mostly replaced by grassland during pre- and full-glacial times. There is evidence that the modern tropical Atlantic rainforest in S Brazil was significantly reduced and replaced by cold-adapted forest taxa or grassland during glacial, especially during full-glacial times. The synthesis indicates that grasslands dominated the S and SE Brazilian landscape during the Late Pleistocene where today different forest ecosystems exist. Grassland extended over 750 km from S to SE Brazil from latitudes of about 28??/27?? S to at least 20?? S. These results indicate that climates in the region were markedly drier and 5-7??C cooler during glacial times. Antarctic cold fronts must have been much stronger and more frequent than today. Studies from S Brazil show that huge areas of Late Pleistocene campos vegetation were still found on the S Brazilian highlands during early and mid Holocene times, reflecting dry climatic conditions with an annual dry period of probably 3 months. Modern wet climatic conditions with no or only short dry periods were not established until the Late Holocene period when Araucaria forests replaced large areas of grassland vegetation after about 3000 14C yr B.P. and especially after 1500/1000 14C yr B.P. ?? 2002 Elsevier Science B.V. All rights reserved.","author":[{"dropping-particle":"","family":"Behling","given":"Hermann","non-dropping-particle":"","parse-names":false,"suffix":""}],"container-title":"Palaeogeography, Palaeoclimatology, Palaeoecology","id":"ITEM-2","issue":"1-2","issued":{"date-parts":[["2002"]]},"note":"A review looking at campos in southern and southeastern Brazil from the Pleistocene to the present. No new palaeoecological information presented but does emphasise the significance of campos in its own right, which is not to be missed.","page":"19-27","title":"South and southeast Brazilian grasslands during Late Quaternary times: A synthesis","type":"article-journal","volume":"177"},"prefix":"e.g. extremely cold temperatures or long dry seasons, cf.","uris":["http://www.mendeley.com/documents/?uuid=2967f0bb-154d-3dad-a00f-9d52d3c3ed4b"]}],"mendeley":{"formattedCitation":"(e.g. extremely cold temperatures or long dry seasons, cf. Behling, 2002; Behling et al., 2004)","plainTextFormattedCitation":"(e.g. extremely cold temperatures or long dry seasons, cf. Behling, 2002; Behling et al., 2004)","previouslyFormattedCitation":"(e.g. extremely cold temperatures or long dry seasons, cf. Behling, 2002; Behling et al., 2004)"},"properties":{"noteIndex":0},"schema":"https://github.com/citation-style-language/schema/raw/master/csl-citation.json"}</w:instrText>
      </w:r>
      <w:r w:rsidR="006C725F">
        <w:fldChar w:fldCharType="separate"/>
      </w:r>
      <w:r w:rsidR="008C4AA5" w:rsidRPr="008C4AA5">
        <w:rPr>
          <w:noProof/>
        </w:rPr>
        <w:t>(e.g. extremely cold temperatures or long dry seasons, cf. Behling, 2002; Behling et al., 2004)</w:t>
      </w:r>
      <w:r w:rsidR="006C725F">
        <w:fldChar w:fldCharType="end"/>
      </w:r>
      <w:r w:rsidR="00A226F7">
        <w:t xml:space="preserve">, and so </w:t>
      </w:r>
      <w:r w:rsidR="00122AAA">
        <w:t>require greater consideration and</w:t>
      </w:r>
      <w:r>
        <w:t xml:space="preserve"> direct investigat</w:t>
      </w:r>
      <w:r w:rsidR="00122AAA">
        <w:t>ion</w:t>
      </w:r>
      <w:r>
        <w:t>.</w:t>
      </w:r>
    </w:p>
    <w:p w14:paraId="5267A49A" w14:textId="558CD59C" w:rsidR="00724AF3" w:rsidRDefault="005B35E0" w:rsidP="00F74804">
      <w:pPr>
        <w:spacing w:line="360" w:lineRule="auto"/>
      </w:pPr>
      <w:r>
        <w:t>One consequence</w:t>
      </w:r>
      <w:r w:rsidR="00724AF3">
        <w:t xml:space="preserve"> </w:t>
      </w:r>
      <w:r>
        <w:t xml:space="preserve">of </w:t>
      </w:r>
      <w:r w:rsidR="00724AF3">
        <w:t xml:space="preserve">non-climatic influences on </w:t>
      </w:r>
      <w:r w:rsidR="00915155">
        <w:t xml:space="preserve">vegetation </w:t>
      </w:r>
      <w:r w:rsidR="00724AF3">
        <w:t xml:space="preserve">physiognomy </w:t>
      </w:r>
      <w:r w:rsidR="00915155">
        <w:t xml:space="preserve">is that </w:t>
      </w:r>
      <w:r w:rsidR="00724AF3">
        <w:t xml:space="preserve">modelled assemblages may have </w:t>
      </w:r>
      <w:r w:rsidR="00915155">
        <w:t xml:space="preserve">manifested </w:t>
      </w:r>
      <w:r w:rsidR="00724AF3">
        <w:t xml:space="preserve">quite differently in the past than </w:t>
      </w:r>
      <w:r w:rsidR="00F12358">
        <w:t>in the</w:t>
      </w:r>
      <w:r w:rsidR="00724AF3">
        <w:t xml:space="preserve"> present</w:t>
      </w:r>
      <w:r w:rsidR="00A23326">
        <w:t xml:space="preserve"> (</w:t>
      </w:r>
      <w:proofErr w:type="gramStart"/>
      <w:r w:rsidR="00A23326">
        <w:t>e.g.</w:t>
      </w:r>
      <w:proofErr w:type="gramEnd"/>
      <w:r w:rsidR="00A23326">
        <w:t xml:space="preserve"> </w:t>
      </w:r>
      <w:r w:rsidR="00F669D0">
        <w:t>assemblages 9, 15 and 13, detailed above)</w:t>
      </w:r>
      <w:r w:rsidR="00724AF3">
        <w:t xml:space="preserve">. </w:t>
      </w:r>
      <w:r w:rsidR="002E0A26">
        <w:t xml:space="preserve">At the LGM and </w:t>
      </w:r>
      <w:r w:rsidR="00B239FF">
        <w:t>subsequently</w:t>
      </w:r>
      <w:r w:rsidR="002E0A26">
        <w:t xml:space="preserve">, many </w:t>
      </w:r>
      <w:r w:rsidR="008956A2">
        <w:t>plant communities</w:t>
      </w:r>
      <w:r w:rsidR="002E0A26">
        <w:t xml:space="preserve"> predicted to have co-occurring</w:t>
      </w:r>
      <w:r w:rsidR="00C56D67">
        <w:t xml:space="preserve"> herbaceous and tree taxa</w:t>
      </w:r>
      <w:r w:rsidR="00C12E93">
        <w:t xml:space="preserve"> may have been</w:t>
      </w:r>
      <w:r w:rsidR="00C56D67">
        <w:t xml:space="preserve"> </w:t>
      </w:r>
      <w:r w:rsidR="002E0A26">
        <w:t>g</w:t>
      </w:r>
      <w:r w:rsidR="00724AF3">
        <w:t xml:space="preserve">rassland landscapes with embedded forest (micro)refugia. Such formations have previously been inferred in southern Brazil from </w:t>
      </w:r>
      <w:r w:rsidR="00724AF3">
        <w:lastRenderedPageBreak/>
        <w:t xml:space="preserve">modelling </w:t>
      </w:r>
      <w:r w:rsidR="00724AF3">
        <w:fldChar w:fldCharType="begin" w:fldLock="1"/>
      </w:r>
      <w:r w:rsidR="00724AF3">
        <w:instrText>ADDIN CSL_CITATION {"citationItems":[{"id":"ITEM-1","itemData":{"DOI":"10.1111/geb.12694","ISBN":"4170","ISSN":"14668238","abstract":"Aim: The aim was to examine the links between past biome stability, vegetation dynamics and biodiversity patterns. Location: South America. Time period: Last 30,000 years. Major taxa studied: Plants. Methods: We classified South America into major biomes according to their dominant plant functional groups (grasses, trees and shrubs) and ran a random forest (RF) classification with data on current climate. We then fitted the algorithm to predict biome distributions for every 1,000 years back to 21,000 yr BP and estimated biome stability by counting how many times a change in climate was predicted to shift a grid cell from one biome to another. We compared our model-based stability map with empirical estimates from selected pollen records covering the past 30 kyr in terms of vegetation shifts, changes in species composition and time-lag of vegetation responses. Results: We found a strong correlation between our habitat stability map and regional vegetation dynamics. Four scenarios emerged according to the way forest distribution shifted during a climate change. Each scenario related to specific regional features of biome stability and diversity, allowing us to formulate specific predictions on how taxonomic, genetic and functional components of biodiversity might be impacted by modern climate change. Main conclusions: Our validated map of biome stability provides important baseline information for studying the impacts of past climate on biodiversity in South America. By focusing exclusively on climatic changes of manifested relevance (i.e., those resulting in significant habitat changes), it provides a novel perspective that complements previous datasets and allows scientists to explore new questions and hypotheses at the local, regional and continental scales.","author":[{"dropping-particle":"","family":"Costa","given":"Gabriel C.","non-dropping-particle":"","parse-names":false,"suffix":""},{"dropping-particle":"","family":"Hampe","given":"Arndt","non-dropping-particle":"","parse-names":false,"suffix":""},{"dropping-particle":"","family":"Ledru","given":"Marie Pierre","non-dropping-particle":"","parse-names":false,"suffix":""},{"dropping-particle":"","family":"Martinez","given":"Pablo A.","non-dropping-particle":"","parse-names":false,"suffix":""},{"dropping-particle":"","family":"Mazzochini","given":"Guilherme G.","non-dropping-particle":"","parse-names":false,"suffix":""},{"dropping-particle":"","family":"Shepard","given":"Donald B.","non-dropping-particle":"","parse-names":false,"suffix":""},{"dropping-particle":"","family":"Werneck","given":"Fernanda P.","non-dropping-particle":"","parse-names":false,"suffix":""},{"dropping-particle":"","family":"Moritz","given":"Craig","non-dropping-particle":"","parse-names":false,"suffix":""},{"dropping-particle":"","family":"Carnaval","given":"Ana Carolina","non-dropping-particle":"","parse-names":false,"suffix":""}],"container-title":"Global Ecology and Biogeography","id":"ITEM-1","issue":"August 2017","issued":{"date-parts":[["2017"]]},"note":"Uses RFs to model biomes (tropical rainforest, grassland etc - all Mata Atlantica ends up rainforest) from LGM at 1000yr intervals (HadCM3) with comparison to pollen records. Looks at biome stability through time. Large (unexpected?) refuge area in southern Brazil (SC, S PR) with only one shift from grassland to forest (but which might include Campos grasslands). Lots of interesting discussion about microrefugia and what you'd expect to see in different places in terms of genetic/taxonomic diversity etc. Use as springboard for higher taxonomic resolution modelling to see floristic changes through time - specifically investigating the stable zone.","page":"285-297","title":"Biome stability in South America over the last 30 kyr: Inferences from long-term vegetation dynamics and habitat modelling","type":"article-journal"},"uris":["http://www.mendeley.com/documents/?uuid=b7c29cbb-73a3-4cdf-807b-397f0068a642"]},{"id":"ITEM-2","itemData":{"DOI":"10.1016/j.ppees.2015.08.001","ISSN":"16180437","abstract":"The aim of this study was to identify major bioclimatic variables associated with the diversity patterns of plant genera and the contribution of elevations in highly diverse areas of the Subtropical Highland Grasslands (SHG), which form mosaics with Araucaria forests. We selected three plant genera that have diversified, in part, within the Neotropical SHG: Adesmia (Fabaceae) and Calibrachoa and Petunia (Solanaceae). We delimited the major high elevation areas of the region and calculated the taxonomic diversity for these taxa in each area. Ecological Niche Models (ENMs) were used to predict the distribution of each taxon and to project it to the Last Glacial Maximum (LGM), allowing searching for stable areas. Those stable areas were then compared to areas with high diversity levels. We explored the spatial occurrences and the multivariate contribution of environmental factors to differentiate among the Araucaria forest and the SHG. Finally, we examined the correlations between the environmental variables and the molecular and taxonomic diversity. Niche stability was directly linked to diversity and positively correlated with altitude. Although some niche aspects differed subtly, the predicted distributions of grassland and forest taxa were not different at larger scales. Two of the four studied areas were suggested by the ENMs to be high-relevant sites for conservation studies and the maintenance of diversity.","author":[{"dropping-particle":"","family":"Barros","given":"Michel J F","non-dropping-particle":"","parse-names":false,"suffix":""},{"dropping-particle":"","family":"Silva-Arias","given":"Gustavo A","non-dropping-particle":"","parse-names":false,"suffix":""},{"dropping-particle":"","family":"Fregonezi","given":"Jeferson N","non-dropping-particle":"","parse-names":false,"suffix":""},{"dropping-particle":"","family":"Turchetto-Zolet","given":"Andreia C","non-dropping-particle":"","parse-names":false,"suffix":""},{"dropping-particle":"V","family":"Iganci","given":"João R","non-dropping-particle":"","parse-names":false,"suffix":""},{"dropping-particle":"","family":"Diniz-Filho","given":"José Alexandre F","non-dropping-particle":"","parse-names":false,"suffix":""},{"dropping-particle":"","family":"Freitas","given":"Loreta B","non-dropping-particle":"","parse-names":false,"suffix":""}],"container-title":"Perspectives in Plant Ecology, Evolution and Systematics","id":"ITEM-2","issue":"5","issued":{"date-parts":[["2015"]]},"note":"Interesting but slightly confusing paper that looks at climatic stability and genetic diversity in highland campos from LGM to now. More stable (and higher altitude) areas are associated with higher diversity, which is discussed. Maps of Aa extent (based on maxent and &amp;gt;900masl occurrences) included, which would be worth comparing to new models. Also found that forest and campos niches overlapped at this scale - can this be discriminated with finer scale modelling?","page":"360-368","title":"Environmental drivers of diversity in Subtropical Highland Grasslands","type":"article-journal","volume":"17"},"uris":["http://www.mendeley.com/documents/?uuid=092f3f94-67ce-3021-8b03-fff7233b7355"]},{"id":"ITEM-3","itemData":{"DOI":"10.1038/s41598-019-39308-w","ISSN":"2045-2322","abstract":"Despite the high diversity of the Southern South American environments, the patterns and processes driving both their species diversity and demographic history are still poorly known and are a challenging task. In this study, we evaluate plastid DNA sequences of the conifer species Araucaria angustifolia aiming to (i) assess the species genetic structure within its main range of occurrence, (ii) infer its population demographic history, looking for evidence of southward expansion, (iii) search for evidence of glacial refugia within the species distribution area and (iv) discuss some conservation and management strategies for this species. Twenty haplotypes were identified, revealing the presence of three distinct genetic groups across the geographic range of the species and structuring the populations into Northern, Central and Southern groups. Our results suggest the occurrence of post-glacial expansion of A. angustifolia towards the south, as well as the existence of at least three refugia within the species occurrence area. Testing the occurrence of historical demographic expansion, we suggest that genetic groups experienced fluctuations in effective size, associated to a structured distribution of populations. The identification of three genetic groups in this study corroborates the proposition of using the geographic distribution of A. angustifolia for selecting in situ conservation areas, for planning seed collection for ex situ conservation, as well as for the delineation of seed zones.","author":[{"dropping-particle":"","family":"Stefenon","given":"Valdir Marcos","non-dropping-particle":"","parse-names":false,"suffix":""},{"dropping-particle":"","family":"Klabunde","given":"Gustavo","non-dropping-particle":"","parse-names":false,"suffix":""},{"dropping-particle":"","family":"Lemos","given":"Rafael Plá Matielo","non-dropping-particle":"","parse-names":false,"suffix":""},{"dropping-particle":"","family":"Rogalski","given":"Marcelo","non-dropping-particle":"","parse-names":false,"suffix":""},{"dropping-particle":"","family":"Nodari","given":"Rubens Onofre","non-dropping-particle":"","parse-names":false,"suffix":""}],"container-title":"Scientific Reports","id":"ITEM-3","issue":"1","issued":{"date-parts":[["2019","12","26"]]},"note":"Interesting paper looking at Aa population genetics across its range with cpDNA. Finds evidence of spatial genetic structure - N, Central and S populations distinct, N especially so. Finds evidence to support hypothesis of a refugium in the South as well as in the North. Expansion started earlier further north. Adds in a bit of coarse SDM for the LGM too.","page":"2752","publisher":"Nature Publishing Group","title":"Phylogeography of plastid DNA sequences suggests post-glacial southward demographic expansion and the existence of several glacial refugia for Araucaria angustifolia","type":"article-journal","volume":"9"},"uris":["http://www.mendeley.com/documents/?uuid=f532ac20-0dfa-376f-a481-868ce41cbc8e"]}],"mendeley":{"formattedCitation":"(Barros et al., 2015; Costa et al., 2017; Stefenon et al., 2019)","plainTextFormattedCitation":"(Barros et al., 2015; Costa et al., 2017; Stefenon et al., 2019)","previouslyFormattedCitation":"(Barros et al., 2015; Costa et al., 2017; Stefenon et al., 2019)"},"properties":{"noteIndex":0},"schema":"https://github.com/citation-style-language/schema/raw/master/csl-citation.json"}</w:instrText>
      </w:r>
      <w:r w:rsidR="00724AF3">
        <w:fldChar w:fldCharType="separate"/>
      </w:r>
      <w:r w:rsidR="00724AF3" w:rsidRPr="00B02C5A">
        <w:rPr>
          <w:noProof/>
        </w:rPr>
        <w:t>(Barros et al., 2015; Costa et al., 2017; Stefenon et al., 2019)</w:t>
      </w:r>
      <w:r w:rsidR="00724AF3">
        <w:fldChar w:fldCharType="end"/>
      </w:r>
      <w:r w:rsidR="00724AF3">
        <w:t xml:space="preserve">, palynology </w:t>
      </w:r>
      <w:r w:rsidR="00724AF3">
        <w:fldChar w:fldCharType="begin" w:fldLock="1"/>
      </w:r>
      <w:r w:rsidR="007F330C">
        <w:instrText>ADDIN CSL_CITATION {"citationItems":[{"id":"ITEM-1","itemData":{"DOI":"10.1016/S0031-0182(03)00687-4","ISBN":"0031-0182","ISSN":"00310182","abstract":"Late Quaternary vegetation, fire and climate dynamics have been studied based on high-resolution dated pollen and charcoal samples and multivariate data analysis. The samples were taken from a 212-cm-long sediment core of a bog in the Cambará do Sul region on the highlands of northeastern Rio Grande do Sul State, Brazil. The records, including seven AMS radiocarbon dates, span 42 840 14C years, for the first time extending the reconstruction of past environmental changes on the southern Brazilian highlands back to the Last Glacial Maximum (LGM) and pre-LGM times. The last 1100 years provide a decadal resolution. Initially the site was a permanent shallow lake which became seasonally dry after 26 900 14C yr BP. Seasonal climate with a long annual dry period prevailed until the late Holocene. The climate was somewhat wetter from 42 840 to 41 470 14C yr BP and from 41 470 to 26 900 14C yr BP than during the LGM and the late-Glacial period. Natural fires were rare, but became very frequent after 7400 cal BP, suggesting human occupation of the southernmost Brazilian highlands since that time. The records suggest that a species-rich Campos (grassland) vegetation existed in the area under a relatively dry and cold climate during glacial times under possibly as low as -10°C. The record also suggests that small populations of Araucaria were probably only present in refugia of deep and protected valleys and/or on wetter coastal slopes. Campos vegetation existed through the early and mid-Holocene until 4320 cal yr BP, after which Araucaria forest expanded into the network of gallery forests along the streams. By 1100 cal yr BP the Araucaria forest replaced the Campos vegetation reflecting the onset of the wettest period with no marked annual dry season. The marked expansion of the Araucaria forest coincided with the reduction in fire. Between AD 1520 and 1770 Weinmannia became a common taxa in the Araucaria forest, suggesting a shift to warmer climatic conditions on the highlands. This interval was synchronous with a cool phase within the Little Ice Age known from North Atlantic land records. After about AD 1780 human activities changed the original forest composition, first by introducing cattle into the forest and than by selective logging of Araucaria trees. Multivariate analysis of the pollen data shows compositional changes that follow a trajectory alternating undirectional, random phases and phases with directional, sometimes fast transitions. The results al…","author":[{"dropping-particle":"","family":"Behling","given":"Hermann","non-dropping-particle":"","parse-names":false,"suffix":""},{"dropping-particle":"","family":"Pillar","given":"Valerio DePatta","non-dropping-particle":"","parse-names":false,"suffix":""},{"dropping-particle":"","family":"Orlóci","given":"László","non-dropping-particle":"","parse-names":false,"suffix":""},{"dropping-particle":"","family":"Bauermann","given":"Soraia Girardi","non-dropping-particle":"","parse-names":false,"suffix":""}],"container-title":"Palaeogeography, Palaeoclimatology, Palaeoecology","id":"ITEM-1","issue":"3-4","issued":{"date-parts":[["2004"]]},"note":"CamSu\n\nDetailed examination of Cambara do Sul core in NE Rio Grande do Sul, 42,658 C14 yr BP to present. Shows 100 year Campos-Araucaria switch in about 1100 cal yr BP.\n\nNEEDS SOME REINTERPRETING WITH LEONHARDT &amp;amp; LORSCHEITTER 2010. SEE NOTE\n\n(All dates C14 yr BP)\n\n42,840 - 41,470\n83-88% campos pollen, 8-14% Araucaria forest pollen (only 2 grains of A. angustifolia), only one pollen grain from Atlantic forest taxa, aquatics 6-16%, ferns 3-6%. Low conc and accumulation of carbonised particles.\n\n41,4701 - 26,900\n87-94% campos pollen, 3-9% Araucaria forest (less pollen from Myrtaceae), a few single grains of Atlantic forest pollen, less aquatic pollen (3-7%), fewer fern spores (0-3%). Carbonised particles still rare.\n\n26,900 - 10,120\n87-97% campos pollen (though changing composition - Poaceae down, Eryngium up; less Apiaceae), 1-5% Araucaria forest, 0-0.3% Atlantic forest (lowest for both), 1-3% aquatic, lowest time for ferns (but big increase at end of zone). Carbonised particles rare.\n\n10,120 - 3,950 (11,540 - 4,320 cal yr BP)\n74-88% campos but lower near end (Poaceae up from last time; Eryngium get more common; other compositional changes), 3-13% Araucaria forest (up slightly thanks to A. angustifolia and Myrsine), 0-4% Atlantic (up slightly), trace aquatics, big increase of ferns (up to 46%) then decrease by end (to 9%), increase in Dicksonia (0-14%). Lots of carbonised particles higher up in this section.\n\n3950 - 1140 (4320 - 1100 cal yr BP)\n65-84% campos (down a bit but still high; Cyperaceae up, Poaceae and Eryngium down), 13-27% Araucaria forest (mainly A. angustifolia 4-7%, Myrsine and Weinmannia), 2-5% Atlantic forest, fern spores up again (9-40%), Dicksonia common (9-16%). Lots and lots of carbonised particles.\n\n1140 - 410 (1100 - 430 cal yr BP)\nCampos way down and keeps going (55-24%), continuous increase of Araucaria forest pollen (39-80%) with A. angustifolia going up 14-42% and big increase in Mimosa scabrella, no change in Atlantic (2-6%), fewer fern spores (5-19%), highest Dicksonia spore level (9-26%), high point for mosses but decrease later. Low concentration of carbonised particles but higher accumulation than at beginning of core.\n\n410 - -50 (430 - -50 cal yr BP)\nCampos start way down (to 11%) but increase (to 38%, through Cyperaceae then Poaceae) then go down right at the end, Araucaria forest highest early on (87%) but decreases at the end (65%) as A. angustifolia drops off right at the end (41-2%; Mimosa scabrella jumps correspondingly; other changes), nothing much happens with Atlantic forest (2-7%), fern spores go down (21-2%) and Dicksonia crashes by end (19-0.3%). Similar carbonised particles to before.","page":"277-297","title":"Late Quaternary Araucaria forest, grassland (Campos), fire and climate dynamics, studied by high-resolution pollen, charcoal and multivariate analysis of the Cambará do Sul core in southern Brazil","type":"article-journal","volume":"203"},"uris":["http://www.mendeley.com/documents/?uuid=46579170-55fd-37c2-8f78-517419a62e98"]},{"id":"ITEM-2","itemData":{"DOI":"10.1016/j.catena.2008.04.003","ISSN":"03418162","abstract":"During the past 40 years colluvial and alluvial deposits have been used in Brazil as good indicators of regional landscape sensitivity to Quaternary environmental changes. In spite of the low resolution of most of the continental sedimentary record, geomorphology and sedimentology may favor palaeoenvironmental interpretation when supported by independent proxy data. This paper presents results obtained from pedostratigraphic sequences, in near-valley head sites of southern Brazilian highlands, based on geomorphologic, sedimentologic, micromorphologic, isotopic and palynologic data. Results point to environmental changes, with ages that coincide with Marine Isotopic Stages (MIS) 5b; 3; 2 and 1. During the late Pleistocene, although under temperatures and precipitation lower than today, the local record points to relatively wet local environments, where shallow soil-water saturated zones contributed to erosion and sedimentation during periods of climatic change, as during the transition between MIS 2 and MIS 1. Late Pleistocene events with ages that coincide with the Northern Hemisphere Younger Dryas are also depicted. During the mid Holocene, slope-wash deposits suggest a climate drier than today, probably under the influence of seasonally contrasted precipitation regimes. The predominance of overland flow-related sedimentary deposits suggests an excess of precipitation over evaporation that influenced local palaeohydrology. This environmental condition seems to be recurrent and explains how slope morphology had influenced pedogenesis and sedimentation in the study area. Due to relative sensitiveness, resilience and short source-to-sink sedimentary pathways, near-valley head sites deserve further attention in Quaternary studies in the humid tropics. © 2008 Elsevier B.V. All rights reserved.","author":[{"dropping-particle":"","family":"Oliveira","given":"Marcelo Accioly Teixeira","non-dropping-particle":"de","parse-names":false,"suffix":""},{"dropping-particle":"","family":"Behling","given":"Hermann","non-dropping-particle":"","parse-names":false,"suffix":""},{"dropping-particle":"","family":"Pessenda","given":"Luiz Carlos Ruiz","non-dropping-particle":"","parse-names":false,"suffix":""},{"dropping-particle":"","family":"Lima","given":"Gisele Leite","non-dropping-particle":"de","parse-names":false,"suffix":""}],"container-title":"Catena","id":"ITEM-2","issue":"1","issued":{"date-parts":[["2008","9"]]},"note":"Has two of the same sites as de Oliveira et al (2008) JSAmES paper, but also has Valley Bottom sequence which shows rapid (500year) overtake of campos by MOF at beginning of the Holocene. d13C results for Watershed site (covers LGM and period to the Holocene; trees/C3); pollen and d13C results for old old buried peat in Valley Head site (campos and C3-dominated).","page":"77-92","title":"Stratigraphy of near-valley head quaternary deposits and evidence of climate-driven slope-channel processes in southern Brazilian highlands","type":"article-journal","volume":"75"},"uris":["http://www.mendeley.com/documents/?uuid=2bb97552-b350-326c-8b2e-5871b00467d5"]},{"id":"ITEM-3","itemData":{"DOI":"10.1111/j.1472-4642.2007.00389.x","ISSN":"13669516","abstract":"For decades, palynologists working in tropical South America are using the genus Podocarpus as a climate indicator although without referring to any modern data concerning its distribution and limiting factors. With the aim to characterize the modern and past distribution of the southern conifer Podocarpus in Brazil and to obtain new information on the distribution of the Atlantic rainforest during the Quaternary, we examined herbarium data to locate the populations of three Brazilian endemic Podocarpus species: P. sellowii , P. lambertii , and P. brasiliensis , and extracted DNA from fresh leaves from 26 populations. Our conclusions are drawn in the light of the combination of these three disciplines: botany, palynology, and genetics. We find that the modern distribution of endemic Podocarpus populations shows that they are widely dispersed in eastern Brazil, from north to south and reveals that the expansion of Podocarpus recorded in single Amazonian pollen records may have come from either western or eastern populations. Genetic analysis enabled us to delimit regional expansion: between 5 ° and 15 ° S grouping northern and central populations of P. sellowii expanded c. 16,000 years ago; between 15 ° and 23 ° S populations of either P. lambertii or sellowii expanded at different times since at least the last glaciation; and between 23 ° and 30 ° S, P. lambertii appeared during the recent expansion of the Araucaria forest. The combination of botany, pollen, and molecular analysis proved to be a rapid tool for inferring distribution borders for sparse populations and their regional evolution within tropical ecosystems. Today the refugia of rainforest communities we identified are crucial hotspots to allow the Atlantic forest to survive under unfavourable climatic conditions and, as such, offer the only possible opportunity for this type of forest to expand in the event of a future climate change.","author":[{"dropping-particle":"","family":"Ledru","given":"Marie-Pierre","non-dropping-particle":"","parse-names":false,"suffix":""},{"dropping-particle":"","family":"Salatino","given":"Maria Luisa Ferraz","non-dropping-particle":"","parse-names":false,"suffix":""},{"dropping-particle":"","family":"Ceccantini","given":"Gregorio","non-dropping-particle":"","parse-names":false,"suffix":""},{"dropping-particle":"","family":"Salatino","given":"Antonio","non-dropping-particle":"","parse-names":false,"suffix":""},{"dropping-particle":"","family":"Pinheiro","given":"Fabio","non-dropping-particle":"","parse-names":false,"suffix":""},{"dropping-particle":"","family":"Pintaud","given":"Jean-Christophe","non-dropping-particle":"","parse-names":false,"suffix":""}],"container-title":"Diversity and Distributions","id":"ITEM-3","issue":"6","issued":{"date-parts":[["2007","6","26"]]},"note":"Good points about the different species of Podocarpus and how their different climatic requirements challenge interpretations of genus-level pollen changes. Uses genetic information to split Podocarpus spp into clades that span different zones, including two which match those suggested elsewhere for Araucaria. Notes on ecology of Podocarpus, Podocarpus-containing pollen assemblages, and how context can permit the assignation of Podocarpus pollen to a particular species.","page":"761-771","title":"Regional assessment of the impact of climatic change on the distribution of a tropical conifer in the lowlands of South America","type":"article-journal","volume":"13"},"uris":["http://www.mendeley.com/documents/?uuid=9ad96c15-749d-3802-98a8-d6b0f1361035"]},{"id":"ITEM-4","itemData":{"DOI":"10.1111/btp.12266","ISSN":"00063606","abstract":"The aim of this study is to represent simultaneously changes in the spatial distribution of the Atlantic forest during the last 17,000 years. To characterize such changes, here we focused on three different forest physiognomies, evergreen, semi-deciduous, and Araucaria, and we provide a list of indicator taxa for each class retrieved from the original published datasets. A review of the published fossil pollen records allowed us to classify regional behaviors in three main areas of distribution, north of 15°S, between 15° and 23°S and south of 23°S latitude that correspond to three climatic geographical barriers. Statistical probability density function method was used to illustrate changes in forest physiognomies throughout the three distribution areas. We show that the three modern barriers also functioned through the past. Asynchronous patterns of forest physiognomies are linked to an antiphasing pattern of monsoon precipitation between the northern and central area, whereas in the southern area, it is linked to the frequency and intensity of the polar advection in the subtropics. Our results attest to strong climate forcing on forest distribution between the late glacial and the interglacial period. They call into question the common reference to the last glacial maximum as a major (and sometimes as the only) driver of forest-related vicariance and genetic diversity patterns, but suggest that instead, orbital cycles were the main drivers of the successive expansion/contraction of the Atlantic forest throughout the Quaternary.","author":[{"dropping-particle":"","family":"Ledru","given":"Marie-Pierre","non-dropping-particle":"","parse-names":false,"suffix":""},{"dropping-particle":"","family":"Montade","given":"Vincent","non-dropping-particle":"","parse-names":false,"suffix":""},{"dropping-particle":"","family":"Blanchard","given":"Grégoire","non-dropping-particle":"","parse-names":false,"suffix":""},{"dropping-particle":"","family":"Hély","given":"Christelle","non-dropping-particle":"","parse-names":false,"suffix":""}],"container-title":"Biotropica","id":"ITEM-4","issue":"2","issued":{"date-parts":[["2016"]]},"note":"Paper looking at all Atlantic Forest since 17ka. Uses a relatively tight subset of pollen records, and discusses ARF expansion. Concludes that differences in timing of ARF peak are mainly due to effects of altitude and geographically inconsistent refugia","page":"159-169","title":"Long-term Spatial Changes in the Distribution of the Brazilian Atlantic Forest","type":"article-journal","volume":"48"},"uris":["http://www.mendeley.com/documents/?uuid=b554578d-ef7b-4b80-a19f-d244bdb3d353"]}],"mendeley":{"formattedCitation":"(Behling et al., 2004; de Oliveira et al., 2008; Ledru et al., 2016, 2007)","plainTextFormattedCitation":"(Behling et al., 2004; de Oliveira et al., 2008; Ledru et al., 2016, 2007)","previouslyFormattedCitation":"(Behling et al., 2004; de Oliveira et al., 2008; Ledru et al., 2016, 2007)"},"properties":{"noteIndex":0},"schema":"https://github.com/citation-style-language/schema/raw/master/csl-citation.json"}</w:instrText>
      </w:r>
      <w:r w:rsidR="00724AF3">
        <w:fldChar w:fldCharType="separate"/>
      </w:r>
      <w:r w:rsidR="005944BB" w:rsidRPr="005944BB">
        <w:rPr>
          <w:noProof/>
          <w:lang w:val="sv-SE"/>
        </w:rPr>
        <w:t>(Behling et al., 2004; de Oliveira et al., 2008; Ledru et al., 2016, 2007)</w:t>
      </w:r>
      <w:r w:rsidR="00724AF3">
        <w:fldChar w:fldCharType="end"/>
      </w:r>
      <w:r w:rsidR="00724AF3" w:rsidRPr="00A82061">
        <w:rPr>
          <w:lang w:val="sv-SE"/>
        </w:rPr>
        <w:t xml:space="preserve"> and phylogeography </w:t>
      </w:r>
      <w:r w:rsidR="00724AF3">
        <w:fldChar w:fldCharType="begin" w:fldLock="1"/>
      </w:r>
      <w:r w:rsidR="007F330C">
        <w:rPr>
          <w:lang w:val="sv-SE"/>
        </w:rPr>
        <w:instrText>ADDIN CSL_CITATION {"citationItems":[{"id":"ITEM-1","itemData":{"DOI":"10.1590/S0001-37652008000300005","ISBN":"0001-3765","ISSN":"00013765","PMID":"18797796","abstract":"Up to date, little is known about the relationship between historical demography and the current genetic structure of A. angustifolia. As a first effort towards overcoming this lack, microsatellite data scored in six populations and isozyme allele frequencies published for 11 natural stands of this species were analysed in order to assess molecular signatures of populations’ demographic history. Signatures of genetic bottlenecks were captured in all analysed populations of southeastern Brazil. Among southern populations, signatures of small effective population size were observed in only three out of 13 populations. Southern populations likely experienced faster recovery of population size after migration onto highlands. Accordingly, current genetic diversity of the southern populations gives evidence of fast population size recovery. In general, demographic history of A. angustifolia matches climatic dynamics of southern and southeastern Brazil during the Pleistocene and Holocene. Palynological records and reconstruction of the past climatic dynamics of southeastern and southern Brazil support the hypothesis of different population size recovery dynamics for populations from these regions.","author":[{"dropping-particle":"","family":"Stefenon","given":"Valdir Marcos","non-dropping-particle":"","parse-names":false,"suffix":""},{"dropping-particle":"","family":"Behling","given":"Hermann","non-dropping-particle":"","parse-names":false,"suffix":""},{"dropping-particle":"","family":"Gailing","given":"Oliver","non-dropping-particle":"","parse-names":false,"suffix":""},{"dropping-particle":"","family":"Finkeldey","given":"Reiner","non-dropping-particle":"","parse-names":false,"suffix":""}],"container-title":"Anais da Academia Brasileira de Ciencias","id":"ITEM-1","issue":"3","issued":{"date-parts":[["2008","9"]]},"note":"Genetic bottlenecks found in some populations of Aa, mostly in SP. This is interpreted as these populations having recovered slower from the end of glaciation than those in the south, possibly because those in the south were aided in their expansion by indigenous people. Yes, this Behling co-authored paper really does say that.","page":"433-443","publisher":"Academia Brasileira de Ciências","title":"Evidences of delayed size recovery in Araucaria angustifolia populations after post-glacial colonization of highlands in Southeastern Brazil","type":"article-journal","volume":"80"},"uris":["http://www.mendeley.com/documents/?uuid=ca88fd72-758c-3359-a98e-674f7f5e2df9"]},{"id":"ITEM-2","itemData":{"DOI":"10.1007/s10592-019-01242-9","ISSN":"1566-0621","abstract":"Araucaria (Araucaria angustifolia (Bert.) O. Ktze) is a primarily dioecious species threatened with extinction that plays an important social and economic role especially in the southern region of Brazil. The aim of this work is to investigate the diversity and likely determinants of genetic lineages in this species for conservation management. For this, a collection of 30-year-old Araucaria was used. Accessions collected from 12 sites across the species range were analyzed, with ten individuals per site. The SSR genotyping was conducted with 15 loci and the data were analyzed using several complementary approaches. Descriptive statistics among sampling sites were used and diversity was partitioned non-hierarchically to estimate the size and composition of genetic clusters using a Bayesian assignment method. To explore possible biological implications of differences between Niche Models and habitat suitability, a series of statistical procedures were used, and tests were carried out using the software ENM Tools and Maxent. Populations from the southernmost zone showed higher genetic variation and a lower inbreeding coefficient compared to the northernmost zone, which may correlate with their isolation. A positive relation between genetic differentiation and geographic distance was observed. Two genetic groups (southernmost and northernmost zones) were evident. The Niche modelling showed separate ranges for each genetic lineage suggesting that differences in selection pressure may be playing a role in the apparent differentiation and may be adaptive. Finally, an evident correlation was observed between genetic data and habitat suitability. The two distinct groups observed must be considered as independent units for conservation and hybridization in breeding programs.","author":[{"dropping-particle":"","family":"Sousa","given":"Valderês Aparecida","non-dropping-particle":"de","parse-names":false,"suffix":""},{"dropping-particle":"","family":"Reeves","given":"Patrick A.","non-dropping-particle":"","parse-names":false,"suffix":""},{"dropping-particle":"","family":"Reilley","given":"Ann","non-dropping-particle":"","parse-names":false,"suffix":""},{"dropping-particle":"","family":"Aguiar","given":"Ananda Virginia","non-dropping-particle":"de","parse-names":false,"suffix":""},{"dropping-particle":"","family":"Stefenon","given":"Valdir Marcos","non-dropping-particle":"","parse-names":false,"suffix":""},{"dropping-particle":"","family":"Richards","given":"Christopher M.","non-dropping-particle":"","parse-names":false,"suffix":""}],"container-title":"Conservation Genetics","id":"ITEM-2","issue":"2","issued":{"date-parts":[["2020","4","6"]]},"note":"Uses nuclear DNA to look at spatial structure of Aa populations, and combines with a simplish ENM to include information about environmental conditions and their differences between the populations. Delimits a northern and southern population, with some clear mixing at small transition points. Southern population has higher genetic diversity (refugia?)","page":"217-229","publisher":"Springer","title":"Genetic diversity and biogeographic determinants of population structure in Araucaria angustifolia (Bert.) O. Ktze","type":"article-journal","volume":"21"},"uris":["http://www.mendeley.com/documents/?uuid=49804942-88a0-3cca-99be-82e5475e4715"]},{"id":"ITEM-3","itemData":{"DOI":"10.1038/s41598-019-39308-w","ISSN":"2045-2322","abstract":"Despite the high diversity of the Southern South American environments, the patterns and processes driving both their species diversity and demographic history are still poorly known and are a challenging task. In this study, we evaluate plastid DNA sequences of the conifer species Araucaria angustifolia aiming to (i) assess the species genetic structure within its main range of occurrence, (ii) infer its population demographic history, looking for evidence of southward expansion, (iii) search for evidence of glacial refugia within the species distribution area and (iv) discuss some conservation and management strategies for this species. Twenty haplotypes were identified, revealing the presence of three distinct genetic groups across the geographic range of the species and structuring the populations into Northern, Central and Southern groups. Our results suggest the occurrence of post-glacial expansion of A. angustifolia towards the south, as well as the existence of at least three refugia within the species occurrence area. Testing the occurrence of historical demographic expansion, we suggest that genetic groups experienced fluctuations in effective size, associated to a structured distribution of populations. The identification of three genetic groups in this study corroborates the proposition of using the geographic distribution of A. angustifolia for selecting in situ conservation areas, for planning seed collection for ex situ conservation, as well as for the delineation of seed zones.","author":[{"dropping-particle":"","family":"Stefenon","given":"Valdir Marcos","non-dropping-particle":"","parse-names":false,"suffix":""},{"dropping-particle":"","family":"Klabunde","given":"Gustavo","non-dropping-particle":"","parse-names":false,"suffix":""},{"dropping-particle":"","family":"Lemos","given":"Rafael Plá Matielo","non-dropping-particle":"","parse-names":false,"suffix":""},{"dropping-particle":"","family":"Rogalski","given":"Marcelo","non-dropping-particle":"","parse-names":false,"suffix":""},{"dropping-particle":"","family":"Nodari","given":"Rubens Onofre","non-dropping-particle":"","parse-names":false,"suffix":""}],"container-title":"Scientific Reports","id":"ITEM-3","issue":"1","issued":{"date-parts":[["2019","12","26"]]},"note":"Interesting paper looking at Aa population genetics across its range with cpDNA. Finds evidence of spatial genetic structure - N, Central and S populations distinct, N especially so. Finds evidence to support hypothesis of a refugium in the South as well as in the North. Expansion started earlier further north. Adds in a bit of coarse SDM for the LGM too.","page":"2752","publisher":"Nature Publishing Group","title":"Phylogeography of plastid DNA sequences suggests post-glacial southward demographic expansion and the existence of several glacial refugia for Araucaria angustifolia","type":"article-journal","volume":"9"},"uris":["http://www.mendeley.com/documents/?uuid=f532ac20-0dfa-376f-a481-868ce41cbc8e"]},{"id":"ITEM-4","itemData":{"DOI":"10.1590/S1415-47572002000300014","ISBN":"1415-4757","ISSN":"14154757","PMID":"303","abstract":"The objective of this study was to generate information relative to the allele distribution and dynamics within and among populations of Araucaria angustifolia, a naturally-occurring conifer in the south of Brazil, being known popularly as \"pinheiro-do-Parand\", \"araucaria\" or pine tree. In order to elucidate the levels and the distribution of the genetic variability, the population's genetic structure and the genetic distance among natural populations of this species with different levels of disturbance in different geographical areas were studied in detail. For this, samples of leaf tissue were collected from 328 adult individuals in nine natural populations in Santa Catarina State. To analyze the samples, the allozyme technique was applied in starch gel electrophoresis (penetrose 13%), with citrate/morfholine buffer. Nine enzymatic systems (PGM, PGI MDH, PRX, SKDH, 6PGDH, ACP, IDH and G6PDH) revealed 15 loci. The analysis provided values for H-e and H-o of 0.084 and 0.072, respectively. The general average of polymorphic loci was 73% in the species and 26.6% in the studied populations and the allele number per locus was 1.6. Wright's F-statistical estimates indicated the existence of inbreeding in populations (F-IS = 0.148) and a low divergence among populations (F-ST = 0,044). However, the inbreeding values were variable in different populations. Taken together, the results indicated that the greater part of the genetic variability is contained within populations. The working hypothesis that originally there was greater genetic diversity can be supported by these results which indicate that in the degraded populations the diversity indexes are lower in the degraded populations than those found in better-conserved populations. Thus the fragmentation of the forest followed by \"araucaria\" exploitation could have contributed to the genetic differentiation expressed through the allele frequency of the studied population","author":[{"dropping-particle":"","family":"Auler","given":"Neiva Maria Frizon","non-dropping-particle":"","parse-names":false,"suffix":""},{"dropping-particle":"","family":"Reis","given":"Maurício Sedrez","non-dropping-particle":"dos","parse-names":false,"suffix":""},{"dropping-particle":"","family":"Guerra","given":"Miguel Pedro","non-dropping-particle":"","parse-names":false,"suffix":""},{"dropping-particle":"","family":"Nodari","given":"Rubens Onofre","non-dropping-particle":"","parse-names":false,"suffix":""}],"container-title":"Genetics and Molecular Biology","id":"ITEM-4","issue":"3","issued":{"date-parts":[["2002"]]},"note":"Study looking at the genetics of Aa. Findings summarised in the final section, and attributed most likely to degradation in the relatively recent past","page":"329-338","publisher":"Sociedade Brasileira de Genética","title":"The genetics and conservation of Araucaria angustifolia: I. Genetic structure and diversity of natural populations by means of non-adaptive variation in the state of Santa Catarina, Brazil","type":"article-journal","volume":"25"},"uris":["http://www.mendeley.com/documents/?uuid=cd6c0253-ef45-31b6-80be-b114e18a3ac7"]},{"id":"ITEM-5","itemData":{"DOI":"10.1007/s11295-018-1250-4","ISSN":"1614-2942","abstract":"Phylogeographic studies allow us to better understand the past history of species and the factors that mold their current distri-bution. Here, we demonstrate the potential human impact on the distribution of a tree species. In particular, it was hypothesized that Araucaria angustifolia, an endangered South American conifer, was dispersed from its Pleistocene glacial refugium to its maximum occurrence distribution (MOD), mainly by pre-Columbian human groups (ca 2000 years ago). In order to test this hypothesis, we sampled 20 A. angustifolia populations in southern Brazil. Our analysis consisted of an integrative phylogeo-graphic approach, supported by ecological aspects of the species. Therefore, we constructed the species chloroplast haplotype network, tested for possible neutrality deviations, genetic divergence, association between genetic and geographic distances, and simulated the amount of time that the species required to reach its MOD without human help. The species showed clear signs of rapid and recent expansion from a single refugium. The haplotype network had a star-like shape. Populations and the species showed negative values for the neutrality tests and low divergence values among populations (F ST = 0.041) not associated with geographic distance. The estimated dispersal time required for the species to reach its MOD from its putative refugium without human help is not consistent with the rapid and recent expansion of the species. Hence, we argue that humans played an important role in expanding the distribution of the currently endangered species, and it needs to be accounted for when analyzing landscape genetics or in the development of conservation strategies.","author":[{"dropping-particle":"","family":"Lauterjung","given":"Miguel Busarello","non-dropping-particle":"","parse-names":false,"suffix":""},{"dropping-particle":"","family":"Bernardi","given":"Alison Paulo","non-dropping-particle":"","parse-names":false,"suffix":""},{"dropping-particle":"","family":"Montagna","given":"Tiago","non-dropping-particle":"","parse-names":false,"suffix":""},{"dropping-particle":"","family":"Candido-Ribeiro","given":"Rafael","non-dropping-particle":"","parse-names":false,"suffix":""},{"dropping-particle":"","family":"Costa","given":"Newton Clóvis Freitas","non-dropping-particle":"da","parse-names":false,"suffix":""},{"dropping-particle":"","family":"Mantovani","given":"Adelar","non-dropping-particle":"","parse-names":false,"suffix":""},{"dropping-particle":"","family":"Reis","given":"Maurício Sedrez","non-dropping-particle":"dos","parse-names":false,"suffix":""}],"container-title":"Tree Genetics &amp; Genomes","id":"ITEM-5","issue":"3","issued":{"date-parts":[["2018"]]},"note":"This is an interesting paper looking for genetic evidence of anthropogenic expansion of Aa. I don't agree with all of it, but there is still good, useful stuff within it. Particularly, it finds that there's very little differentiation between populations compared to within, and not really any isolation by distance. This (and other factors) suggests quite rapid expansion from an origin point.\n\nHowever, the proposal here is that the origin point was in the SE highlands, and I don't think that's likely to be right. My modelling suggests Aa could have been present more widely to the west (backed up by the 13ka core by Bertoldo et al 2014) so it's not unreasonable that Aa might have been able to spread across its whole range in the time allowed - it's much less far than the authors assume. Also, there's very little pollen evidence in much of this region - need to be careful about extrapolating to wider area. This does not, however, completely rule out these results - perhaps the spJ ~domesticated Aa or otherwise bottlenecked it in places where it was already suitable, or helped spread it faster than it would otherwise have gone (but it would, nonetheless, have spread there). To explore with past modelling, I think.","page":"36","title":"Phylogeography of Brazilian pine (Araucaria angustifolia): integrative evidence for pre-Columbian anthropogenic dispersal","type":"article-journal","volume":"14"},"uris":["http://www.mendeley.com/documents/?uuid=9809cb5b-ef0a-3553-8096-e722f9a8a6ca"]},{"id":"ITEM-6","itemData":{"DOI":"10.1055/s-2007-964974","ISBN":"1435-8603","ISSN":"14358603","PMID":"17401807","abstract":"The distribution of the genetic variation within and among natural populations of A. angustifolia growing in different regions in Brazil was assessed at microsatellite and AFLP markers. Both markers revealed high gene diversity (H = 0.65; A(R)=9.1 for microsatellites and H=0.27; P=77.8% for AFLPs), moderate overall differentiation (R-ST=0.13 for microsatellites and F-ST= 0-10 for AFLPs), but high divergence of the northernmost, geographically isolated population. In a Bayesian analysis, microsatellite data suggested population structure at two levels: at K= 2 and at K= 3 in agreement to the geographical distribution of populations. This result was confirmed by the UPGMA dendrogram based on microsatellite data (bootstrap support &gt; 95%). Non-hierarchical AMOVA revealed high variation among populations from different a posteriori defined geographical groups. The genetic distance between sample locations increased with geographical distance for microsatellites (r = 0.62; p = 0.003) and AFLPs (r= 0.32; p = 0.09). This pattern of population differentiation may be correlated with population history such as geographical isolation and postglacial colonization of highlands. implications of the population genetic structure for the conservation of genetic resources are discussed.","author":[{"dropping-particle":"","family":"Stefenon","given":"Valdir Marcos","non-dropping-particle":"","parse-names":false,"suffix":""},{"dropping-particle":"","family":"Gailing","given":"O.","non-dropping-particle":"","parse-names":false,"suffix":""},{"dropping-particle":"","family":"Finkeldey","given":"R.","non-dropping-particle":"","parse-names":false,"suffix":""}],"container-title":"Plant Biology","id":"ITEM-6","issue":"4","issued":{"date-parts":[["2007"]]},"note":"Analysis of genetic diversity of populations in SP, PR, SC and RS - the SP ones are very distinct, probably because of isolation by time (assuming dry and inhospitable LGM in the south)","page":"516-525","title":"Genetic structure of Araucaria angustifolia (Araucariaceae) populations in Brazil: Implications for the in situ conservation of genetic resources","type":"article-journal","volume":"9"},"uris":["http://www.mendeley.com/documents/?uuid=7b6ffc46-d567-4750-b762-53d240c0edab"]},{"id":"ITEM-7","itemData":{"DOI":"10.1111/j.1472-4642.2007.00389.x","ISSN":"13669516","abstract":"For decades, palynologists working in tropical South America are using the genus Podocarpus as a climate indicator although without referring to any modern data concerning its distribution and limiting factors. With the aim to characterize the modern and past distribution of the southern conifer Podocarpus in Brazil and to obtain new information on the distribution of the Atlantic rainforest during the Quaternary, we examined herbarium data to locate the populations of three Brazilian endemic Podocarpus species: P. sellowii , P. lambertii , and P. brasiliensis , and extracted DNA from fresh leaves from 26 populations. Our conclusions are drawn in the light of the combination of these three disciplines: botany, palynology, and genetics. We find that the modern distribution of endemic Podocarpus populations shows that they are widely dispersed in eastern Brazil, from north to south and reveals that the expansion of Podocarpus recorded in single Amazonian pollen records may have come from either western or eastern populations. Genetic analysis enabled us to delimit regional expansion: between 5 ° and 15 ° S grouping northern and central populations of P. sellowii expanded c. 16,000 years ago; between 15 ° and 23 ° S populations of either P. lambertii or sellowii expanded at different times since at least the last glaciation; and between 23 ° and 30 ° S, P. lambertii appeared during the recent expansion of the Araucaria forest. The combination of botany, pollen, and molecular analysis proved to be a rapid tool for inferring distribution borders for sparse populations and their regional evolution within tropical ecosystems. Today the refugia of rainforest communities we identified are crucial hotspots to allow the Atlantic forest to survive under unfavourable climatic conditions and, as such, offer the only possible opportunity for this type of forest to expand in the event of a future climate change.","author":[{"dropping-particle":"","family":"Ledru","given":"Marie-Pierre","non-dropping-particle":"","parse-names":false,"suffix":""},{"dropping-particle":"","family":"Salatino","given":"Maria Luisa Ferraz","non-dropping-particle":"","parse-names":false,"suffix":""},{"dropping-particle":"","family":"Ceccantini","given":"Gregorio","non-dropping-particle":"","parse-names":false,"suffix":""},{"dropping-particle":"","family":"Salatino","given":"Antonio","non-dropping-particle":"","parse-names":false,"suffix":""},{"dropping-particle":"","family":"Pinheiro","given":"Fabio","non-dropping-particle":"","parse-names":false,"suffix":""},{"dropping-particle":"","family":"Pintaud","given":"Jean-Christophe","non-dropping-particle":"","parse-names":false,"suffix":""}],"container-title":"Diversity and Distributions","id":"ITEM-7","issue":"6","issued":{"date-parts":[["2007","6","26"]]},"note":"Good points about the different species of Podocarpus and how their different climatic requirements challenge interpretations of genus-level pollen changes. Uses genetic information to split Podocarpus spp into clades that span different zones, including two which match those suggested elsewhere for Araucaria. Notes on ecology of Podocarpus, Podocarpus-containing pollen assemblages, and how context can permit the assignation of Podocarpus pollen to a particular species.","page":"761-771","title":"Regional assessment of the impact of climatic change on the distribution of a tropical conifer in the lowlands of South America","type":"article-journal","volume":"13"},"uris":["http://www.mendeley.com/documents/?uuid=9ad96c15-749d-3802-98a8-d6b0f1361035"]}],"mendeley":{"formattedCitation":"(Auler et al., 2002; de Sousa et al., 2020; Lauterjung et al., 2018; Ledru et al., 2007; Stefenon et al., 2019, 2008, 2007)","plainTextFormattedCitation":"(Auler et al., 2002; de Sousa et al., 2020; Lauterjung et al., 2018; Ledru et al., 2007; Stefenon et al., 2019, 2008, 2007)","previouslyFormattedCitation":"(Auler et al., 2002; de Sousa et al., 2020; Lauterjung et al., 2018; Ledru et al., 2007; Stefenon et al., 2019, 2008, 2007)"},"properties":{"noteIndex":0},"schema":"https://github.com/citation-style-language/schema/raw/master/csl-citation.json"}</w:instrText>
      </w:r>
      <w:r w:rsidR="00724AF3">
        <w:fldChar w:fldCharType="separate"/>
      </w:r>
      <w:r w:rsidR="005944BB" w:rsidRPr="005944BB">
        <w:rPr>
          <w:noProof/>
          <w:lang w:val="sv-SE"/>
        </w:rPr>
        <w:t>(Auler et al., 2002; de Sousa et al., 2020; Lauterjung et al., 2018; Ledru et al., 2007; Stefenon et al., 2019, 2008, 2007)</w:t>
      </w:r>
      <w:r w:rsidR="00724AF3">
        <w:fldChar w:fldCharType="end"/>
      </w:r>
      <w:r w:rsidR="00724AF3" w:rsidRPr="00A82061">
        <w:rPr>
          <w:i/>
          <w:iCs/>
          <w:lang w:val="sv-SE"/>
        </w:rPr>
        <w:t>.</w:t>
      </w:r>
      <w:r w:rsidR="00724AF3" w:rsidRPr="00A82061">
        <w:rPr>
          <w:lang w:val="sv-SE"/>
        </w:rPr>
        <w:t xml:space="preserve"> </w:t>
      </w:r>
      <w:r w:rsidR="00724AF3">
        <w:t xml:space="preserve">Direct evidence can also be observed in our synthesised </w:t>
      </w:r>
      <w:proofErr w:type="spellStart"/>
      <w:r w:rsidR="00724AF3">
        <w:t>palaeo</w:t>
      </w:r>
      <w:proofErr w:type="spellEnd"/>
      <w:r w:rsidR="00924780">
        <w:t>-</w:t>
      </w:r>
      <w:r w:rsidR="00724AF3">
        <w:t xml:space="preserve">proxy sites: a valley’s base sheltering more woody vegetation than its head during the Last Glacial </w:t>
      </w:r>
      <w:r w:rsidR="00724AF3">
        <w:fldChar w:fldCharType="begin" w:fldLock="1"/>
      </w:r>
      <w:r w:rsidR="00724AF3">
        <w:instrText>ADDIN CSL_CITATION {"citationItems":[{"id":"ITEM-1","itemData":{"DOI":"10.1016/j.catena.2019.104171","ISSN":"03418162","abstract":"The Quaternary dynamics of landscapes in the subtropical continental region of Brazil is not still well understood. Pedostratigraphic records of low-order paleovalleys (paleovalley heads and 1st- and 2nd-order paleovalleys) of the Palmas/Caçador summit surface serve as important resources for the identification of landscape component responses (relief, soil, sediment, and vegetation) of plateau areas of southern Brazil in the light of environmental changes driven by climatic variations of the Late Quaternary. We integrated litho-, pedo-, allo- and chronostratigraphic descriptions with carbon stable isotope analysis, phytoliths indices, and 14C and OSL dating. We found that at &gt;44.86 ky BP, there was a change in the hydrodynamics of 2nd-order perennial channels (humid climate) controlled possibly by tectonics. At ~28.35 to &lt;44.86 ky BP, there was a predominance of progressive pedogenesis (Johnson's Model) in wet and cold climates with minimal erosion and stable landscape components. At &gt;23.69 to ~28 ky BP, regressive pedogenesis in dry climate began with a predominance of erosion by overland flows. At &gt;2.60 to ~23.69 ky BP, full regressive pedogenesis occurred under a continuous climate regime of drier characteristics punctuated by millenary climatic fluctuations to a wetter regime of between ≤4.60 and 19.77 ky BP, echoing the results postulated by the Knox's model. During this period, the most pronounced modifications to the landscape were made with a change in vegetation from Campo Cerrado to Campo Limpo; with changes in erosion patterns caused first by overland flows and then earthflows/debris flows; and with the gradual silting (filling and burying) of gullies, valley heads and 1st and 2nd order valley bases. Since 2.60 ky BP the area returned to a predominance of progressive pedogenesis in wet and cold climates. Finally, we found that at the local scale, low-order basins (&lt;4th-order) quickly responded to climate changes and millenary fluctuations with changes in vegetation and changes in the course of pedogenesis and morphogenesis. These results suggest that the responses of low-order bases landscapes to regional climatic changes should be considered in the formulation of evolutionary models of subtropical landscapes.","author":[{"dropping-particle":"","family":"Paisani","given":"Julio Cesar","non-dropping-particle":"","parse-names":false,"suffix":""},{"dropping-particle":"","family":"Lopes-Paisani","given":"Sani Daniela","non-dropping-particle":"","parse-names":false,"suffix":""},{"dropping-particle":"","family":"Lima","given":"Solange","non-dropping-particle":"","parse-names":false,"suffix":""},{"dropping-particle":"","family":"Jesus Ribeiro","given":"Fabiano","non-dropping-particle":"de","parse-names":false,"suffix":""},{"dropping-particle":"","family":"Pontelli","given":"Marga Eliz","non-dropping-particle":"","parse-names":false,"suffix":""},{"dropping-particle":"","family":"Fujita","given":"Rafaela Harumi","non-dropping-particle":"","parse-names":false,"suffix":""}],"container-title":"Catena","id":"ITEM-1","issued":{"date-parts":[["2019","11"]]},"page":"104171","title":"Paleoenvironmental dynamics of low-order paleovalleys in the Late Quaternary – Palmas/Caçador Summit Surface – Southern Brazil","type":"article-journal","volume":"182"},"uris":["http://www.mendeley.com/documents/?uuid=f99abd56-3579-32be-a110-de83d41e5b8f"]}],"mendeley":{"formattedCitation":"(Paisani et al., 2019)","plainTextFormattedCitation":"(Paisani et al., 2019)","previouslyFormattedCitation":"(Paisani et al., 2019)"},"properties":{"noteIndex":0},"schema":"https://github.com/citation-style-language/schema/raw/master/csl-citation.json"}</w:instrText>
      </w:r>
      <w:r w:rsidR="00724AF3">
        <w:fldChar w:fldCharType="separate"/>
      </w:r>
      <w:r w:rsidR="00724AF3" w:rsidRPr="00D30FE4">
        <w:rPr>
          <w:noProof/>
        </w:rPr>
        <w:t>(Paisani et al., 2019)</w:t>
      </w:r>
      <w:r w:rsidR="00724AF3">
        <w:fldChar w:fldCharType="end"/>
      </w:r>
      <w:r w:rsidR="00724AF3">
        <w:t>; 7,500 years of forest and grassland respectively occupying opposi</w:t>
      </w:r>
      <w:r w:rsidR="003D7182">
        <w:t>ng</w:t>
      </w:r>
      <w:r w:rsidR="005B7C54">
        <w:t xml:space="preserve"> sheltered and exposed</w:t>
      </w:r>
      <w:r w:rsidR="003D7182">
        <w:t xml:space="preserve"> aspects of</w:t>
      </w:r>
      <w:r w:rsidR="00724AF3">
        <w:t xml:space="preserve"> valley slopes </w:t>
      </w:r>
      <w:r w:rsidR="00724AF3">
        <w:fldChar w:fldCharType="begin" w:fldLock="1"/>
      </w:r>
      <w:r w:rsidR="00724AF3">
        <w:instrText>ADDIN CSL_CITATION {"citationItems":[{"id":"ITEM-1","itemData":{"DOI":"10.1038/s41598-018-24429-5","ISSN":"2045-2322","abstract":"In the highlands of southern Brazil an anthropogenitcally driven expansion of forest occurred at the expense of grasslands between 1410 and 900 cal BP, coincident with a period of demographic and cultural change in the region. Previous studies have debated the relative contributions of increasing wetter and warmer climate conditions and human landscape modifications to forest expansion, but generally lacked high resoltiuon proxies to measure these effects, or have relied on single proxies to reconstruct both climate and vegetation. Here, we develop and test a model of natural ecosystem distribution against vegetation histories, paleoclimate proxies, and the archaeological record to distinguish human from temperature and precipitation impacts on the distribution and expansion of Araucaria forests during the late Holocene. Carbon isotopes from soil profiles confirm that in spite of climatic fluctuations, vegetation was stable and forests were spatially limited to south-facing slopes in the absence of human inputs. In contrast, forest management strategies for the past 1400 years expanded this economically important forest beyond its natural geographic boundaries in areas of dense pre-Columbian occupation, suggesting that landscape modifications were linked to demographic changes, the effects of which are still visible today.","author":[{"dropping-particle":"","family":"Robinson","given":"Mark","non-dropping-particle":"","parse-names":false,"suffix":""},{"dropping-particle":"","family":"Souza","given":"Jonas Gregorio","non-dropping-particle":"De","parse-names":false,"suffix":""},{"dropping-particle":"","family":"Maezumi","given":"S Yoshi","non-dropping-particle":"","parse-names":false,"suffix":""},{"dropping-particle":"","family":"Cárdenas","given":"Macarena","non-dropping-particle":"","parse-names":false,"suffix":""},{"dropping-particle":"","family":"Pessenda","given":"Luiz","non-dropping-particle":"","parse-names":false,"suffix":""},{"dropping-particle":"","family":"Prufer","given":"Keith","non-dropping-particle":"","parse-names":false,"suffix":""},{"dropping-particle":"","family":"Corteletti","given":"Rafael","non-dropping-particle":"","parse-names":false,"suffix":""},{"dropping-particle":"","family":"Scunderlick","given":"Deisi","non-dropping-particle":"","parse-names":false,"suffix":""},{"dropping-particle":"","family":"Mayle","given":"Francis Edward","non-dropping-particle":"","parse-names":false,"suffix":""},{"dropping-particle":"","family":"Blasis","given":"Paulo","non-dropping-particle":"De","parse-names":false,"suffix":""},{"dropping-particle":"","family":"Iriarte","given":"José","non-dropping-particle":"","parse-names":false,"suffix":""}],"container-title":"Scientific Reports","id":"ITEM-1","issue":"1","issued":{"date-parts":[["2018","12","17"]]},"page":"7800","title":"Uncoupling human and climate drivers of late Holocene vegetation change in southern Brazil","type":"article-journal","volume":"8"},"uris":["http://www.mendeley.com/documents/?uuid=31596bfb-9a43-43e4-a359-a0d4859f2499"]}],"mendeley":{"formattedCitation":"(Robinson et al., 2018)","plainTextFormattedCitation":"(Robinson et al., 2018)","previouslyFormattedCitation":"(Robinson et al., 2018)"},"properties":{"noteIndex":0},"schema":"https://github.com/citation-style-language/schema/raw/master/csl-citation.json"}</w:instrText>
      </w:r>
      <w:r w:rsidR="00724AF3">
        <w:fldChar w:fldCharType="separate"/>
      </w:r>
      <w:r w:rsidR="00724AF3" w:rsidRPr="00B62C63">
        <w:rPr>
          <w:noProof/>
        </w:rPr>
        <w:t>(Robinson et al., 2018)</w:t>
      </w:r>
      <w:r w:rsidR="00724AF3">
        <w:fldChar w:fldCharType="end"/>
      </w:r>
      <w:r w:rsidR="00724AF3">
        <w:t xml:space="preserve">; and 15,000 years of continuous forest pollen in </w:t>
      </w:r>
      <w:proofErr w:type="spellStart"/>
      <w:r w:rsidR="00724AF3">
        <w:t>Buriti’s</w:t>
      </w:r>
      <w:proofErr w:type="spellEnd"/>
      <w:r w:rsidR="00724AF3">
        <w:t xml:space="preserve"> topographic depression, while surrounding soil profiles show grasslands </w:t>
      </w:r>
      <w:r w:rsidR="00724AF3">
        <w:fldChar w:fldCharType="begin" w:fldLock="1"/>
      </w:r>
      <w:r w:rsidR="00724AF3">
        <w:instrText>ADDIN CSL_CITATION {"citationItems":[{"id":"ITEM-1","itemData":{"abstract":"Among the forest formations of southern and southeastern of Brazil, the Araucaria Pine Forest is considered one of the most sensitive to climatic variations. Several paleoenvironmental studies try to identify the time at which this type of forest was established in southern Brazil. This paper aims to present the Araucaria Pine Forest records in southwestern and southern Paraná State, from palynological and geochronological data. This study was developed in the State Conservation Unit, Área de Relevante Interesse Ecológico do Buriti, PatoBranco, Paraná State. Frompollen analysis, the presence of 37 taxa was recorded.The record of Araucaria is at least 13,400 years BP (est.), one of the oldest records ever found in the state of Paraná. The expansion of Araucaria and Podocarpus around 4,210 years BP indicates that the climate was cooler and wetter, with well distributed rainfall. RESUMO -(Registro de Floresta Ombrófila Mista nas regiões sudoeste e sul do do Estado do Paraná, Brasil, durante o Pleistoceno/Holoceno). Dentre as formações florestais do sul e sudeste do Brasil, a Floresta Ombrófila Mista é considerada uma das mais sensíveis às variações climáticas. Vários estudos paleoambientais buscam identificar em que época esse tipo de floresta se estabeleceu no sul do Brasil. Este artigo tem como objetivo apresentar o registro da Floresta Ombrófila Mista na região sudoeste e sul do Estado do Paraná, a partir de dados palinológicos e geocronológicos. Este estudo foi desenvolvido na Unidade de Conservação Estadual Área de Relevante Interesse Ecológico do Buriti, município de Pato Branco, PR, Brasil. Na análise palinológica foi registrado a presença de 37 táxons, sendo que, o registro de Araucaria é de pelo menos 13.400 anos AP 14C (est.), portanto, um dos registros mais antigos já encontrados no Estado do Paraná. A expansão de Araucaria e Podocarpus em torno de 4.210 anos A.P. indica que o clima era mais frio e mais úmido, com chuvas bem distribuídas. Palavras-chave: Araucária, palinomorfos, Quaternário","author":[{"dropping-particle":"","family":"Bertoldo","given":"Édson","non-dropping-particle":"","parse-names":false,"suffix":""},{"dropping-particle":"","family":"Paisani","given":"Julio Cesar","non-dropping-particle":"","parse-names":false,"suffix":""},{"dropping-particle":"de","family":"Oliveira","given":"Paulo Eduardo","non-dropping-particle":"","parse-names":false,"suffix":""}],"container-title":"Hoehnea","id":"ITEM-1","issue":"41","issued":{"date-parts":[["2014"]]},"note":"TerIv &amp;amp; TrinR","page":"1-8","title":"Registro de Floresta Ombrófila Mista nas regiões sudoeste e sul do Estado do Paraná, Brasil, durante o Pleistoceno / Holoceno","type":"article-journal","volume":"1"},"uris":["http://www.mendeley.com/documents/?uuid=f407c3cf-8834-34a5-b98f-97ade6f251ac"]}],"mendeley":{"formattedCitation":"(Bertoldo et al., 2014)","plainTextFormattedCitation":"(Bertoldo et al., 2014)","previouslyFormattedCitation":"(Bertoldo et al., 2014)"},"properties":{"noteIndex":0},"schema":"https://github.com/citation-style-language/schema/raw/master/csl-citation.json"}</w:instrText>
      </w:r>
      <w:r w:rsidR="00724AF3">
        <w:fldChar w:fldCharType="separate"/>
      </w:r>
      <w:r w:rsidR="00724AF3" w:rsidRPr="007F6723">
        <w:rPr>
          <w:noProof/>
        </w:rPr>
        <w:t>(Bertoldo et al., 2014)</w:t>
      </w:r>
      <w:r w:rsidR="00724AF3">
        <w:fldChar w:fldCharType="end"/>
      </w:r>
      <w:r w:rsidR="00724AF3">
        <w:t xml:space="preserve">. The buffering effect of small-scale topography (beyond our climate data’s spatial resolution) may also have permitted species to persist in apparently unsuitable areas – </w:t>
      </w:r>
      <w:proofErr w:type="spellStart"/>
      <w:r w:rsidR="00724AF3">
        <w:t>Buriti</w:t>
      </w:r>
      <w:proofErr w:type="spellEnd"/>
      <w:r w:rsidR="00724AF3">
        <w:t xml:space="preserve"> records </w:t>
      </w:r>
      <w:r w:rsidR="00724AF3">
        <w:rPr>
          <w:i/>
          <w:iCs/>
        </w:rPr>
        <w:t xml:space="preserve">Araucaria angustifolia </w:t>
      </w:r>
      <w:r w:rsidR="00724AF3">
        <w:t>pollen 15,000 years ago, for instance, when our SDMs suggest it should have been absent (though this could also be because each sediment subsample covers a longer period than our palaeoclimate time slices). Refugia such as these will have played important roles in AMF’s late-Holocene expansion</w:t>
      </w:r>
      <w:r w:rsidR="00724AF3" w:rsidRPr="006341E3">
        <w:t xml:space="preserve"> </w:t>
      </w:r>
      <w:r w:rsidR="00724AF3">
        <w:t>across the plateau</w:t>
      </w:r>
      <w:r w:rsidR="00246575">
        <w:t xml:space="preserve">, </w:t>
      </w:r>
      <w:r w:rsidR="002F3E8C">
        <w:t xml:space="preserve">and </w:t>
      </w:r>
      <w:r w:rsidR="00246575">
        <w:t xml:space="preserve">explain </w:t>
      </w:r>
      <w:r w:rsidR="002E3D46">
        <w:t xml:space="preserve">the development of </w:t>
      </w:r>
      <w:r w:rsidR="001C3F84">
        <w:rPr>
          <w:i/>
          <w:iCs/>
        </w:rPr>
        <w:t xml:space="preserve">A. angustifolia’s </w:t>
      </w:r>
      <w:r w:rsidR="001C3F84">
        <w:t xml:space="preserve">western populations </w:t>
      </w:r>
      <w:r w:rsidR="009A43BC">
        <w:t xml:space="preserve">more parsimoniously </w:t>
      </w:r>
      <w:r w:rsidR="001C3F84">
        <w:t>than</w:t>
      </w:r>
      <w:r w:rsidR="00273768">
        <w:t xml:space="preserve"> long-distance </w:t>
      </w:r>
      <w:r w:rsidR="002F3E8C">
        <w:t xml:space="preserve">human-mediated </w:t>
      </w:r>
      <w:r w:rsidR="00273768">
        <w:t>dispersal in the late Holocene</w:t>
      </w:r>
      <w:r w:rsidR="001C3F84">
        <w:t xml:space="preserve"> </w:t>
      </w:r>
      <w:r w:rsidR="002F3E8C">
        <w:fldChar w:fldCharType="begin" w:fldLock="1"/>
      </w:r>
      <w:r w:rsidR="00FA46CE">
        <w:instrText>ADDIN CSL_CITATION {"citationItems":[{"id":"ITEM-1","itemData":{"DOI":"10.1007/s11295-018-1250-4","ISSN":"1614-2942","abstract":"Phylogeographic studies allow us to better understand the past history of species and the factors that mold their current distri-bution. Here, we demonstrate the potential human impact on the distribution of a tree species. In particular, it was hypothesized that Araucaria angustifolia, an endangered South American conifer, was dispersed from its Pleistocene glacial refugium to its maximum occurrence distribution (MOD), mainly by pre-Columbian human groups (ca 2000 years ago). In order to test this hypothesis, we sampled 20 A. angustifolia populations in southern Brazil. Our analysis consisted of an integrative phylogeo-graphic approach, supported by ecological aspects of the species. Therefore, we constructed the species chloroplast haplotype network, tested for possible neutrality deviations, genetic divergence, association between genetic and geographic distances, and simulated the amount of time that the species required to reach its MOD without human help. The species showed clear signs of rapid and recent expansion from a single refugium. The haplotype network had a star-like shape. Populations and the species showed negative values for the neutrality tests and low divergence values among populations (F ST = 0.041) not associated with geographic distance. The estimated dispersal time required for the species to reach its MOD from its putative refugium without human help is not consistent with the rapid and recent expansion of the species. Hence, we argue that humans played an important role in expanding the distribution of the currently endangered species, and it needs to be accounted for when analyzing landscape genetics or in the development of conservation strategies.","author":[{"dropping-particle":"","family":"Lauterjung","given":"Miguel Busarello","non-dropping-particle":"","parse-names":false,"suffix":""},{"dropping-particle":"","family":"Bernardi","given":"Alison Paulo","non-dropping-particle":"","parse-names":false,"suffix":""},{"dropping-particle":"","family":"Montagna","given":"Tiago","non-dropping-particle":"","parse-names":false,"suffix":""},{"dropping-particle":"","family":"Candido-Ribeiro","given":"Rafael","non-dropping-particle":"","parse-names":false,"suffix":""},{"dropping-particle":"","family":"Costa","given":"Newton Clóvis Freitas","non-dropping-particle":"da","parse-names":false,"suffix":""},{"dropping-particle":"","family":"Mantovani","given":"Adelar","non-dropping-particle":"","parse-names":false,"suffix":""},{"dropping-particle":"","family":"Reis","given":"Maurício Sedrez","non-dropping-particle":"dos","parse-names":false,"suffix":""}],"container-title":"Tree Genetics &amp; Genomes","id":"ITEM-1","issue":"3","issued":{"date-parts":[["2018"]]},"note":"This is an interesting paper looking for genetic evidence of anthropogenic expansion of Aa. I don't agree with all of it, but there is still good, useful stuff within it. Particularly, it finds that there's very little differentiation between populations compared to within, and not really any isolation by distance. This (and other factors) suggests quite rapid expansion from an origin point.\n\nHowever, the proposal here is that the origin point was in the SE highlands, and I don't think that's likely to be right. My modelling suggests Aa could have been present more widely to the west (backed up by the 13ka core by Bertoldo et al 2014) so it's not unreasonable that Aa might have been able to spread across its whole range in the time allowed - it's much less far than the authors assume. Also, there's very little pollen evidence in much of this region - need to be careful about extrapolating to wider area. This does not, however, completely rule out these results - perhaps the spJ ~domesticated Aa or otherwise bottlenecked it in places where it was already suitable, or helped spread it faster than it would otherwise have gone (but it would, nonetheless, have spread there). To explore with past modelling, I think.","page":"36","title":"Phylogeography of Brazilian pine (Araucaria angustifolia): integrative evidence for pre-Columbian anthropogenic dispersal","type":"article-journal","volume":"14"},"prefix":"cf.","uris":["http://www.mendeley.com/documents/?uuid=9809cb5b-ef0a-3553-8096-e722f9a8a6ca"]}],"mendeley":{"formattedCitation":"(cf. Lauterjung et al., 2018)","plainTextFormattedCitation":"(cf. Lauterjung et al., 2018)","previouslyFormattedCitation":"(cf. Lauterjung et al., 2018)"},"properties":{"noteIndex":0},"schema":"https://github.com/citation-style-language/schema/raw/master/csl-citation.json"}</w:instrText>
      </w:r>
      <w:r w:rsidR="002F3E8C">
        <w:fldChar w:fldCharType="separate"/>
      </w:r>
      <w:r w:rsidR="00FA46CE" w:rsidRPr="00FA46CE">
        <w:rPr>
          <w:noProof/>
        </w:rPr>
        <w:t>(cf. Lauterjung et al., 2018)</w:t>
      </w:r>
      <w:r w:rsidR="002F3E8C">
        <w:fldChar w:fldCharType="end"/>
      </w:r>
      <w:r w:rsidR="00724AF3">
        <w:t xml:space="preserve">. </w:t>
      </w:r>
    </w:p>
    <w:p w14:paraId="6D227A37" w14:textId="051A95DA" w:rsidR="00724AF3" w:rsidRDefault="009A43BC" w:rsidP="00F74804">
      <w:pPr>
        <w:spacing w:line="360" w:lineRule="auto"/>
      </w:pPr>
      <w:r>
        <w:t>Compared to the plateau, i</w:t>
      </w:r>
      <w:r w:rsidR="00724AF3">
        <w:t xml:space="preserve">nferring past vegetation physiognomies from meso-scale SDM predictions and finer-scale topographic data is much more difficult </w:t>
      </w:r>
      <w:r w:rsidR="00CA3054">
        <w:t>for</w:t>
      </w:r>
      <w:r w:rsidR="00724AF3">
        <w:t xml:space="preserve"> the coastal lowlands, </w:t>
      </w:r>
      <w:r w:rsidR="00C61E45">
        <w:t>wh</w:t>
      </w:r>
      <w:r w:rsidR="00FA46CE">
        <w:t>er</w:t>
      </w:r>
      <w:r w:rsidR="00C61E45">
        <w:t>e</w:t>
      </w:r>
      <w:r w:rsidR="00724AF3">
        <w:t xml:space="preserve"> </w:t>
      </w:r>
      <w:r w:rsidR="00B95AAE">
        <w:t xml:space="preserve">detailed </w:t>
      </w:r>
      <w:proofErr w:type="spellStart"/>
      <w:r w:rsidR="00724AF3">
        <w:t>palaeo</w:t>
      </w:r>
      <w:proofErr w:type="spellEnd"/>
      <w:r w:rsidR="00724AF3">
        <w:t>-topography is poorly known</w:t>
      </w:r>
      <w:r w:rsidR="00CA3054">
        <w:t>, due to submerged LGM coastlines</w:t>
      </w:r>
      <w:r w:rsidR="00724AF3">
        <w:t xml:space="preserve">. The prevalence of grassland pollen (and the near-absence of tropical forest pollen) in coastal proxy sites between the LGM and early Holocene has led some to suggest that grasslands replaced Atlantic Rainforest wholesale, with tropical tree species’ southern limits found several hundred kilometres further north than at present </w:t>
      </w:r>
      <w:r w:rsidR="00724AF3">
        <w:fldChar w:fldCharType="begin" w:fldLock="1"/>
      </w:r>
      <w:r w:rsidR="007F330C">
        <w:instrText>ADDIN CSL_CITATION {"citationItems":[{"id":"ITEM-1","itemData":{"DOI":"10.1006/qres.2001.2264","ISBN":"0033-5894","ISSN":"0033-5894","abstract":"Palynological analysis of a core from the Atlantic rain forest region in Brazil provides unprecedented insight into late Quaternary vegetational and climate dynamics within this southern tropical lowland. The 576-cm-long sediment core is from a former beach-ridge “valley,” located 3 km inland from the Atlantic Ocean. Radio-carbon dates suggest that sediment deposition began prior to 35,000 14 C yr B.P. Between ca. 37,500 and ca. 27,500 14 C yr B.P. and during the last glacial maximum (LGM; ca. 27,500 to ca. 14,500 14 C yr B.P.), the coastal rain forest was replaced by grassland and patches of cold-adapted forest. Tropical trees, such as Alchornea , Moraceae/Urticaceae, and Arecaceae, were almost completely absent during the LGM. Furthermore, their distributions were shifted at least 750 km further north, suggesting a cooling between 3°C and 7°C and a strengthening of Antarctic cold fronts during full-glacial times. A depauperate tropical rain forest developed as part of a successional sequence after ca. 12,300 14 C yr B.P. There is no evidence that Araucaria trees occurred in the Atlantic lowland during glacial times. The rain forest was disturbed by marine incursions during the early Holocene period until ca. 6100 14 C yr B.P., as indicated by the presence of microforaminifera. A closed Atlantic rain forest then developed at the study site.","author":[{"dropping-particle":"","family":"Behling","given":"Hermann","non-dropping-particle":"","parse-names":false,"suffix":""},{"dropping-particle":"","family":"Negrelle","given":"Raquel R B","non-dropping-particle":"","parse-names":false,"suffix":""}],"container-title":"Quaternary Research","id":"ITEM-1","issue":"03","issued":{"date-parts":[["2001"]]},"note":"VolVe\n\nLong (maybe 35k yr) pollen record from right near the coast at northern SC. Shows campos in LGM and some cool-adapted forest, with expansion of DOF happening thereafter. By mid-Holocene there was open DOF (probably because of sea level changes), becoming denser and more complete as the Holocene continued. No Aa really evident here","page":"383-389","title":"Tropical Rain Forest and Climate Dynamics of the Atlantic Lowland, Southern Brazil, during the Late Quaternary","type":"article-journal","volume":"56"},"uris":["http://www.mendeley.com/documents/?uuid=194994b8-7557-330b-b558-b9b4860ef411"]},{"id":"ITEM-2","itemData":{"author":[{"dropping-particle":"","family":"Bauermann","given":"Soraia Girardi","non-dropping-particle":"","parse-names":false,"suffix":""}],"id":"ITEM-2","issued":{"date-parts":[["2003"]]},"note":"AgCla &amp;amp; Barro","number-of-pages":"137","publisher":"Universidade Federal do Rio Grande do Sul","title":"Analises palinologicas e evolucao paleovegetacional e paleoambiental das turfeiras de Barrocadas e Águas Claras, Planicie Costeira do Rio Grande do Sul, Brasil","type":"thesis"},"uris":["http://www.mendeley.com/documents/?uuid=57d91572-bb73-4927-9ac3-f05403cba750"]},{"id":"ITEM-3","itemData":{"DOI":"10.1016/S0031-0182(01)00349-2","ISBN":"0031-0182","ISSN":"00310182","abstract":"Fourteen pollen records from the south (S) and the southeast (SE) Brazilian regions have been synthesised. Late Glacial records from S Brazilian highlands document the predominance of grassland (campos) where today Araucaria forests occur. Records from SE Brazil show that during pre- and full-glacial times modern tropical semideciduous forest and cerrado (savanna to dry forest) were mostly replaced by grassland and some subtropical gallery forest. Modern montane Araucaria forests and cloud forests in SE Brazil were mostly replaced by grassland during pre- and full-glacial times. There is evidence that the modern tropical Atlantic rainforest in S Brazil was significantly reduced and replaced by cold-adapted forest taxa or grassland during glacial, especially during full-glacial times. The synthesis indicates that grasslands dominated the S and SE Brazilian landscape during the Late Pleistocene where today different forest ecosystems exist. Grassland extended over 750 km from S to SE Brazil from latitudes of about 28??/27?? S to at least 20?? S. These results indicate that climates in the region were markedly drier and 5-7??C cooler during glacial times. Antarctic cold fronts must have been much stronger and more frequent than today. Studies from S Brazil show that huge areas of Late Pleistocene campos vegetation were still found on the S Brazilian highlands during early and mid Holocene times, reflecting dry climatic conditions with an annual dry period of probably 3 months. Modern wet climatic conditions with no or only short dry periods were not established until the Late Holocene period when Araucaria forests replaced large areas of grassland vegetation after about 3000 14C yr B.P. and especially after 1500/1000 14C yr B.P. ?? 2002 Elsevier Science B.V. All rights reserved.","author":[{"dropping-particle":"","family":"Behling","given":"Hermann","non-dropping-particle":"","parse-names":false,"suffix":""}],"container-title":"Palaeogeography, Palaeoclimatology, Palaeoecology","id":"ITEM-3","issue":"1-2","issued":{"date-parts":[["2002"]]},"note":"A review looking at campos in southern and southeastern Brazil from the Pleistocene to the present. No new palaeoecological information presented but does emphasise the significance of campos in its own right, which is not to be missed.","page":"19-27","title":"South and southeast Brazilian grasslands during Late Quaternary times: A synthesis","type":"article-journal","volume":"177"},"uris":["http://www.mendeley.com/documents/?uuid=2967f0bb-154d-3dad-a00f-9d52d3c3ed4b"]}],"mendeley":{"formattedCitation":"(Bauermann, 2003; Behling, 2002; Behling and Negrelle, 2001)","plainTextFormattedCitation":"(Bauermann, 2003; Behling, 2002; Behling and Negrelle, 2001)","previouslyFormattedCitation":"(Bauermann, 2003; Behling, 2002; Behling and Negrelle, 2001)"},"properties":{"noteIndex":0},"schema":"https://github.com/citation-style-language/schema/raw/master/csl-citation.json"}</w:instrText>
      </w:r>
      <w:r w:rsidR="00724AF3">
        <w:fldChar w:fldCharType="separate"/>
      </w:r>
      <w:r w:rsidR="005944BB" w:rsidRPr="005944BB">
        <w:rPr>
          <w:noProof/>
        </w:rPr>
        <w:t>(Bauermann, 2003; Behling, 2002; Behling and Negrelle, 2001)</w:t>
      </w:r>
      <w:r w:rsidR="00724AF3">
        <w:fldChar w:fldCharType="end"/>
      </w:r>
      <w:r w:rsidR="00724AF3">
        <w:t xml:space="preserve"> – </w:t>
      </w:r>
      <w:r w:rsidR="00861B36">
        <w:t>a</w:t>
      </w:r>
      <w:r w:rsidR="00E4085B">
        <w:t xml:space="preserve"> Pleistocene</w:t>
      </w:r>
      <w:r w:rsidR="00724AF3">
        <w:t xml:space="preserve"> ‘Forest Refuge Hypothesis’ supported by early </w:t>
      </w:r>
      <w:proofErr w:type="spellStart"/>
      <w:r w:rsidR="00724AF3">
        <w:t>palaeo</w:t>
      </w:r>
      <w:proofErr w:type="spellEnd"/>
      <w:r w:rsidR="00724AF3">
        <w:t xml:space="preserve">-distribution modelling </w:t>
      </w:r>
      <w:r w:rsidR="00724AF3">
        <w:fldChar w:fldCharType="begin" w:fldLock="1"/>
      </w:r>
      <w:r w:rsidR="007F330C">
        <w:instrText>ADDIN CSL_CITATION {"citationItems":[{"id":"ITEM-1","itemData":{"DOI":"10.1111/j.1365-2699.2007.01870.x","ISBN":"268","ISSN":"03050270","PMID":"3173025","abstract":"Aim We aim to propose validated, spatially explicit hypotheses for the late Quaternary distribution of the Brazilian Atlantic forest, and thereby provide a framework for integrating analyses of species and genetic diversity in the region. Location The Atlantic forest, stretching along the Brazilian coast. Methods We model the spatial range of the forest under three climatic scenarios (current climate, 6000 and 21,000 years ago) with BIOCLIM and MAXENT. Historically stable areas or refugia are identified as the set of grid cells for which forest presence is inferred in all models and time projections. To validate inferred refugia, we test whether our models are matched by the current distribution of the forest and by fossil pollen data. We then investigate whether the location of inferred forest refugia is consistent with current patterns of species endemism and existing phylogeographical data. Results Forest models agree with pollen records and predict a large area of historical forest stability in the central corridor (Bahia), as well as a smaller refuge (Pernambuco) along the Brazilian coast, matching current centres of endemism in multiple taxa and mtDNA diversity patterns in a subset of the species examined. Less historical stability is predicted in coastal areas south of the Doce river, which agrees with most phylogeographical studies in that region. Yet some widely distributed taxa show high endemism in the southern Atlantic forest. This may be due to limitations of the modelling approach, differences in ecology and dispersal capability, historical processes not contemplated by the current study or inadequacy of the available test data sets. Main conclusions Palaeoclimatic models predict the presence of historical forest refugia in the Atlantic rain forest and suggest spatial variation in persistence of forests through the Pleistocene, predicting patterns of biodiversity in several local taxa. The results point to the need for further studies to document genetic and species endemism in the relatively poorly known and highly impacted areas of Atlantic rain forests of north-eastern Brazil.","author":[{"dropping-particle":"","family":"Carnaval","given":"Ana Carolina","non-dropping-particle":"","parse-names":false,"suffix":""},{"dropping-particle":"","family":"Moritz","given":"Craig","non-dropping-particle":"","parse-names":false,"suffix":""}],"container-title":"Journal of Biogeography","id":"ITEM-1","issue":"7","issued":{"date-parts":[["2008"]]},"note":"Interesting, possibly seminal, paper using maxent and bioclim to model vegetation types in the LGM and mid-Holocene, contrasted against pollen data. For some reason the CdS and Volta Velha pollen records aren't used for the LGM, which is unfortunate. Some possible testable hypotheses for me (influence of topographic complexity, and whether the forests really did contract in S Brazil in the LGM). Genetic data back up predictions of long-term refugia in Bahia and further north","page":"1187-1201","title":"Historical climate modelling predicts patterns of current biodiversity in the Brazilian Atlantic forest","type":"article-journal","volume":"35"},"uris":["http://www.mendeley.com/documents/?uuid=17f3caaa-fbbe-49a0-b934-05839e4d1114"]}],"mendeley":{"formattedCitation":"(Carnaval and Moritz, 2008)","plainTextFormattedCitation":"(Carnaval and Moritz, 2008)","previouslyFormattedCitation":"(Carnaval and Moritz, 2008)"},"properties":{"noteIndex":0},"schema":"https://github.com/citation-style-language/schema/raw/master/csl-citation.json"}</w:instrText>
      </w:r>
      <w:r w:rsidR="00724AF3">
        <w:fldChar w:fldCharType="separate"/>
      </w:r>
      <w:r w:rsidR="005944BB" w:rsidRPr="005944BB">
        <w:rPr>
          <w:noProof/>
        </w:rPr>
        <w:t>(Carnaval and Moritz, 2008)</w:t>
      </w:r>
      <w:r w:rsidR="00724AF3">
        <w:fldChar w:fldCharType="end"/>
      </w:r>
      <w:r w:rsidR="00724AF3">
        <w:t>. However, a subsequent ‘Atlantis Forest Hypothesis’ argue</w:t>
      </w:r>
      <w:r w:rsidR="00CF2873">
        <w:t>s</w:t>
      </w:r>
      <w:r w:rsidR="00724AF3">
        <w:t xml:space="preserve"> that continental shelf </w:t>
      </w:r>
      <w:r w:rsidR="00CF2873">
        <w:t>exposed by</w:t>
      </w:r>
      <w:r w:rsidR="00B40F36">
        <w:t xml:space="preserve"> lower LGM sea-level</w:t>
      </w:r>
      <w:r w:rsidR="00CF2873">
        <w:t>s</w:t>
      </w:r>
      <w:r w:rsidR="00B40F36">
        <w:t xml:space="preserve"> </w:t>
      </w:r>
      <w:r w:rsidR="00724AF3">
        <w:t xml:space="preserve">could have supported large areas of forest </w:t>
      </w:r>
      <w:r w:rsidR="00724AF3">
        <w:fldChar w:fldCharType="begin" w:fldLock="1"/>
      </w:r>
      <w:r w:rsidR="00724AF3">
        <w:instrText>ADDIN CSL_CITATION {"citationItems":[{"id":"ITEM-1","itemData":{"DOI":"10.1073/pnas.1513062113","ISBN":"1215421109","ISSN":"0027-8424","PMID":"26755597","abstract":"The forest refuge hypothesis (FRH) has long been a paradigm for explaining the extreme biological diversity of tropical forests. According to this hypothesis, forest retraction and fragmentation during glacial periods would have promoted reproductive isolation and consequently speciation in forest patches (ecological refuges) surrounded by open habitats. The recent use of paleoclimatic models of species and habitat distributions revitalized the FRH, not by considering refuges as the main drivers of allopatric speciation, but instead by suggesting that high contemporary diversity is associated with historically stable forest areas. However, the role of the emerged continental shelf on the Atlantic Forest biodiversity hotspot of eastern South America during glacial periods has been ignored in the literature. Here, we combined results of species distribution models with coalescent simulations based on DNA sequences to explore the congruence between scenarios of forest dynamics through time and the genetic structure of mammal species cooccurring in the central region of the Atlantic Forest. Contrary to the FRH predictions, we found more fragmentation of suitable habitats during the last interglacial (LIG) and the present than in the last glacial maximum (LGM), probably due to topography. We also detected expansion of suitable climatic conditions onto the emerged continental shelf during the LGM, which would have allowed forests and forest-adapted species to expand. The interplay of sea level and land distribution must have been crucial in the biogeographic history of the Atlantic Forest, and forest refuges played only a minor role, if any, in this biodiversity hotspot during glacial periods.","author":[{"dropping-particle":"","family":"Leite","given":"Yuri L R","non-dropping-particle":"","parse-names":false,"suffix":""},{"dropping-particle":"","family":"Costa","given":"Leonora P","non-dropping-particle":"","parse-names":false,"suffix":""},{"dropping-particle":"","family":"Loss","given":"Ana Carolina","non-dropping-particle":"","parse-names":false,"suffix":""},{"dropping-particle":"","family":"Rocha","given":"Rita G","non-dropping-particle":"","parse-names":false,"suffix":""},{"dropping-particle":"","family":"Batalha-Filho","given":"Henrique","non-dropping-particle":"","parse-names":false,"suffix":""},{"dropping-particle":"","family":"Bastos","given":"Alex C","non-dropping-particle":"","parse-names":false,"suffix":""},{"dropping-particle":"","family":"Quaresma","given":"Valéria S","non-dropping-particle":"","parse-names":false,"suffix":""},{"dropping-particle":"","family":"Fagundes","given":"Valéria","non-dropping-particle":"","parse-names":false,"suffix":""},{"dropping-particle":"","family":"Paresque","given":"Roberta","non-dropping-particle":"","parse-names":false,"suffix":""},{"dropping-particle":"","family":"Passamani","given":"Marcelo","non-dropping-particle":"","parse-names":false,"suffix":""},{"dropping-particle":"","family":"Pardini","given":"Renata","non-dropping-particle":"","parse-names":false,"suffix":""}],"container-title":"Proceedings of the National Academy of Sciences","id":"ITEM-1","issue":"4","issued":{"date-parts":[["2016","1","26"]]},"note":"Interesting paper that uses the lower sea level during the LGM to suggest that DOF wasn't so pinched up at the time, so the forest refuge hypothesis isn't necessary as an explanation of its diversity. Would be interesting to do the same kind of analysis with MOF because it almost certainly would show the importance of refugia in the highlands.\nAlso coins the phrase 'Atlantis forest hypothesis', which is great","page":"1008-1013","publisher":"National Academy of Sciences","title":"Neotropical forest expansion during the last glacial period challenges refuge hypothesis","type":"article-journal","volume":"113"},"uris":["http://www.mendeley.com/documents/?uuid=2cbb9301-60b0-3ec5-b352-d5533b886b37"]}],"mendeley":{"formattedCitation":"(Leite et al., 2016)","plainTextFormattedCitation":"(Leite et al., 2016)","previouslyFormattedCitation":"(Leite et al., 2016)"},"properties":{"noteIndex":0},"schema":"https://github.com/citation-style-language/schema/raw/master/csl-citation.json"}</w:instrText>
      </w:r>
      <w:r w:rsidR="00724AF3">
        <w:fldChar w:fldCharType="separate"/>
      </w:r>
      <w:r w:rsidR="00724AF3" w:rsidRPr="00373933">
        <w:rPr>
          <w:noProof/>
        </w:rPr>
        <w:t>(Leite et al., 2016)</w:t>
      </w:r>
      <w:r w:rsidR="00724AF3">
        <w:fldChar w:fldCharType="end"/>
      </w:r>
      <w:r w:rsidR="00724AF3">
        <w:t xml:space="preserve">. Our modelling and </w:t>
      </w:r>
      <w:proofErr w:type="spellStart"/>
      <w:r w:rsidR="00724AF3">
        <w:t>palaeo</w:t>
      </w:r>
      <w:proofErr w:type="spellEnd"/>
      <w:r w:rsidR="00982554">
        <w:t>-</w:t>
      </w:r>
      <w:r w:rsidR="00724AF3">
        <w:t>data synthesis support a</w:t>
      </w:r>
      <w:r w:rsidR="00E4085B">
        <w:t>n intermediate scenario</w:t>
      </w:r>
      <w:r w:rsidR="00724AF3">
        <w:t xml:space="preserve"> of subtropical forest patches in a matrix of cold-adapted grassland/Campos </w:t>
      </w:r>
      <w:r w:rsidR="00724AF3">
        <w:fldChar w:fldCharType="begin" w:fldLock="1"/>
      </w:r>
      <w:r w:rsidR="007F330C">
        <w:instrText>ADDIN CSL_CITATION {"citationItems":[{"id":"ITEM-1","itemData":{"DOI":"10.1006/qres.2001.2264","ISBN":"0033-5894","ISSN":"0033-5894","abstract":"Palynological analysis of a core from the Atlantic rain forest region in Brazil provides unprecedented insight into late Quaternary vegetational and climate dynamics within this southern tropical lowland. The 576-cm-long sediment core is from a former beach-ridge “valley,” located 3 km inland from the Atlantic Ocean. Radio-carbon dates suggest that sediment deposition began prior to 35,000 14 C yr B.P. Between ca. 37,500 and ca. 27,500 14 C yr B.P. and during the last glacial maximum (LGM; ca. 27,500 to ca. 14,500 14 C yr B.P.), the coastal rain forest was replaced by grassland and patches of cold-adapted forest. Tropical trees, such as Alchornea , Moraceae/Urticaceae, and Arecaceae, were almost completely absent during the LGM. Furthermore, their distributions were shifted at least 750 km further north, suggesting a cooling between 3°C and 7°C and a strengthening of Antarctic cold fronts during full-glacial times. A depauperate tropical rain forest developed as part of a successional sequence after ca. 12,300 14 C yr B.P. There is no evidence that Araucaria trees occurred in the Atlantic lowland during glacial times. The rain forest was disturbed by marine incursions during the early Holocene period until ca. 6100 14 C yr B.P., as indicated by the presence of microforaminifera. A closed Atlantic rain forest then developed at the study site.","author":[{"dropping-particle":"","family":"Behling","given":"Hermann","non-dropping-particle":"","parse-names":false,"suffix":""},{"dropping-particle":"","family":"Negrelle","given":"Raquel R B","non-dropping-particle":"","parse-names":false,"suffix":""}],"container-title":"Quaternary Research","id":"ITEM-1","issue":"03","issued":{"date-parts":[["2001"]]},"note":"VolVe\n\nLong (maybe 35k yr) pollen record from right near the coast at northern SC. Shows campos in LGM and some cool-adapted forest, with expansion of DOF happening thereafter. By mid-Holocene there was open DOF (probably because of sea level changes), becoming denser and more complete as the Holocene continued. No Aa really evident here","page":"383-389","title":"Tropical Rain Forest and Climate Dynamics of the Atlantic Lowland, Southern Brazil, during the Late Quaternary","type":"article-journal","volume":"56"},"uris":["http://www.mendeley.com/documents/?uuid=194994b8-7557-330b-b558-b9b4860ef411"]},{"id":"ITEM-2","itemData":{"DOI":"10.1016/j.quascirev.2017.06.028","ISSN":"02773791","abstract":"Long-term changes in vegetation and climate of southern Brazil, as well as ocean dynamics of the adjacent South Atlantic, were studied by analyses of pollen, spores and organic-walled dinoflagellate cysts (dinocysts) in marine sediment core GeoB2107-3 collected offshore southern Brazil covering the last 73.5 cal kyr BP. The pollen record indicates that grasslands were much more frequent in the landscapes of southern Brazil during the last glacial period if compared to the late Holocene, reflecting relatively colder and/or less humid climatic conditions. Patches of forest occurred in the lowlands and probably also on the exposed continental shelf that was mainly covered by salt marshes. Interestingly, drought-susceptible Araucaria trees were frequent in the highlands (with a similar abundance as during the late Holocene) until 65 cal kyr BP, but were rare during the following glacial period. Atlantic rainforest was present in the northern lowlands of southern Brazil during the recorded last glacial period, but was strongly reduced from 38.5 until 13.0 cal kyr BP. The reduction was probably controlled by colder and/or less humid climatic conditions. Atlantic rainforest expanded to the south since the Lateglacial period, while Araucaria forests advanced in the highlands only during the late Holocene. Dinocysts data indicate that the Brazil Current (BC) with its warm, salty and nutrient-poor waters influenced the study area throughout the investigated period. However, variations in the proportion of dinocyst taxa indicating an eutrophic environment reflect the input of nutrients transported mainly by the Brazilian Coastal Current (BCC) and partly discharged by the Rio Itajaí (the major river closest to the core site). This was strongly related to changes in sea level. A stronger influence of the BCC with nutrient rich waters occurred during Marine Isotope Stage (MIS) 4 and in particular during the late MIS 3 and MIS 2 under low sea level. Evidence of Nothofagus pollen grains from the southern Andes during late MIS 3 and MIS 2 suggests an efficient transport by the southern westerlies and Argentinean rivers, then by the Malvinas Current and finally by the BCC to the study site. Major changes in the pollen/spore and dinocyst assemblages occur with similar pacing, indicating strongly interlinked continental and marine environmental changes. Proxy comparisons suggest that the changes were driven by similar overarching factors, of which the most important was or…","author":[{"dropping-particle":"","family":"Gu","given":"Fang","non-dropping-particle":"","parse-names":false,"suffix":""},{"dropping-particle":"","family":"Zonneveld","given":"Karin A.F.","non-dropping-particle":"","parse-names":false,"suffix":""},{"dropping-particle":"","family":"Chiessi","given":"Cristiano M.","non-dropping-particle":"","parse-names":false,"suffix":""},{"dropping-particle":"","family":"Arz","given":"Helge W.","non-dropping-particle":"","parse-names":false,"suffix":""},{"dropping-particle":"","family":"Pätzold","given":"Jürgen","non-dropping-particle":"","parse-names":false,"suffix":""},{"dropping-particle":"","family":"Behling","given":"Hermann","non-dropping-particle":"","parse-names":false,"suffix":""}],"container-title":"Quaternary Science Reviews","id":"ITEM-2","issued":{"date-parts":[["2017"]]},"note":"GeB27\nVery interesting paper that uses an offshore core east of SC to reconstruct vegetation and climate for 74kyr in a spatially and temporally low resolution. Suggests the Atlantis rainforest hypothesis might not hold (but doesn't examine this explicitly) and has interesting things to say about Aa through time. Long ago there was more grassland; the exposed shelf was probably a mosaic of forest and grassland, with Aa-campos on higher ground. Has things to say about speleothems comparison too, as well as xrf data.","page":"55-71","title":"Long-term vegetation, climate and ocean dynamics inferred from a 73,500 years old marine sediment core (GeoB2107-3) off southern Brazil","type":"article-journal","volume":"172"},"uris":["http://www.mendeley.com/documents/?uuid=5ca3af1b-048b-4799-ab8a-595fdfde2aa7"]},{"id":"ITEM-3","itemData":{"author":[{"dropping-particle":"","family":"Bauermann","given":"Soraia Girardi","non-dropping-particle":"","parse-names":false,"suffix":""}],"id":"ITEM-3","issued":{"date-parts":[["2003"]]},"note":"AgCla &amp;amp; Barro","number-of-pages":"137","publisher":"Universidade Federal do Rio Grande do Sul","title":"Analises palinologicas e evolucao paleovegetacional e paleoambiental das turfeiras de Barrocadas e Águas Claras, Planicie Costeira do Rio Grande do Sul, Brasil","type":"thesis"},"uris":["http://www.mendeley.com/documents/?uuid=57d91572-bb73-4927-9ac3-f05403cba750"]}],"mendeley":{"formattedCitation":"(Bauermann, 2003; Behling and Negrelle, 2001; Gu et al., 2017)","plainTextFormattedCitation":"(Bauermann, 2003; Behling and Negrelle, 2001; Gu et al., 2017)","previouslyFormattedCitation":"(Bauermann, 2003; Behling and Negrelle, 2001; Gu et al., 2017)"},"properties":{"noteIndex":0},"schema":"https://github.com/citation-style-language/schema/raw/master/csl-citation.json"}</w:instrText>
      </w:r>
      <w:r w:rsidR="00724AF3">
        <w:fldChar w:fldCharType="separate"/>
      </w:r>
      <w:r w:rsidR="005944BB" w:rsidRPr="005944BB">
        <w:rPr>
          <w:noProof/>
        </w:rPr>
        <w:t>(Bauermann, 2003; Behling and Negrelle, 2001; Gu et al., 2017)</w:t>
      </w:r>
      <w:r w:rsidR="00724AF3">
        <w:fldChar w:fldCharType="end"/>
      </w:r>
      <w:r w:rsidR="00724AF3">
        <w:t xml:space="preserve">. </w:t>
      </w:r>
      <w:r w:rsidR="002507CE">
        <w:t>O</w:t>
      </w:r>
      <w:r w:rsidR="00724AF3">
        <w:t xml:space="preserve">ur results suggest that the coastal lowlands and continental shelf had temperatures and rainfall suitable for both tropical trees </w:t>
      </w:r>
      <w:r w:rsidR="00724AF3">
        <w:fldChar w:fldCharType="begin" w:fldLock="1"/>
      </w:r>
      <w:r w:rsidR="00724AF3">
        <w:instrText>ADDIN CSL_CITATION {"citationItems":[{"id":"ITEM-1","itemData":{"DOI":"10.1073/pnas.1513062113","ISBN":"1215421109","ISSN":"0027-8424","PMID":"26755597","abstract":"The forest refuge hypothesis (FRH) has long been a paradigm for explaining the extreme biological diversity of tropical forests. According to this hypothesis, forest retraction and fragmentation during glacial periods would have promoted reproductive isolation and consequently speciation in forest patches (ecological refuges) surrounded by open habitats. The recent use of paleoclimatic models of species and habitat distributions revitalized the FRH, not by considering refuges as the main drivers of allopatric speciation, but instead by suggesting that high contemporary diversity is associated with historically stable forest areas. However, the role of the emerged continental shelf on the Atlantic Forest biodiversity hotspot of eastern South America during glacial periods has been ignored in the literature. Here, we combined results of species distribution models with coalescent simulations based on DNA sequences to explore the congruence between scenarios of forest dynamics through time and the genetic structure of mammal species cooccurring in the central region of the Atlantic Forest. Contrary to the FRH predictions, we found more fragmentation of suitable habitats during the last interglacial (LIG) and the present than in the last glacial maximum (LGM), probably due to topography. We also detected expansion of suitable climatic conditions onto the emerged continental shelf during the LGM, which would have allowed forests and forest-adapted species to expand. The interplay of sea level and land distribution must have been crucial in the biogeographic history of the Atlantic Forest, and forest refuges played only a minor role, if any, in this biodiversity hotspot during glacial periods.","author":[{"dropping-particle":"","family":"Leite","given":"Yuri L R","non-dropping-particle":"","parse-names":false,"suffix":""},{"dropping-particle":"","family":"Costa","given":"Leonora P","non-dropping-particle":"","parse-names":false,"suffix":""},{"dropping-particle":"","family":"Loss","given":"Ana Carolina","non-dropping-particle":"","parse-names":false,"suffix":""},{"dropping-particle":"","family":"Rocha","given":"Rita G","non-dropping-particle":"","parse-names":false,"suffix":""},{"dropping-particle":"","family":"Batalha-Filho","given":"Henrique","non-dropping-particle":"","parse-names":false,"suffix":""},{"dropping-particle":"","family":"Bastos","given":"Alex C","non-dropping-particle":"","parse-names":false,"suffix":""},{"dropping-particle":"","family":"Quaresma","given":"Valéria S","non-dropping-particle":"","parse-names":false,"suffix":""},{"dropping-particle":"","family":"Fagundes","given":"Valéria","non-dropping-particle":"","parse-names":false,"suffix":""},{"dropping-particle":"","family":"Paresque","given":"Roberta","non-dropping-particle":"","parse-names":false,"suffix":""},{"dropping-particle":"","family":"Passamani","given":"Marcelo","non-dropping-particle":"","parse-names":false,"suffix":""},{"dropping-particle":"","family":"Pardini","given":"Renata","non-dropping-particle":"","parse-names":false,"suffix":""}],"container-title":"Proceedings of the National Academy of Sciences","id":"ITEM-1","issue":"4","issued":{"date-parts":[["2016","1","26"]]},"note":"Interesting paper that uses the lower sea level during the LGM to suggest that DOF wasn't so pinched up at the time, so the forest refuge hypothesis isn't necessary as an explanation of its diversity. Would be interesting to do the same kind of analysis with MOF because it almost certainly would show the importance of refugia in the highlands.\nAlso coins the phrase 'Atlantis forest hypothesis', which is great","page":"1008-1013","publisher":"National Academy of Sciences","title":"Neotropical forest expansion during the last glacial period challenges refuge hypothesis","type":"article-journal","volume":"113"},"prefix":"cf.","uris":["http://www.mendeley.com/documents/?uuid=2cbb9301-60b0-3ec5-b352-d5533b886b37"]}],"mendeley":{"formattedCitation":"(cf. Leite et al., 2016)","plainTextFormattedCitation":"(cf. Leite et al., 2016)","previouslyFormattedCitation":"(cf. Leite et al., 2016)"},"properties":{"noteIndex":0},"schema":"https://github.com/citation-style-language/schema/raw/master/csl-citation.json"}</w:instrText>
      </w:r>
      <w:r w:rsidR="00724AF3">
        <w:fldChar w:fldCharType="separate"/>
      </w:r>
      <w:r w:rsidR="00724AF3" w:rsidRPr="00373933">
        <w:rPr>
          <w:noProof/>
        </w:rPr>
        <w:t>(cf. Leite et al., 2016)</w:t>
      </w:r>
      <w:r w:rsidR="00724AF3">
        <w:fldChar w:fldCharType="end"/>
      </w:r>
      <w:r w:rsidR="00724AF3">
        <w:t xml:space="preserve"> and highland Campos species </w:t>
      </w:r>
      <w:r w:rsidR="00724AF3">
        <w:fldChar w:fldCharType="begin" w:fldLock="1"/>
      </w:r>
      <w:r w:rsidR="007F330C">
        <w:instrText>ADDIN CSL_CITATION {"citationItems":[{"id":"ITEM-1","itemData":{"DOI":"10.1006/qres.2001.2264","ISBN":"0033-5894","ISSN":"0033-5894","abstract":"Palynological analysis of a core from the Atlantic rain forest region in Brazil provides unprecedented insight into late Quaternary vegetational and climate dynamics within this southern tropical lowland. The 576-cm-long sediment core is from a former beach-ridge “valley,” located 3 km inland from the Atlantic Ocean. Radio-carbon dates suggest that sediment deposition began prior to 35,000 14 C yr B.P. Between ca. 37,500 and ca. 27,500 14 C yr B.P. and during the last glacial maximum (LGM; ca. 27,500 to ca. 14,500 14 C yr B.P.), the coastal rain forest was replaced by grassland and patches of cold-adapted forest. Tropical trees, such as Alchornea , Moraceae/Urticaceae, and Arecaceae, were almost completely absent during the LGM. Furthermore, their distributions were shifted at least 750 km further north, suggesting a cooling between 3°C and 7°C and a strengthening of Antarctic cold fronts during full-glacial times. A depauperate tropical rain forest developed as part of a successional sequence after ca. 12,300 14 C yr B.P. There is no evidence that Araucaria trees occurred in the Atlantic lowland during glacial times. The rain forest was disturbed by marine incursions during the early Holocene period until ca. 6100 14 C yr B.P., as indicated by the presence of microforaminifera. A closed Atlantic rain forest then developed at the study site.","author":[{"dropping-particle":"","family":"Behling","given":"Hermann","non-dropping-particle":"","parse-names":false,"suffix":""},{"dropping-particle":"","family":"Negrelle","given":"Raquel R B","non-dropping-particle":"","parse-names":false,"suffix":""}],"container-title":"Quaternary Research","id":"ITEM-1","issue":"03","issued":{"date-parts":[["2001"]]},"note":"VolVe\n\nLong (maybe 35k yr) pollen record from right near the coast at northern SC. Shows campos in LGM and some cool-adapted forest, with expansion of DOF happening thereafter. By mid-Holocene there was open DOF (probably because of sea level changes), becoming denser and more complete as the Holocene continued. No Aa really evident here","page":"383-389","title":"Tropical Rain Forest and Climate Dynamics of the Atlantic Lowland, Southern Brazil, during the Late Quaternary","type":"article-journal","volume":"56"},"prefix":"cf.","uris":["http://www.mendeley.com/documents/?uuid=194994b8-7557-330b-b558-b9b4860ef411"]}],"mendeley":{"formattedCitation":"(cf. Behling and Negrelle, 2001)","plainTextFormattedCitation":"(cf. Behling and Negrelle, 2001)","previouslyFormattedCitation":"(cf. Behling and Negrelle, 2001)"},"properties":{"noteIndex":0},"schema":"https://github.com/citation-style-language/schema/raw/master/csl-citation.json"}</w:instrText>
      </w:r>
      <w:r w:rsidR="00724AF3">
        <w:fldChar w:fldCharType="separate"/>
      </w:r>
      <w:r w:rsidR="005944BB" w:rsidRPr="005944BB">
        <w:rPr>
          <w:noProof/>
        </w:rPr>
        <w:t>(cf. Behling and Negrelle, 2001)</w:t>
      </w:r>
      <w:r w:rsidR="00724AF3">
        <w:fldChar w:fldCharType="end"/>
      </w:r>
      <w:r w:rsidR="00724AF3">
        <w:t>, but available palaeo</w:t>
      </w:r>
      <w:r w:rsidR="004E71C7">
        <w:t>ecological</w:t>
      </w:r>
      <w:r w:rsidR="00724AF3">
        <w:t xml:space="preserve"> records show much more herb than forest pollen </w:t>
      </w:r>
      <w:r w:rsidR="00724AF3">
        <w:fldChar w:fldCharType="begin" w:fldLock="1"/>
      </w:r>
      <w:r w:rsidR="007F330C">
        <w:instrText>ADDIN CSL_CITATION {"citationItems":[{"id":"ITEM-1","itemData":{"author":[{"dropping-particle":"","family":"Bauermann","given":"Soraia Girardi","non-dropping-particle":"","parse-names":false,"suffix":""}],"id":"ITEM-1","issued":{"date-parts":[["2003"]]},"note":"AgCla &amp;amp; Barro","number-of-pages":"137","publisher":"Universidade Federal do Rio Grande do Sul","title":"Analises palinologicas e evolucao paleovegetacional e paleoambiental das turfeiras de Barrocadas e Águas Claras, Planicie Costeira do Rio Grande do Sul, Brasil","type":"thesis"},"uris":["http://www.mendeley.com/documents/?uuid=57d91572-bb73-4927-9ac3-f05403cba750"]},{"id":"ITEM-2","itemData":{"DOI":"10.1006/qres.2001.2264","ISBN":"0033-5894","ISSN":"0033-5894","abstract":"Palynological analysis of a core from the Atlantic rain forest region in Brazil provides unprecedented insight into late Quaternary vegetational and climate dynamics within this southern tropical lowland. The 576-cm-long sediment core is from a former beach-ridge “valley,” located 3 km inland from the Atlantic Ocean. Radio-carbon dates suggest that sediment deposition began prior to 35,000 14 C yr B.P. Between ca. 37,500 and ca. 27,500 14 C yr B.P. and during the last glacial maximum (LGM; ca. 27,500 to ca. 14,500 14 C yr B.P.), the coastal rain forest was replaced by grassland and patches of cold-adapted forest. Tropical trees, such as Alchornea , Moraceae/Urticaceae, and Arecaceae, were almost completely absent during the LGM. Furthermore, their distributions were shifted at least 750 km further north, suggesting a cooling between 3°C and 7°C and a strengthening of Antarctic cold fronts during full-glacial times. A depauperate tropical rain forest developed as part of a successional sequence after ca. 12,300 14 C yr B.P. There is no evidence that Araucaria trees occurred in the Atlantic lowland during glacial times. The rain forest was disturbed by marine incursions during the early Holocene period until ca. 6100 14 C yr B.P., as indicated by the presence of microforaminifera. A closed Atlantic rain forest then developed at the study site.","author":[{"dropping-particle":"","family":"Behling","given":"Hermann","non-dropping-particle":"","parse-names":false,"suffix":""},{"dropping-particle":"","family":"Negrelle","given":"Raquel R B","non-dropping-particle":"","parse-names":false,"suffix":""}],"container-title":"Quaternary Research","id":"ITEM-2","issue":"03","issued":{"date-parts":[["2001"]]},"note":"VolVe\n\nLong (maybe 35k yr) pollen record from right near the coast at northern SC. Shows campos in LGM and some cool-adapted forest, with expansion of DOF happening thereafter. By mid-Holocene there was open DOF (probably because of sea level changes), becoming denser and more complete as the Holocene continued. No Aa really evident here","page":"383-389","title":"Tropical Rain Forest and Climate Dynamics of the Atlantic Lowland, Southern Brazil, during the Late Quaternary","type":"article-journal","volume":"56"},"uris":["http://www.mendeley.com/documents/?uuid=194994b8-7557-330b-b558-b9b4860ef411"]},{"id":"ITEM-3","itemData":{"DOI":"10.1002/jqs.1531","ISSN":"02678179","abstract":"This paper provides a paleoenvironmental reconstruction of a Late Quaternary lagoon system in the Jaguaruna region of Santa Catarina state, southern Brazil. Integrated results of bulk sedimentary organic matter characterization (δ 13C, δ 15N and C/N), microfossil (pollen and diatom) and grain-size analysis from three shallow cores (~2.5m depth) allowed us to propose an evolving paleogeographic scenario in this coastal region for the last ca. 5500 cal a BP. The lagoonal system in this area was more extensive during the mid-Holocene than today, with a gradual and continuous lagoon-sea disconnection until the present. We add to the debate regarding relative sea-level (RSL) variations for the Brazilian coast during the Holocene and discuss the importance of sedimentary dynamics for interpreting changes in coastal ecosystems. The multi-proxy analysis suggests that changes in coastal ecosystems could be directly related to local sedimentary processes, which are not necessarily linked to RSL fluctuations and/or to climatic variations. © 2011 John Wiley &amp; Sons, Ltd.","author":[{"dropping-particle":"","family":"Carvalho do Amaral","given":"Paula Garcia","non-dropping-particle":"","parse-names":false,"suffix":""},{"dropping-particle":"","family":"Fonseca Giannini","given":"Paulo César","non-dropping-particle":"","parse-names":false,"suffix":""},{"dropping-particle":"","family":"Sylvestre","given":"Florence","non-dropping-particle":"","parse-names":false,"suffix":""},{"dropping-particle":"","family":"Ruiz Pessenda","given":"Luiz Carlos","non-dropping-particle":"","parse-names":false,"suffix":""}],"container-title":"Journal of Quaternary Science","id":"ITEM-3","issue":"2","issued":{"date-parts":[["2012"]]},"note":"From Duplicate 1 (Paleoenvironmental reconstruction of a Late Quaternary lagoon system in southern Brazil (Jaguaruna region, Santa Catarina state) based on multi-proxy analysis - Carvalho do Amaral, Paula Garcia; Fonseca Giannini, Paulo César; Sylvestre, Florence; Ruiz Pessenda, Luiz Carlos)\n\nTaxon-level detail in Amaral (2008) thesis","page":"181-191","title":"Paleoenvironmental reconstruction of a Late Quaternary lagoon system in southern Brazil (Jaguaruna region, Santa Catarina state) based on multi-proxy analysis","type":"article-journal","volume":"27"},"uris":["http://www.mendeley.com/documents/?uuid=041f062e-c8ce-444b-8f6f-3e2c456cead4"]},{"id":"ITEM-4","itemData":{"DOI":"10.1016/j.quascirev.2017.06.028","ISSN":"02773791","abstract":"Long-term changes in vegetation and climate of southern Brazil, as well as ocean dynamics of the adjacent South Atlantic, were studied by analyses of pollen, spores and organic-walled dinoflagellate cysts (dinocysts) in marine sediment core GeoB2107-3 collected offshore southern Brazil covering the last 73.5 cal kyr BP. The pollen record indicates that grasslands were much more frequent in the landscapes of southern Brazil during the last glacial period if compared to the late Holocene, reflecting relatively colder and/or less humid climatic conditions. Patches of forest occurred in the lowlands and probably also on the exposed continental shelf that was mainly covered by salt marshes. Interestingly, drought-susceptible Araucaria trees were frequent in the highlands (with a similar abundance as during the late Holocene) until 65 cal kyr BP, but were rare during the following glacial period. Atlantic rainforest was present in the northern lowlands of southern Brazil during the recorded last glacial period, but was strongly reduced from 38.5 until 13.0 cal kyr BP. The reduction was probably controlled by colder and/or less humid climatic conditions. Atlantic rainforest expanded to the south since the Lateglacial period, while Araucaria forests advanced in the highlands only during the late Holocene. Dinocysts data indicate that the Brazil Current (BC) with its warm, salty and nutrient-poor waters influenced the study area throughout the investigated period. However, variations in the proportion of dinocyst taxa indicating an eutrophic environment reflect the input of nutrients transported mainly by the Brazilian Coastal Current (BCC) and partly discharged by the Rio Itajaí (the major river closest to the core site). This was strongly related to changes in sea level. A stronger influence of the BCC with nutrient rich waters occurred during Marine Isotope Stage (MIS) 4 and in particular during the late MIS 3 and MIS 2 under low sea level. Evidence of Nothofagus pollen grains from the southern Andes during late MIS 3 and MIS 2 suggests an efficient transport by the southern westerlies and Argentinean rivers, then by the Malvinas Current and finally by the BCC to the study site. Major changes in the pollen/spore and dinocyst assemblages occur with similar pacing, indicating strongly interlinked continental and marine environmental changes. Proxy comparisons suggest that the changes were driven by similar overarching factors, of which the most important was or…","author":[{"dropping-particle":"","family":"Gu","given":"Fang","non-dropping-particle":"","parse-names":false,"suffix":""},{"dropping-particle":"","family":"Zonneveld","given":"Karin A.F.","non-dropping-particle":"","parse-names":false,"suffix":""},{"dropping-particle":"","family":"Chiessi","given":"Cristiano M.","non-dropping-particle":"","parse-names":false,"suffix":""},{"dropping-particle":"","family":"Arz","given":"Helge W.","non-dropping-particle":"","parse-names":false,"suffix":""},{"dropping-particle":"","family":"Pätzold","given":"Jürgen","non-dropping-particle":"","parse-names":false,"suffix":""},{"dropping-particle":"","family":"Behling","given":"Hermann","non-dropping-particle":"","parse-names":false,"suffix":""}],"container-title":"Quaternary Science Reviews","id":"ITEM-4","issued":{"date-parts":[["2017"]]},"note":"GeB27\nVery interesting paper that uses an offshore core east of SC to reconstruct vegetation and climate for 74kyr in a spatially and temporally low resolution. Suggests the Atlantis rainforest hypothesis might not hold (but doesn't examine this explicitly) and has interesting things to say about Aa through time. Long ago there was more grassland; the exposed shelf was probably a mosaic of forest and grassland, with Aa-campos on higher ground. Has things to say about speleothems comparison too, as well as xrf data.","page":"55-71","title":"Long-term vegetation, climate and ocean dynamics inferred from a 73,500 years old marine sediment core (GeoB2107-3) off southern Brazil","type":"article-journal","volume":"172"},"uris":["http://www.mendeley.com/documents/?uuid=5ca3af1b-048b-4799-ab8a-595fdfde2aa7"]}],"mendeley":{"formattedCitation":"(Bauermann, 2003; Behling and Negrelle, 2001; Carvalho do Amaral et al., 2012; Gu et al., 2017)","plainTextFormattedCitation":"(Bauermann, 2003; Behling and Negrelle, 2001; Carvalho do Amaral et al., 2012; Gu et al., 2017)","previouslyFormattedCitation":"(Bauermann, 2003; Behling and Negrelle, 2001; Carvalho do Amaral et al., 2012; Gu et al., 2017)"},"properties":{"noteIndex":0},"schema":"https://github.com/citation-style-language/schema/raw/master/csl-citation.json"}</w:instrText>
      </w:r>
      <w:r w:rsidR="00724AF3">
        <w:fldChar w:fldCharType="separate"/>
      </w:r>
      <w:r w:rsidR="005944BB" w:rsidRPr="005944BB">
        <w:rPr>
          <w:noProof/>
        </w:rPr>
        <w:t>(Bauermann, 2003; Behling and Negrelle, 2001; Carvalho do Amaral et al., 2012; Gu et al., 2017)</w:t>
      </w:r>
      <w:r w:rsidR="00724AF3">
        <w:fldChar w:fldCharType="end"/>
      </w:r>
      <w:r w:rsidR="002507CE">
        <w:t xml:space="preserve">, </w:t>
      </w:r>
      <w:r w:rsidR="002A7250">
        <w:t>indicating that n</w:t>
      </w:r>
      <w:r w:rsidR="002507CE">
        <w:t>on-climatic factors likely dictated the distribution of these patches</w:t>
      </w:r>
      <w:r w:rsidR="002A7250">
        <w:t xml:space="preserve"> as they did with AMF and Campos on the highlands</w:t>
      </w:r>
      <w:r w:rsidR="00724AF3">
        <w:t>. However, without detailed topograph</w:t>
      </w:r>
      <w:r w:rsidR="00B40F36">
        <w:t xml:space="preserve">ic </w:t>
      </w:r>
      <w:r w:rsidR="00C7720A">
        <w:t>data</w:t>
      </w:r>
      <w:r w:rsidR="00724AF3">
        <w:t xml:space="preserve"> for the </w:t>
      </w:r>
      <w:r w:rsidR="00B40F36">
        <w:t xml:space="preserve">presently submerged </w:t>
      </w:r>
      <w:r w:rsidR="00724AF3">
        <w:lastRenderedPageBreak/>
        <w:t xml:space="preserve">LGM coastal </w:t>
      </w:r>
      <w:r w:rsidR="00B40F36">
        <w:t>area</w:t>
      </w:r>
      <w:r w:rsidR="00724AF3">
        <w:t>, th</w:t>
      </w:r>
      <w:r w:rsidR="00B40F36">
        <w:t>e</w:t>
      </w:r>
      <w:r w:rsidR="00FA46CE">
        <w:t xml:space="preserve"> </w:t>
      </w:r>
      <w:r w:rsidR="00724AF3">
        <w:t xml:space="preserve">precise spatial configuration </w:t>
      </w:r>
      <w:r w:rsidR="00B40F36">
        <w:t xml:space="preserve">of this LGM vegetation </w:t>
      </w:r>
      <w:r w:rsidR="00365466">
        <w:t xml:space="preserve">mosaic </w:t>
      </w:r>
      <w:r w:rsidR="00B40F36">
        <w:t>cannot be determined</w:t>
      </w:r>
      <w:r w:rsidR="00724AF3">
        <w:t>.</w:t>
      </w:r>
    </w:p>
    <w:p w14:paraId="647E40DF" w14:textId="7EC52E16" w:rsidR="00CE7582" w:rsidRDefault="00CE7582" w:rsidP="00F74804">
      <w:pPr>
        <w:pStyle w:val="Heading2"/>
        <w:numPr>
          <w:ilvl w:val="1"/>
          <w:numId w:val="5"/>
        </w:numPr>
        <w:spacing w:line="360" w:lineRule="auto"/>
      </w:pPr>
      <w:r>
        <w:t xml:space="preserve">Context for </w:t>
      </w:r>
      <w:r w:rsidR="004656E8">
        <w:t>a high-emissions</w:t>
      </w:r>
      <w:r>
        <w:t xml:space="preserve"> future</w:t>
      </w:r>
    </w:p>
    <w:p w14:paraId="694E5BD4" w14:textId="046C918A" w:rsidR="00C31F21" w:rsidRDefault="00C31F21" w:rsidP="00F74804">
      <w:pPr>
        <w:spacing w:line="360" w:lineRule="auto"/>
      </w:pPr>
      <w:r>
        <w:t xml:space="preserve">Our results allow </w:t>
      </w:r>
      <w:r w:rsidR="005D3C65">
        <w:t xml:space="preserve">predicted </w:t>
      </w:r>
      <w:r>
        <w:t>21</w:t>
      </w:r>
      <w:r w:rsidRPr="003929B2">
        <w:rPr>
          <w:vertAlign w:val="superscript"/>
        </w:rPr>
        <w:t>st</w:t>
      </w:r>
      <w:r>
        <w:t xml:space="preserve">-Century changes in ecosystems’ distribution and composition to be placed in a wider temporal context, highlighting just how drastic they </w:t>
      </w:r>
      <w:r w:rsidR="00E6519F">
        <w:t>could</w:t>
      </w:r>
      <w:r>
        <w:t xml:space="preserve"> be. Having been stable for millennia </w:t>
      </w:r>
      <w:r w:rsidRPr="00FA46CE">
        <w:fldChar w:fldCharType="begin" w:fldLock="1"/>
      </w:r>
      <w:r w:rsidR="00D73E86">
        <w:instrText>ADDIN CSL_CITATION {"citationItems":[{"id":"ITEM-1","itemData":{"DOI":"10.1111/geb.12646","ISSN":"14668238","abstract":"Aim: The two main hypotheses about the Neotropical palaeovegetation, namely that of Ama- zonian refugia by Haffer and of the Pleistocene arc by Prado and Gibbs, are still constantly debated. We offer new insights on this debate using ecological niche modelling with combined climate–soil predictors to test both hypotheses, reconstruct the palaeovegetation of the Last Glacial Maximum (LGM; 21 ka) and Mid-Holocene (Mid-H; 6 ka) and indicate the configuration of refugia areas. Location: Brazil. Time period: Last 21 ka. Major taxa studied: Biomes. Methods: We modelled the environmental space of the 10 most representative biomes with the RandomForest classifier, using climate predictors from three atmospheric general circulation mod- els (CCSM4, MPI-ESM-P and MIROC-ESM) and soil predictors, the same for the different situations. Based on the consensus among the models, we reconstructed the palaeovegetation cover for LGM and Mid-H and used fossil pollen sites to validate the reconstructions in a direct comparison. Abstract Aim: The two main hypotheses about the Neotropical palaeovegetation, namely that of Ama- zonian refugia by Haffer and of the Pleistocene arc by Prado and Gibbs, are still constantly debated. We offer new insights on this debate using ecological niche modelling with combined climate–soil predictors to test both hypotheses, reconstruct the palaeovegetation of the Last Glacial Maximum (LGM; 21 ka) and Mid-Holocene (Mid-H; 6 ka) and indicate the configuration of refugia areas. Location: Brazil. Time period: Last 21 ka. Major taxa studied: Biomes. Methods: We modelled the environmental space of the 10 most representative biomes with the RandomForest classifier, using climate predictors from three atmospheric general circulation mod- els (CCSM4, MPI-ESM-P and MIROC-ESM) and soil predictors, the same for the different situations. Based on the consensus among the models, we reconstructed the palaeovegetation cover for LGM and Mid-H and used fossil pollen sites to validate the reconstructions in a direct comparison. Results: The climate in the past was cooler and wetter throughout most of the territory. The Ama- zon basin region was the most affected by climate change in the last 21 ka, with equatorial rain forest retracting to refugia areas, while the tropical rain forest (with climatic preferences similar to the Atlantic forest) expanded in the basin. In southern Brazil, the mixed forest (Araucaria forest) shifted to lower latitudes, while the gras…","author":[{"dropping-particle":"","family":"Arruda","given":"Daniel M.","non-dropping-particle":"","parse-names":false,"suffix":""},{"dropping-particle":"","family":"Schaefer","given":"Carlos E.G.R.","non-dropping-particle":"","parse-names":false,"suffix":""},{"dropping-particle":"","family":"Fonseca","given":"Rúbia S.","non-dropping-particle":"","parse-names":false,"suffix":""},{"dropping-particle":"","family":"Solar","given":"Ricardo R.C.","non-dropping-particle":"","parse-names":false,"suffix":""},{"dropping-particle":"","family":"Fernandes-Filho","given":"Elpídio I.","non-dropping-particle":"","parse-names":false,"suffix":""}],"container-title":"Global Ecology and Biogeography","id":"ITEM-1","issue":"August 2017","issued":{"date-parts":[["2017"]]},"note":"Models biomes in high resolution (1km) using 4 worldclim bioclim variables and 6 soil variables. Looks at LGM and MH. Interesting things about MOF and campos, and seems to agree more with Atlantic Forest hypothesis. Would be interesting to test this with species-centred models in S Brazil, with more explicit evaluation against fossil pollen, and changes in sea level modelled too","page":"47-56","title":"Vegetation cover of Brazil in the last 21 ka: New insights into the Amazonian refugia and Pleistocenic arc hypotheses","type":"article-journal"},"prefix":"Figs. 6-7; ","uris":["http://www.mendeley.com/documents/?uuid=1c764ef1-ded9-4832-89e6-a30d6484b1d2"]},{"id":"ITEM-2","itemData":{"DOI":"10.1111/geb.12694","ISBN":"4170","ISSN":"14668238","abstract":"Aim: The aim was to examine the links between past biome stability, vegetation dynamics and biodiversity patterns. Location: South America. Time period: Last 30,000 years. Major taxa studied: Plants. Methods: We classified South America into major biomes according to their dominant plant functional groups (grasses, trees and shrubs) and ran a random forest (RF) classification with data on current climate. We then fitted the algorithm to predict biome distributions for every 1,000 years back to 21,000 yr BP and estimated biome stability by counting how many times a change in climate was predicted to shift a grid cell from one biome to another. We compared our model-based stability map with empirical estimates from selected pollen records covering the past 30 kyr in terms of vegetation shifts, changes in species composition and time-lag of vegetation responses. Results: We found a strong correlation between our habitat stability map and regional vegetation dynamics. Four scenarios emerged according to the way forest distribution shifted during a climate change. Each scenario related to specific regional features of biome stability and diversity, allowing us to formulate specific predictions on how taxonomic, genetic and functional components of biodiversity might be impacted by modern climate change. Main conclusions: Our validated map of biome stability provides important baseline information for studying the impacts of past climate on biodiversity in South America. By focusing exclusively on climatic changes of manifested relevance (i.e., those resulting in significant habitat changes), it provides a novel perspective that complements previous datasets and allows scientists to explore new questions and hypotheses at the local, regional and continental scales.","author":[{"dropping-particle":"","family":"Costa","given":"Gabriel C.","non-dropping-particle":"","parse-names":false,"suffix":""},{"dropping-particle":"","family":"Hampe","given":"Arndt","non-dropping-particle":"","parse-names":false,"suffix":""},{"dropping-particle":"","family":"Ledru","given":"Marie Pierre","non-dropping-particle":"","parse-names":false,"suffix":""},{"dropping-particle":"","family":"Martinez","given":"Pablo A.","non-dropping-particle":"","parse-names":false,"suffix":""},{"dropping-particle":"","family":"Mazzochini","given":"Guilherme G.","non-dropping-particle":"","parse-names":false,"suffix":""},{"dropping-particle":"","family":"Shepard","given":"Donald B.","non-dropping-particle":"","parse-names":false,"suffix":""},{"dropping-particle":"","family":"Werneck","given":"Fernanda P.","non-dropping-particle":"","parse-names":false,"suffix":""},{"dropping-particle":"","family":"Moritz","given":"Craig","non-dropping-particle":"","parse-names":false,"suffix":""},{"dropping-particle":"","family":"Carnaval","given":"Ana Carolina","non-dropping-particle":"","parse-names":false,"suffix":""}],"container-title":"Global Ecology and Biogeography","id":"ITEM-2","issue":"August 2017","issued":{"date-parts":[["2017"]]},"note":"Uses RFs to model biomes (tropical rainforest, grassland etc - all Mata Atlantica ends up rainforest) from LGM at 1000yr intervals (HadCM3) with comparison to pollen records. Looks at biome stability through time. Large (unexpected?) refuge area in southern Brazil (SC, S PR) with only one shift from grassland to forest (but which might include Campos grasslands). Lots of interesting discussion about microrefugia and what you'd expect to see in different places in terms of genetic/taxonomic diversity etc. Use as springboard for higher taxonomic resolution modelling to see floristic changes through time - specifically investigating the stable zone.","page":"285-297","title":"Biome stability in South America over the last 30 kyr: Inferences from long-term vegetation dynamics and habitat modelling","type":"article-journal"},"uris":["http://www.mendeley.com/documents/?uuid=b7c29cbb-73a3-4cdf-807b-397f0068a642"]}],"mendeley":{"formattedCitation":"(Figs. 6-7; Arruda et al., 2017; Costa et al., 2017)","plainTextFormattedCitation":"(Figs. 6-7; Arruda et al., 2017; Costa et al., 2017)","previouslyFormattedCitation":"(Figs. 6-7; Arruda et al., 2017; Costa et al., 2017)"},"properties":{"noteIndex":0},"schema":"https://github.com/citation-style-language/schema/raw/master/csl-citation.json"}</w:instrText>
      </w:r>
      <w:r w:rsidRPr="00FA46CE">
        <w:fldChar w:fldCharType="separate"/>
      </w:r>
      <w:r w:rsidR="00D5427C" w:rsidRPr="00D5427C">
        <w:rPr>
          <w:noProof/>
        </w:rPr>
        <w:t>(Figs. 6-7; Arruda et al., 2017; Costa et al., 2017)</w:t>
      </w:r>
      <w:r w:rsidRPr="00FA46CE">
        <w:fldChar w:fldCharType="end"/>
      </w:r>
      <w:r>
        <w:t xml:space="preserve">, </w:t>
      </w:r>
      <w:r w:rsidR="00D50440">
        <w:t xml:space="preserve">for </w:t>
      </w:r>
      <w:r w:rsidR="009379E4">
        <w:t xml:space="preserve">more than 100,000 </w:t>
      </w:r>
      <w:r w:rsidR="009379E4" w:rsidRPr="009379E4">
        <w:t>km</w:t>
      </w:r>
      <w:r w:rsidR="009379E4" w:rsidRPr="009379E4">
        <w:rPr>
          <w:vertAlign w:val="superscript"/>
        </w:rPr>
        <w:t>2</w:t>
      </w:r>
      <w:r w:rsidR="009379E4">
        <w:t xml:space="preserve"> </w:t>
      </w:r>
      <w:r>
        <w:t xml:space="preserve">of our </w:t>
      </w:r>
      <w:r w:rsidR="005D3C65">
        <w:t xml:space="preserve">southern Atlantic Forest </w:t>
      </w:r>
      <w:r>
        <w:t xml:space="preserve">study area the coming decades </w:t>
      </w:r>
      <w:r w:rsidR="00D161F4">
        <w:t>may</w:t>
      </w:r>
      <w:r>
        <w:t xml:space="preserve"> bring more dramatic climatic and floristic change than </w:t>
      </w:r>
      <w:r w:rsidR="005D3C65">
        <w:t>has occurred at any time</w:t>
      </w:r>
      <w:r>
        <w:t xml:space="preserve"> </w:t>
      </w:r>
      <w:r w:rsidR="006A52A5">
        <w:t>since the LGM</w:t>
      </w:r>
      <w:r>
        <w:t xml:space="preserve"> </w:t>
      </w:r>
      <w:r w:rsidRPr="00FA46CE">
        <w:t>(</w:t>
      </w:r>
      <w:r w:rsidR="00FA46CE" w:rsidRPr="00FA46CE">
        <w:t>Fig</w:t>
      </w:r>
      <w:r w:rsidR="00FA46CE">
        <w:t>s</w:t>
      </w:r>
      <w:r w:rsidR="00FA46CE" w:rsidRPr="00FA46CE">
        <w:t xml:space="preserve">. </w:t>
      </w:r>
      <w:r w:rsidR="00D5427C">
        <w:t>6</w:t>
      </w:r>
      <w:r w:rsidR="00FA46CE">
        <w:t xml:space="preserve">, </w:t>
      </w:r>
      <w:r w:rsidR="00D5427C">
        <w:t>9</w:t>
      </w:r>
      <w:r w:rsidR="009A6169">
        <w:t xml:space="preserve">, </w:t>
      </w:r>
      <w:r w:rsidR="00FA46CE" w:rsidRPr="00FA46CE">
        <w:t>S</w:t>
      </w:r>
      <w:r w:rsidR="00D5427C">
        <w:t>5</w:t>
      </w:r>
      <w:r w:rsidR="00E13E09">
        <w:t>-S</w:t>
      </w:r>
      <w:r w:rsidR="00D5427C">
        <w:t>8</w:t>
      </w:r>
      <w:r w:rsidR="009A6169">
        <w:t xml:space="preserve">, </w:t>
      </w:r>
      <w:r w:rsidR="00084616">
        <w:t>S1</w:t>
      </w:r>
      <w:r w:rsidR="00D73E86">
        <w:t>4</w:t>
      </w:r>
      <w:r w:rsidR="00084616">
        <w:t>, Table S3</w:t>
      </w:r>
      <w:r w:rsidRPr="00FA46CE">
        <w:t>)</w:t>
      </w:r>
      <w:r>
        <w:t xml:space="preserve">. This is especially true across </w:t>
      </w:r>
      <w:r w:rsidR="00A07069">
        <w:t xml:space="preserve">highland areas </w:t>
      </w:r>
      <w:r w:rsidR="00FD386E">
        <w:t>from</w:t>
      </w:r>
      <w:r w:rsidR="00A07069">
        <w:t xml:space="preserve"> </w:t>
      </w:r>
      <w:r w:rsidR="00FD386E">
        <w:t>central</w:t>
      </w:r>
      <w:r w:rsidR="00347698">
        <w:t xml:space="preserve"> Santa Catarina </w:t>
      </w:r>
      <w:r w:rsidR="00FD386E">
        <w:t>to</w:t>
      </w:r>
      <w:r w:rsidR="00347698">
        <w:t xml:space="preserve"> southern Paraná</w:t>
      </w:r>
      <w:r>
        <w:t xml:space="preserve">, which </w:t>
      </w:r>
      <w:r w:rsidR="00765183">
        <w:t>stand to</w:t>
      </w:r>
      <w:r>
        <w:t xml:space="preserve"> lose most of the AMF, Campos and Cloud Forest species that have been present on the highlands since before the </w:t>
      </w:r>
      <w:r w:rsidRPr="00D73E86">
        <w:t xml:space="preserve">LGM </w:t>
      </w:r>
      <w:r w:rsidR="00D14D9C" w:rsidRPr="00D73E86">
        <w:fldChar w:fldCharType="begin" w:fldLock="1"/>
      </w:r>
      <w:r w:rsidR="00D73E86" w:rsidRPr="00D73E86">
        <w:instrText>ADDIN CSL_CITATION {"citationItems":[{"id":"ITEM-1","itemData":{"DOI":"10.1016/S0031-0182(03)00687-4","ISBN":"0031-0182","ISSN":"00310182","abstract":"Late Quaternary vegetation, fire and climate dynamics have been studied based on high-resolution dated pollen and charcoal samples and multivariate data analysis. The samples were taken from a 212-cm-long sediment core of a bog in the Cambará do Sul region on the highlands of northeastern Rio Grande do Sul State, Brazil. The records, including seven AMS radiocarbon dates, span 42 840 14C years, for the first time extending the reconstruction of past environmental changes on the southern Brazilian highlands back to the Last Glacial Maximum (LGM) and pre-LGM times. The last 1100 years provide a decadal resolution. Initially the site was a permanent shallow lake which became seasonally dry after 26 900 14C yr BP. Seasonal climate with a long annual dry period prevailed until the late Holocene. The climate was somewhat wetter from 42 840 to 41 470 14C yr BP and from 41 470 to 26 900 14C yr BP than during the LGM and the late-Glacial period. Natural fires were rare, but became very frequent after 7400 cal BP, suggesting human occupation of the southernmost Brazilian highlands since that time. The records suggest that a species-rich Campos (grassland) vegetation existed in the area under a relatively dry and cold climate during glacial times under possibly as low as -10°C. The record also suggests that small populations of Araucaria were probably only present in refugia of deep and protected valleys and/or on wetter coastal slopes. Campos vegetation existed through the early and mid-Holocene until 4320 cal yr BP, after which Araucaria forest expanded into the network of gallery forests along the streams. By 1100 cal yr BP the Araucaria forest replaced the Campos vegetation reflecting the onset of the wettest period with no marked annual dry season. The marked expansion of the Araucaria forest coincided with the reduction in fire. Between AD 1520 and 1770 Weinmannia became a common taxa in the Araucaria forest, suggesting a shift to warmer climatic conditions on the highlands. This interval was synchronous with a cool phase within the Little Ice Age known from North Atlantic land records. After about AD 1780 human activities changed the original forest composition, first by introducing cattle into the forest and than by selective logging of Araucaria trees. Multivariate analysis of the pollen data shows compositional changes that follow a trajectory alternating undirectional, random phases and phases with directional, sometimes fast transitions. The results al…","author":[{"dropping-particle":"","family":"Behling","given":"Hermann","non-dropping-particle":"","parse-names":false,"suffix":""},{"dropping-particle":"","family":"Pillar","given":"Valerio DePatta","non-dropping-particle":"","parse-names":false,"suffix":""},{"dropping-particle":"","family":"Orlóci","given":"László","non-dropping-particle":"","parse-names":false,"suffix":""},{"dropping-particle":"","family":"Bauermann","given":"Soraia Girardi","non-dropping-particle":"","parse-names":false,"suffix":""}],"container-title":"Palaeogeography, Palaeoclimatology, Palaeoecology","id":"ITEM-1","issue":"3-4","issued":{"date-parts":[["2004"]]},"note":"CamSu\n\nDetailed examination of Cambara do Sul core in NE Rio Grande do Sul, 42,658 C14 yr BP to present. Shows 100 year Campos-Araucaria switch in about 1100 cal yr BP.\n\nNEEDS SOME REINTERPRETING WITH LEONHARDT &amp;amp; LORSCHEITTER 2010. SEE NOTE\n\n(All dates C14 yr BP)\n\n42,840 - 41,470\n83-88% campos pollen, 8-14% Araucaria forest pollen (only 2 grains of A. angustifolia), only one pollen grain from Atlantic forest taxa, aquatics 6-16%, ferns 3-6%. Low conc and accumulation of carbonised particles.\n\n41,4701 - 26,900\n87-94% campos pollen, 3-9% Araucaria forest (less pollen from Myrtaceae), a few single grains of Atlantic forest pollen, less aquatic pollen (3-7%), fewer fern spores (0-3%). Carbonised particles still rare.\n\n26,900 - 10,120\n87-97% campos pollen (though changing composition - Poaceae down, Eryngium up; less Apiaceae), 1-5% Araucaria forest, 0-0.3% Atlantic forest (lowest for both), 1-3% aquatic, lowest time for ferns (but big increase at end of zone). Carbonised particles rare.\n\n10,120 - 3,950 (11,540 - 4,320 cal yr BP)\n74-88% campos but lower near end (Poaceae up from last time; Eryngium get more common; other compositional changes), 3-13% Araucaria forest (up slightly thanks to A. angustifolia and Myrsine), 0-4% Atlantic (up slightly), trace aquatics, big increase of ferns (up to 46%) then decrease by end (to 9%), increase in Dicksonia (0-14%). Lots of carbonised particles higher up in this section.\n\n3950 - 1140 (4320 - 1100 cal yr BP)\n65-84% campos (down a bit but still high; Cyperaceae up, Poaceae and Eryngium down), 13-27% Araucaria forest (mainly A. angustifolia 4-7%, Myrsine and Weinmannia), 2-5% Atlantic forest, fern spores up again (9-40%), Dicksonia common (9-16%). Lots and lots of carbonised particles.\n\n1140 - 410 (1100 - 430 cal yr BP)\nCampos way down and keeps going (55-24%), continuous increase of Araucaria forest pollen (39-80%) with A. angustifolia going up 14-42% and big increase in Mimosa scabrella, no change in Atlantic (2-6%), fewer fern spores (5-19%), highest Dicksonia spore level (9-26%), high point for mosses but decrease later. Low concentration of carbonised particles but higher accumulation than at beginning of core.\n\n410 - -50 (430 - -50 cal yr BP)\nCampos start way down (to 11%) but increase (to 38%, through Cyperaceae then Poaceae) then go down right at the end, Araucaria forest highest early on (87%) but decreases at the end (65%) as A. angustifolia drops off right at the end (41-2%; Mimosa scabrella jumps correspondingly; other changes), nothing much happens with Atlantic forest (2-7%), fern spores go down (21-2%) and Dicksonia crashes by end (19-0.3%). Similar carbonised particles to before.","page":"277-297","title":"Late Quaternary Araucaria forest, grassland (Campos), fire and climate dynamics, studied by high-resolution pollen, charcoal and multivariate analysis of the Cambará do Sul core in southern Brazil","type":"article-journal","volume":"203"},"prefix":"Figs. 6, S9, S12;","uris":["http://www.mendeley.com/documents/?uuid=46579170-55fd-37c2-8f78-517419a62e98"]}],"mendeley":{"formattedCitation":"(Figs. 6, S9, S12; Behling et al., 2004)","plainTextFormattedCitation":"(Figs. 6, S9, S12; Behling et al., 2004)","previouslyFormattedCitation":"(Figs. 6, S9, S12; Behling et al., 2004)"},"properties":{"noteIndex":0},"schema":"https://github.com/citation-style-language/schema/raw/master/csl-citation.json"}</w:instrText>
      </w:r>
      <w:r w:rsidR="00D14D9C" w:rsidRPr="00D73E86">
        <w:fldChar w:fldCharType="separate"/>
      </w:r>
      <w:r w:rsidR="00D73E86" w:rsidRPr="00D73E86">
        <w:rPr>
          <w:noProof/>
        </w:rPr>
        <w:t>(Figs. 6, S9, S12; Behling et al., 2004)</w:t>
      </w:r>
      <w:r w:rsidR="00D14D9C" w:rsidRPr="00D73E86">
        <w:fldChar w:fldCharType="end"/>
      </w:r>
      <w:r w:rsidRPr="00E13E09">
        <w:t>.</w:t>
      </w:r>
      <w:r>
        <w:t xml:space="preserve"> </w:t>
      </w:r>
      <w:r w:rsidR="00E27970">
        <w:t>Our modelling suggests that t</w:t>
      </w:r>
      <w:r>
        <w:t xml:space="preserve">hese </w:t>
      </w:r>
      <w:r w:rsidR="00E27970">
        <w:t xml:space="preserve">future </w:t>
      </w:r>
      <w:r>
        <w:t xml:space="preserve">changes in species’ distributions </w:t>
      </w:r>
      <w:r w:rsidR="00E27970">
        <w:t>will likely</w:t>
      </w:r>
      <w:r>
        <w:t xml:space="preserve"> lead to the development of numerou</w:t>
      </w:r>
      <w:r w:rsidR="0013125C">
        <w:t>s</w:t>
      </w:r>
      <w:r>
        <w:t xml:space="preserve"> plant communities with few or no analogues in the present – and, in some cases, the past </w:t>
      </w:r>
      <w:r w:rsidRPr="00E13E09">
        <w:t>(</w:t>
      </w:r>
      <w:r w:rsidR="00E13E09" w:rsidRPr="00E13E09">
        <w:t>F</w:t>
      </w:r>
      <w:r w:rsidRPr="00E13E09">
        <w:t>ig</w:t>
      </w:r>
      <w:r w:rsidR="00E13E09" w:rsidRPr="00E13E09">
        <w:t xml:space="preserve">s. </w:t>
      </w:r>
      <w:r w:rsidR="00D73E86">
        <w:t>8</w:t>
      </w:r>
      <w:r w:rsidR="00E13E09" w:rsidRPr="00E13E09">
        <w:t>, S2</w:t>
      </w:r>
      <w:r w:rsidRPr="00E13E09">
        <w:t>)</w:t>
      </w:r>
      <w:r>
        <w:t xml:space="preserve">. </w:t>
      </w:r>
      <w:r w:rsidR="00E27970">
        <w:t>Although</w:t>
      </w:r>
      <w:r>
        <w:t xml:space="preserve"> modelling </w:t>
      </w:r>
      <w:r w:rsidR="00F62827">
        <w:t>additional</w:t>
      </w:r>
      <w:r>
        <w:t xml:space="preserve"> species </w:t>
      </w:r>
      <w:r w:rsidR="00E27970">
        <w:t>will no doubt</w:t>
      </w:r>
      <w:r>
        <w:t xml:space="preserve"> refine SDM characterisations of these </w:t>
      </w:r>
      <w:r w:rsidR="0013125C">
        <w:t>assemblages</w:t>
      </w:r>
      <w:r>
        <w:t xml:space="preserve">, </w:t>
      </w:r>
      <w:r w:rsidR="00F62827">
        <w:t>our modelling results suggest</w:t>
      </w:r>
      <w:r w:rsidR="00E27970">
        <w:t xml:space="preserve"> that</w:t>
      </w:r>
      <w:r>
        <w:t xml:space="preserve"> </w:t>
      </w:r>
      <w:r w:rsidR="00F62827">
        <w:t>the predicted loss of many key species may profoundly change the fundamental properties and character of these ecosystems, potentially rendering them more vulnerable to</w:t>
      </w:r>
      <w:r>
        <w:t xml:space="preserve"> invasive</w:t>
      </w:r>
      <w:r w:rsidR="00F62827">
        <w:t>,</w:t>
      </w:r>
      <w:r>
        <w:t xml:space="preserve"> non-native species.</w:t>
      </w:r>
      <w:r w:rsidR="004656E8">
        <w:t xml:space="preserve"> </w:t>
      </w:r>
    </w:p>
    <w:p w14:paraId="4AB0D9A4" w14:textId="00DC9CA9" w:rsidR="0037348F" w:rsidRDefault="009E526C" w:rsidP="00F74804">
      <w:pPr>
        <w:spacing w:line="360" w:lineRule="auto"/>
      </w:pPr>
      <w:r>
        <w:t xml:space="preserve">We also find some indication that these </w:t>
      </w:r>
      <w:r w:rsidR="00D202C5">
        <w:t>climate change</w:t>
      </w:r>
      <w:r w:rsidR="00F62827">
        <w:t xml:space="preserve">-induced </w:t>
      </w:r>
      <w:r w:rsidR="00D202C5">
        <w:t xml:space="preserve">alterations </w:t>
      </w:r>
      <w:r>
        <w:t xml:space="preserve">are already underway. </w:t>
      </w:r>
      <w:r w:rsidR="00804ED8">
        <w:t xml:space="preserve">In the present day, </w:t>
      </w:r>
      <w:r w:rsidR="00CA5544">
        <w:t xml:space="preserve">our models place </w:t>
      </w:r>
      <w:r w:rsidR="00D4217A">
        <w:t xml:space="preserve">the lower boundaries of more cold-adapted </w:t>
      </w:r>
      <w:r w:rsidR="00095DBD">
        <w:t>floristic</w:t>
      </w:r>
      <w:r w:rsidR="001072C2">
        <w:t xml:space="preserve"> </w:t>
      </w:r>
      <w:r w:rsidR="00D4217A">
        <w:t>assemblages at higher elevations than suggested by Brazil’s official vegetation classification, and more warm-adapted groups extend higher up</w:t>
      </w:r>
      <w:r w:rsidR="003E0F3C">
        <w:t xml:space="preserve"> </w:t>
      </w:r>
      <w:r w:rsidR="003E0F3C" w:rsidRPr="00E13E09">
        <w:fldChar w:fldCharType="begin" w:fldLock="1"/>
      </w:r>
      <w:r w:rsidR="003D6675">
        <w:instrText>ADDIN CSL_CITATION {"citationItems":[{"id":"ITEM-1","itemData":{"ISBN":"978-85-240-4272-0","author":[{"dropping-particle":"","family":"IBGE","given":"Instituto Brasileiro de Geografia e Estatística","non-dropping-particle":"","parse-names":false,"suffix":""}],"container-title":"Manuais Técnicos em Geociências","id":"ITEM-1","issued":{"date-parts":[["2012"]]},"number-of-pages":"271","publisher-place":"Rio de Janeiro","title":"Manual Técnico da Vegetação Brasileira","type":"report","volume":"1"},"prefix":"Fig. 5; ","uris":["http://www.mendeley.com/documents/?uuid=a6c14f80-dd2e-4c01-a58e-3e8b818498ef"]}],"mendeley":{"formattedCitation":"(Fig. 5; IBGE, 2012)","plainTextFormattedCitation":"(Fig. 5; IBGE, 2012)","previouslyFormattedCitation":"(Fig. 5; IBGE, 2012)"},"properties":{"noteIndex":0},"schema":"https://github.com/citation-style-language/schema/raw/master/csl-citation.json"}</w:instrText>
      </w:r>
      <w:r w:rsidR="003E0F3C" w:rsidRPr="00E13E09">
        <w:fldChar w:fldCharType="separate"/>
      </w:r>
      <w:r w:rsidR="003D6675" w:rsidRPr="003D6675">
        <w:rPr>
          <w:noProof/>
        </w:rPr>
        <w:t>(Fig. 5; IBGE, 2012)</w:t>
      </w:r>
      <w:r w:rsidR="003E0F3C" w:rsidRPr="00E13E09">
        <w:fldChar w:fldCharType="end"/>
      </w:r>
      <w:r w:rsidR="003D331D">
        <w:t xml:space="preserve">. </w:t>
      </w:r>
      <w:r w:rsidR="00C878D1">
        <w:t>This could be an artifact of the data used to construct our models</w:t>
      </w:r>
      <w:r w:rsidR="008E1EBA">
        <w:t xml:space="preserve">, as </w:t>
      </w:r>
      <w:r w:rsidR="009E52A3">
        <w:t>e</w:t>
      </w:r>
      <w:r w:rsidR="00C878D1">
        <w:t xml:space="preserve">xtensive deforestation in the west of our study area </w:t>
      </w:r>
      <w:r w:rsidR="00C878D1" w:rsidRPr="00E13E09">
        <w:t>(</w:t>
      </w:r>
      <w:r w:rsidR="00E13E09">
        <w:t>F</w:t>
      </w:r>
      <w:r w:rsidR="00C878D1" w:rsidRPr="00E13E09">
        <w:t xml:space="preserve">ig. </w:t>
      </w:r>
      <w:r w:rsidR="00E13E09">
        <w:t>1</w:t>
      </w:r>
      <w:r w:rsidR="00C878D1" w:rsidRPr="00E13E09">
        <w:t>)</w:t>
      </w:r>
      <w:r w:rsidR="00C878D1">
        <w:t xml:space="preserve"> </w:t>
      </w:r>
      <w:r w:rsidR="002A02A1">
        <w:t>has</w:t>
      </w:r>
      <w:r w:rsidR="00C878D1">
        <w:t xml:space="preserve"> </w:t>
      </w:r>
      <w:r w:rsidR="007C1E02">
        <w:t xml:space="preserve">eradicated </w:t>
      </w:r>
      <w:r w:rsidR="00F97B66">
        <w:t xml:space="preserve">many climatically suitable </w:t>
      </w:r>
      <w:r w:rsidR="00603A93">
        <w:t xml:space="preserve">localities </w:t>
      </w:r>
      <w:r w:rsidR="002A02A1">
        <w:t>for some species</w:t>
      </w:r>
      <w:r w:rsidR="00FF09DE">
        <w:t>, which may have led</w:t>
      </w:r>
      <w:r w:rsidR="007C1E02">
        <w:t xml:space="preserve"> </w:t>
      </w:r>
      <w:r w:rsidR="00585C4F">
        <w:t>the SDM</w:t>
      </w:r>
      <w:r w:rsidR="00F57035">
        <w:t xml:space="preserve"> algorithms </w:t>
      </w:r>
      <w:r w:rsidR="00FF09DE">
        <w:t xml:space="preserve">to assume </w:t>
      </w:r>
      <w:r w:rsidR="00F32F7A">
        <w:t>conditions are unsuitable</w:t>
      </w:r>
      <w:r w:rsidR="00220760">
        <w:t xml:space="preserve"> for them</w:t>
      </w:r>
      <w:r w:rsidR="008E1EBA">
        <w:t>.</w:t>
      </w:r>
      <w:r w:rsidR="0074443B">
        <w:t xml:space="preserve"> </w:t>
      </w:r>
      <w:r w:rsidR="008E1EBA">
        <w:t>T</w:t>
      </w:r>
      <w:r w:rsidR="0074443B">
        <w:t xml:space="preserve">he IFFSC’s systematic sampling </w:t>
      </w:r>
      <w:r w:rsidR="00420E9B">
        <w:fldChar w:fldCharType="begin" w:fldLock="1"/>
      </w:r>
      <w:r w:rsidR="007F330C">
        <w:instrText>ADDIN CSL_CITATION {"citationItems":[{"id":"ITEM-1","itemData":{"DOI":"10.4336/2010.pfb.64.291","abstract":"The purpose of this study is to contribute to the discussion on regional and national forest inventories, aiming mainly on aspects of methodos and operational. The Floristic and Forest Inventory of Santa Catarina State (IFFSC) is an initiative of the state government and it was conceived in order to attend requirements of environmental laws. A pilot inventory took place in 2005; then the methodology was fitted to the proposal of the National Forest Inventory (IFN-BR) in discussion at the time. IFFSC is carried out since 2007 in all natural forest formations all over the state’s territory, including floristic sampling (collection of fertile trees, shrubs and herbs within the sample unit and in its surroundings) and survey of vascular epiphytes by specialized crews. The inventory applies a systematic sampling, with sample units containing clusters of four crosswise 1,000 m² plots (20 m x 50 m), distributed systematically at the intersections of a 10 km x 10 km grid all over the state’s territory (a 5 km x 5 km grid is applied on highly fragmentized Seasonal Deciduous Forests). Methodological details and some important operational issues are discussed beyond the four years experience of IFFSC. Major sampling intensity and lower diameter and height thresholds (in the arboreal and regeneration strata) than in the nationwide inventory proposal (IFN-BR), as well as the execution of a floristic survey within and around the sample plots, showed to be important to record plant diversity of Santa Catarina’s forests.","author":[{"dropping-particle":"","family":"Vibrans","given":"Alexander Christian","non-dropping-particle":"","parse-names":false,"suffix":""},{"dropping-particle":"","family":"Sevegnani","given":"Lúcia","non-dropping-particle":"","parse-names":false,"suffix":""},{"dropping-particle":"","family":"Lingner","given":"Débora Vanessa","non-dropping-particle":"","parse-names":false,"suffix":""},{"dropping-particle":"","family":"Gasper","given":"André Luís","non-dropping-particle":"de","parse-names":false,"suffix":""},{"dropping-particle":"","family":"Sabbagh","given":"Shams","non-dropping-particle":"","parse-names":false,"suffix":""}],"container-title":"Pesquisa Florestal Brasileira","id":"ITEM-1","issue":"64","issued":{"date-parts":[["2010"]]},"page":"291-302","title":"Inventário florístico florestal de Santa Catarina (IFFSC): aspectos metodológicos e operacionais","type":"article-journal","volume":"30"},"uris":["http://www.mendeley.com/documents/?uuid=373f3df7-0ac2-3c2f-982b-59c479bdbbcb"]},{"id":"ITEM-2","itemData":{"DOI":"10.1590/1678-992x-2018-0036","ISSN":"1678992X","abstract":"A key issue in large-area inventories is defining a suitable sampling design and the effort required to obtain reliable estimates of species richness and forest attributes, especially in species-diverse forests. To address this issue, data from 418 systematically distributed 0.4 ha plots were collected. Estimators of nonparametric species richness were employed to assess the floristic representativeness of data collected in three forest types in the Brazilian Atlantic Forest. The sampling sufficiency of forest attributes was evaluated as a function of sample size. Altogether, 831 tree/shrub species were recorded. The data acquired through the systematic sampling design were representative of both species richness and basal area. The confidence intervals’ length would not substantially decrease by using more than 70% of the reference sample (n = 364), thereby reaching a length of ~5% of the sample mean. Nevertheless, reliable estimates of species richness for diverse forests demand a thorough sampling approach far more exacting so as to achieve acceptable population estimates of forest attributes. Though the study area is regarded as a biodiversity hotspot, the forest stands showed diminished species richness, basal area, stem volume and biomass when compared to old-growth stands. As regards species richness, the data provided evidence of contrasting great γ-diversity (at the forest type level) and small α-diversity (at the forest stand level). Amongst anthropic impacts, illegal logging and extensive cattle grazing within stands are undoubtedly key factors that threaten forest conservation in the study area.","author":[{"dropping-particle":"","family":"Vibrans","given":"Alexander Christian","non-dropping-particle":"","parse-names":false,"suffix":""},{"dropping-particle":"","family":"Gasper","given":"André Luís","non-dropping-particle":"De","parse-names":false,"suffix":""},{"dropping-particle":"","family":"Moser","given":"Paolo","non-dropping-particle":"","parse-names":false,"suffix":""},{"dropping-particle":"","family":"Oliveira","given":"Laio Zimermann","non-dropping-particle":"","parse-names":false,"suffix":""},{"dropping-particle":"","family":"Lingner","given":"Débora Vanessa","non-dropping-particle":"","parse-names":false,"suffix":""},{"dropping-particle":"","family":"Sevegnani","given":"Lucia","non-dropping-particle":"","parse-names":false,"suffix":""}],"container-title":"Scientia Agricola","id":"ITEM-2","issue":"1","issued":{"date-parts":[["2020"]]},"publisher":"Scientia Agricola","title":"Insights from a large-scale inventory in the southern Brazilian Atlantic Forest","type":"article-journal","volume":"77"},"uris":["http://www.mendeley.com/documents/?uuid=7eedcf07-b116-3afc-b8cc-5e691b952677"]}],"mendeley":{"formattedCitation":"(Vibrans et al., 2020, 2010)","plainTextFormattedCitation":"(Vibrans et al., 2020, 2010)","previouslyFormattedCitation":"(Vibrans et al., 2020, 2010)"},"properties":{"noteIndex":0},"schema":"https://github.com/citation-style-language/schema/raw/master/csl-citation.json"}</w:instrText>
      </w:r>
      <w:r w:rsidR="00420E9B">
        <w:fldChar w:fldCharType="separate"/>
      </w:r>
      <w:r w:rsidR="005944BB" w:rsidRPr="005944BB">
        <w:rPr>
          <w:noProof/>
        </w:rPr>
        <w:t>(Vibrans et al., 2020, 2010)</w:t>
      </w:r>
      <w:r w:rsidR="00420E9B">
        <w:fldChar w:fldCharType="end"/>
      </w:r>
      <w:r w:rsidR="000A7CAD">
        <w:t xml:space="preserve"> </w:t>
      </w:r>
      <w:r w:rsidR="0074443B">
        <w:t>should mitigate against th</w:t>
      </w:r>
      <w:r w:rsidR="000A7CAD">
        <w:t>is</w:t>
      </w:r>
      <w:r w:rsidR="00A15A7B">
        <w:t xml:space="preserve">, </w:t>
      </w:r>
      <w:r w:rsidR="008E1EBA">
        <w:t xml:space="preserve">though, </w:t>
      </w:r>
      <w:r w:rsidR="0074443B">
        <w:t xml:space="preserve">and </w:t>
      </w:r>
      <w:r w:rsidR="00043D31">
        <w:t>A</w:t>
      </w:r>
      <w:r w:rsidR="007749D9">
        <w:t>MF and SDF species are not similarly affected</w:t>
      </w:r>
      <w:r w:rsidR="00297202">
        <w:t>, being</w:t>
      </w:r>
      <w:r w:rsidR="00CF5BC6">
        <w:t xml:space="preserve"> respectively</w:t>
      </w:r>
      <w:r w:rsidR="00297202">
        <w:t xml:space="preserve"> under- and over-predicted</w:t>
      </w:r>
      <w:r w:rsidR="00D77BA2">
        <w:t>.</w:t>
      </w:r>
      <w:r w:rsidR="00E95CAB">
        <w:t xml:space="preserve"> It could also reflect </w:t>
      </w:r>
      <w:r w:rsidR="005065F3">
        <w:t xml:space="preserve">the </w:t>
      </w:r>
      <w:r w:rsidR="00DE28CD">
        <w:t xml:space="preserve">fact that ecosystems’ current potential distributions </w:t>
      </w:r>
      <w:r w:rsidR="001F6031">
        <w:t>were likely dictated by</w:t>
      </w:r>
      <w:r w:rsidR="00F35D78">
        <w:t xml:space="preserve"> pre-industrial climates somewhat different to those of the CHELSA data’s present period (1979-2013), which includes</w:t>
      </w:r>
      <w:r w:rsidR="000564A8">
        <w:t xml:space="preserve"> recent decades’ anthropogenic warming</w:t>
      </w:r>
      <w:r w:rsidR="001C6D7E">
        <w:t xml:space="preserve"> </w:t>
      </w:r>
      <w:r w:rsidR="001C6D7E">
        <w:fldChar w:fldCharType="begin" w:fldLock="1"/>
      </w:r>
      <w:r w:rsidR="007F330C">
        <w:instrText>ADDIN CSL_CITATION {"citationItems":[{"id":"ITEM-1","itemData":{"DOI":"10.1002/joc.4792","ISSN":"10970088","abstract":"Trends in near-surface air temperature and precipitation over South America are examined for the periods 1975–2004 and 1955–2004, respectively, using multiple observational and climate model data sets. The results for observed near-surface air temperature show an overall warming trend over much of the continent, with the largest magnitudes over central Brazil. These observed trends are found to be statistically significant using pre-industrial control simulations from the fifth phase of the Coupled Model Intercomparison Project (CMIP5) as the baseline to estimate natural climate variability. The observed trends are compared with those obtained in natural-only CMIP5 simulations, in which only natural forcings (i.e. volcanoes and solar variability) are included, and in historical CMIP5 simulations, in which anthropogenic forcings (i.e. changes in the atmospheric composition) are further incorporated. The historical CMIP5 simulations are more successful in capturing the observed temperature trends than the simulations with natural forcings only. It is suggested that anthropogenic warming is already evident over much of South America. Unlike the warming trends, observed precipitation trends over South America are less spatially coherent with both negative and positive values across the continent. Significant positive trends are found over South America in only one of the data sets used, and over a region that roughly encompasses the southern part of La Plata Basin (southern Brazil, Uruguay, and northeastern Argentina) in all data sets used. The historical CMIP5 simulations do not capture this feature. No firm conclusions are reached, therefore, for anthropogenic influences on precipitation changes in the period selected for study.","author":[{"dropping-particle":"","family":"Barros Soares","given":"Daniel","non-dropping-particle":"de","parse-names":false,"suffix":""},{"dropping-particle":"","family":"Lee","given":"Huikyo","non-dropping-particle":"","parse-names":false,"suffix":""},{"dropping-particle":"","family":"Loikith","given":"Paul C.","non-dropping-particle":"","parse-names":false,"suffix":""},{"dropping-particle":"","family":"Barkhordarian","given":"Armineh","non-dropping-particle":"","parse-names":false,"suffix":""},{"dropping-particle":"","family":"Mechoso","given":"Carlos R.","non-dropping-particle":"","parse-names":false,"suffix":""}],"container-title":"International Journal of Climatology","id":"ITEM-1","issue":"3","issued":{"date-parts":[["2017","3","1"]]},"note":"Not really designed to pick up performance of models, but looks at 20th C warming in South America and finds anthropogenic causes, up to 1 degC per decade in Brazil. Some stuff looking at how the models did against observations","page":"1483-1493","publisher":"Wiley-Blackwell","title":"Can significant trends be detected in surface air temperature and precipitation over South America in recent decades?","type":"article-journal","volume":"37"},"uris":["http://www.mendeley.com/documents/?uuid=31ebf6f6-fc36-3552-a56d-3afc82792a45"]},{"id":"ITEM-2","itemData":{"DOI":"10.1038/sdata.2017.122","ISSN":"2052-4463","abstract":"High resolution information of climatic conditions is essential to many application in environmental sciences. Here we present the CHELSA algorithm to downscale temperature and precipitation estimates from the European Centre for Medium-Range Weather Forecast (ECMWF) climatic reanalysis interim (ERA-Interim) to a high resolution of 30 arc sec. The algorithm for temperature is based on a statistical downscaling of atmospheric temperature from the ERA-Interim climatic reanalysis. The precipitation algorithm incorporates orographic predictors such as wind fields, valley exposition, and boundary layer height, and a bias correction using Global Precipitation Climatology Center (GPCC) gridded and Global Historical Climate Network (GHCN) station data. The resulting data consist of a monthly temperature and precipitation climatology for the years 1979-2013. We present a comparison of data derived from the CHELSA algorithm with two other high resolution gridded products with overlapping temporal resolution (Tropical Rain Measuring Mission (TRMM) for precipitation, Moderate Resolution Imaging Spectroradiometer (MODIS) for temperature) and station data from the Global Historical Climate Network (GHCN). We show that the climatological data from CHELSA has a similar accuracy to other products for temperature, but that the predictions of orographic precipitation patterns are both better and at a high spatial resolution.","author":[{"dropping-particle":"","family":"Karger","given":"Dirk Nikolaus","non-dropping-particle":"","parse-names":false,"suffix":""},{"dropping-particle":"","family":"Conrad","given":"Olaf","non-dropping-particle":"","parse-names":false,"suffix":""},{"dropping-particle":"","family":"Böhner","given":"Jürgen","non-dropping-particle":"","parse-names":false,"suffix":""},{"dropping-particle":"","family":"Kawohl","given":"Tobias","non-dropping-particle":"","parse-names":false,"suffix":""},{"dropping-particle":"","family":"Kreft","given":"Holger","non-dropping-particle":"","parse-names":false,"suffix":""},{"dropping-particle":"","family":"Soria-Auza","given":"Rodrigo Wilber","non-dropping-particle":"","parse-names":false,"suffix":""},{"dropping-particle":"","family":"Zimmermann","given":"Niklaus E.","non-dropping-particle":"","parse-names":false,"suffix":""},{"dropping-particle":"","family":"Linder","given":"H. Peter","non-dropping-particle":"","parse-names":false,"suffix":""},{"dropping-particle":"","family":"Kessler","given":"Michael","non-dropping-particle":"","parse-names":false,"suffix":""}],"container-title":"Scientific Data","id":"ITEM-2","issued":{"date-parts":[["2017","9","5"]]},"note":"Chelsa data described, methodology set out, compared to worldclim (which is done by interpolation, not statistical downscaling) especially in SDM construction and found to be superior","page":"170122","publisher":"Nature Publishing Group","title":"Climatologies at high resolution for the earth’s land surface areas","type":"article-journal","volume":"4"},"uris":["http://www.mendeley.com/documents/?uuid=f70b57db-b978-3d25-9762-f98814a0e3ed"]}],"mendeley":{"formattedCitation":"(de Barros Soares et al., 2017; Karger et al., 2017b)","plainTextFormattedCitation":"(de Barros Soares et al., 2017; Karger et al., 2017b)","previouslyFormattedCitation":"(de Barros Soares et al., 2017; Karger et al., 2017b)"},"properties":{"noteIndex":0},"schema":"https://github.com/citation-style-language/schema/raw/master/csl-citation.json"}</w:instrText>
      </w:r>
      <w:r w:rsidR="001C6D7E">
        <w:fldChar w:fldCharType="separate"/>
      </w:r>
      <w:r w:rsidR="005944BB" w:rsidRPr="005944BB">
        <w:rPr>
          <w:noProof/>
          <w:lang w:val="sv-SE"/>
        </w:rPr>
        <w:t>(de Barros Soares et al., 2017; Karger et al., 2017b)</w:t>
      </w:r>
      <w:r w:rsidR="001C6D7E">
        <w:fldChar w:fldCharType="end"/>
      </w:r>
      <w:r w:rsidR="001B7836" w:rsidRPr="00A82061">
        <w:rPr>
          <w:lang w:val="sv-SE"/>
        </w:rPr>
        <w:t xml:space="preserve">. </w:t>
      </w:r>
      <w:r w:rsidR="004E5DD9">
        <w:t>This</w:t>
      </w:r>
      <w:r w:rsidR="00EF2513">
        <w:t xml:space="preserve"> mismatch between </w:t>
      </w:r>
      <w:r w:rsidR="004636D3">
        <w:t xml:space="preserve">‘present day’ </w:t>
      </w:r>
      <w:r w:rsidR="00EF2513">
        <w:t>climate data</w:t>
      </w:r>
      <w:r w:rsidR="00DE3F94">
        <w:t xml:space="preserve"> and when </w:t>
      </w:r>
      <w:r w:rsidR="004E5DD9">
        <w:t xml:space="preserve">climate conditions were last </w:t>
      </w:r>
      <w:r w:rsidR="00927F98">
        <w:t xml:space="preserve">physiologically relevant </w:t>
      </w:r>
      <w:r w:rsidR="004E5DD9">
        <w:t xml:space="preserve">may be non-trivial for </w:t>
      </w:r>
      <w:r w:rsidR="00B63AC8">
        <w:t xml:space="preserve">ecosystems or long-lived tree species, and its impact on SDMs warrants </w:t>
      </w:r>
      <w:r w:rsidR="00AA276B">
        <w:t xml:space="preserve">both </w:t>
      </w:r>
      <w:r w:rsidR="00077C8E">
        <w:t>consideration and research.</w:t>
      </w:r>
      <w:r w:rsidR="00DF5AE1">
        <w:t xml:space="preserve"> T</w:t>
      </w:r>
      <w:r w:rsidR="00853655">
        <w:t xml:space="preserve">aken together, </w:t>
      </w:r>
      <w:r w:rsidR="007A4ED2">
        <w:t xml:space="preserve">the </w:t>
      </w:r>
      <w:r w:rsidR="00F359CE">
        <w:t xml:space="preserve">apparent </w:t>
      </w:r>
      <w:r w:rsidR="00077C8E">
        <w:t>over</w:t>
      </w:r>
      <w:r w:rsidR="007A4ED2">
        <w:t>-/</w:t>
      </w:r>
      <w:r w:rsidR="00F359CE">
        <w:t>under</w:t>
      </w:r>
      <w:r w:rsidR="00846798">
        <w:t>-</w:t>
      </w:r>
      <w:r w:rsidR="00077C8E">
        <w:t>prediction of warm-</w:t>
      </w:r>
      <w:r w:rsidR="00F359CE">
        <w:t>/cold-</w:t>
      </w:r>
      <w:r w:rsidR="00077C8E">
        <w:t xml:space="preserve">adapted species </w:t>
      </w:r>
      <w:r w:rsidR="00C64B64">
        <w:t>could</w:t>
      </w:r>
      <w:r w:rsidR="00847F26">
        <w:t xml:space="preserve"> </w:t>
      </w:r>
      <w:r w:rsidR="00285617">
        <w:t xml:space="preserve">therefore </w:t>
      </w:r>
      <w:r w:rsidR="00C64B64">
        <w:t xml:space="preserve">be a </w:t>
      </w:r>
      <w:r w:rsidR="001427C5">
        <w:t>genuine pattern</w:t>
      </w:r>
      <w:r w:rsidR="00C4291E">
        <w:t xml:space="preserve"> resulting from </w:t>
      </w:r>
      <w:r w:rsidR="00846798">
        <w:t xml:space="preserve">the inclusion of </w:t>
      </w:r>
      <w:r w:rsidR="006339CF">
        <w:t xml:space="preserve">recent </w:t>
      </w:r>
      <w:r w:rsidR="00C4291E">
        <w:t xml:space="preserve">anthropogenic warming in </w:t>
      </w:r>
      <w:r w:rsidR="00C4291E">
        <w:lastRenderedPageBreak/>
        <w:t>‘present’ climate data</w:t>
      </w:r>
      <w:r w:rsidR="006339CF">
        <w:t>, which is likely to become exacerbated through the 21</w:t>
      </w:r>
      <w:r w:rsidR="006339CF" w:rsidRPr="001043D4">
        <w:rPr>
          <w:vertAlign w:val="superscript"/>
        </w:rPr>
        <w:t>st</w:t>
      </w:r>
      <w:r w:rsidR="006339CF">
        <w:t xml:space="preserve"> century as the magnitude of </w:t>
      </w:r>
      <w:r w:rsidR="001043D4">
        <w:t>climate change</w:t>
      </w:r>
      <w:r w:rsidR="006339CF">
        <w:t xml:space="preserve"> increases.</w:t>
      </w:r>
    </w:p>
    <w:p w14:paraId="01DFD2D5" w14:textId="284326C0" w:rsidR="00C54ADD" w:rsidRDefault="006339CF" w:rsidP="00F74804">
      <w:pPr>
        <w:pStyle w:val="Heading2"/>
        <w:numPr>
          <w:ilvl w:val="1"/>
          <w:numId w:val="5"/>
        </w:numPr>
        <w:spacing w:line="360" w:lineRule="auto"/>
      </w:pPr>
      <w:r>
        <w:t xml:space="preserve">Implications for </w:t>
      </w:r>
      <w:r w:rsidR="00C54ADD">
        <w:t>Conservation</w:t>
      </w:r>
    </w:p>
    <w:p w14:paraId="5E8B2D1C" w14:textId="00DBE599" w:rsidR="00E0138C" w:rsidRDefault="00C54ADD" w:rsidP="00F74804">
      <w:pPr>
        <w:spacing w:line="360" w:lineRule="auto"/>
      </w:pPr>
      <w:r>
        <w:t>A</w:t>
      </w:r>
      <w:r w:rsidR="000A6E2C">
        <w:t>lthough</w:t>
      </w:r>
      <w:r w:rsidR="004B0FFA">
        <w:t xml:space="preserve"> </w:t>
      </w:r>
      <w:r w:rsidR="00BC3AA6">
        <w:t xml:space="preserve">our study reveals that </w:t>
      </w:r>
      <w:r w:rsidR="00E35D55">
        <w:t>south</w:t>
      </w:r>
      <w:r w:rsidR="007B7BDB">
        <w:t>ern</w:t>
      </w:r>
      <w:r w:rsidR="00E35D55">
        <w:t xml:space="preserve"> Brazil’s </w:t>
      </w:r>
      <w:r w:rsidR="00BC3AA6">
        <w:t xml:space="preserve">globally important Atlantic Forest is likely to </w:t>
      </w:r>
      <w:r w:rsidR="00233C81">
        <w:t xml:space="preserve">be severely impacted by </w:t>
      </w:r>
      <w:r w:rsidR="004B0FFA">
        <w:t xml:space="preserve">future </w:t>
      </w:r>
      <w:r w:rsidR="002833DA">
        <w:t>climate change</w:t>
      </w:r>
      <w:r w:rsidR="00233C81">
        <w:t>, with major changes in species’ ranges and re-assortment of species into highly novel plant communities,</w:t>
      </w:r>
      <w:r w:rsidR="00BC3AA6">
        <w:t xml:space="preserve"> </w:t>
      </w:r>
      <w:r w:rsidR="00233C81">
        <w:t>we suggest that our evidence for micro-refugia of forest species under past unfavourable climatic conditions (</w:t>
      </w:r>
      <w:proofErr w:type="gramStart"/>
      <w:r w:rsidR="00233C81">
        <w:t>e.g.</w:t>
      </w:r>
      <w:proofErr w:type="gramEnd"/>
      <w:r w:rsidR="00233C81">
        <w:t xml:space="preserve"> the LGM) is cause for cautious optimism</w:t>
      </w:r>
      <w:r w:rsidR="00104E08">
        <w:t xml:space="preserve"> about </w:t>
      </w:r>
      <w:r w:rsidR="000F273B">
        <w:t>species’</w:t>
      </w:r>
      <w:r w:rsidR="00104E08">
        <w:t xml:space="preserve"> resilience</w:t>
      </w:r>
      <w:r w:rsidR="000F273B">
        <w:t>.</w:t>
      </w:r>
      <w:r w:rsidR="004B0FFA">
        <w:t xml:space="preserve"> </w:t>
      </w:r>
      <w:r w:rsidR="00104E08">
        <w:t xml:space="preserve">Our </w:t>
      </w:r>
      <w:proofErr w:type="spellStart"/>
      <w:r w:rsidR="00104E08">
        <w:t>palaeo</w:t>
      </w:r>
      <w:proofErr w:type="spellEnd"/>
      <w:r w:rsidR="00104E08">
        <w:t xml:space="preserve"> modelling suggests that, </w:t>
      </w:r>
      <w:r w:rsidR="00052322">
        <w:t>a</w:t>
      </w:r>
      <w:r w:rsidR="008D089D">
        <w:t xml:space="preserve">s the </w:t>
      </w:r>
      <w:r w:rsidR="00875C02">
        <w:t>atmosphere</w:t>
      </w:r>
      <w:r w:rsidR="008D089D">
        <w:t xml:space="preserve"> warms and rainfall patterns </w:t>
      </w:r>
      <w:r w:rsidR="000D6F80">
        <w:t>change</w:t>
      </w:r>
      <w:r w:rsidR="00432AF5">
        <w:t xml:space="preserve"> through the 21</w:t>
      </w:r>
      <w:r w:rsidR="00432AF5" w:rsidRPr="00432AF5">
        <w:rPr>
          <w:vertAlign w:val="superscript"/>
        </w:rPr>
        <w:t>st</w:t>
      </w:r>
      <w:r w:rsidR="00432AF5">
        <w:t xml:space="preserve"> Century</w:t>
      </w:r>
      <w:r w:rsidR="000D6F80">
        <w:t xml:space="preserve">, </w:t>
      </w:r>
      <w:r w:rsidR="00104E08">
        <w:t xml:space="preserve">those </w:t>
      </w:r>
      <w:r w:rsidR="00FF6192">
        <w:t xml:space="preserve">landscape areas whose </w:t>
      </w:r>
      <w:r w:rsidR="00104E08">
        <w:t xml:space="preserve">topography supports </w:t>
      </w:r>
      <w:r w:rsidR="000D6F80">
        <w:t xml:space="preserve">microclimates </w:t>
      </w:r>
      <w:r w:rsidR="00E276AB">
        <w:t>de</w:t>
      </w:r>
      <w:r w:rsidR="00273CE5">
        <w:t xml:space="preserve">coupled </w:t>
      </w:r>
      <w:r w:rsidR="00FF6192">
        <w:t>from these broader, unfavourable</w:t>
      </w:r>
      <w:r w:rsidR="00104E08">
        <w:t xml:space="preserve"> climatic</w:t>
      </w:r>
      <w:r w:rsidR="00FF6192">
        <w:t xml:space="preserve"> trends</w:t>
      </w:r>
      <w:r w:rsidR="001762CD">
        <w:t xml:space="preserve"> are </w:t>
      </w:r>
      <w:r w:rsidR="00052322">
        <w:t>more likely to support species that would otherwise be lost</w:t>
      </w:r>
      <w:r w:rsidR="002E40E4">
        <w:t xml:space="preserve"> </w:t>
      </w:r>
      <w:r w:rsidR="002E40E4">
        <w:fldChar w:fldCharType="begin" w:fldLock="1"/>
      </w:r>
      <w:r w:rsidR="00C93C55">
        <w:instrText>ADDIN CSL_CITATION {"citationItems":[{"id":"ITEM-1","itemData":{"DOI":"10.1111/gcb.14755","ISSN":"1354-1013","author":[{"dropping-particle":"","family":"Wilson","given":"Oliver J.","non-dropping-particle":"","parse-names":false,"suffix":""},{"dropping-particle":"","family":"Walters","given":"Richard J.","non-dropping-particle":"","parse-names":false,"suffix":""},{"dropping-particle":"","family":"Mayle","given":"Francis E.","non-dropping-particle":"","parse-names":false,"suffix":""},{"dropping-particle":"V.","family":"Lingner","given":"Débora","non-dropping-particle":"","parse-names":false,"suffix":""},{"dropping-particle":"","family":"Vibrans","given":"Alexander C.","non-dropping-particle":"","parse-names":false,"suffix":""}],"container-title":"Global Change Biology","id":"ITEM-1","issue":"12","issued":{"date-parts":[["2019","12","10"]]},"note":"169cm core covering nearly 40.000 years analysed. Finds mostly campos (with some Myrtaceae, though they could be campos spp) from 40,000 - early Holocene, with rise in Atlantic forest from lower levels from about 10,000 BP to 3,300 BP. There's a bit of Araucaria forest 40,000 - 18,000 BP, but it disappears until about 10,000 BP, when it's still fairly rare. There's a big increase of Atlantic forest pollen between 3300 BP and present, and a decent increase of Araucaria forest too (though Aa is only up to 4% max).\n\nThere's a much later Araucaria forest expansion than in other cores. Maybe due to location, maybe because this area wasn't a glacial refugium, but maybe also because of people..?\n\nThe core is chiefly used to interpret climate as it's the only long-term core around other than Cambara do Sul. Also worth bearing in mind that this is quite a lot closer to the coast than most of the other studies I've looked at.","page":"4339-4351","title":"Cold spot microrefugia hold the key to survival for Brazil's Critically Endangered Araucaria tree","type":"article-journal","volume":"25"},"uris":["http://www.mendeley.com/documents/?uuid=0c1389e8-ae73-3b22-b5bb-44dd34667df5"]},{"id":"ITEM-2","itemData":{"DOI":"10.1111/j.1365-2699.2008.02023.x","ISBN":"1365-2699","ISSN":"03050270","abstract":"The concept of microrefugia is widely accepted to explain the post-glacial colo- nization of continents, which led to the present-day biotic configuration of the Earth. However, so far, microrefugia are no more than a ‘theoretical necessity’ without an appropriate biogeographical and ecological characterization. Here, a tentative definition and a classification of microrefugia, based on the existing literature, are proposed for discussion. A deeper biogeographical analysis of the concept is suggested using novel ecological models and methods, in order to develop new hypotheses to be tested with palaeoecological and molecular phylogenetic tools.","author":[{"dropping-particle":"","family":"Rull","given":"Valentí","non-dropping-particle":"","parse-names":false,"suffix":""}],"container-title":"Journal of Biogeography","id":"ITEM-2","issue":"3","issued":{"date-parts":[["2009"]]},"note":"Defines microrefugia, especially in the context of past glaciation and in contrast to (macro)refugia. Other definitions might have followed so bear that in mind. Also has relatively little to say about their role in the future, apart from the last paragraph","page":"481-484","title":"Microrefugia","type":"article-journal","volume":"36"},"uris":["http://www.mendeley.com/documents/?uuid=7d807a94-3a95-46cc-8aab-403a11fb183a"]},{"id":"ITEM-3","itemData":{"DOI":"10.1038/s41558-018-0231-9","ISSN":"1758-678X","abstract":"Protecting biodiversity against the impacts of climate change requires effective conservation strategies that safeguard species at risk of extinction 1. Microrefugia allowed populations to survive adverse climatic conditions in the past 2,3 , but their potential to reduce extinction risk from anthropogenic warming is poorly understood 3-5 , hindering our capacity to develop robust in situ measures to adapt conservation to climate change 6. Here, we show that microclimatic heterogeneity has strongly buffered species against regional extirpations linked to recent climate change. Using more than five million distribution records for 430 climate-threatened and range-declining species, population losses across England are found to be reduced in areas where topography generated greater variation in the microclimate. The buffering effect of topographic micro-climates was strongest for those species adversely affected by warming and in areas that experienced the highest levels of warming: in such conditions, extirpation risk was reduced by 22% for plants and by 9% for insects. Our results indicate the critical role of topographic variation in creating microrefugia, and provide empirical evidence that microclimatic heterogene-ity can substantially reduce extinction risk from climate change. Bioclimate modelling predicts that anthropogenic climate change will increase extinction risk for a wide range of taxa and regions 7. However, there is a marked discrepancy between the coarse spatial scales at which geographic range contractions are commonly modelled and the fine spatial scales at which most organisms respond to climatic variation. This has important implications for estimating the vulnerability of species to climate change 8 and, in consequence, for developing effective adaptation measures. Coarse-scale models fail to identify the localized effects of topography and vegetation on climate that were vital for sustaining refugial populations during past periods of climate change, and which could influence biological responses to current warming 4. If landscape features promoting microclimatic heterogeneity allow species to persist under current climate change in situ, then protection and appropriate management of such features are likely to be an important complement to conservation approaches such as enhanced landscape connectivity and species translocations, which have been more widely advocated to accommodate geographical-range shifts 1,9. However, the poten…","author":[{"dropping-particle":"","family":"Suggitt","given":"Andrew J","non-dropping-particle":"","parse-names":false,"suffix":""},{"dropping-particle":"","family":"Wilson","given":"Robert J","non-dropping-particle":"","parse-names":false,"suffix":""},{"dropping-particle":"","family":"Isaac","given":"Nick J B","non-dropping-particle":"","parse-names":false,"suffix":""},{"dropping-particle":"","family":"Beale","given":"Colin M","non-dropping-particle":"","parse-names":false,"suffix":""},{"dropping-particle":"","family":"Auffret","given":"Alistair G","non-dropping-particle":"","parse-names":false,"suffix":""},{"dropping-particle":"","family":"August","given":"Tom","non-dropping-particle":"","parse-names":false,"suffix":""},{"dropping-particle":"","family":"Bennie","given":"Jonathan J","non-dropping-particle":"","parse-names":false,"suffix":""},{"dropping-particle":"","family":"Crick","given":"Humphrey Q P","non-dropping-particle":"","parse-names":false,"suffix":""},{"dropping-particle":"","family":"Duffield","given":"Simon","non-dropping-particle":"","parse-names":false,"suffix":""},{"dropping-particle":"","family":"Fox","given":"Richard","non-dropping-particle":"","parse-names":false,"suffix":""},{"dropping-particle":"","family":"Hopkins","given":"John J","non-dropping-particle":"","parse-names":false,"suffix":""},{"dropping-particle":"","family":"Macgregor","given":"Nicholas A","non-dropping-particle":"","parse-names":false,"suffix":""},{"dropping-particle":"","family":"Morecroft","given":"Mike D","non-dropping-particle":"","parse-names":false,"suffix":""},{"dropping-particle":"","family":"Walker","given":"Kevin J","non-dropping-particle":"","parse-names":false,"suffix":""},{"dropping-particle":"","family":"Maclean","given":"Ilya M D","non-dropping-particle":"","parse-names":false,"suffix":""}],"container-title":"Nature Climate Change","id":"ITEM-3","issue":"8","issued":{"date-parts":[["2018","8","23"]]},"page":"713-717","title":"Extinction risk from climate change is reduced by microclimatic buffering","type":"article-journal","volume":"8"},"uris":["http://www.mendeley.com/documents/?uuid=aed39abd-c2b5-310e-9185-87547f372351"]},{"id":"ITEM-4","itemData":{"DOI":"10.1111/j.1365-2486.2010.02263.x","ISBN":"1365-2486","ISSN":"13541013","abstract":"There is compelling evidence from glacial and interglacial periods of the Quaternary of the utilization of microrefugia. Microrefugia are sites that support locally favorable climates amidst unfavorable regional climates, which allow populations of species to persist outside of their main distributions. Knowledge of the location of microrefugia has important implications for climate change research as it will influence our understanding of the spatial distribution of species through time, their patterns of genetic diversity, and potential dispersal rates in response to climate shifts. Indeed, the implications of microrefugia are profound and yet we know surprisingly little about their climatic basis; what climatic processes can support their subsistence, where they may occur, their climatic traits, and the relevance of these locations for climate change research. Here I examine the climatic basis for microrefugia and assert that the interaction between regional advective influences and local terrain influences will define the distribution and nature of microrefugia. I review the climatic processes that can support their subsistence and from this climatic basis: (1) infer traits of the spatial distribution of microrefugia and how this may change through time; (2) review assertions about their landscape position and what it can tell us about regional climates; and (3) demonstrate an approach to forecasting where microrefugia may occur in the future. This synthesis highlights the importance of landscape physiography in shaping the adaptive response of biota to climate change.","author":[{"dropping-particle":"","family":"Dobrowski","given":"Solomon Z.","non-dropping-particle":"","parse-names":false,"suffix":""}],"container-title":"Global Change Biology","id":"ITEM-4","issue":"2","issued":{"date-parts":[["2011"]]},"note":"Review that provides detail on how microrefugia relate to climatic conditions, especially in mountainous terrain. Key thing is that the microrefugia have to be decoupled from broader-scale climatic/atmospheric trends. Reiterates importance of scaled models, and provides information on how topography can moderate climate (together they make topoclimate) in mountains.","page":"1022-1035","title":"A climatic basis for microrefugia: The influence of terrain on climate","type":"article-journal","volume":"17"},"uris":["http://www.mendeley.com/documents/?uuid=5b9f9d3f-cea2-4d56-991b-db652a827122"]},{"id":"ITEM-5","itemData":{"DOI":"10.1111/ecog.02788","ISBN":"6503251521","ISSN":"16000587","abstract":"The role of modern climatic microrefugia is a neglected aspect in the study of biotic responses to anthropogenic climate change. Current projections of species redistribution at continental extent are based on climatic grids of coarse (≥ 1 km) resolutions that fail to capture spatiotemporal dynamics associated with climatic microrefugia. Here, we review recent methods to model the climatic component of potential microrefugia and highlight research gaps in accounting for the buffering capacity due to biophysical processes operating at very fine (&lt; 1 m) resolutions (e.g. canopy cover) and the associated microclimatic stability over time (i.e. decoupling). To overcome this challenge, we propose a spatially hierarchical downscaling framework combining a free-air temperature grid at 1 km resolution, a digital elevation model at 25 m resolution and small-footprint light detection-and-ranging (LiDAR) data at 50 cm resolution with knowledge from the literature to mechanistically model sub-canopy temperatures and account for microclimatic decoupling. We applied this framework on a virtual sub-canopy species and simulated the impact of a warming scenario on its potential distribution. Modelling sub-canopy temperatures at 50 cm resolution and accounting for microclimatic stability over time enlarges the range of temperature conditions towards the cold end of the gradient, mitigates regional temperature changes and decreases extirpation risks. Incorporating these spatiotemporal dynamics into species redistribution models, being correlative, mechanistic or hybrid, will increase the probability of local persistence, which has important consequences in the understanding of the capacity of species to adapt. We finally provide a synthesis on additional ways that the field could move towards effectively considering potential climatic microrefugia for species redistribution.","author":[{"dropping-particle":"","family":"Lenoir","given":"Jonathan","non-dropping-particle":"","parse-names":false,"suffix":""},{"dropping-particle":"","family":"Hattab","given":"Tarek","non-dropping-particle":"","parse-names":false,"suffix":""},{"dropping-particle":"","family":"Pierre","given":"Guillaume","non-dropping-particle":"","parse-names":false,"suffix":""}],"container-title":"Ecography","id":"ITEM-5","issue":"2","issued":{"date-parts":[["2017"]]},"note":"Uses DEMs, normal worldclim rasters and lidar to make very fine scale (50cm) maps of microrefugia. Good illustrations of the importance of scale, how canopy cover and topography influence microrefugia, and general theoretical discussions, especially on the subject of decoupling and its continuity through time.","page":"253-266","title":"Climatic microrefugia under anthropogenic climate change: implications for species redistribution","type":"article-journal","volume":"40"},"uris":["http://www.mendeley.com/documents/?uuid=9a158be9-0293-4e0c-93ae-2ab3d48fa186"]},{"id":"ITEM-6","itemData":{"DOI":"10.1111/gcb.13629","ISSN":"13652486","PMID":"28318131","abstract":"Climate, physical landscapes, and biota interact to generate heterogeneous hydrologic conditions in space and over time, which are reflected in spatial patterns of species distributions. As these species distributions respond to rapid climate change, microrefugia may support local species persistence in the face of deteriorating climatic suitability. Recent focus on temperature as a determinant of microrefugia insufficiently accounts for the impor- tance of hydrologic processes and changing water availability with changing climate. Where water scarcity is a major limitation now or under future climates, hydrologic microrefugia are likely to prove essential for species persistence, particularly for sessile species and plants. Zones of high relative water availability – mesic microenvironments – are generated by a wide array of hydrologic processes, and may be loosely coupled to climatic processes and therefore buffered from climate change. Here, we review the mechanisms that generate mesic microenvironments and their likely robustness in the face of climate change. We argue that mesic microenvironments will act as species-specific refugia only if the nature and space/time variability in water availability are compatible with the ecological requirements of a target species. We illustrate this argument with case studies drawn from California oak woodland ecosystems. We posit that identification of hydrologic refugia could form a cornerstone of climate-cognizant conservation strategies, but that this would require improved understanding of climate change effects on key hydrologic processes, including frequently cryptic processes such as groundwater flow.","author":[{"dropping-particle":"","family":"McLaughlin","given":"Blair C.","non-dropping-particle":"","parse-names":false,"suffix":""},{"dropping-particle":"","family":"Ackerly","given":"David D.","non-dropping-particle":"","parse-names":false,"suffix":""},{"dropping-particle":"","family":"Klos","given":"P. Zion","non-dropping-particle":"","parse-names":false,"suffix":""},{"dropping-particle":"","family":"Natali","given":"Jennifer","non-dropping-particle":"","parse-names":false,"suffix":""},{"dropping-particle":"","family":"Dawson","given":"Todd E.","non-dropping-particle":"","parse-names":false,"suffix":""},{"dropping-particle":"","family":"Thompson","given":"Sally E.","non-dropping-particle":"","parse-names":false,"suffix":""}],"container-title":"Global Change Biology","id":"ITEM-6","issue":"8","issued":{"date-parts":[["2017"]]},"note":"This is a good, comprehensive introduction to hydrologic refugia and the conditions that would encourage them. There's a lot of overlap with fire and thermal refugia, which is good. Discussion of what's likely to make the difference between a temporary and stable microrefugium.","page":"2941-2961","title":"Hydrologic refugia, plants, and climate change","type":"article-journal","volume":"23"},"uris":["http://www.mendeley.com/documents/?uuid=89c6e2de-62ac-4fb2-82ca-8676e7362a82"]}],"mendeley":{"formattedCitation":"(Dobrowski, 2011; Lenoir et al., 2017; McLaughlin et al., 2017; Rull, 2009; Suggitt et al., 2018; Wilson et al., 2019)","plainTextFormattedCitation":"(Dobrowski, 2011; Lenoir et al., 2017; McLaughlin et al., 2017; Rull, 2009; Suggitt et al., 2018; Wilson et al., 2019)","previouslyFormattedCitation":"(Dobrowski, 2011; Lenoir et al., 2017; McLaughlin et al., 2017; Rull, 2009; Suggitt et al., 2018; Wilson et al., 2019)"},"properties":{"noteIndex":0},"schema":"https://github.com/citation-style-language/schema/raw/master/csl-citation.json"}</w:instrText>
      </w:r>
      <w:r w:rsidR="002E40E4">
        <w:fldChar w:fldCharType="separate"/>
      </w:r>
      <w:r w:rsidR="009940A1" w:rsidRPr="009940A1">
        <w:rPr>
          <w:noProof/>
        </w:rPr>
        <w:t>(Dobrowski, 2011; Lenoir et al., 2017; McLaughlin et al., 2017; Rull, 2009; Suggitt et al., 2018; Wilson et al., 2019)</w:t>
      </w:r>
      <w:r w:rsidR="002E40E4">
        <w:fldChar w:fldCharType="end"/>
      </w:r>
      <w:r w:rsidR="005009B9">
        <w:t>. I</w:t>
      </w:r>
      <w:r w:rsidR="002E1BF3">
        <w:t>f protected from habitat loss</w:t>
      </w:r>
      <w:r w:rsidR="005009B9">
        <w:t>, these microrefugia</w:t>
      </w:r>
      <w:r w:rsidR="002E1BF3">
        <w:t xml:space="preserve"> </w:t>
      </w:r>
      <w:r w:rsidR="00902953">
        <w:t xml:space="preserve">can act as holdouts for climatically disadvantaged </w:t>
      </w:r>
      <w:r w:rsidR="00382715">
        <w:t>taxa</w:t>
      </w:r>
      <w:r w:rsidR="005009B9">
        <w:t xml:space="preserve"> and, if they can </w:t>
      </w:r>
      <w:r w:rsidR="00063816">
        <w:t xml:space="preserve">endure </w:t>
      </w:r>
      <w:r w:rsidR="005009B9">
        <w:t>long enough</w:t>
      </w:r>
      <w:r w:rsidR="00063816">
        <w:t xml:space="preserve">, </w:t>
      </w:r>
      <w:r w:rsidR="00155CE2">
        <w:t xml:space="preserve">can serve </w:t>
      </w:r>
      <w:r w:rsidR="00063816">
        <w:t>as source populations for future population expansions under</w:t>
      </w:r>
      <w:r w:rsidR="005009B9">
        <w:t xml:space="preserve"> </w:t>
      </w:r>
      <w:r w:rsidR="007B7BDB">
        <w:t xml:space="preserve">more </w:t>
      </w:r>
      <w:r w:rsidR="00063816">
        <w:t>favourable climates</w:t>
      </w:r>
      <w:r w:rsidR="0075629F">
        <w:t xml:space="preserve"> </w:t>
      </w:r>
      <w:r w:rsidR="0075629F">
        <w:fldChar w:fldCharType="begin" w:fldLock="1"/>
      </w:r>
      <w:r w:rsidR="00A355BA">
        <w:instrText>ADDIN CSL_CITATION {"citationItems":[{"id":"ITEM-1","itemData":{"DOI":"10.1016/j.tree.2014.04.006","ISBN":"0169-5347","ISSN":"01695347","PMID":"24875589","abstract":"Microclimates have played a critical role in past species range shifts, suggesting that they could be important in biological response to future change. Terms are needed to discuss these future effects. We propose that populations occupying microclimates be referred to as holdouts, stepping stones and microrefugia. A holdout is a population that persists in a microclimate for a limited period of time under deteriorating climatic conditions. Stepping stones successively occupy microclimates in a way that facilitates species' range shifts. Microrefugia refer to populations that persist in microclimates through a period of unfavorable climate. Because climate projections show that return to present climate is highly unlikely, conservation strategies need to be built around holdouts and stepping stones, rather than low-probability microrefugia. ?? 2014 Elsevier Ltd.","author":[{"dropping-particle":"","family":"Hannah","given":"Lee","non-dropping-particle":"","parse-names":false,"suffix":""},{"dropping-particle":"","family":"Flint","given":"Lorraine","non-dropping-particle":"","parse-names":false,"suffix":""},{"dropping-particle":"","family":"Syphard","given":"Alexandra D","non-dropping-particle":"","parse-names":false,"suffix":""},{"dropping-particle":"","family":"Moritz","given":"Max A","non-dropping-particle":"","parse-names":false,"suffix":""},{"dropping-particle":"","family":"Buckley","given":"Lauren B","non-dropping-particle":"","parse-names":false,"suffix":""},{"dropping-particle":"","family":"McCullough","given":"Ian M.","non-dropping-particle":"","parse-names":false,"suffix":""}],"container-title":"Trends in Ecology &amp; Evolution","id":"ITEM-1","issue":"7","issued":{"date-parts":[["2014","7"]]},"note":"Gives a finer definition of microrefugia, splitting these populations into stepping stones, microrefugia and holdouts. Also distinguishes between microclimates and the populations that occupy them. Contains interesting thoughts/advice on factors to consider in fine-scale modelling.\n\nUse hi-res DEMs to extend elevation-corrected interpolations of temperatures - this is key. Hi-res DEMs can also be used to correct for variation in solar radiation. Think about Aa's requirements - physiology and environmental conditions - to guide the choice of conditions to scale","page":"390-397","title":"Fine-grain modeling of species’ response to climate change: holdouts, stepping-stones, and microrefugia","type":"article-journal","volume":"29"},"uris":["http://www.mendeley.com/documents/?uuid=b7ad96b6-b7f2-3694-beea-dda74afc6977"]}],"mendeley":{"formattedCitation":"(Hannah et al., 2014)","plainTextFormattedCitation":"(Hannah et al., 2014)","previouslyFormattedCitation":"(Hannah et al., 2014)"},"properties":{"noteIndex":0},"schema":"https://github.com/citation-style-language/schema/raw/master/csl-citation.json"}</w:instrText>
      </w:r>
      <w:r w:rsidR="0075629F">
        <w:fldChar w:fldCharType="separate"/>
      </w:r>
      <w:r w:rsidR="00065636" w:rsidRPr="00065636">
        <w:rPr>
          <w:noProof/>
        </w:rPr>
        <w:t>(Hannah et al., 2014)</w:t>
      </w:r>
      <w:r w:rsidR="0075629F">
        <w:fldChar w:fldCharType="end"/>
      </w:r>
      <w:r w:rsidR="007B7BDB">
        <w:t>.</w:t>
      </w:r>
      <w:r w:rsidR="00063816">
        <w:t xml:space="preserve"> </w:t>
      </w:r>
      <w:r w:rsidR="00155CE2">
        <w:t>Our</w:t>
      </w:r>
      <w:r w:rsidR="00EB4802">
        <w:t xml:space="preserve"> </w:t>
      </w:r>
      <w:r w:rsidR="00ED6907">
        <w:t xml:space="preserve">palaeoecological </w:t>
      </w:r>
      <w:r w:rsidR="00155CE2">
        <w:t>findings</w:t>
      </w:r>
      <w:r w:rsidR="00ED6907">
        <w:t xml:space="preserve"> attest to the </w:t>
      </w:r>
      <w:r w:rsidR="00EB4802">
        <w:t xml:space="preserve">possibility of </w:t>
      </w:r>
      <w:r w:rsidR="00ED6907">
        <w:t xml:space="preserve">such persistence, </w:t>
      </w:r>
      <w:r w:rsidR="008A7444">
        <w:t xml:space="preserve">not only </w:t>
      </w:r>
      <w:r w:rsidR="00277B05">
        <w:t>through</w:t>
      </w:r>
      <w:r w:rsidR="005E4C1F">
        <w:t xml:space="preserve"> records of </w:t>
      </w:r>
      <w:r w:rsidR="008E0E2B">
        <w:t xml:space="preserve">species outside their predicted niche for extended periods </w:t>
      </w:r>
      <w:r w:rsidR="00FF4CC0">
        <w:t xml:space="preserve">(as with </w:t>
      </w:r>
      <w:r w:rsidR="00FF4CC0" w:rsidRPr="00FF4CC0">
        <w:rPr>
          <w:i/>
          <w:iCs/>
        </w:rPr>
        <w:t>Araucaria</w:t>
      </w:r>
      <w:r w:rsidR="00FF4CC0">
        <w:t xml:space="preserve"> pollen at </w:t>
      </w:r>
      <w:proofErr w:type="spellStart"/>
      <w:r w:rsidR="00FF4CC0">
        <w:t>Buriti</w:t>
      </w:r>
      <w:proofErr w:type="spellEnd"/>
      <w:r w:rsidR="00E13E09">
        <w:t>; see section 4.2</w:t>
      </w:r>
      <w:r w:rsidR="00FF4CC0">
        <w:t>)</w:t>
      </w:r>
      <w:r w:rsidR="008E0E2B">
        <w:t xml:space="preserve">, </w:t>
      </w:r>
      <w:r w:rsidR="008A7444">
        <w:t xml:space="preserve">but also </w:t>
      </w:r>
      <w:r w:rsidR="003839A4">
        <w:t xml:space="preserve">with </w:t>
      </w:r>
      <w:r w:rsidR="004F15E0">
        <w:t xml:space="preserve">respect to </w:t>
      </w:r>
      <w:r w:rsidR="008A7444">
        <w:t xml:space="preserve">time lags between </w:t>
      </w:r>
      <w:r w:rsidR="000061E2">
        <w:t xml:space="preserve">climate </w:t>
      </w:r>
      <w:r w:rsidR="008A7444">
        <w:t xml:space="preserve">changes and </w:t>
      </w:r>
      <w:r w:rsidR="00EB2BF5">
        <w:t>large-scale vegetation responses</w:t>
      </w:r>
      <w:r w:rsidR="00FF4CC0">
        <w:t xml:space="preserve"> (</w:t>
      </w:r>
      <w:r w:rsidR="00A4479A">
        <w:t xml:space="preserve">such as </w:t>
      </w:r>
      <w:r w:rsidR="005F0430">
        <w:t>AR</w:t>
      </w:r>
      <w:r w:rsidR="00A4479A">
        <w:t>F’s expansion</w:t>
      </w:r>
      <w:r w:rsidR="000061E2">
        <w:t xml:space="preserve"> </w:t>
      </w:r>
      <w:r w:rsidR="004F15E0">
        <w:t>i</w:t>
      </w:r>
      <w:r w:rsidR="000061E2">
        <w:t>n the lowlands</w:t>
      </w:r>
      <w:r w:rsidR="00E13E09">
        <w:t>; see section 3.3.5</w:t>
      </w:r>
      <w:r w:rsidR="000061E2">
        <w:t>)</w:t>
      </w:r>
      <w:r w:rsidR="00EB2BF5">
        <w:t>.</w:t>
      </w:r>
      <w:r w:rsidR="00D47F26">
        <w:t xml:space="preserve"> </w:t>
      </w:r>
      <w:r w:rsidR="0057792D">
        <w:t xml:space="preserve">These </w:t>
      </w:r>
      <w:r w:rsidR="0016155C">
        <w:t>response lags</w:t>
      </w:r>
      <w:r w:rsidR="0057792D">
        <w:t xml:space="preserve"> also illustrate </w:t>
      </w:r>
      <w:r w:rsidR="00CE141C">
        <w:t>why</w:t>
      </w:r>
      <w:r w:rsidR="004F15E0">
        <w:t xml:space="preserve"> the geographic extent and composition of</w:t>
      </w:r>
      <w:r w:rsidR="0057792D">
        <w:t xml:space="preserve"> </w:t>
      </w:r>
      <w:r w:rsidR="00CC7303">
        <w:t xml:space="preserve">the </w:t>
      </w:r>
      <w:r w:rsidR="00F45404">
        <w:t xml:space="preserve">southern Atlantic Forest </w:t>
      </w:r>
      <w:r w:rsidR="00530AE6">
        <w:t>will</w:t>
      </w:r>
      <w:r w:rsidR="004F15E0">
        <w:t xml:space="preserve"> be unlikely to</w:t>
      </w:r>
      <w:r w:rsidR="00530AE6">
        <w:t xml:space="preserve"> </w:t>
      </w:r>
      <w:r w:rsidR="00844BBA">
        <w:t xml:space="preserve">have </w:t>
      </w:r>
      <w:r w:rsidR="00CC7303">
        <w:t>change</w:t>
      </w:r>
      <w:r w:rsidR="00844BBA">
        <w:t>d</w:t>
      </w:r>
      <w:r w:rsidR="004F15E0">
        <w:t xml:space="preserve"> to the extent predicted by </w:t>
      </w:r>
      <w:r w:rsidR="00586D98">
        <w:t>the late 21</w:t>
      </w:r>
      <w:r w:rsidR="00586D98" w:rsidRPr="004C06AA">
        <w:rPr>
          <w:vertAlign w:val="superscript"/>
        </w:rPr>
        <w:t>st</w:t>
      </w:r>
      <w:r w:rsidR="00586D98">
        <w:t xml:space="preserve"> century (</w:t>
      </w:r>
      <w:r w:rsidR="004F15E0">
        <w:t>2070</w:t>
      </w:r>
      <w:r w:rsidR="006C5594">
        <w:t>s</w:t>
      </w:r>
      <w:r w:rsidR="00586D98">
        <w:t>)</w:t>
      </w:r>
      <w:r w:rsidR="004F15E0">
        <w:t>.</w:t>
      </w:r>
      <w:r w:rsidR="00586D98">
        <w:t xml:space="preserve"> O</w:t>
      </w:r>
      <w:r w:rsidR="00D94D0D">
        <w:t xml:space="preserve">ver </w:t>
      </w:r>
      <w:r w:rsidR="006779C8">
        <w:t>the coming decades</w:t>
      </w:r>
      <w:r w:rsidR="00D94D0D">
        <w:t>,</w:t>
      </w:r>
      <w:r w:rsidR="006779C8">
        <w:t xml:space="preserve"> range shifts, losses and new </w:t>
      </w:r>
      <w:r w:rsidR="00C71BC0">
        <w:t xml:space="preserve">interspecific associations and interactions </w:t>
      </w:r>
      <w:r w:rsidR="00D94D0D">
        <w:t>will be set in motion, but not necessarily completed</w:t>
      </w:r>
      <w:r w:rsidR="00C71BC0">
        <w:t>. However,</w:t>
      </w:r>
      <w:r w:rsidR="006A26FA">
        <w:t xml:space="preserve"> </w:t>
      </w:r>
      <w:r w:rsidR="00F424A3">
        <w:t>the repercussions</w:t>
      </w:r>
      <w:r w:rsidR="006A26FA">
        <w:t xml:space="preserve"> of</w:t>
      </w:r>
      <w:r w:rsidR="00025308">
        <w:t xml:space="preserve"> </w:t>
      </w:r>
      <w:r w:rsidR="007028F2">
        <w:t xml:space="preserve">anthropogenic climate change </w:t>
      </w:r>
      <w:r w:rsidR="006A26FA">
        <w:t xml:space="preserve">will </w:t>
      </w:r>
      <w:r w:rsidR="00F424A3">
        <w:t>last</w:t>
      </w:r>
      <w:r w:rsidR="006A26FA">
        <w:t xml:space="preserve"> millennia</w:t>
      </w:r>
      <w:r w:rsidR="004F7478">
        <w:t xml:space="preserve"> </w:t>
      </w:r>
      <w:r w:rsidR="004F7478">
        <w:fldChar w:fldCharType="begin" w:fldLock="1"/>
      </w:r>
      <w:r w:rsidR="00247BB1">
        <w:instrText>ADDIN CSL_CITATION {"citationItems":[{"id":"ITEM-1","itemData":{"DOI":"10.1126/science.aay3701","abstract":"BACKGROUND: Anthropogenic emissions are rapidly altering Earth's climate, pushing it toward a warmer state for which there is no historical precedent. Although no perfect analog exists for such a disruption, Earth's history includes past climate states-\"paleo-climates\"-that hold lessons for the future of our warming world. These periods in Earth's past span a tremendous range of temperatures , precipitation patterns, cryospheric extent , and biospheric adaptations and are increasingly relevant for improving our understanding of how key elements of the climate system are affected by greenhouse gas levels. The rise of new geochemical and statistical methods, as well as improvements in paleoclimate modeling, allow for formal evaluation of climate models based on paleoclimate data. In particular, given that some of the newest generation of climate models have a high sensitivity to a doubling of atmospheric CO 2 , there is a renewed role for paleoclimates in constraining equilibrium climate sensitivity (ECS) and its dependence on climate background state.","author":[{"dropping-particle":"","family":"Tierney","given":"Jessica E","non-dropping-particle":"","parse-names":false,"suffix":""},{"dropping-particle":"","family":"Poulsen","given":"Christopher J","non-dropping-particle":"","parse-names":false,"suffix":""},{"dropping-particle":"","family":"Montañez","given":"Isabel P","non-dropping-particle":"","parse-names":false,"suffix":""},{"dropping-particle":"","family":"Bhattacharya","given":"Tripti","non-dropping-particle":"","parse-names":false,"suffix":""},{"dropping-particle":"","family":"Feng","given":"Ran","non-dropping-particle":"","parse-names":false,"suffix":""},{"dropping-particle":"","family":"Ford","given":"Heather L","non-dropping-particle":"","parse-names":false,"suffix":""},{"dropping-particle":"","family":"Hönisch","given":"Bärbel","non-dropping-particle":"","parse-names":false,"suffix":""},{"dropping-particle":"","family":"Inglis","given":"Gordon N","non-dropping-particle":"","parse-names":false,"suffix":""},{"dropping-particle":"V","family":"Petersen","given":"Sierra","non-dropping-particle":"","parse-names":false,"suffix":""},{"dropping-particle":"","family":"Sagoo","given":"Navjit","non-dropping-particle":"","parse-names":false,"suffix":""},{"dropping-particle":"","family":"Tabor","given":"Clay R","non-dropping-particle":"","parse-names":false,"suffix":""},{"dropping-particle":"","family":"Thirumalai","given":"Kaustubh","non-dropping-particle":"","parse-names":false,"suffix":""},{"dropping-particle":"","family":"Zhu","given":"Jiang","non-dropping-particle":"","parse-names":false,"suffix":""},{"dropping-particle":"","family":"Burls","given":"Natalie J","non-dropping-particle":"","parse-names":false,"suffix":""},{"dropping-particle":"","family":"Foster","given":"Gavin L","non-dropping-particle":"","parse-names":false,"suffix":""},{"dropping-particle":"","family":"Goddéris","given":"Yves","non-dropping-particle":"","parse-names":false,"suffix":""},{"dropping-particle":"","family":"Huber","given":"Brian T","non-dropping-particle":"","parse-names":false,"suffix":""},{"dropping-particle":"","family":"Ivany","given":"Linda C","non-dropping-particle":"","parse-names":false,"suffix":""},{"dropping-particle":"","family":"Turner","given":"Sandra Kirtland","non-dropping-particle":"","parse-names":false,"suffix":""},{"dropping-particle":"","family":"Lunt","given":"Daniel J","non-dropping-particle":"","parse-names":false,"suffix":""},{"dropping-particle":"","family":"Mcelwain","given":"Jennifer C","non-dropping-particle":"","parse-names":false,"suffix":""},{"dropping-particle":"","family":"Mills","given":"Benjamin J W","non-dropping-particle":"","parse-names":false,"suffix":""},{"dropping-particle":"","family":"Otto-Bliesner","given":"Bette L","non-dropping-particle":"","parse-names":false,"suffix":""},{"dropping-particle":"","family":"Ridgwell","given":"Andy","non-dropping-particle":"","parse-names":false,"suffix":""},{"dropping-particle":"","family":"Zhang","given":"Yi Ge","non-dropping-particle":"","parse-names":false,"suffix":""}],"container-title":"Science","id":"ITEM-1","issue":"6517","issued":{"date-parts":[["2020"]]},"title":"Past climates inform our future","type":"article-journal","volume":"370"},"uris":["http://www.mendeley.com/documents/?uuid=b7a5de1c-7560-4293-8ccd-e718a0cdd2a8"]}],"mendeley":{"formattedCitation":"(Tierney et al., 2020)","plainTextFormattedCitation":"(Tierney et al., 2020)","previouslyFormattedCitation":"(Tierney et al., 2020)"},"properties":{"noteIndex":0},"schema":"https://github.com/citation-style-language/schema/raw/master/csl-citation.json"}</w:instrText>
      </w:r>
      <w:r w:rsidR="004F7478">
        <w:fldChar w:fldCharType="separate"/>
      </w:r>
      <w:r w:rsidR="004F7478" w:rsidRPr="004F7478">
        <w:rPr>
          <w:noProof/>
        </w:rPr>
        <w:t>(Tierney et al., 2020)</w:t>
      </w:r>
      <w:r w:rsidR="004F7478">
        <w:fldChar w:fldCharType="end"/>
      </w:r>
      <w:r w:rsidR="007028F2">
        <w:t xml:space="preserve">, </w:t>
      </w:r>
      <w:r w:rsidR="006C1502">
        <w:t xml:space="preserve">meaning </w:t>
      </w:r>
      <w:r w:rsidR="00586D98">
        <w:t xml:space="preserve">that </w:t>
      </w:r>
      <w:r w:rsidR="007028F2">
        <w:t>these ecosystem</w:t>
      </w:r>
      <w:r w:rsidR="006C1502">
        <w:t xml:space="preserve"> changes will become ‘baked in,’ even as</w:t>
      </w:r>
      <w:r w:rsidR="00E0138C">
        <w:t xml:space="preserve"> more continu</w:t>
      </w:r>
      <w:r w:rsidR="006C1502">
        <w:t>e</w:t>
      </w:r>
      <w:r w:rsidR="00E0138C">
        <w:t xml:space="preserve"> to unfold into an ever more uncertain future.</w:t>
      </w:r>
    </w:p>
    <w:p w14:paraId="171BEB62" w14:textId="4C22A6A9" w:rsidR="00095181" w:rsidRDefault="00D75B29" w:rsidP="00F74804">
      <w:pPr>
        <w:spacing w:line="360" w:lineRule="auto"/>
      </w:pPr>
      <w:r>
        <w:t>Our</w:t>
      </w:r>
      <w:r w:rsidR="00BF72AE">
        <w:t xml:space="preserve"> p</w:t>
      </w:r>
      <w:r w:rsidR="005C682F">
        <w:t xml:space="preserve">alaeoecological </w:t>
      </w:r>
      <w:r w:rsidR="00BF72AE">
        <w:t>insights</w:t>
      </w:r>
      <w:r w:rsidR="005C682F">
        <w:t xml:space="preserve"> provid</w:t>
      </w:r>
      <w:r w:rsidR="00BB5380">
        <w:t>e invaluable</w:t>
      </w:r>
      <w:r w:rsidR="005C682F">
        <w:t xml:space="preserve"> </w:t>
      </w:r>
      <w:r w:rsidR="00B0792A">
        <w:t xml:space="preserve">baselines which </w:t>
      </w:r>
      <w:r w:rsidR="00A11734">
        <w:t>can help inform</w:t>
      </w:r>
      <w:r w:rsidR="004F4E20">
        <w:t xml:space="preserve"> </w:t>
      </w:r>
      <w:r w:rsidR="00B0792A">
        <w:t xml:space="preserve">restoration or conservation </w:t>
      </w:r>
      <w:r w:rsidR="00A11734">
        <w:t>strateg</w:t>
      </w:r>
      <w:r w:rsidR="004F4E20">
        <w:t>ies</w:t>
      </w:r>
      <w:r w:rsidR="00B0792A">
        <w:t xml:space="preserve">, but </w:t>
      </w:r>
      <w:r w:rsidR="006B4ADC">
        <w:t xml:space="preserve">they </w:t>
      </w:r>
      <w:r w:rsidR="00156538">
        <w:t>must be explicitly (and rationally) chosen and many historical</w:t>
      </w:r>
      <w:r w:rsidR="006B4ADC">
        <w:t xml:space="preserve"> baseline</w:t>
      </w:r>
      <w:r w:rsidR="00156538">
        <w:t xml:space="preserve"> </w:t>
      </w:r>
      <w:r w:rsidR="008F7D52">
        <w:t>landscapes may be</w:t>
      </w:r>
      <w:r w:rsidR="001C1705">
        <w:t>come</w:t>
      </w:r>
      <w:r w:rsidR="008F7D52">
        <w:t xml:space="preserve"> </w:t>
      </w:r>
      <w:r w:rsidR="001C1705">
        <w:t>unviable</w:t>
      </w:r>
      <w:r w:rsidR="008F7D52">
        <w:t xml:space="preserve"> under future conditions</w:t>
      </w:r>
      <w:r w:rsidR="006B4ADC">
        <w:t xml:space="preserve"> </w:t>
      </w:r>
      <w:r w:rsidR="006B4ADC">
        <w:fldChar w:fldCharType="begin" w:fldLock="1"/>
      </w:r>
      <w:r w:rsidR="004F4F54">
        <w:instrText>ADDIN CSL_CITATION {"citationItems":[{"id":"ITEM-1","itemData":{"DOI":"10.1016/j.tree.2010.07.006","ISBN":"0169-5347 (Print)\\n0169-5347 (Linking)","ISSN":"01695347","PMID":"20800315","abstract":"Fossil records are replete with examples of long-term biotic responses to past climate change. One particularly useful set of records are those preserved in lake and marine sediments, recording both climate changes and corresponding biotic responses. Recently there has been increasing focus on the need for conservation of ecological and evolutionary processes in the face of climate change. We review key areas where palaeoecological archives contribute to this conservation goal, namely: (i) determination of rates and nature of biodiversity response to climate change; (ii) climate processes responsible for ecological thresholds; (iii) identification of ecological resilience to climate change; and (iv) management of novel ecosystems. We stress the importance of long-term palaeoecological data in fully understanding contemporary and future biotic responses. © 2010 Elsevier Ltd.","author":[{"dropping-particle":"","family":"Willis","given":"K. J.","non-dropping-particle":"","parse-names":false,"suffix":""},{"dropping-particle":"","family":"Bailey","given":"R. M.","non-dropping-particle":"","parse-names":false,"suffix":""},{"dropping-particle":"","family":"Bhagwat","given":"S. A.","non-dropping-particle":"","parse-names":false,"suffix":""},{"dropping-particle":"","family":"Birks","given":"H. J.B.","non-dropping-particle":"","parse-names":false,"suffix":""}],"container-title":"Trends in Ecology and Evolution","id":"ITEM-1","issue":"10","issued":{"date-parts":[["2010"]]},"note":"General call to arms - worth thinking about when it comes to interleaving disciplines. See comments for general ideas, but you had to really speed through the last section and didn't read it properly - it could do with a repeat effort...","page":"583-591","title":"Biodiversity baselines, thresholds and resilience: Testing predictions and assumptions using palaeoecological data","type":"article-journal","volume":"25"},"uris":["http://www.mendeley.com/documents/?uuid=ba405a16-195d-40ce-8ba4-7ffc03dd966a"]},{"id":"ITEM-2","itemData":{"DOI":"10.1038/s41559-018-0602-7","ISSN":"2397-334X","abstract":"European colonization of South America instigated a continental-scale depopulation of its indigenous peoples. The impact of depopulation on the tropical forests of South America varied across the continent. Furthermore, the role that indigenous peoples played in transforming the biodiverse tropical forests of the Andean–Amazonian corridor before ad 1492 remains unknown. Here, we reconstruct the past 1,000 years of changing human impact on the cloud forest of Ecuador at a key trade route, which connected the Inkan Empire to the peoples of Amazonia. We compare this historical landscape with the pre-human arrival (around 44,000–42,000 years ago) and modern environments. We demonstrate that intensive land-use within the cloud forest before European arrival deforested the landscape to a greater extent than modern (post-ad 1950) cattle farming. Intensive indigenous land-use ended abruptly around ad 1588 following a catastrophic population decline. Forest succession then took around 130 years to establish a structurally intact forest—one comparable to that which occurred before the arrival of the first humans to the continent. We show that nineteenth-century descriptions of the Andean–Amazonian corridor as a pristine wilderness record a shifted ecological baseline—one that less than 250 years earlier had consisted of a heavily managed and cultivated landscape.","author":[{"dropping-particle":"","family":"Loughlin","given":"Nicholas J. D.","non-dropping-particle":"","parse-names":false,"suffix":""},{"dropping-particle":"","family":"Gosling","given":"William D.","non-dropping-particle":"","parse-names":false,"suffix":""},{"dropping-particle":"","family":"Mothes","given":"Patricia","non-dropping-particle":"","parse-names":false,"suffix":""},{"dropping-particle":"","family":"Montoya","given":"Encarni","non-dropping-particle":"","parse-names":false,"suffix":""}],"container-title":"Nature Ecology &amp; Evolution","id":"ITEM-2","issue":"8","issued":{"date-parts":[["2018","8","16"]]},"note":"Very interesting - good to have as a model for Nature Eco Evo, but also really cool on shifted baselines and underestimating pre-Columbian human impact on tropical forests. Basically, the indigenous landscape was intensively farmed and more different to 'natural' than the present is. Following depopulation after European arrival and rebellion suppression the landscape became open with secondary forests (similar to modern) with a structurally intact, apparently pristine cloud forest returning after about 130 years.","page":"1233-1236","publisher":"Nature Publishing Group","title":"Ecological consequences of post-Columbian indigenous depopulation in the Andean–Amazonian corridor","type":"article-journal","volume":"2"},"uris":["http://www.mendeley.com/documents/?uuid=7aaf40b7-c72c-3cd4-a906-7cae3bb6815e"]},{"id":"ITEM-3","itemData":{"DOI":"10.1111/j.1523-1739.2012.01920.x","ISBN":"1523-1739 (Electronic)\\n0888-8892 (Linking)","ISSN":"08888892","PMID":"22979917","abstract":"The search for novel approaches to establishing ecological baselines (reference conditions) is constrained by the fact that most ecological studies span the past few decades, at most, and investigate ecosystems that have been substantially altered by human activities for decades, centuries, or more. Paleobiology, archeology, and history provide historical ecological context for biological conservation, remediation, and restoration. We argue that linking historical ecology explicitly with conservation can help unify related disciplines of conservation paleobiology, conservation archeobiology, and environmental history. Differences in the spatial and temporal resolution and extent (scale) of prehistoric, historic, and modern ecological data remain obstacles to integrating historical ecology and conservation biology, but the prolonged temporal extents of historical ecological data can help establish more complete baselines for restoration, document a historical range of ecological variability, and assist in determining desired future conditions. We used the eastern oyster (Crassostrea virginica) fishery of the Chesapeake Bay (U.S.A.) to demonstrate the utility of historical ecological data for elucidating oyster conservation and the need for an approach to conservation that transcends disciplinary boundaries. Historical ecological studies from the Chesapeake have documented dramatic declines (as much as 99%) in oyster abundance since the early to mid-1800 s, changes in oyster size in response to different nutrient levels from the sixteenth to nineteenth centuries, and substantial reductions in oyster accretion rates (from 10 mm/year to effectively 0 mm/year) from the Late Holocene to modern times. Better integration of different historical ecological data sets and increased collaboration between paleobiologists, geologists, archeologists, environmental historians, and ecologists to create standardized research designs and methodologies will help unify prehistoric, historic, and modern time perspectives on biological conservation.","author":[{"dropping-particle":"","family":"Rick","given":"Torben C.","non-dropping-particle":"","parse-names":false,"suffix":""},{"dropping-particle":"","family":"Lockwood","given":"Rowan","non-dropping-particle":"","parse-names":false,"suffix":""}],"container-title":"Conservation Biology","id":"ITEM-3","issue":"1","issued":{"date-parts":[["2013"]]},"page":"45-54","title":"Integrating Paleobiology, Archeology, and History to Inform Biological Conservation","type":"article-journal","volume":"27"},"uris":["http://www.mendeley.com/documents/?uuid=2ce95810-59a0-4320-ba6d-ad12b29aee7a"]},{"id":"ITEM-4","itemData":{"DOI":"10.1126/science.aah4787","ISSN":"0036-8075","PMID":"28183912","abstract":"Conservation of species and ecosystems is increasingly difficult because anthropogenic impacts are pervasive and accelerating. Under this rapid global change, maximizing conservation success requires a paradigm shift from maintaining ecosystems in idealized past states toward facilitating their adaptive and functional capacities, even as species ebb and flow individually. Developing effective strategies under this new paradigm will require deeper understanding of the long-term dynamics that govern ecosystem persistence and reconciliation of conflicts among approaches to conserving historical versus novel ecosystems. Integrating emerging information from conservation biology, paleobiology, and the Earth sciences is an important step forward on the path to success. Maintaining nature in all its aspects will also entail immediately addressing the overarching threats of growing human population, overconsumption, pollution, and climate change.","author":[{"dropping-particle":"","family":"Barnosky","given":"Anthony D","non-dropping-particle":"","parse-names":false,"suffix":""},{"dropping-particle":"","family":"Hadly","given":"Elizabeth A","non-dropping-particle":"","parse-names":false,"suffix":""},{"dropping-particle":"","family":"Gonzalez","given":"Patrick","non-dropping-particle":"","parse-names":false,"suffix":""},{"dropping-particle":"","family":"Head","given":"Jason","non-dropping-particle":"","parse-names":false,"suffix":""},{"dropping-particle":"","family":"Polly","given":"P David","non-dropping-particle":"","parse-names":false,"suffix":""},{"dropping-particle":"","family":"Lawing","given":"A Michelle","non-dropping-particle":"","parse-names":false,"suffix":""},{"dropping-particle":"","family":"Eronen","given":"Jussi T","non-dropping-particle":"","parse-names":false,"suffix":""},{"dropping-particle":"","family":"Ackerly","given":"David D","non-dropping-particle":"","parse-names":false,"suffix":""},{"dropping-particle":"","family":"Alex","given":"Ken","non-dropping-particle":"","parse-names":false,"suffix":""},{"dropping-particle":"","family":"Biber","given":"Eric","non-dropping-particle":"","parse-names":false,"suffix":""},{"dropping-particle":"","family":"Blois","given":"Jessica","non-dropping-particle":"","parse-names":false,"suffix":""},{"dropping-particle":"","family":"Brashares","given":"Justin","non-dropping-particle":"","parse-names":false,"suffix":""},{"dropping-particle":"","family":"Ceballos","given":"Gerardo","non-dropping-particle":"","parse-names":false,"suffix":""},{"dropping-particle":"","family":"Davis","given":"Edward","non-dropping-particle":"","parse-names":false,"suffix":""},{"dropping-particle":"","family":"Dietl","given":"Gregory P","non-dropping-particle":"","parse-names":false,"suffix":""},{"dropping-particle":"","family":"Dirzo","given":"Rodolfo","non-dropping-particle":"","parse-names":false,"suffix":""},{"dropping-particle":"","family":"Doremus","given":"Holly","non-dropping-particle":"","parse-names":false,"suffix":""},{"dropping-particle":"","family":"Fortelius","given":"Mikael","non-dropping-particle":"","parse-names":false,"suffix":""},{"dropping-particle":"","family":"Greene","given":"Harry W","non-dropping-particle":"","parse-names":false,"suffix":""},{"dropping-particle":"","family":"Hellmann","given":"Jessica","non-dropping-particle":"","parse-names":false,"suffix":""},{"dropping-particle":"","family":"Hickler","given":"Thomas","non-dropping-particle":"","parse-names":false,"suffix":""},{"dropping-particle":"","family":"Jackson","given":"Stephen T","non-dropping-particle":"","parse-names":false,"suffix":""},{"dropping-particle":"","family":"Kemp","given":"Melissa","non-dropping-particle":"","parse-names":false,"suffix":""},{"dropping-particle":"","family":"Koch","given":"Paul L","non-dropping-particle":"","parse-names":false,"suffix":""},{"dropping-particle":"","family":"Kremen","given":"Claire","non-dropping-particle":"","parse-names":false,"suffix":""},{"dropping-particle":"","family":"Lindsey","given":"Emily L","non-dropping-particle":"","parse-names":false,"suffix":""},{"dropping-particle":"","family":"Looy","given":"Cindy","non-dropping-particle":"","parse-names":false,"suffix":""},{"dropping-particle":"","family":"Marshall","given":"Charles R","non-dropping-particle":"","parse-names":false,"suffix":""},{"dropping-particle":"","family":"Mendenhall","given":"Chase","non-dropping-particle":"","parse-names":false,"suffix":""},{"dropping-particle":"","family":"Mulch","given":"Andreas","non-dropping-particle":"","parse-names":false,"suffix":""},{"dropping-particle":"","family":"Mychajliw","given":"Alexis M","non-dropping-particle":"","parse-names":false,"suffix":""},{"dropping-particle":"","family":"Nowak","given":"Carsten","non-dropping-particle":"","parse-names":false,"suffix":""},{"dropping-particle":"","family":"Ramakrishnan","given":"Uma","non-dropping-particle":"","parse-names":false,"suffix":""},{"dropping-particle":"","family":"Schnitzler","given":"Jan","non-dropping-particle":"","parse-names":false,"suffix":""},{"dropping-particle":"","family":"Shrestha","given":"Kashish","non-dropping-particle":"Das","parse-names":false,"suffix":""},{"dropping-particle":"","family":"Solari","given":"Katherine","non-dropping-particle":"","parse-names":false,"suffix":""},{"dropping-particle":"","family":"Stegner","given":"Lynn","non-dropping-particle":"","parse-names":false,"suffix":""},{"dropping-particle":"","family":"Stegner","given":"M Allison","non-dropping-particle":"","parse-names":false,"suffix":""},{"dropping-particle":"","family":"Stenseth","given":"Nils Chr","non-dropping-particle":"","parse-names":false,"suffix":""},{"dropping-particle":"","family":"Wake","given":"Marvalee H","non-dropping-particle":"","parse-names":false,"suffix":""},{"dropping-particle":"","family":"Zhang","given":"Zhibin","non-dropping-particle":"","parse-names":false,"suffix":""}],"container-title":"Science","id":"ITEM-4","issue":"6325","issued":{"date-parts":[["2017","2","10"]]},"page":"eaah4787","publisher":"American Association for the Advancement of Science","title":"Merging paleobiology with conservation biology to guide the future of terrestrial ecosystems","type":"article-journal","volume":"355"},"uris":["http://www.mendeley.com/documents/?uuid=586900e7-6d86-37a6-bba6-e073cfe06647"]},{"id":"ITEM-5","itemData":{"DOI":"10.1146/annurev-earth-040610-133349","ISSN":"0084-6597","abstract":"Humans now play a major role in altering Earth and its biota. Finding ways to ameliorate human impacts on biodiversity and to sustain and restore the ecosystem services on which we depend is a grand scientific and societal challenge. Conservation paleobiology is an emerging discipline that uses geohistorical data to meet these challenges by developing and testing mod-els of how biota respond to environmental stressors. Here we (a) describe how the discipline has already provided insights about biotic responses to key environmental stressors, (b) outline research aimed at disentangling the effects of multiple stressors, (c) provide examples of deliverables for managers and policy makers, and (d) identify methodological advances in geohistorical analysis that will foster the next major breakthroughs in conservation out-comes. We highlight cases for which exclusive reliance on observations of living biota may lead researchers to erroneous conclusions about the nature and magnitude of biotic change, vulnerability, and resilience.","author":[{"dropping-particle":"","family":"Dietl","given":"Gregory P","non-dropping-particle":"","parse-names":false,"suffix":""},{"dropping-particle":"","family":"Kidwell","given":"Susan M","non-dropping-particle":"","parse-names":false,"suffix":""},{"dropping-particle":"","family":"Brenner","given":"Mark","non-dropping-particle":"","parse-names":false,"suffix":""},{"dropping-particle":"","family":"Burney","given":"David A","non-dropping-particle":"","parse-names":false,"suffix":""},{"dropping-particle":"","family":"Flessa","given":"Karl W","non-dropping-particle":"","parse-names":false,"suffix":""},{"dropping-particle":"","family":"Jackson","given":"Stephen T","non-dropping-particle":"","parse-names":false,"suffix":""},{"dropping-particle":"","family":"Koch","given":"Paul L","non-dropping-particle":"","parse-names":false,"suffix":""}],"container-title":"Annual Review of Earth and Planetary Sciences","id":"ITEM-5","issue":"1","issued":{"date-parts":[["2015","5","30"]]},"page":"79-103","title":"Conservation Paleobiology: Leveraging Knowledge of the Past to Inform Conservation and Restoration","type":"article-journal","volume":"43"},"uris":["http://www.mendeley.com/documents/?uuid=53058efa-b701-3423-a712-45a76f595aad"]}],"mendeley":{"formattedCitation":"(Barnosky et al., 2017; Dietl et al., 2015; Loughlin et al., 2018; Rick and Lockwood, 2013; Willis et al., 2010)","plainTextFormattedCitation":"(Barnosky et al., 2017; Dietl et al., 2015; Loughlin et al., 2018; Rick and Lockwood, 2013; Willis et al., 2010)","previouslyFormattedCitation":"(Barnosky et al., 2017; Dietl et al., 2015; Loughlin et al., 2018; Rick and Lockwood, 2013; Willis et al., 2010)"},"properties":{"noteIndex":0},"schema":"https://github.com/citation-style-language/schema/raw/master/csl-citation.json"}</w:instrText>
      </w:r>
      <w:r w:rsidR="006B4ADC">
        <w:fldChar w:fldCharType="separate"/>
      </w:r>
      <w:r w:rsidR="005944BB" w:rsidRPr="005944BB">
        <w:rPr>
          <w:noProof/>
        </w:rPr>
        <w:t>(Barnosky et al., 2017; Dietl et al., 2015; Loughlin et al., 2018; Rick and Lockwood, 2013; Willis et al., 2010)</w:t>
      </w:r>
      <w:r w:rsidR="006B4ADC">
        <w:fldChar w:fldCharType="end"/>
      </w:r>
      <w:r w:rsidR="008F7D52">
        <w:t>.</w:t>
      </w:r>
      <w:r w:rsidR="007D2E4E">
        <w:t xml:space="preserve"> </w:t>
      </w:r>
      <w:r w:rsidR="00E13E09">
        <w:t>U</w:t>
      </w:r>
      <w:r w:rsidR="00073B57">
        <w:t>nder a high-emissions scenario,</w:t>
      </w:r>
      <w:r w:rsidR="000A53B3">
        <w:t xml:space="preserve"> </w:t>
      </w:r>
      <w:r w:rsidR="007F0C65">
        <w:t xml:space="preserve">future </w:t>
      </w:r>
      <w:r w:rsidR="000A53B3">
        <w:t xml:space="preserve">floristic assemblages </w:t>
      </w:r>
      <w:r w:rsidR="00E13E09">
        <w:t xml:space="preserve">in the southern Atlantic Forest </w:t>
      </w:r>
      <w:r w:rsidR="007F0C65">
        <w:t xml:space="preserve">will </w:t>
      </w:r>
      <w:r w:rsidR="00073B57">
        <w:t xml:space="preserve">have </w:t>
      </w:r>
      <w:r w:rsidR="00B371FB">
        <w:t>few close analogues from the last 21 millenni</w:t>
      </w:r>
      <w:r w:rsidR="00E13E09">
        <w:t>a, possibly</w:t>
      </w:r>
      <w:r w:rsidR="001F1CF4">
        <w:t xml:space="preserve"> favouring</w:t>
      </w:r>
      <w:r w:rsidR="007D2E4E">
        <w:t xml:space="preserve"> ‘taxon-free’ </w:t>
      </w:r>
      <w:r w:rsidR="0019036A">
        <w:t>conservation measures</w:t>
      </w:r>
      <w:r w:rsidR="00E13E09">
        <w:t xml:space="preserve"> – </w:t>
      </w:r>
      <w:r w:rsidR="0019036A">
        <w:t>prioritis</w:t>
      </w:r>
      <w:r w:rsidR="000671DD">
        <w:t>ing</w:t>
      </w:r>
      <w:r w:rsidR="0019036A">
        <w:t xml:space="preserve"> biodiversity </w:t>
      </w:r>
      <w:r w:rsidR="00467A70" w:rsidRPr="00467A70">
        <w:rPr>
          <w:i/>
          <w:iCs/>
        </w:rPr>
        <w:t>per se</w:t>
      </w:r>
      <w:r w:rsidR="00467A70">
        <w:t xml:space="preserve"> </w:t>
      </w:r>
      <w:r w:rsidR="0019036A">
        <w:t>or ecosystem function, structure or services</w:t>
      </w:r>
      <w:r w:rsidR="00EE139C">
        <w:t xml:space="preserve">, rather than </w:t>
      </w:r>
      <w:r w:rsidR="000671DD">
        <w:t xml:space="preserve">the protection or restoration </w:t>
      </w:r>
      <w:r w:rsidR="00EE139C">
        <w:t xml:space="preserve">of </w:t>
      </w:r>
      <w:r w:rsidR="000671DD">
        <w:t xml:space="preserve">specific, </w:t>
      </w:r>
      <w:r w:rsidR="00EE139C">
        <w:t>historically known</w:t>
      </w:r>
      <w:r w:rsidR="001120C2">
        <w:t xml:space="preserve"> landscapes </w:t>
      </w:r>
      <w:r w:rsidR="001120C2">
        <w:fldChar w:fldCharType="begin" w:fldLock="1"/>
      </w:r>
      <w:r w:rsidR="00250514">
        <w:instrText>ADDIN CSL_CITATION {"citationItems":[{"id":"ITEM-1","itemData":{"DOI":"10.1126/science.aah4787","ISSN":"0036-8075","PMID":"28183912","abstract":"Conservation of species and ecosystems is increasingly difficult because anthropogenic impacts are pervasive and accelerating. Under this rapid global change, maximizing conservation success requires a paradigm shift from maintaining ecosystems in idealized past states toward facilitating their adaptive and functional capacities, even as species ebb and flow individually. Developing effective strategies under this new paradigm will require deeper understanding of the long-term dynamics that govern ecosystem persistence and reconciliation of conflicts among approaches to conserving historical versus novel ecosystems. Integrating emerging information from conservation biology, paleobiology, and the Earth sciences is an important step forward on the path to success. Maintaining nature in all its aspects will also entail immediately addressing the overarching threats of growing human population, overconsumption, pollution, and climate change.","author":[{"dropping-particle":"","family":"Barnosky","given":"Anthony D","non-dropping-particle":"","parse-names":false,"suffix":""},{"dropping-particle":"","family":"Hadly","given":"Elizabeth A","non-dropping-particle":"","parse-names":false,"suffix":""},{"dropping-particle":"","family":"Gonzalez","given":"Patrick","non-dropping-particle":"","parse-names":false,"suffix":""},{"dropping-particle":"","family":"Head","given":"Jason","non-dropping-particle":"","parse-names":false,"suffix":""},{"dropping-particle":"","family":"Polly","given":"P David","non-dropping-particle":"","parse-names":false,"suffix":""},{"dropping-particle":"","family":"Lawing","given":"A Michelle","non-dropping-particle":"","parse-names":false,"suffix":""},{"dropping-particle":"","family":"Eronen","given":"Jussi T","non-dropping-particle":"","parse-names":false,"suffix":""},{"dropping-particle":"","family":"Ackerly","given":"David D","non-dropping-particle":"","parse-names":false,"suffix":""},{"dropping-particle":"","family":"Alex","given":"Ken","non-dropping-particle":"","parse-names":false,"suffix":""},{"dropping-particle":"","family":"Biber","given":"Eric","non-dropping-particle":"","parse-names":false,"suffix":""},{"dropping-particle":"","family":"Blois","given":"Jessica","non-dropping-particle":"","parse-names":false,"suffix":""},{"dropping-particle":"","family":"Brashares","given":"Justin","non-dropping-particle":"","parse-names":false,"suffix":""},{"dropping-particle":"","family":"Ceballos","given":"Gerardo","non-dropping-particle":"","parse-names":false,"suffix":""},{"dropping-particle":"","family":"Davis","given":"Edward","non-dropping-particle":"","parse-names":false,"suffix":""},{"dropping-particle":"","family":"Dietl","given":"Gregory P","non-dropping-particle":"","parse-names":false,"suffix":""},{"dropping-particle":"","family":"Dirzo","given":"Rodolfo","non-dropping-particle":"","parse-names":false,"suffix":""},{"dropping-particle":"","family":"Doremus","given":"Holly","non-dropping-particle":"","parse-names":false,"suffix":""},{"dropping-particle":"","family":"Fortelius","given":"Mikael","non-dropping-particle":"","parse-names":false,"suffix":""},{"dropping-particle":"","family":"Greene","given":"Harry W","non-dropping-particle":"","parse-names":false,"suffix":""},{"dropping-particle":"","family":"Hellmann","given":"Jessica","non-dropping-particle":"","parse-names":false,"suffix":""},{"dropping-particle":"","family":"Hickler","given":"Thomas","non-dropping-particle":"","parse-names":false,"suffix":""},{"dropping-particle":"","family":"Jackson","given":"Stephen T","non-dropping-particle":"","parse-names":false,"suffix":""},{"dropping-particle":"","family":"Kemp","given":"Melissa","non-dropping-particle":"","parse-names":false,"suffix":""},{"dropping-particle":"","family":"Koch","given":"Paul L","non-dropping-particle":"","parse-names":false,"suffix":""},{"dropping-particle":"","family":"Kremen","given":"Claire","non-dropping-particle":"","parse-names":false,"suffix":""},{"dropping-particle":"","family":"Lindsey","given":"Emily L","non-dropping-particle":"","parse-names":false,"suffix":""},{"dropping-particle":"","family":"Looy","given":"Cindy","non-dropping-particle":"","parse-names":false,"suffix":""},{"dropping-particle":"","family":"Marshall","given":"Charles R","non-dropping-particle":"","parse-names":false,"suffix":""},{"dropping-particle":"","family":"Mendenhall","given":"Chase","non-dropping-particle":"","parse-names":false,"suffix":""},{"dropping-particle":"","family":"Mulch","given":"Andreas","non-dropping-particle":"","parse-names":false,"suffix":""},{"dropping-particle":"","family":"Mychajliw","given":"Alexis M","non-dropping-particle":"","parse-names":false,"suffix":""},{"dropping-particle":"","family":"Nowak","given":"Carsten","non-dropping-particle":"","parse-names":false,"suffix":""},{"dropping-particle":"","family":"Ramakrishnan","given":"Uma","non-dropping-particle":"","parse-names":false,"suffix":""},{"dropping-particle":"","family":"Schnitzler","given":"Jan","non-dropping-particle":"","parse-names":false,"suffix":""},{"dropping-particle":"","family":"Shrestha","given":"Kashish","non-dropping-particle":"Das","parse-names":false,"suffix":""},{"dropping-particle":"","family":"Solari","given":"Katherine","non-dropping-particle":"","parse-names":false,"suffix":""},{"dropping-particle":"","family":"Stegner","given":"Lynn","non-dropping-particle":"","parse-names":false,"suffix":""},{"dropping-particle":"","family":"Stegner","given":"M Allison","non-dropping-particle":"","parse-names":false,"suffix":""},{"dropping-particle":"","family":"Stenseth","given":"Nils Chr","non-dropping-particle":"","parse-names":false,"suffix":""},{"dropping-particle":"","family":"Wake","given":"Marvalee H","non-dropping-particle":"","parse-names":false,"suffix":""},{"dropping-particle":"","family":"Zhang","given":"Zhibin","non-dropping-particle":"","parse-names":false,"suffix":""}],"container-title":"Science","id":"ITEM-1","issue":"6325","issued":{"date-parts":[["2017","2","10"]]},"page":"eaah4787","publisher":"American Association for the Advancement of Science","title":"Merging paleobiology with conservation biology to guide the future of terrestrial ecosystems","type":"article-journal","volume":"355"},"uris":["http://www.mendeley.com/documents/?uuid=586900e7-6d86-37a6-bba6-e073cfe06647"]}],"mendeley":{"formattedCitation":"(Barnosky et al., 2017)","plainTextFormattedCitation":"(Barnosky et al., 2017)","previouslyFormattedCitation":"(Barnosky et al., 2017)"},"properties":{"noteIndex":0},"schema":"https://github.com/citation-style-language/schema/raw/master/csl-citation.json"}</w:instrText>
      </w:r>
      <w:r w:rsidR="001120C2">
        <w:fldChar w:fldCharType="separate"/>
      </w:r>
      <w:r w:rsidR="001120C2" w:rsidRPr="001120C2">
        <w:rPr>
          <w:noProof/>
        </w:rPr>
        <w:t>(Barnosky et al., 2017)</w:t>
      </w:r>
      <w:r w:rsidR="001120C2">
        <w:fldChar w:fldCharType="end"/>
      </w:r>
      <w:r w:rsidR="00844BE3">
        <w:t xml:space="preserve">. </w:t>
      </w:r>
      <w:r w:rsidR="00340B06">
        <w:t>Drastic increases in atmospheric CO</w:t>
      </w:r>
      <w:r w:rsidR="00340B06">
        <w:rPr>
          <w:vertAlign w:val="subscript"/>
        </w:rPr>
        <w:t>2</w:t>
      </w:r>
      <w:r w:rsidR="00340B06">
        <w:t xml:space="preserve"> concentrations will make </w:t>
      </w:r>
      <w:r w:rsidR="006400BA">
        <w:t>structure-preserving measures</w:t>
      </w:r>
      <w:r w:rsidR="00340B06">
        <w:t xml:space="preserve"> particularly difficult in </w:t>
      </w:r>
      <w:r w:rsidR="00340B06">
        <w:lastRenderedPageBreak/>
        <w:t xml:space="preserve">Araucaria </w:t>
      </w:r>
      <w:r w:rsidR="008725E5">
        <w:t>Mixed F</w:t>
      </w:r>
      <w:r w:rsidR="00340B06">
        <w:t>orest-Campos mosaics</w:t>
      </w:r>
      <w:r w:rsidR="00741ED7">
        <w:t xml:space="preserve"> – </w:t>
      </w:r>
      <w:r w:rsidR="00446B1D">
        <w:t>which</w:t>
      </w:r>
      <w:r w:rsidR="00784E8D">
        <w:t>, in contrast to our LGM reconstruction,</w:t>
      </w:r>
      <w:r w:rsidR="00AC1375">
        <w:t xml:space="preserve"> </w:t>
      </w:r>
      <w:r w:rsidR="00741ED7">
        <w:t xml:space="preserve">will </w:t>
      </w:r>
      <w:r w:rsidR="00AC1375">
        <w:t xml:space="preserve">increasingly </w:t>
      </w:r>
      <w:r w:rsidR="006400BA">
        <w:t>f</w:t>
      </w:r>
      <w:r w:rsidR="008725E5">
        <w:t>avour</w:t>
      </w:r>
      <w:r w:rsidR="00446B1D">
        <w:t xml:space="preserve"> forest</w:t>
      </w:r>
      <w:r w:rsidR="008725E5">
        <w:t xml:space="preserve"> over grassland</w:t>
      </w:r>
      <w:r w:rsidR="00340B06">
        <w:t xml:space="preserve"> </w:t>
      </w:r>
      <w:r w:rsidR="00D22BFB">
        <w:fldChar w:fldCharType="begin" w:fldLock="1"/>
      </w:r>
      <w:r w:rsidR="009325E6">
        <w:instrText>ADDIN CSL_CITATION {"citationItems":[{"id":"ITEM-1","itemData":{"DOI":"10.1146/annurev-arplant-042817-040405","ISSN":"1543-5008","abstract":"Human carbon use during the next century will lead to atmospheric car- bon dioxide concentrations ( pCO2) that have been unprecedented for the past 50–100+ million years according to fossil plant-based CO2 estimates. The paleobotanical record of plants offers key insights into vegetation re- sponses to past global change, including suitable analogs for Earth’s climatic future. Past global warming events have resulted in transient poleward mi- gration at rates that are equivalent to the lowest climate velocities required for current taxa to keep pace with climate change. Paleobiome reconstruc- tions suggest that the current tundra biome is the biome most threatened by global warming. The common occurrence of paleoforests at high polar latitudes when pCO2 was above 500 ppm suggests that the advance of woody shrub and tree taxa into tundra environmentsmaybe inevitable. Fossil pollen studies demonstrate the resilience of wet tropical forests to global change up to 700 ppm CO2, contrary to modeled predictions of the future. The paleobotanical record also demonstrates a high capacity for functional trait evolution as an additional strategy to migration and maintenance of a species’ climate envelope in response to global change.","author":[{"dropping-particle":"","family":"McElwain","given":"Jennifer C.","non-dropping-particle":"","parse-names":false,"suffix":""}],"container-title":"Annual Review of Plant Biology","id":"ITEM-1","issue":"1","issued":{"date-parts":[["2018","4","29"]]},"page":"761-787","title":"Paleobotany and Global Change: Important Lessons for Species to Biomes from Vegetation Responses to Past Global Change","type":"article-journal","volume":"69"},"uris":["http://www.mendeley.com/documents/?uuid=9fe0e24f-6323-3f01-9039-c6240cb1518e"]},{"id":"ITEM-2","itemData":{"DOI":"10.1111/gcb.15288","ISSN":"1354-1013","abstract":"In mosaic ecosystems, multiple land types coexist as alternative stable states exhibiting distinct spatial patterns. Forest-grassland mosaics are ecologically valuable, due to their high species richness. However, anthropogenic disturbances threaten these ecosystems. Designating protected areas is one approach to preserving natural mosaics. Such work must account for climate change, yet there are few spatially explicit models of mosaics under climate change that can predict its effects. We construct a spatially explicit simulation model for a natural forest-grassland mosaic, parameterized for Southern Brazil. Using this model, we investigate how the spatial structure of these systems is altered under climate change and other disturbance regimes. By including local spatial interactions and fire-mediated forest recruitment, our model reproduces important spatial features of protected real-world mosaics, including the number of forest patches and overall forest cover. Multiple concurrent changes in environmental conditions have greater impacts on tree cover and spatial structure in simulated mosaics than single changes. This sensitivity reflects the narrow range of conditions under which simulated mosaics persist and emphasizes their vulnerability. Our model predicts that, in protected mosaics, climate change impacts on the fire-mediated threshold to recruitment will likely result in substantial increases in forest cover under Representative Concentration Pathway (RCP) 8.5, with potential for mosaic loss over a broad range of initial forest cover levels. Forest cover trajectories are similar until 2150, when cover increases under RCP 8.5 outpace those under RCP 2.6. Mosaics that persist under RCP 8.5 may experience structural alterations at the patch and landscape level. Our simple model predicts several realistic aspects of spatial structure as well as plausible responses to likely regional climate shifts. Hence, further model development could provide a useful tool when building strategies for protecting these ecosystems, by informing site selection for conservation areas that will be favourable to forest-grassland mosaics under future climates.","author":[{"dropping-particle":"","family":"Fair","given":"Kathyrn R.","non-dropping-particle":"","parse-names":false,"suffix":""},{"dropping-particle":"","family":"Anand","given":"Madhur","non-dropping-particle":"","parse-names":false,"suffix":""},{"dropping-particle":"","family":"Bauch","given":"Chris T.","non-dropping-particle":"","parse-names":false,"suffix":""}],"container-title":"Global Change Biology","id":"ITEM-2","issue":"11","issued":{"date-parts":[["2020","11","8"]]},"page":"6097-6115","publisher":"Blackwell Publishing Ltd","title":"Spatial structure in protected forest‐grassland mosaics: Exploring futures under climate change","type":"article-journal","volume":"26"},"uris":["http://www.mendeley.com/documents/?uuid=ea9f1115-036d-36e7-ac6b-7a8116abe170"]}],"mendeley":{"formattedCitation":"(Fair et al., 2020; McElwain, 2018)","plainTextFormattedCitation":"(Fair et al., 2020; McElwain, 2018)","previouslyFormattedCitation":"(Fair et al., 2020; McElwain, 2018)"},"properties":{"noteIndex":0},"schema":"https://github.com/citation-style-language/schema/raw/master/csl-citation.json"}</w:instrText>
      </w:r>
      <w:r w:rsidR="00D22BFB">
        <w:fldChar w:fldCharType="separate"/>
      </w:r>
      <w:r w:rsidR="00D22BFB" w:rsidRPr="00D22BFB">
        <w:rPr>
          <w:noProof/>
        </w:rPr>
        <w:t>(Fair et al., 2020; McElwain, 2018)</w:t>
      </w:r>
      <w:r w:rsidR="00D22BFB">
        <w:fldChar w:fldCharType="end"/>
      </w:r>
      <w:r w:rsidR="00A91279">
        <w:t xml:space="preserve"> – </w:t>
      </w:r>
      <w:r w:rsidR="008513AC">
        <w:t>and</w:t>
      </w:r>
      <w:r w:rsidR="003C0B13">
        <w:t xml:space="preserve"> will also </w:t>
      </w:r>
      <w:r w:rsidR="008513AC">
        <w:t xml:space="preserve">impact the structure, function and biodiversity of </w:t>
      </w:r>
      <w:r w:rsidR="005D5B76">
        <w:t xml:space="preserve">the biome’s </w:t>
      </w:r>
      <w:r w:rsidR="001F1CF4">
        <w:t xml:space="preserve">other </w:t>
      </w:r>
      <w:r w:rsidR="005D5B76">
        <w:t xml:space="preserve">forests </w:t>
      </w:r>
      <w:r w:rsidR="009325E6">
        <w:fldChar w:fldCharType="begin" w:fldLock="1"/>
      </w:r>
      <w:r w:rsidR="00695CF7">
        <w:instrText>ADDIN CSL_CITATION {"citationItems":[{"id":"ITEM-1","itemData":{"DOI":"10.1111/gcb.14413","ISSN":"1354-1013","author":[{"dropping-particle":"","family":"Esquivel‐Muelbert","given":"Adriane","non-dropping-particle":"","parse-names":false,"suffix":""},{"dropping-particle":"","family":"Baker","given":"Timothy R.","non-dropping-particle":"","parse-names":false,"suffix":""},{"dropping-particle":"","family":"Dexter","given":"Kyle G.","non-dropping-particle":"","parse-names":false,"suffix":""},{"dropping-particle":"","family":"Lewis","given":"Simon L.","non-dropping-particle":"","parse-names":false,"suffix":""},{"dropping-particle":"","family":"Brienen","given":"Roel J. W.","non-dropping-particle":"","parse-names":false,"suffix":""},{"dropping-particle":"","family":"Feldpausch","given":"Ted R.","non-dropping-particle":"","parse-names":false,"suffix":""},{"dropping-particle":"","family":"Lloyd","given":"Jon","non-dropping-particle":"","parse-names":false,"suffix":""},{"dropping-particle":"","family":"Monteagudo‐Mendoza","given":"Abel","non-dropping-particle":"","parse-names":false,"suffix":""},{"dropping-particle":"","family":"Arroyo","given":"Luzmila","non-dropping-particle":"","parse-names":false,"suffix":""},{"dropping-particle":"","family":"Álvarez-Dávila","given":"Esteban","non-dropping-particle":"","parse-names":false,"suffix":""},{"dropping-particle":"","family":"Higuchi","given":"Niro","non-dropping-particle":"","parse-names":false,"suffix":""},{"dropping-particle":"","family":"Marimon","given":"Beatriz S.","non-dropping-particle":"","parse-names":false,"suffix":""},{"dropping-particle":"","family":"Marimon-Junior","given":"Ben Hur","non-dropping-particle":"","parse-names":false,"suffix":""},{"dropping-particle":"","family":"Silveira","given":"Marcos","non-dropping-particle":"","parse-names":false,"suffix":""},{"dropping-particle":"","family":"Vilanova","given":"Emilio","non-dropping-particle":"","parse-names":false,"suffix":""},{"dropping-particle":"","family":"Gloor","given":"Emanuel","non-dropping-particle":"","parse-names":false,"suffix":""},{"dropping-particle":"","family":"Malhi","given":"Yadvinder","non-dropping-particle":"","parse-names":false,"suffix":""},{"dropping-particle":"","family":"Chave","given":"Jerôme","non-dropping-particle":"","parse-names":false,"suffix":""},{"dropping-particle":"","family":"Barlow","given":"Jos","non-dropping-particle":"","parse-names":false,"suffix":""},{"dropping-particle":"","family":"Bonal","given":"Damien","non-dropping-particle":"","parse-names":false,"suffix":""},{"dropping-particle":"","family":"Davila Cardozo","given":"Nallaret","non-dropping-particle":"","parse-names":false,"suffix":""},{"dropping-particle":"","family":"Erwin","given":"Terry","non-dropping-particle":"","parse-names":false,"suffix":""},{"dropping-particle":"","family":"Fauset","given":"Sophie","non-dropping-particle":"","parse-names":false,"suffix":""},{"dropping-particle":"","family":"Hérault","given":"Bruno","non-dropping-particle":"","parse-names":false,"suffix":""},{"dropping-particle":"","family":"Laurance","given":"Susan","non-dropping-particle":"","parse-names":false,"suffix":""},{"dropping-particle":"","family":"Poorter","given":"Lourens","non-dropping-particle":"","parse-names":false,"suffix":""},{"dropping-particle":"","family":"Qie","given":"Lan","non-dropping-particle":"","parse-names":false,"suffix":""},{"dropping-particle":"","family":"Stahl","given":"Clement","non-dropping-particle":"","parse-names":false,"suffix":""},{"dropping-particle":"","family":"Sullivan","given":"Martin J. P.","non-dropping-particle":"","parse-names":false,"suffix":""},{"dropping-particle":"","family":"Steege","given":"Hans","non-dropping-particle":"ter","parse-names":false,"suffix":""},{"dropping-particle":"","family":"Vos","given":"Vincent Antoine","non-dropping-particle":"","parse-names":false,"suffix":""},{"dropping-particle":"","family":"Zuidema","given":"Pieter A.","non-dropping-particle":"","parse-names":false,"suffix":""},{"dropping-particle":"","family":"Almeida","given":"Everton","non-dropping-particle":"","parse-names":false,"suffix":""},{"dropping-particle":"","family":"Almeida de Oliveira","given":"Edmar","non-dropping-particle":"","parse-names":false,"suffix":""},{"dropping-particle":"","family":"Andrade","given":"Ana","non-dropping-particle":"","parse-names":false,"suffix":""},{"dropping-particle":"","family":"Vieira","given":"Simone Aparecida","non-dropping-particle":"","parse-names":false,"suffix":""},{"dropping-particle":"","family":"Aragão","given":"Luiz","non-dropping-particle":"","parse-names":false,"suffix":""},{"dropping-particle":"","family":"Araujo‐Murakami","given":"Alejandro","non-dropping-particle":"","parse-names":false,"suffix":""},{"dropping-particle":"","family":"Arets","given":"Eric","non-dropping-particle":"","parse-names":false,"suffix":""},{"dropping-particle":"","family":"Aymard C","given":"Gerardo A.","non-dropping-particle":"","parse-names":false,"suffix":""},{"dropping-particle":"","family":"Baraloto","given":"Christopher","non-dropping-particle":"","parse-names":false,"suffix":""},{"dropping-particle":"","family":"Camargo","given":"Plínio Barbosa","non-dropping-particle":"","parse-names":false,"suffix":""},{"dropping-particle":"","family":"Barroso","given":"Jorcely G.","non-dropping-particle":"","parse-names":false,"suffix":""},{"dropping-particle":"","family":"Bongers","given":"Frans","non-dropping-particle":"","parse-names":false,"suffix":""},{"dropping-particle":"","family":"Boot","given":"Rene","non-dropping-particle":"","parse-names":false,"suffix":""},{"dropping-particle":"","family":"Camargo","given":"José Luís","non-dropping-particle":"","parse-names":false,"suffix":""},{"dropping-particle":"","family":"Castro","given":"Wendeson","non-dropping-particle":"","parse-names":false,"suffix":""},{"dropping-particle":"","family":"Chama Moscoso","given":"Victor","non-dropping-particle":"","parse-names":false,"suffix":""},{"dropping-particle":"","family":"Comiskey","given":"James","non-dropping-particle":"","parse-names":false,"suffix":""},{"dropping-particle":"","family":"Cornejo Valverde","given":"Fernando","non-dropping-particle":"","parse-names":false,"suffix":""},{"dropping-particle":"","family":"Lola da Costa","given":"Antonio Carlos","non-dropping-particle":"","parse-names":false,"suffix":""},{"dropping-particle":"","family":"Aguila Pasquel","given":"Jhon","non-dropping-particle":"del","parse-names":false,"suffix":""},{"dropping-particle":"","family":"Fiore","given":"Anthony","non-dropping-particle":"Di","parse-names":false,"suffix":""},{"dropping-particle":"","family":"Fernanda Duque","given":"Luisa","non-dropping-particle":"","parse-names":false,"suffix":""},{"dropping-particle":"","family":"Elias","given":"Fernando","non-dropping-particle":"","parse-names":false,"suffix":""},{"dropping-particle":"","family":"Engel","given":"Julien","non-dropping-particle":"","parse-names":false,"suffix":""},{"dropping-particle":"","family":"Flores Llampazo","given":"Gerardo","non-dropping-particle":"","parse-names":false,"suffix":""},{"dropping-particle":"","family":"Galbraith","given":"David","non-dropping-particle":"","parse-names":false,"suffix":""},{"dropping-particle":"","family":"Herrera Fernández","given":"Rafael","non-dropping-particle":"","parse-names":false,"suffix":""},{"dropping-particle":"","family":"Honorio Coronado","given":"Eurídice","non-dropping-particle":"","parse-names":false,"suffix":""},{"dropping-particle":"","family":"Hubau","given":"Wannes","non-dropping-particle":"","parse-names":false,"suffix":""},{"dropping-particle":"","family":"Jimenez‐Rojas","given":"Eliana","non-dropping-particle":"","parse-names":false,"suffix":""},{"dropping-particle":"","family":"Lima","given":"Adriano José Nogueira","non-dropping-particle":"","parse-names":false,"suffix":""},{"dropping-particle":"","family":"Umetsu","given":"Ricardo Keichi","non-dropping-particle":"","parse-names":false,"suffix":""},{"dropping-particle":"","family":"Laurance","given":"William","non-dropping-particle":"","parse-names":false,"suffix":""},{"dropping-particle":"","family":"Lopez‐Gonzalez","given":"Gabriela","non-dropping-particle":"","parse-names":false,"suffix":""},{"dropping-particle":"","family":"Lovejoy","given":"Thomas","non-dropping-particle":"","parse-names":false,"suffix":""},{"dropping-particle":"","family":"Aurelio Melo Cruz","given":"Omar","non-dropping-particle":"","parse-names":false,"suffix":""},{"dropping-particle":"","family":"Morandi","given":"Paulo S.","non-dropping-particle":"","parse-names":false,"suffix":""},{"dropping-particle":"","family":"Neill","given":"David","non-dropping-particle":"","parse-names":false,"suffix":""},{"dropping-particle":"","family":"Núñez Vargas","given":"Percy","non-dropping-particle":"","parse-names":false,"suffix":""},{"dropping-particle":"","family":"Pallqui Camacho","given":"Nadir C.","non-dropping-particle":"","parse-names":false,"suffix":""},{"dropping-particle":"","family":"Parada Gutierrez","given":"Alexander","non-dropping-particle":"","parse-names":false,"suffix":""},{"dropping-particle":"","family":"Pardo","given":"Guido","non-dropping-particle":"","parse-names":false,"suffix":""},{"dropping-particle":"","family":"Peacock","given":"Julie","non-dropping-particle":"","parse-names":false,"suffix":""},{"dropping-particle":"","family":"Peña‐Claros","given":"Marielos","non-dropping-particle":"","parse-names":false,"suffix":""},{"dropping-particle":"","family":"Peñuela‐Mora","given":"Maria Cristina","non-dropping-particle":"","parse-names":false,"suffix":""},{"dropping-particle":"","family":"Petronelli","given":"Pascal","non-dropping-particle":"","parse-names":false,"suffix":""},{"dropping-particle":"","family":"Pickavance","given":"Georgia C.","non-dropping-particle":"","parse-names":false,"suffix":""},{"dropping-particle":"","family":"Pitman","given":"Nigel","non-dropping-particle":"","parse-names":false,"suffix":""},{"dropping-particle":"","family":"Prieto","given":"Adriana","non-dropping-particle":"","parse-names":false,"suffix":""},{"dropping-particle":"","family":"Quesada","given":"Carlos","non-dropping-particle":"","parse-names":false,"suffix":""},{"dropping-particle":"","family":"Ramírez‐Angulo","given":"Hirma","non-dropping-particle":"","parse-names":false,"suffix":""},{"dropping-particle":"","family":"Réjou‐Méchain","given":"Maxime","non-dropping-particle":"","parse-names":false,"suffix":""},{"dropping-particle":"","family":"Restrepo Correa","given":"Zorayda","non-dropping-particle":"","parse-names":false,"suffix":""},{"dropping-particle":"","family":"Roopsind","given":"Anand","non-dropping-particle":"","parse-names":false,"suffix":""},{"dropping-particle":"","family":"Rudas","given":"Agustín","non-dropping-particle":"","parse-names":false,"suffix":""},{"dropping-particle":"","family":"Salomão","given":"Rafael","non-dropping-particle":"","parse-names":false,"suffix":""},{"dropping-particle":"","family":"Silva","given":"Natalino","non-dropping-particle":"","parse-names":false,"suffix":""},{"dropping-particle":"","family":"Silva Espejo","given":"Javier","non-dropping-particle":"","parse-names":false,"suffix":""},{"dropping-particle":"","family":"Singh","given":"James","non-dropping-particle":"","parse-names":false,"suffix":""},{"dropping-particle":"","family":"Stropp","given":"Juliana","non-dropping-particle":"","parse-names":false,"suffix":""},{"dropping-particle":"","family":"Terborgh","given":"John","non-dropping-particle":"","parse-names":false,"suffix":""},{"dropping-particle":"","family":"Thomas","given":"Raquel","non-dropping-particle":"","parse-names":false,"suffix":""},{"dropping-particle":"","family":"Toledo","given":"Marisol","non-dropping-particle":"","parse-names":false,"suffix":""},{"dropping-particle":"","family":"Torres‐Lezama","given":"Armando","non-dropping-particle":"","parse-names":false,"suffix":""},{"dropping-particle":"","family":"Valenzuela Gamarra","given":"Luis","non-dropping-particle":"","parse-names":false,"suffix":""},{"dropping-particle":"","family":"Meer","given":"Peter J.","non-dropping-particle":"van de","parse-names":false,"suffix":""},{"dropping-particle":"","family":"Heijden","given":"Geertje","non-dropping-particle":"van der","parse-names":false,"suffix":""},{"dropping-particle":"","family":"Hout","given":"Peter","non-dropping-particle":"van der","parse-names":false,"suffix":""},{"dropping-particle":"","family":"Vasquez Martinez","given":"Rodolfo","non-dropping-particle":"","parse-names":false,"suffix":""},{"dropping-particle":"","family":"Vela","given":"Cesar","non-dropping-particle":"","parse-names":false,"suffix":""},{"dropping-particle":"","family":"Vieira","given":"Ima Célia Guimarães","non-dropping-particle":"","parse-names":false,"suffix":""},{"dropping-particle":"","family":"Phillips","given":"Oliver L.","non-dropping-particle":"","parse-names":false,"suffix":""}],"container-title":"Global Change Biology","id":"ITEM-1","issue":"1","issued":{"date-parts":[["2019","1","8"]]},"note":"Looks at responses of Amazonian forest plots to changing conditions over the last 30 years. Finds that dying trees are more often wet-affiliated, and recruits dry-affiliated. There's probably an overall trend towards larger trees (because of CO2 fertilisation and competition for light) which is reversed in drought periods (which penalise larger trees). Lots of interesting and useful comments (and references) about lag times and inertia.","page":"39-56","title":"Compositional response of Amazon forests to climate change","type":"article-journal","volume":"25"},"uris":["http://www.mendeley.com/documents/?uuid=e8a591c0-b84b-3f65-a238-ba177d8e14bc"]}],"mendeley":{"formattedCitation":"(Esquivel‐Muelbert et al., 2019)","plainTextFormattedCitation":"(Esquivel‐Muelbert et al., 2019)","previouslyFormattedCitation":"(Esquivel‐Muelbert et al., 2019)"},"properties":{"noteIndex":0},"schema":"https://github.com/citation-style-language/schema/raw/master/csl-citation.json"}</w:instrText>
      </w:r>
      <w:r w:rsidR="009325E6">
        <w:fldChar w:fldCharType="separate"/>
      </w:r>
      <w:r w:rsidR="009325E6" w:rsidRPr="009325E6">
        <w:rPr>
          <w:noProof/>
        </w:rPr>
        <w:t>(Esquivel‐Muelbert et al., 2019)</w:t>
      </w:r>
      <w:r w:rsidR="009325E6">
        <w:fldChar w:fldCharType="end"/>
      </w:r>
      <w:r w:rsidR="00C75C5C">
        <w:t>. But regardless of the</w:t>
      </w:r>
      <w:r w:rsidR="004565C1">
        <w:t xml:space="preserve"> conservation approaches taken, </w:t>
      </w:r>
      <w:r w:rsidR="00DE554B">
        <w:t xml:space="preserve">a key </w:t>
      </w:r>
      <w:r w:rsidR="00053EFC">
        <w:t xml:space="preserve">task will be </w:t>
      </w:r>
      <w:r w:rsidR="001F1CF4">
        <w:t>facilitating</w:t>
      </w:r>
      <w:r w:rsidR="00095070">
        <w:t xml:space="preserve"> species</w:t>
      </w:r>
      <w:r w:rsidR="001F1CF4">
        <w:t>’ individualistic movements</w:t>
      </w:r>
      <w:r w:rsidR="00095070">
        <w:t xml:space="preserve"> in response to climate changes</w:t>
      </w:r>
      <w:r w:rsidR="00053EFC">
        <w:t>, including through forest restoration</w:t>
      </w:r>
      <w:r w:rsidR="00095070">
        <w:t xml:space="preserve"> </w:t>
      </w:r>
      <w:r w:rsidR="00A355BA">
        <w:fldChar w:fldCharType="begin" w:fldLock="1"/>
      </w:r>
      <w:r w:rsidR="00D22BFB">
        <w:instrText>ADDIN CSL_CITATION {"citationItems":[{"id":"ITEM-1","itemData":{"DOI":"10.1016/j.pecon.2018.10.002","ISSN":"25300644","abstract":"New remote sensing data on vegetation cover and restoration opportunities bring hope to the Brazilian Atlantic Forest, one of the hottest of the 36 global biodiversity hotspots. Available estimates of remaining vegetation cover in the biome currently range from 11% to 16%. However, our new land-cover map, prepared at the highest resolution ever (5m), reveals a current vegetation cover of 28%, or 32 million hectares (Mha) of native vegetation. Simultaneously, we found 7.2Mha of degraded riparian areas, of which 5.2Mha at least must be restored before 2038 by landowners for legislation compliance. Restoring the existing legal debt could increase native vegetation cover in the Atlantic Forest up to 35%. Such effort, if well planned and implemented, could reduce extinction processes by increasing connectivity of vegetation remnants and rising total native cover to above the critical biodiversity threshold established for different taxonomic groups. If undertaken, this process can be adaptive to climate change and boost sustainable development in this most populous biome in Brazil, turning it into a hopespot.","author":[{"dropping-particle":"","family":"Rezende","given":"C.L.","non-dropping-particle":"","parse-names":false,"suffix":""},{"dropping-particle":"","family":"Scarano","given":"F.R.","non-dropping-particle":"","parse-names":false,"suffix":""},{"dropping-particle":"","family":"Assad","given":"E.D.","non-dropping-particle":"","parse-names":false,"suffix":""},{"dropping-particle":"","family":"Joly","given":"C.A.","non-dropping-particle":"","parse-names":false,"suffix":""},{"dropping-particle":"","family":"Metzger","given":"J.P.","non-dropping-particle":"","parse-names":false,"suffix":""},{"dropping-particle":"","family":"Strassburg","given":"B.B.N.","non-dropping-particle":"","parse-names":false,"suffix":""},{"dropping-particle":"","family":"Tabarelli","given":"M.","non-dropping-particle":"","parse-names":false,"suffix":""},{"dropping-particle":"","family":"Fonseca","given":"G.A.","non-dropping-particle":"","parse-names":false,"suffix":""},{"dropping-particle":"","family":"Mittermeier","given":"R.A.","non-dropping-particle":"","parse-names":false,"suffix":""}],"container-title":"Perspectives in Ecology and Conservation","id":"ITEM-1","issue":"4","issued":{"date-parts":[["2018","10","1"]]},"page":"208-214","publisher":"Elsevier","title":"From hotspot to hopespot: An opportunity for the Brazilian Atlantic Forest","type":"article-journal","volume":"16"},"uris":["http://www.mendeley.com/documents/?uuid=7d51a479-3971-37a2-833c-2a4ec4450a86"]},{"id":"ITEM-2","itemData":{"DOI":"10.1111/ddi.12588","ISSN":"14724642","abstract":"Aim: To propose and compare priority sites for conservation and restoration of woody plants under diverse climate and land use scenarios, considering socio-economic costs, presence of protected areas and distribution of forest remnants. Location: The Atlantic Forest Biodiversity Hotspot, Brazil. Methods: We used ecological niche modelling to estimate geographical distributions for 2,255 species under current and future climate scenarios, which we analysed in relation to spatially explicit land use projections, maps of forest remnants derived from remote sensing and socio-economic variables for each municipality within the Atlantic Forest region. We identified spatial priorities that complement the current network of protected areas under three different prioritization scenarios: (1) conservation of existing forest remnants only; (2) conservation of remnants followed by restoration of degraded habitat; and (3) unconstrained actions, in which management location is not defined a priori. We compared our results under different levels of land protection, with targets of 10%, 17% and 20% of the Atlantic Forest extent. Results: Current forest remnants cover only 12% of the Atlantic Forest, so targets of 17% and 20% were achieved only through active restoration. Targets of 17% and 20% captured most species and represented on average 26%–34% of species’ distributions. The spatial pattern of degraded habitats negatively affected representation of biodiversity and implied higher costs and reduced efficiency of planning. We did not observe major differences between conservation prioritizations based on contrasting climate change scenarios. Main conclusions: Protection of forest remnants alone will not suffice to safeguard woody plant species under climate and land use changes; therefore, restoration actions are urgently needed in the Atlantic Forest. With integrated management actions and multicriterion nationwide planning, reaching the 17% of land protection of Aichi biodiversity targets will constitute an important step towards protecting Atlantic Forest biodiversity.","author":[{"dropping-particle":"","family":"Zwiener","given":"Victor P.","non-dropping-particle":"","parse-names":false,"suffix":""},{"dropping-particle":"","family":"Padial","given":"André A.","non-dropping-particle":"","parse-names":false,"suffix":""},{"dropping-particle":"","family":"Marques","given":"Márcia C.M.","non-dropping-particle":"","parse-names":false,"suffix":""},{"dropping-particle":"V.","family":"Faleiro","given":"Frederico","non-dropping-particle":"","parse-names":false,"suffix":""},{"dropping-particle":"","family":"Loyola","given":"Rafael","non-dropping-particle":"","parse-names":false,"suffix":""},{"dropping-particle":"","family":"Peterson","given":"A. Townsend","non-dropping-particle":"","parse-names":false,"suffix":""}],"container-title":"Diversity and Distributions","id":"ITEM-2","issue":"8","issued":{"date-parts":[["2017"]]},"page":"955-966","title":"Planning for conservation and restoration under climate and land use change in the Brazilian Atlantic Forest","type":"article-journal","volume":"23"},"uris":["http://www.mendeley.com/documents/?uuid=a3f937d4-fa6f-45f7-a7f9-c7366aac2b48"]}],"mendeley":{"formattedCitation":"(Rezende et al., 2018; Zwiener et al., 2017)","plainTextFormattedCitation":"(Rezende et al., 2018; Zwiener et al., 2017)","previouslyFormattedCitation":"(Rezende et al., 2018; Zwiener et al., 2017)"},"properties":{"noteIndex":0},"schema":"https://github.com/citation-style-language/schema/raw/master/csl-citation.json"}</w:instrText>
      </w:r>
      <w:r w:rsidR="00A355BA">
        <w:fldChar w:fldCharType="separate"/>
      </w:r>
      <w:r w:rsidR="00053EFC" w:rsidRPr="00053EFC">
        <w:rPr>
          <w:noProof/>
        </w:rPr>
        <w:t>(Rezende et al., 2018; Zwiener et al., 2017)</w:t>
      </w:r>
      <w:r w:rsidR="00A355BA">
        <w:fldChar w:fldCharType="end"/>
      </w:r>
      <w:r w:rsidR="00053EFC">
        <w:t xml:space="preserve">. This </w:t>
      </w:r>
      <w:r w:rsidR="005156F8">
        <w:t xml:space="preserve">too </w:t>
      </w:r>
      <w:r w:rsidR="00053EFC">
        <w:t>will come with challenges, however</w:t>
      </w:r>
      <w:r w:rsidR="000571CD">
        <w:t xml:space="preserve">: increasing </w:t>
      </w:r>
      <w:r w:rsidR="00505097">
        <w:t xml:space="preserve">landscape </w:t>
      </w:r>
      <w:r w:rsidR="000571CD">
        <w:t xml:space="preserve">connectivity </w:t>
      </w:r>
      <w:r w:rsidR="00B172C7">
        <w:t xml:space="preserve">amid anthropogenic climate change </w:t>
      </w:r>
      <w:r w:rsidR="001F1CF4">
        <w:t>may</w:t>
      </w:r>
      <w:r w:rsidR="000571CD">
        <w:t xml:space="preserve"> </w:t>
      </w:r>
      <w:r w:rsidR="006D65C4">
        <w:t xml:space="preserve">erode </w:t>
      </w:r>
      <w:r w:rsidR="00E42841">
        <w:t xml:space="preserve">endemic-rich marginal habitats and </w:t>
      </w:r>
      <w:r w:rsidR="000571CD">
        <w:t xml:space="preserve">aid biotic </w:t>
      </w:r>
      <w:r w:rsidR="00946575">
        <w:t>homogenisation across the Atlantic Forest</w:t>
      </w:r>
      <w:r w:rsidR="0017728D">
        <w:t xml:space="preserve"> </w:t>
      </w:r>
      <w:r w:rsidR="00E038D6">
        <w:fldChar w:fldCharType="begin" w:fldLock="1"/>
      </w:r>
      <w:r w:rsidR="00053EFC">
        <w:instrText>ADDIN CSL_CITATION {"citationItems":[{"id":"ITEM-1","itemData":{"DOI":"10.1111/ddi.12581","ISSN":"14724642","abstract":"Aim\n\nWe aimed to assess the contribution of marginal habitats to the tree species richness of the Mata Atlântica (Atlantic Forest) biodiversity hotspot. In addition, we aimed to determine which environmental factors drive the occurrence and distribution of these marginal habitats.\n\n\nLocation\n\nThe whole extension of the South American Atlantic Forest Domain plus forest intrusions into the neighbouring Cerrado and Pampa Domains, which comprises rain forests (“core” habitat) and five marginal habitats, namely high elevation forests, rock outcrop dwarf-forests, riverine forests, semideciduous forests and restinga (coastal white-sand woodlands).\n\n\nMethods\n\nWe compiled a dataset containing 366,875 occurrence records of 4,431 tree species from 1,753 site-checklists, which were a priori classified into 10 main vegetation types. We then performed ordination analyses of the species-by-site matrix to assess the floristic consistency of this classification. In order to assess the relative contribution of environmental predictors to the community turnover, we produced models using 26 climate and substrate-related variables as environmental predictors.\n\n\nResults\n\nOrdination diagrams supported the floristic segregation of vegetation types, with those considered as marginal habitats placed at the extremes of ordination axes. These marginal habitats are associated with the harshest extremes of five limiting factors: temperature seasonality (high elevation and subtropical riverine forests), flammability (rock outcrop dwarf-forests), high salinity (restinga), water deficit severity (semideciduous forests) and waterlogged soils (tropical riverine forests). Importantly, 45% of all species endemic to the Atlantic Domain only occur in marginal habitats.\n\n\nMain conclusions\n\nOur results showed the key role of the poorly protected marginal habitats in contributing to the high species richness of the Atlantic Domain. Various types of environmental harshness operate as environmental filters determining the distribution of the Atlantic Domain habitats. Our findings also stressed the importance of fire, a previously neglected environmental factor.","author":[{"dropping-particle":"","family":"Neves","given":"Danilo M.","non-dropping-particle":"","parse-names":false,"suffix":""},{"dropping-particle":"","family":"Dexter","given":"Kyle G.","non-dropping-particle":"","parse-names":false,"suffix":""},{"dropping-particle":"","family":"Pennington","given":"R. Toby","non-dropping-particle":"","parse-names":false,"suffix":""},{"dropping-particle":"","family":"Valente","given":"Arthur S.M.","non-dropping-particle":"","parse-names":false,"suffix":""},{"dropping-particle":"","family":"Bueno","given":"Marcelo L.","non-dropping-particle":"","parse-names":false,"suffix":""},{"dropping-particle":"V.","family":"Eisenlohr","given":"Pedro","non-dropping-particle":"","parse-names":false,"suffix":""},{"dropping-particle":"","family":"Fontes","given":"Marco A.L.","non-dropping-particle":"","parse-names":false,"suffix":""},{"dropping-particle":"","family":"Miranda","given":"Pedro L.S.","non-dropping-particle":"","parse-names":false,"suffix":""},{"dropping-particle":"","family":"Moreira","given":"Suzana N.","non-dropping-particle":"","parse-names":false,"suffix":""},{"dropping-particle":"","family":"Rezende","given":"Vanessa L.","non-dropping-particle":"","parse-names":false,"suffix":""},{"dropping-particle":"","family":"Saiter","given":"Felipe Z.","non-dropping-particle":"","parse-names":false,"suffix":""},{"dropping-particle":"","family":"Oliveira-Filho","given":"Ary T.","non-dropping-particle":"","parse-names":false,"suffix":""}],"container-title":"Diversity and Distributions","id":"ITEM-1","issue":"8","issued":{"date-parts":[["2017"]]},"note":"MOF is a marginal habitat in the Atlantic Domain (v broadly defined). It's linked to cold (because high altitude) conditions and long distance from the equator. Also higher temperature seasonality. According to this study it has 6% endemics and is 17% protected","page":"898-909","title":"Dissecting a biodiversity hotspot: The importance of environmentally marginal habitats in the Atlantic Forest Domain of South America","type":"article-journal","volume":"23"},"uris":["http://www.mendeley.com/documents/?uuid=0ae4494c-d6d5-4d85-8d68-f26bf4dd3ed2"]},{"id":"ITEM-2","itemData":{"DOI":"10.1111/geb.12695","ISSN":"14668238","abstract":"Aim: The importance of anthropogenic activities in reshaping biodiversity is increasing fast. Interactive effects of climate change, biological invasions and species replacement are poorly understood, particularly at large scales and in megadiverse biomes. We aimed to assess the effects of climate change as a driver of spatio-temporal biodiversity patterns and homogenization of woody plants at multiple scales, in a hyperdiverse species assemblage. Location: The Atlantic Forest, Brazil. Time period: Present, future projections. Major taxa studied: Woody plants. Methods: We used ecological niche modeling to estimate geographic distributions of 2,255 plant species under present and future climates. Range-diversity plots based on species presence-absence matrices and null models were used to explore changes in alpha and beta diversity, range size and covariance in species composition across ecoregions, climatic scenarios and within protected areas. We also partitioned dissimilarity into turnover and nestedness components and explored expansions and retractions of species’ ranges to infer invasive potential and implications for conservation in the future. Results: Despite a general increase in local richness, beta diversity decreased with time. Similarity among sites was accentuated in severe climate change scenarios enhancing biotic homogenization at large scales. Changes were not constant or homogeneous across ecoregions and at smaller scales, but a consistent pattern was the reduction of beta diversity accompanied by increments in the mean range size of widespread species. Likewise, subsets of assemblages within protected areas presented higher similarity, increased mean range size and invariability of richness through time, indicating potential compositional turnover promoted by the expansion of widespread species. Main conclusions: Expansion of current generalist and disturbance-tolerant species rather than extinction or retraction of local endemics may lead to woody plant homogenization in the tropics. The woody plant assemblage in the Atlantic Forest is prone to a structural reorganization due to climate change, threatening conservation of biodiversity and potentially leading to severe large-scale biotic homogenization in the near future.","author":[{"dropping-particle":"","family":"Zwiener","given":"Victor P.","non-dropping-particle":"","parse-names":false,"suffix":""},{"dropping-particle":"","family":"Lira-Noriega","given":"Andrés","non-dropping-particle":"","parse-names":false,"suffix":""},{"dropping-particle":"","family":"Grady","given":"Charles J.","non-dropping-particle":"","parse-names":false,"suffix":""},{"dropping-particle":"","family":"Padial","given":"André A.","non-dropping-particle":"","parse-names":false,"suffix":""},{"dropping-particle":"","family":"Vitule","given":"Jean R.S.","non-dropping-particle":"","parse-names":false,"suffix":""}],"container-title":"Global Ecology and Biogeography","id":"ITEM-2","issue":"3","issued":{"date-parts":[["2018"]]},"page":"298-309","title":"Climate change as a driver of biotic homogenization of woody plants in the Atlantic Forest","type":"article-journal","volume":"27"},"uris":["http://www.mendeley.com/documents/?uuid=7c95ffea-a97d-4df2-ae44-28b68415a594"]}],"mendeley":{"formattedCitation":"(Neves et al., 2017; Zwiener et al., 2018)","plainTextFormattedCitation":"(Neves et al., 2017; Zwiener et al., 2018)","previouslyFormattedCitation":"(Neves et al., 2017; Zwiener et al., 2018)"},"properties":{"noteIndex":0},"schema":"https://github.com/citation-style-language/schema/raw/master/csl-citation.json"}</w:instrText>
      </w:r>
      <w:r w:rsidR="00E038D6">
        <w:fldChar w:fldCharType="separate"/>
      </w:r>
      <w:r w:rsidR="00946575" w:rsidRPr="00946575">
        <w:rPr>
          <w:noProof/>
        </w:rPr>
        <w:t>(Neves et al., 2017; Zwiener et al., 2018)</w:t>
      </w:r>
      <w:r w:rsidR="00E038D6">
        <w:fldChar w:fldCharType="end"/>
      </w:r>
      <w:r w:rsidR="00056F7E">
        <w:t xml:space="preserve">, </w:t>
      </w:r>
      <w:r w:rsidR="00C241D4">
        <w:t xml:space="preserve">and risks introducing competitor and antagonist species to </w:t>
      </w:r>
      <w:r w:rsidR="009C25C7">
        <w:t xml:space="preserve">populations </w:t>
      </w:r>
      <w:r w:rsidR="00C241D4">
        <w:t xml:space="preserve">sheltering in microrefugia </w:t>
      </w:r>
      <w:r w:rsidR="0041373E">
        <w:fldChar w:fldCharType="begin" w:fldLock="1"/>
      </w:r>
      <w:r w:rsidR="00C00657">
        <w:instrText>ADDIN CSL_CITATION {"citationItems":[{"id":"ITEM-1","itemData":{"DOI":"10.1111/j.1365-2486.2012.02661.x","ISBN":"1365-2486","ISSN":"13541013","abstract":"Ecologists are increasingly recognizing the conservation significance of microrefugia, but it is inherently difficult to locate these small patches with unusual climates, and hence they are also referred to as cryptic refugia. Here we introduce a new methodology to quantify and locate potential microrefugia using fine-scale topoclimatic grids that capture extreme conditions, stable climates, and distinct differences from the surrounding matrix. We collected hourly temperature data from 150 sites in a large (200 km by 300 km) and diverse region of New South Wales, Australia, for a total of 671 days over 2 years. Sites spanned a range of habitats including coastal dune shrublands, eucalypt forests, exposed woodland ridges, sheltered rainforest gullies, upland swamps, and lowland pastures. Climate grids were interpolated using a regional regression approach based on elevation, distance to coast, canopy cover, latitude, cold-air drainage, and topographical exposure to winds and radiation. We identified extreme temperatures on two separate climatic gradients: the 5th percentile of minimum temperatures and the 95th percentile of maximum temperatures. For each gradient, climatic stability was assessed on three different time scales (intra-seasonal, intra-annual and inter-annual). Differences from the matrix were assessed using a moving window with a 5 km radius. We averaged the Z-scores for these extreme, stable and isolated climates to identify potential locations of microrefugia. We found that our method successfully predicted the location of communities that were considered to occupy refugia, such as rainforests that have progressively contracted in distribution over the last 2.5 million years, and alpine grasslands that have contracted over the last 15 thousand years. However, the method was inherently sensitive to the gradient selected and other aspects of the modelling process. These uncertainties could be dealt with in a conservation planning context by repeating the methodology with various parameterizations and identifying areas that were consistently identified as microrefugia.","author":[{"dropping-particle":"","family":"Ashcroft","given":"Michael B.","non-dropping-particle":"","parse-names":false,"suffix":""},{"dropping-particle":"","family":"Gollan","given":"John R.","non-dropping-particle":"","parse-names":false,"suffix":""},{"dropping-particle":"","family":"Warton","given":"David I.","non-dropping-particle":"","parse-names":false,"suffix":""},{"dropping-particle":"","family":"Ramp","given":"Daniel","non-dropping-particle":"","parse-names":false,"suffix":""}],"container-title":"Global Change Biology","id":"ITEM-1","issue":"6","issued":{"date-parts":[["2012"]]},"note":"Very similar to Ashcroft and Gollan 2012. Uses that data (topoclimate grid) to calculate a refugial index and work out where warm and cold refugia are. Useful comments on the value of different sorts of refugia for different taxa","page":"1866-1879","title":"A novel approach to quantify and locate potential microrefugia using topoclimate, climate stability, and isolation from the matrix","type":"article-journal","volume":"18"},"uris":["http://www.mendeley.com/documents/?uuid=a4a1b017-0bad-4777-918b-d13202fcec94"]}],"mendeley":{"formattedCitation":"(Ashcroft et al., 2012)","plainTextFormattedCitation":"(Ashcroft et al., 2012)","previouslyFormattedCitation":"(Ashcroft et al., 2012)"},"properties":{"noteIndex":0},"schema":"https://github.com/citation-style-language/schema/raw/master/csl-citation.json"}</w:instrText>
      </w:r>
      <w:r w:rsidR="0041373E">
        <w:fldChar w:fldCharType="separate"/>
      </w:r>
      <w:r w:rsidR="0041373E" w:rsidRPr="0041373E">
        <w:rPr>
          <w:noProof/>
        </w:rPr>
        <w:t>(Ashcroft et al., 2012)</w:t>
      </w:r>
      <w:r w:rsidR="0041373E">
        <w:fldChar w:fldCharType="end"/>
      </w:r>
      <w:r w:rsidR="00B804CC">
        <w:t xml:space="preserve">. </w:t>
      </w:r>
    </w:p>
    <w:p w14:paraId="689D9123" w14:textId="0CFBCB05" w:rsidR="00EE5B13" w:rsidRDefault="00EE5B13" w:rsidP="00F74804">
      <w:pPr>
        <w:pStyle w:val="Heading2"/>
        <w:numPr>
          <w:ilvl w:val="1"/>
          <w:numId w:val="5"/>
        </w:numPr>
        <w:spacing w:line="360" w:lineRule="auto"/>
      </w:pPr>
      <w:r>
        <w:t>Conclusions</w:t>
      </w:r>
    </w:p>
    <w:p w14:paraId="3ADC38B6" w14:textId="38E5DE14" w:rsidR="00E0138C" w:rsidRDefault="00EE5B13" w:rsidP="00F74804">
      <w:pPr>
        <w:spacing w:line="360" w:lineRule="auto"/>
      </w:pPr>
      <w:r>
        <w:t>O</w:t>
      </w:r>
      <w:r w:rsidR="00E945D6">
        <w:t xml:space="preserve">ur findings show the value in </w:t>
      </w:r>
      <w:r w:rsidR="009B0C91">
        <w:t>combining</w:t>
      </w:r>
      <w:r w:rsidR="00E945D6">
        <w:t xml:space="preserve"> species-level </w:t>
      </w:r>
      <w:proofErr w:type="spellStart"/>
      <w:r w:rsidR="00E945D6">
        <w:t>palaeo</w:t>
      </w:r>
      <w:proofErr w:type="spellEnd"/>
      <w:r w:rsidR="004E71C7">
        <w:t>-</w:t>
      </w:r>
      <w:r w:rsidR="00E945D6">
        <w:t>distribution modelling</w:t>
      </w:r>
      <w:r w:rsidR="0035683F">
        <w:t xml:space="preserve"> </w:t>
      </w:r>
      <w:r w:rsidR="009B0C91">
        <w:t>with</w:t>
      </w:r>
      <w:r w:rsidR="0035683F">
        <w:t xml:space="preserve"> detailed synthesis of palaeoecological proxy data</w:t>
      </w:r>
      <w:r w:rsidR="00AC4AF9">
        <w:t>. The results</w:t>
      </w:r>
      <w:r w:rsidR="00B06D40">
        <w:t xml:space="preserve"> highlight</w:t>
      </w:r>
      <w:r w:rsidR="00AC4AF9">
        <w:t xml:space="preserve"> that 21,000 years of continual species reassortment in response to natural climate changes likely resulted in</w:t>
      </w:r>
      <w:r w:rsidR="00B06D40">
        <w:t xml:space="preserve"> </w:t>
      </w:r>
      <w:r w:rsidR="00E945D6">
        <w:t xml:space="preserve">important </w:t>
      </w:r>
      <w:r w:rsidR="00B06D40">
        <w:t>(</w:t>
      </w:r>
      <w:r w:rsidR="00AC4AF9">
        <w:t>occasionally</w:t>
      </w:r>
      <w:r w:rsidR="00B06D40">
        <w:t xml:space="preserve"> palynologically silent) </w:t>
      </w:r>
      <w:r w:rsidR="00E945D6">
        <w:t xml:space="preserve">compositional changes within </w:t>
      </w:r>
      <w:r w:rsidR="00D85DAF">
        <w:t>southern Atlantic Forest</w:t>
      </w:r>
      <w:r w:rsidR="00E945D6">
        <w:t xml:space="preserve"> </w:t>
      </w:r>
      <w:r w:rsidR="00D85DAF">
        <w:t>ecosystems</w:t>
      </w:r>
      <w:r w:rsidR="00AC4AF9">
        <w:t xml:space="preserve">, </w:t>
      </w:r>
      <w:r w:rsidR="00E945D6">
        <w:t xml:space="preserve">as well as changes to their overall distributions. </w:t>
      </w:r>
      <w:r w:rsidR="0035683F">
        <w:t>We</w:t>
      </w:r>
      <w:r w:rsidR="00CE3145">
        <w:t xml:space="preserve"> demonstrate </w:t>
      </w:r>
      <w:r w:rsidR="00E240B7">
        <w:t>that</w:t>
      </w:r>
      <w:r w:rsidR="00585978">
        <w:t xml:space="preserve"> </w:t>
      </w:r>
      <w:r w:rsidR="00D06A20">
        <w:t>different</w:t>
      </w:r>
      <w:r w:rsidR="004C5A78">
        <w:t xml:space="preserve"> </w:t>
      </w:r>
      <w:r w:rsidR="00D06A20">
        <w:t xml:space="preserve">plant communities of this </w:t>
      </w:r>
      <w:proofErr w:type="gramStart"/>
      <w:r w:rsidR="00D06A20">
        <w:t>globally-important</w:t>
      </w:r>
      <w:proofErr w:type="gramEnd"/>
      <w:r w:rsidR="00D06A20">
        <w:t xml:space="preserve"> biodiversity hotspot vary in the degree of species reassortment they underwent in response to climate change </w:t>
      </w:r>
      <w:r w:rsidR="0014692A">
        <w:t>since the LGM</w:t>
      </w:r>
      <w:r w:rsidR="00D06A20">
        <w:t>. Our analyses point to highly novel species assemblages in both the past (in particular, the early Holocene</w:t>
      </w:r>
      <w:r w:rsidR="00832CE9">
        <w:t>, a period rarely</w:t>
      </w:r>
      <w:r w:rsidR="003450AE">
        <w:t xml:space="preserve"> covered in other modelling studies</w:t>
      </w:r>
      <w:r w:rsidR="00D06A20">
        <w:t>) and future (late 21</w:t>
      </w:r>
      <w:r w:rsidR="00D06A20" w:rsidRPr="00585978">
        <w:rPr>
          <w:vertAlign w:val="superscript"/>
        </w:rPr>
        <w:t>st</w:t>
      </w:r>
      <w:r w:rsidR="00D06A20">
        <w:t xml:space="preserve"> century)</w:t>
      </w:r>
      <w:r w:rsidR="00E20188">
        <w:t xml:space="preserve">. </w:t>
      </w:r>
      <w:r w:rsidR="00F75D91">
        <w:t xml:space="preserve">Our close linkage of </w:t>
      </w:r>
      <w:proofErr w:type="spellStart"/>
      <w:r w:rsidR="00F75D91">
        <w:t>palaeo</w:t>
      </w:r>
      <w:proofErr w:type="spellEnd"/>
      <w:r w:rsidR="00F75D91">
        <w:t>-SDMs and proxy data</w:t>
      </w:r>
      <w:r w:rsidR="00E20188">
        <w:t xml:space="preserve"> provides important insights into the biome’s</w:t>
      </w:r>
      <w:r w:rsidR="000B12E5">
        <w:t xml:space="preserve"> vegetation history even at periods that have been well studied, </w:t>
      </w:r>
      <w:r w:rsidR="00091376">
        <w:t>reveal</w:t>
      </w:r>
      <w:r w:rsidR="000B12E5">
        <w:t>ing</w:t>
      </w:r>
      <w:r w:rsidR="0093731C">
        <w:t xml:space="preserve"> </w:t>
      </w:r>
      <w:r w:rsidR="000B12E5">
        <w:t>that</w:t>
      </w:r>
      <w:r w:rsidR="002A741F">
        <w:t>, at the LGM,</w:t>
      </w:r>
      <w:r w:rsidR="000B12E5">
        <w:t xml:space="preserve"> </w:t>
      </w:r>
      <w:r w:rsidR="0099369D">
        <w:t xml:space="preserve">low atmospheric </w:t>
      </w:r>
      <w:r w:rsidR="0099369D" w:rsidRPr="00012C4C">
        <w:t>CO</w:t>
      </w:r>
      <w:r w:rsidR="0099369D" w:rsidRPr="00012C4C">
        <w:rPr>
          <w:vertAlign w:val="subscript"/>
        </w:rPr>
        <w:t>2</w:t>
      </w:r>
      <w:r w:rsidR="0099369D">
        <w:rPr>
          <w:vertAlign w:val="subscript"/>
        </w:rPr>
        <w:t xml:space="preserve"> </w:t>
      </w:r>
      <w:r w:rsidR="0099369D">
        <w:t xml:space="preserve">concentrations (rather than climate) </w:t>
      </w:r>
      <w:r w:rsidR="002A741F">
        <w:t xml:space="preserve">confined </w:t>
      </w:r>
      <w:r w:rsidR="00F327BA">
        <w:t>(sub)</w:t>
      </w:r>
      <w:r w:rsidR="0093731C">
        <w:t xml:space="preserve">tropical forest </w:t>
      </w:r>
      <w:r w:rsidR="002A741F">
        <w:t xml:space="preserve">to </w:t>
      </w:r>
      <w:r w:rsidR="0093731C">
        <w:t>microrefugia among expansive open grasslands across highland plateau</w:t>
      </w:r>
      <w:r w:rsidR="004E062E">
        <w:t>s</w:t>
      </w:r>
      <w:r w:rsidR="002A741F">
        <w:t xml:space="preserve">, and that </w:t>
      </w:r>
      <w:r w:rsidR="00CD496D">
        <w:t xml:space="preserve">Araucaria forest taxa </w:t>
      </w:r>
      <w:r w:rsidR="00612422">
        <w:t xml:space="preserve">persisted </w:t>
      </w:r>
      <w:r w:rsidR="00091376">
        <w:t xml:space="preserve">throughout the Holocene </w:t>
      </w:r>
      <w:r w:rsidR="003C7627">
        <w:t>in the west of our study area</w:t>
      </w:r>
      <w:r w:rsidR="00012C4C">
        <w:t xml:space="preserve">. </w:t>
      </w:r>
      <w:r w:rsidR="00E945D6">
        <w:t xml:space="preserve">Our models </w:t>
      </w:r>
      <w:r w:rsidR="00A7149C">
        <w:t xml:space="preserve">highlight </w:t>
      </w:r>
      <w:proofErr w:type="gramStart"/>
      <w:r w:rsidR="00A7149C">
        <w:t>a number of</w:t>
      </w:r>
      <w:proofErr w:type="gramEnd"/>
      <w:r w:rsidR="00A7149C">
        <w:t xml:space="preserve"> promising avenues for future research</w:t>
      </w:r>
      <w:r w:rsidR="00CA5A26">
        <w:t xml:space="preserve"> in southern Brazil</w:t>
      </w:r>
      <w:r w:rsidR="00A7149C">
        <w:t xml:space="preserve">, including </w:t>
      </w:r>
      <w:r w:rsidR="00284DFD">
        <w:t>times and places</w:t>
      </w:r>
      <w:r w:rsidR="00482723">
        <w:t xml:space="preserve"> where significant </w:t>
      </w:r>
      <w:r w:rsidR="001F1CF4">
        <w:t>dynamics</w:t>
      </w:r>
      <w:r w:rsidR="00482723">
        <w:t xml:space="preserve"> might be recorded </w:t>
      </w:r>
      <w:r w:rsidR="00F60D5D">
        <w:t xml:space="preserve">in </w:t>
      </w:r>
      <w:r w:rsidR="00B442A2">
        <w:t xml:space="preserve">as-yet unstudied </w:t>
      </w:r>
      <w:r w:rsidR="00F60D5D">
        <w:t>sedimentary archives</w:t>
      </w:r>
      <w:r w:rsidR="0000413A">
        <w:t xml:space="preserve">. </w:t>
      </w:r>
      <w:r w:rsidR="00CF7A1B">
        <w:t xml:space="preserve">Finally, </w:t>
      </w:r>
      <w:r w:rsidR="00284DFD">
        <w:t>this study</w:t>
      </w:r>
      <w:r w:rsidR="00F35D0D">
        <w:t xml:space="preserve"> </w:t>
      </w:r>
      <w:r w:rsidR="00375E0C">
        <w:t>put</w:t>
      </w:r>
      <w:r w:rsidR="00284DFD">
        <w:t>s</w:t>
      </w:r>
      <w:r w:rsidR="0038360C">
        <w:t xml:space="preserve"> into long-term context</w:t>
      </w:r>
      <w:r w:rsidR="00375E0C">
        <w:t xml:space="preserve"> the </w:t>
      </w:r>
      <w:r w:rsidR="00DB62C3">
        <w:t xml:space="preserve">magnitude of </w:t>
      </w:r>
      <w:r w:rsidR="0038360C">
        <w:t xml:space="preserve">disruption </w:t>
      </w:r>
      <w:r w:rsidR="00F90418">
        <w:t xml:space="preserve">that </w:t>
      </w:r>
      <w:r w:rsidR="001B0092">
        <w:t xml:space="preserve">unrestrained </w:t>
      </w:r>
      <w:r w:rsidR="0038360C">
        <w:t xml:space="preserve">anthropogenic climate change </w:t>
      </w:r>
      <w:r w:rsidR="001B0092">
        <w:t>could</w:t>
      </w:r>
      <w:r w:rsidR="0038360C">
        <w:t xml:space="preserve"> bring </w:t>
      </w:r>
      <w:r w:rsidR="002971F3">
        <w:t xml:space="preserve">to </w:t>
      </w:r>
      <w:r w:rsidR="00D82637">
        <w:t xml:space="preserve">parts of </w:t>
      </w:r>
      <w:r w:rsidR="002971F3">
        <w:t xml:space="preserve">the Atlantic Forest </w:t>
      </w:r>
      <w:r w:rsidR="0038360C">
        <w:t>over the coming decades</w:t>
      </w:r>
      <w:r w:rsidR="00F90418">
        <w:t>.</w:t>
      </w:r>
      <w:r w:rsidR="00DB62C3">
        <w:t xml:space="preserve"> </w:t>
      </w:r>
      <w:r w:rsidR="00F90418">
        <w:t>Our</w:t>
      </w:r>
      <w:r w:rsidR="00DB62C3">
        <w:t xml:space="preserve"> </w:t>
      </w:r>
      <w:r w:rsidR="007D6B30">
        <w:t xml:space="preserve">findings suggest that the magnitude of plant species’ range shifts, and associated floristic turnover, predicted to occur by 2070 due to anthropogenic global warming </w:t>
      </w:r>
      <w:r w:rsidR="0075537C">
        <w:t>is</w:t>
      </w:r>
      <w:r w:rsidR="007D6B30">
        <w:t xml:space="preserve"> likely to </w:t>
      </w:r>
      <w:r w:rsidR="0075537C">
        <w:t xml:space="preserve">have </w:t>
      </w:r>
      <w:r w:rsidR="007D6B30">
        <w:t>be</w:t>
      </w:r>
      <w:r w:rsidR="0075537C">
        <w:t>en</w:t>
      </w:r>
      <w:r w:rsidR="007D6B30">
        <w:t xml:space="preserve"> unparalleled since at least the LGM</w:t>
      </w:r>
      <w:r w:rsidR="00834665">
        <w:t xml:space="preserve">, </w:t>
      </w:r>
      <w:r w:rsidR="007D3B9B">
        <w:t>21,000 years</w:t>
      </w:r>
      <w:r w:rsidR="007D6B30">
        <w:t xml:space="preserve"> ago</w:t>
      </w:r>
      <w:r w:rsidR="007D3B9B">
        <w:t xml:space="preserve">. </w:t>
      </w:r>
      <w:r w:rsidR="007D6B30">
        <w:t xml:space="preserve">We </w:t>
      </w:r>
      <w:r w:rsidR="009B0C91">
        <w:t>suggest</w:t>
      </w:r>
      <w:r w:rsidR="007D6B30">
        <w:t xml:space="preserve"> that </w:t>
      </w:r>
      <w:r w:rsidR="004E2AB5">
        <w:t xml:space="preserve">conservation efforts in the southern Atlantic Forest </w:t>
      </w:r>
      <w:r w:rsidR="00335123">
        <w:t xml:space="preserve">take account of </w:t>
      </w:r>
      <w:r w:rsidR="007F097E">
        <w:t>species reassortment in the face of climate change</w:t>
      </w:r>
      <w:r w:rsidR="00335123">
        <w:t xml:space="preserve">, enhancing features which enable </w:t>
      </w:r>
      <w:r w:rsidR="002168CA">
        <w:t xml:space="preserve">these distribution changes and protecting areas </w:t>
      </w:r>
      <w:r w:rsidR="00355910">
        <w:t xml:space="preserve">likely to </w:t>
      </w:r>
      <w:r w:rsidR="00422ABB">
        <w:t xml:space="preserve">shelter (micro)refugia, </w:t>
      </w:r>
      <w:r w:rsidR="001429C1">
        <w:t xml:space="preserve">to support </w:t>
      </w:r>
      <w:r w:rsidR="008559BC">
        <w:t>species’ resilience.</w:t>
      </w:r>
      <w:r w:rsidR="008559BC" w:rsidDel="008559BC">
        <w:t xml:space="preserve"> </w:t>
      </w:r>
    </w:p>
    <w:p w14:paraId="69127527" w14:textId="16D98D7E" w:rsidR="004E65CB" w:rsidRDefault="004E65CB" w:rsidP="00F74804">
      <w:pPr>
        <w:pStyle w:val="Heading1"/>
        <w:spacing w:line="360" w:lineRule="auto"/>
      </w:pPr>
      <w:r>
        <w:lastRenderedPageBreak/>
        <w:t>Acknowledgements</w:t>
      </w:r>
    </w:p>
    <w:p w14:paraId="3315E90A" w14:textId="4C0CD814" w:rsidR="00D21551" w:rsidRDefault="00D21551" w:rsidP="00F74804">
      <w:pPr>
        <w:spacing w:line="360" w:lineRule="auto"/>
      </w:pPr>
      <w:r>
        <w:t>Speleothem data w</w:t>
      </w:r>
      <w:r w:rsidR="00DB66BC">
        <w:t>ere</w:t>
      </w:r>
      <w:r>
        <w:t xml:space="preserve"> kindly provided by Francisco W. Cruz. This work made use of the Reading Academic Computing Cloud. OJW</w:t>
      </w:r>
      <w:r w:rsidR="00BA0705">
        <w:t xml:space="preserve"> </w:t>
      </w:r>
      <w:r>
        <w:t>thanks M. Jane Bunting (University of Hull) for logistical support while undertaking this research.</w:t>
      </w:r>
      <w:r w:rsidR="003650EF">
        <w:t xml:space="preserve"> We thank Bronwen Whitney and an anonymous reviewer for their comments which helped to improve this manuscript.</w:t>
      </w:r>
    </w:p>
    <w:p w14:paraId="6384EEFB" w14:textId="1A43615C" w:rsidR="00F459B3" w:rsidRDefault="00F459B3" w:rsidP="00F74804">
      <w:pPr>
        <w:pStyle w:val="Heading1"/>
        <w:spacing w:line="360" w:lineRule="auto"/>
      </w:pPr>
      <w:r>
        <w:t>Author contributions</w:t>
      </w:r>
    </w:p>
    <w:p w14:paraId="78326D56" w14:textId="1973625D" w:rsidR="00575F5F" w:rsidRPr="00F459B3" w:rsidRDefault="00575F5F" w:rsidP="00F74804">
      <w:pPr>
        <w:spacing w:line="360" w:lineRule="auto"/>
      </w:pPr>
      <w:r>
        <w:t xml:space="preserve">Conceptualisation: OJW, FEM. Methodology: OJW, RJW. </w:t>
      </w:r>
      <w:r w:rsidR="006302E8">
        <w:t>Resources</w:t>
      </w:r>
      <w:r w:rsidR="002748AE">
        <w:t xml:space="preserve"> and data curation</w:t>
      </w:r>
      <w:r w:rsidR="006302E8">
        <w:t xml:space="preserve">: </w:t>
      </w:r>
      <w:r w:rsidR="00B851CF">
        <w:t xml:space="preserve">OJW, </w:t>
      </w:r>
      <w:r w:rsidR="006302E8">
        <w:t>DVL, ACV. Software: OJW.</w:t>
      </w:r>
      <w:r w:rsidR="0071062D">
        <w:t xml:space="preserve"> Formal analysis: OJW. </w:t>
      </w:r>
      <w:r w:rsidR="00FE3E36">
        <w:t xml:space="preserve">Investigation: OJW. Interpretation: OJW, FEM. </w:t>
      </w:r>
      <w:r w:rsidR="001867C6">
        <w:t>Supervision: FEM, RJW. Writing: original draft OJW</w:t>
      </w:r>
      <w:r w:rsidR="00AB60C1">
        <w:t>;</w:t>
      </w:r>
      <w:r w:rsidR="001867C6">
        <w:t xml:space="preserve"> </w:t>
      </w:r>
      <w:r w:rsidR="004A00E2">
        <w:t>review and editing OJW, FEM, RJW, DVL, ACV</w:t>
      </w:r>
      <w:r w:rsidR="00AB60C1">
        <w:t>;</w:t>
      </w:r>
      <w:r w:rsidR="004A00E2">
        <w:t xml:space="preserve"> visualisation OJW.</w:t>
      </w:r>
    </w:p>
    <w:p w14:paraId="30739DD2" w14:textId="25C2C4E3" w:rsidR="00E8600E" w:rsidRDefault="00E8600E" w:rsidP="00F74804">
      <w:pPr>
        <w:pStyle w:val="Heading1"/>
        <w:spacing w:line="360" w:lineRule="auto"/>
      </w:pPr>
      <w:r>
        <w:t>Funding</w:t>
      </w:r>
    </w:p>
    <w:p w14:paraId="3C07F66E" w14:textId="5D0DC440" w:rsidR="00E8600E" w:rsidRPr="00E8600E" w:rsidRDefault="00E8600E" w:rsidP="00F74804">
      <w:pPr>
        <w:spacing w:line="360" w:lineRule="auto"/>
      </w:pPr>
      <w:bookmarkStart w:id="0" w:name="_Hlk63156759"/>
      <w:r>
        <w:t xml:space="preserve">This work was supported by </w:t>
      </w:r>
      <w:r w:rsidR="003C7759">
        <w:t>a University of Reading Graduate Teaching Assistant PhD studentship</w:t>
      </w:r>
      <w:r w:rsidR="003C7759" w:rsidRPr="00E8600E">
        <w:t xml:space="preserve"> </w:t>
      </w:r>
      <w:r w:rsidR="00D26217">
        <w:t>(OJW)</w:t>
      </w:r>
      <w:r w:rsidR="00C03B53">
        <w:t xml:space="preserve">, </w:t>
      </w:r>
      <w:r w:rsidRPr="00E8600E">
        <w:t xml:space="preserve">the </w:t>
      </w:r>
      <w:proofErr w:type="spellStart"/>
      <w:r w:rsidRPr="00E8600E">
        <w:t>Fundação</w:t>
      </w:r>
      <w:proofErr w:type="spellEnd"/>
      <w:r w:rsidRPr="00E8600E">
        <w:t xml:space="preserve"> de Amparo à Pesquisa e </w:t>
      </w:r>
      <w:proofErr w:type="spellStart"/>
      <w:r w:rsidRPr="00E8600E">
        <w:t>Inovação</w:t>
      </w:r>
      <w:proofErr w:type="spellEnd"/>
      <w:r w:rsidRPr="00E8600E">
        <w:t xml:space="preserve"> do Estado de Santa Catarina (</w:t>
      </w:r>
      <w:r>
        <w:t>IFFSC</w:t>
      </w:r>
      <w:r w:rsidR="00E01D87">
        <w:t xml:space="preserve"> – DVL and ACV</w:t>
      </w:r>
      <w:r w:rsidRPr="00E8600E">
        <w:t>)</w:t>
      </w:r>
      <w:r w:rsidR="00C03B53">
        <w:t>,</w:t>
      </w:r>
      <w:r>
        <w:t xml:space="preserve"> </w:t>
      </w:r>
      <w:r w:rsidR="00D21551">
        <w:t xml:space="preserve">and the </w:t>
      </w:r>
      <w:proofErr w:type="spellStart"/>
      <w:r w:rsidRPr="00E8600E">
        <w:t>Conselho</w:t>
      </w:r>
      <w:proofErr w:type="spellEnd"/>
      <w:r w:rsidRPr="00E8600E">
        <w:t xml:space="preserve"> Nacional de </w:t>
      </w:r>
      <w:proofErr w:type="spellStart"/>
      <w:r w:rsidRPr="00E8600E">
        <w:t>Desenvolvimento</w:t>
      </w:r>
      <w:proofErr w:type="spellEnd"/>
      <w:r w:rsidRPr="00E8600E">
        <w:t xml:space="preserve"> </w:t>
      </w:r>
      <w:proofErr w:type="spellStart"/>
      <w:r w:rsidRPr="00E8600E">
        <w:t>Científico</w:t>
      </w:r>
      <w:proofErr w:type="spellEnd"/>
      <w:r w:rsidRPr="00E8600E">
        <w:t xml:space="preserve"> e </w:t>
      </w:r>
      <w:proofErr w:type="spellStart"/>
      <w:r w:rsidRPr="00E8600E">
        <w:t>Tecnológico</w:t>
      </w:r>
      <w:proofErr w:type="spellEnd"/>
      <w:r w:rsidRPr="00E8600E">
        <w:t xml:space="preserve"> research grant 312075/2013-8</w:t>
      </w:r>
      <w:r w:rsidR="00D21551">
        <w:t xml:space="preserve"> </w:t>
      </w:r>
      <w:r w:rsidR="00D21551" w:rsidRPr="00E8600E">
        <w:t>(</w:t>
      </w:r>
      <w:r w:rsidR="00D21551">
        <w:t>ACV</w:t>
      </w:r>
      <w:r w:rsidR="00D21551" w:rsidRPr="00E8600E">
        <w:t>)</w:t>
      </w:r>
      <w:r w:rsidRPr="00E8600E">
        <w:t>.</w:t>
      </w:r>
    </w:p>
    <w:bookmarkEnd w:id="0"/>
    <w:p w14:paraId="7F2564C1" w14:textId="6EB363F6" w:rsidR="004E65CB" w:rsidRDefault="004E65CB" w:rsidP="00F74804">
      <w:pPr>
        <w:pStyle w:val="Heading1"/>
        <w:spacing w:line="360" w:lineRule="auto"/>
      </w:pPr>
      <w:r>
        <w:t>Conflicts of interest</w:t>
      </w:r>
    </w:p>
    <w:p w14:paraId="730EBA44" w14:textId="06729F9E" w:rsidR="004E65CB" w:rsidRPr="004E65CB" w:rsidRDefault="004E65CB" w:rsidP="00F74804">
      <w:pPr>
        <w:spacing w:line="360" w:lineRule="auto"/>
      </w:pPr>
      <w:r>
        <w:t>The authors have no conflicts of interest to declare.</w:t>
      </w:r>
    </w:p>
    <w:p w14:paraId="292E41F5" w14:textId="1AD7A96B" w:rsidR="00E6074C" w:rsidRDefault="00E6074C" w:rsidP="00F74804">
      <w:pPr>
        <w:pStyle w:val="Heading1"/>
        <w:spacing w:line="360" w:lineRule="auto"/>
      </w:pPr>
      <w:r>
        <w:t>References</w:t>
      </w:r>
    </w:p>
    <w:p w14:paraId="3F3300D0" w14:textId="7296B6EF" w:rsidR="003D6675" w:rsidRPr="003D6675" w:rsidRDefault="00E6074C" w:rsidP="003D6675">
      <w:pPr>
        <w:widowControl w:val="0"/>
        <w:autoSpaceDE w:val="0"/>
        <w:autoSpaceDN w:val="0"/>
        <w:adjustRightInd w:val="0"/>
        <w:spacing w:line="360" w:lineRule="auto"/>
        <w:ind w:left="480" w:hanging="480"/>
        <w:rPr>
          <w:rFonts w:ascii="Calibri" w:hAnsi="Calibri" w:cs="Calibri"/>
          <w:noProof/>
          <w:szCs w:val="24"/>
        </w:rPr>
      </w:pPr>
      <w:r>
        <w:fldChar w:fldCharType="begin" w:fldLock="1"/>
      </w:r>
      <w:r w:rsidRPr="00A82061">
        <w:rPr>
          <w:lang w:val="sv-SE"/>
        </w:rPr>
        <w:instrText xml:space="preserve">ADDIN Mendeley Bibliography CSL_BIBLIOGRAPHY </w:instrText>
      </w:r>
      <w:r>
        <w:fldChar w:fldCharType="separate"/>
      </w:r>
      <w:r w:rsidR="003D6675" w:rsidRPr="003D6675">
        <w:rPr>
          <w:rFonts w:ascii="Calibri" w:hAnsi="Calibri" w:cs="Calibri"/>
          <w:noProof/>
          <w:szCs w:val="24"/>
        </w:rPr>
        <w:t>Alcantara dos Santos, J.C., 2013. Paleogeografia e Paleoambientes do Baixo Curso do Rio Ivaí-PR. Universidade Estadual de Maringá.</w:t>
      </w:r>
    </w:p>
    <w:p w14:paraId="22B302DB"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Allouche, O., Tsoar, A., Kadmon, R., 2006. Assessing the accuracy of species distribution models: Prevalence, kappa and the true skill statistic (TSS). J. Appl. Ecol. 43, 1223–1232. https://doi.org/10.1111/j.1365-2664.2006.01214.x</w:t>
      </w:r>
    </w:p>
    <w:p w14:paraId="4881567D"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Alvares, C.A., Stape, J.L., Sentelhas, P.C., De Moraes Gonçalves, J.L., Sparovek, G., 2013. Köppen’s climate classification map for Brazil. Meteorol. Zeitschrift 22, 711–728. https://doi.org/10.1127/0941-2948/2013/0507</w:t>
      </w:r>
    </w:p>
    <w:p w14:paraId="24DFC577"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Andrade, B.O., Bonilha, C.L., Ferreira, P.M.A., Boldrini, I.I., Overbeck, G.E., 2016. Highland grasslands at the southern tip of the Atlantic Forest biome: management options and conservation challenges. Oecologia Aust. 20, 37–61. https://doi.org/10.4257/oeco.2016.2002.04</w:t>
      </w:r>
    </w:p>
    <w:p w14:paraId="37A727B8"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lastRenderedPageBreak/>
        <w:t>Andrade, B.O., Bonilha, C.L., Overbeck, G.E., Vélez‐Martin, E., Rolim, R.G., Bordignon, S.A.L., Schneider, A.A., Vogel Ely, C., Lucas, D.B., Garcia, É.N., dos Santos, E.D., Torchelsen, F.P., Vieira, M.S., Silva Filho, P.J.S., Ferreira, P.M.A., Trevisan, R., Hollas, R., Campestrini, S., Pillar, V.D., Boldrini, I.I., 2019. Classification of South Brazilian grasslands: Implications for conservation. Appl. Veg. Sci. 22, 168–184. https://doi.org/10.1111/avsc.12413</w:t>
      </w:r>
    </w:p>
    <w:p w14:paraId="22AB8E3E"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Arruda, D.M., Schaefer, C.E.G.R., Fonseca, R.S., Solar, R.R.C., Fernandes-Filho, E.I., 2017. Vegetation cover of Brazil in the last 21 ka: New insights into the Amazonian refugia and Pleistocenic arc hypotheses. Glob. Ecol. Biogeogr. 47–56. https://doi.org/10.1111/geb.12646</w:t>
      </w:r>
    </w:p>
    <w:p w14:paraId="2A7CB68B"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Asevedo, L., D’Apolito, C., Misumi, S.Y., Barros, M.A. de, Barth, O.M., Avilla, L. dos S., 2020. Palynological analysis of dental calculus from Pleistocene proboscideans of southern Brazil: A new approach for paleodiet and paleoenvironmental reconstructions. Palaeogeogr. Palaeoclimatol. Palaeoecol. 540. https://doi.org/10.1016/j.palaeo.2019.109523</w:t>
      </w:r>
    </w:p>
    <w:p w14:paraId="0D73BA0E"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Ashcroft, M.B., Gollan, J.R., Warton, D.I., Ramp, D., 2012. A novel approach to quantify and locate potential microrefugia using topoclimate, climate stability, and isolation from the matrix. Glob. Chang. Biol. 18, 1866–1879. https://doi.org/10.1111/j.1365-2486.2012.02661.x</w:t>
      </w:r>
    </w:p>
    <w:p w14:paraId="2BB57079"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Auler, N.M.F., dos Reis, M.S., Guerra, M.P., Nodari, R.O., 2002. The genetics and conservation of Araucaria angustifolia: I. Genetic structure and diversity of natural populations by means of non-adaptive variation in the state of Santa Catarina, Brazil. Genet. Mol. Biol. 25, 329–338. https://doi.org/10.1590/S1415-47572002000300014</w:t>
      </w:r>
    </w:p>
    <w:p w14:paraId="6AA88D13"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Barnosky, A.D., Hadly, E.A., Gonzalez, P., Head, J., Polly, P.D., Lawing, A.M., Eronen, J.T., Ackerly, D.D., Alex, K., Biber, E., Blois, J., Brashares, J., Ceballos, G., Davis, E., Dietl, G.P., Dirzo, R., Doremus, H., Fortelius, M., Greene, H.W., Hellmann, J., Hickler, T., Jackson, S.T., Kemp, M., Koch, P.L., Kremen, C., Lindsey, E.L., Looy, C., Marshall, C.R., Mendenhall, C., Mulch, A., Mychajliw, A.M., Nowak, C., Ramakrishnan, U., Schnitzler, J., Das Shrestha, K., Solari, K., Stegner, L., Stegner, M.A., Stenseth, N.C., Wake, M.H., Zhang, Z., 2017. Merging paleobiology with conservation biology to guide the future of terrestrial ecosystems. Science (80-. ). 355, eaah4787. https://doi.org/10.1126/science.aah4787</w:t>
      </w:r>
    </w:p>
    <w:p w14:paraId="5F38F7CE"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Barros, M.J.F., Silva-Arias, G.A., Fregonezi, J.N., Turchetto-Zolet, A.C., Iganci, J.R. V, Diniz-Filho, J.A.F., Freitas, L.B., 2015. Environmental drivers of diversity in Subtropical Highland Grasslands. Perspect. Plant Ecol. Evol. Syst. 17, 360–368. https://doi.org/10.1016/j.ppees.2015.08.001</w:t>
      </w:r>
    </w:p>
    <w:p w14:paraId="278774E0"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 xml:space="preserve">Bauermann, S.G., 2003. Analises palinologicas e evolucao paleovegetacional e paleoambiental das turfeiras de Barrocadas e Águas Claras, Planicie Costeira do Rio Grande do Sul, Brasil. </w:t>
      </w:r>
      <w:r w:rsidRPr="003D6675">
        <w:rPr>
          <w:rFonts w:ascii="Calibri" w:hAnsi="Calibri" w:cs="Calibri"/>
          <w:noProof/>
          <w:szCs w:val="24"/>
        </w:rPr>
        <w:lastRenderedPageBreak/>
        <w:t>Universidade Federal do Rio Grande do Sul.</w:t>
      </w:r>
    </w:p>
    <w:p w14:paraId="129B8374"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Bauermann, S.G., Macedo, R.B., Behling, H., Pillar, V. de P., Neves, P.C.P. das, 2008. Dinâmicas vegetacionais, climáticas e do fogo com base em palinologia e análise multivariada no Quaternário tardio do sul do Brasil. Rev. Bras. Paleontol. 11, 87–96.</w:t>
      </w:r>
    </w:p>
    <w:p w14:paraId="730EB6F4"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Beck, H.E., Zimmermann, N.E., McVicar, T.R., Vergopolan, N., Berg, A., Wood, E.F., 2018. Present and future Köppen-Geiger climate classification maps at 1-km resolution. Sci. Data 5, 180214. https://doi.org/10.1038/sdata.2018.214</w:t>
      </w:r>
    </w:p>
    <w:p w14:paraId="168DA93A"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Behling, H., 2006. Late Quaternary vegetation, fire and climate dynamics of Serra do Araçatuba in the Atlantic coastal mountains of Paraná State, southern Brazil. Veg. Hist. Archaeobot. 16, 77–85. https://doi.org/10.1007/s00334-006-0078-2</w:t>
      </w:r>
    </w:p>
    <w:p w14:paraId="53A1CFD7"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Behling, H., 2002. South and southeast Brazilian grasslands during Late Quaternary times: A synthesis. Palaeogeogr. Palaeoclimatol. Palaeoecol. 177, 19–27. https://doi.org/10.1016/S0031-0182(01)00349-2</w:t>
      </w:r>
    </w:p>
    <w:p w14:paraId="01AF46AC"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Behling, H., 1998. Late Quaternary vegetational and climatic changes in Brazil. Rev. Palaeobot. Palynol. 99, 143–156.</w:t>
      </w:r>
    </w:p>
    <w:p w14:paraId="3C36E69D"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Behling, H., 1997a. Late Quaternary vegetation, climate and fire history of the Araucaria forest and campos region from Serra Campos Gerais, Paraná State (South Brazil). Rev. Palaeobot. Palynol. 97, 109–121. https://doi.org/10.1016/S0034-6667(96)00065-6</w:t>
      </w:r>
    </w:p>
    <w:p w14:paraId="2139DC5F"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Behling, H., 1997b. Late Quaternary vegetation, climate and fire history from the tropical mountain region of Morro de Itapeva, SE Brazil. Palaeogeogr. Palaeoclimatol. Palaeoecol. 129, 407–422. https://doi.org/10.1016/S0031-0182(97)88177-1</w:t>
      </w:r>
    </w:p>
    <w:p w14:paraId="43C7EFFE"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Behling, H., 1995. Investigations into the late Pleistocene and Holocene history of vegetation and climate in Santa Catarina (S Brazil). Veg. Hist. Archaeobot. 4, 127–152. https://doi.org/10.1007/BF00203932</w:t>
      </w:r>
    </w:p>
    <w:p w14:paraId="684EC80D"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Behling, H., de Oliveira, M.A.T., 2018. Evidence of a late glacial warming event and early Holocene cooling in the southern Brazilian coastal highlands. Quat. Res. 89, 90–102. https://doi.org/10.1017/qua.2017.87</w:t>
      </w:r>
    </w:p>
    <w:p w14:paraId="315D8054"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Behling, H., Negrelle, R.R.B., 2006. Vegetation and pollen rain relationship from the tropical Atlantic rain forest in southern Brazil. Brazilian Arch. Biol. Tecnol. 49, 631–642. https://doi.org/10.1590/S1516-89132006000500013</w:t>
      </w:r>
    </w:p>
    <w:p w14:paraId="6B10D5AE"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lastRenderedPageBreak/>
        <w:t>Behling, H., Negrelle, R.R.B., 2001. Tropical Rain Forest and Climate Dynamics of the Atlantic Lowland, Southern Brazil, during the Late Quaternary. Quat. Res. 56, 383–389. https://doi.org/10.1006/qres.2001.2264</w:t>
      </w:r>
    </w:p>
    <w:p w14:paraId="7FE252C4"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Behling, H., Pillar, V. de P., 2007. Late Quaternary vegetation, biodiversity and fire dynamics on the southern Brazilian highland and their implication for conservation and management of modern Araucaria forest and grassland ecosystems. Philos. Trans. R. Soc. B 362, 243–251. https://doi.org/10.1098/rstb.2006.1984</w:t>
      </w:r>
    </w:p>
    <w:p w14:paraId="288E3266"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Behling, H., Pillar, V.D., Orlóci, L., Bauermann, S.G., 2004. Late Quaternary Araucaria forest, grassland (Campos), fire and climate dynamics, studied by high-resolution pollen, charcoal and multivariate analysis of the Cambará do Sul core in southern Brazil. Palaeogeogr. Palaeoclimatol. Palaeoecol. 203, 277–297. https://doi.org/10.1016/S0031-0182(03)00687-4</w:t>
      </w:r>
    </w:p>
    <w:p w14:paraId="72303D02"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Bellard, C., Leclerc, C., Leroy, B., Bakkenes, M., Veloz, S., Thuiller, W., Courchamp, F., 2014. Vulnerability of biodiversity hotspots to global change. Glob. Ecol. Biogeogr. 23, 1376–1386. https://doi.org/10.1111/geb.12228</w:t>
      </w:r>
    </w:p>
    <w:p w14:paraId="3FA15A48"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Bergamin, R.S., Bastazini, V.A.G., Vélez-Martin, E., Debastiani, V., Zanini, K.J., Loyola, R., Müller, S.C., 2017. Linking beta diversity patterns to protected areas: lessons from the Brazilian Atlantic Rainforest. Biodivers. Conserv. 26, 1557–1568. https://doi.org/10.1007/s10531-017-1315-y</w:t>
      </w:r>
    </w:p>
    <w:p w14:paraId="2C114D01"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Bergamin, R.S., Debastiani, V., Joner, D.C., Lemes, P., Guimarães, T., Loyola, R.D., Müller, S.C., 2019. Loss of suitable climatic areas for Araucaria forests over time. Plant Ecol. Divers. 12, 115–126. https://doi.org/10.1080/17550874.2019.1618408</w:t>
      </w:r>
    </w:p>
    <w:p w14:paraId="2EC3F8D4"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Bertoldo, É., Paisani, J.C., Oliveira, P.E. de, 2014. Registro de Floresta Ombrófila Mista nas regiões sudoeste e sul do Estado do Paraná, Brasil, durante o Pleistoceno / Holoceno. Hoehnea 1, 1–8.</w:t>
      </w:r>
    </w:p>
    <w:p w14:paraId="2F2DB236"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Bertoncello, R., Yamamoto, K., Meireles, L.D., Shepherd, G.J., 2011. A phytogeographic analysis of cloud forests and other forest subtypes amidst the Atlantic forests in south and southeast Brazil. Biodivers. Conserv. 20, 3413–3433. https://doi.org/10.1007/s10531-011-0129-6</w:t>
      </w:r>
    </w:p>
    <w:p w14:paraId="071A8941"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Bissa, W.M., de Toledo, M.B., 2015. Late Quaternary Vegetational Changes in a Marsh Forest in Southeastern Brazil with Comments on Prehistoric Human Occupation. Radiocarbon 57, 737–753. https://doi.org/10.2458/azu_rc.57.18198</w:t>
      </w:r>
    </w:p>
    <w:p w14:paraId="2010289B"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Blaauw, M., Christen, J.A., 2011. Flexible paleoclimate age-depth models using an autoregressive gamma process. Bayesian Anal. 6, 457–474. https://doi.org/10.1214/11-BA618</w:t>
      </w:r>
    </w:p>
    <w:p w14:paraId="26F2794F"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 xml:space="preserve">Blaauw, M., Christen, J.A., Aquino L., M.A., Esquivel Vazquez, J., Gonzalez, O.M.V., Belding, T., </w:t>
      </w:r>
      <w:r w:rsidRPr="003D6675">
        <w:rPr>
          <w:rFonts w:ascii="Calibri" w:hAnsi="Calibri" w:cs="Calibri"/>
          <w:noProof/>
          <w:szCs w:val="24"/>
        </w:rPr>
        <w:lastRenderedPageBreak/>
        <w:t>Theiler, J., Gough, B., Karney, C., 2020. rbacon: Age-Depth Modelling using Bayesian Statistics.</w:t>
      </w:r>
    </w:p>
    <w:p w14:paraId="3F248B9D"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Brown, J.L., Paz, A., Reginato, M., Renata, C.A., Assis, C., Lyra, M., Caddah, M.K., Aguirre-Santoro, J., d’Horta, F., Raposo do Amaral, F., Goldenberg, R., Lucas Silva-Brandão, K., Freitas, A.V.L., Rodrigues, M.T., Michelangeli, F.A., Miyaki, C.Y., Carnaval, A.C., 2020. Seeing the forest through many trees: Multi-taxon patterns of phylogenetic diversity in the Atlantic Forest hotspot. Divers. Distrib. 26, 1160–1176. https://doi.org/10.1111/ddi.13116</w:t>
      </w:r>
    </w:p>
    <w:p w14:paraId="780CDD8C"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Bush, M.B., 1995. Neotropical Plant Reproductive Strategies and Fossil Pollen Representation. Am. Nat. 145, 594–609. https://doi.org/10.1086/285757</w:t>
      </w:r>
    </w:p>
    <w:p w14:paraId="209C4A0F"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Bush, M.B., De Oliveira, P.E., Colinvaux, P.A., Miller, M.C., Moreno, J.E., 2004. Amazonian paleoecological histories: one hill, three watersheds. Palaeogeogr. Palaeoclimatol. Palaeoecol. 214, 359–393. https://doi.org/10.1016/j.palaeo.2004.07.031</w:t>
      </w:r>
    </w:p>
    <w:p w14:paraId="26D1E137"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Calegari, M.R., 2008. Ocorrência e significado paleoambiental do Horizonte A húmico em Latossolos. Universidade de São Paulo.</w:t>
      </w:r>
    </w:p>
    <w:p w14:paraId="5CB9C48F"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Cancelli, R.R., 2012. Evolução paleoambiental da Planície Costeira sul- catarinense (Lagoa do Sombrio) durante o Holoceno, com base em dados palinológicos. Universidade Federal do Rio Grande do Sul.</w:t>
      </w:r>
    </w:p>
    <w:p w14:paraId="5DB68A06"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Cárdenas, M.L., Wilson, O.J., Schorn, L.A., Mayle, F.E., Iriarte, J., 2019. A quantitative study of modern pollen–vegetation relationships in southern Brazil’s Araucaria forest. Rev. Palaeobot. Palynol. 265, 27–40. https://doi.org/10.1016/j.revpalbo.2019.03.003</w:t>
      </w:r>
    </w:p>
    <w:p w14:paraId="3ED9ED7C"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Carlson, A.E., Oppo, D.W., Came, R.E., LeGrande, A.N., Keigwin, L.D., Curry, W.B., 2008. Subtropical Atlantic salinity variability and Atlantic meridional circulation during the last deglaciation. Geology 36, 991. https://doi.org/10.1130/G25080A.1</w:t>
      </w:r>
    </w:p>
    <w:p w14:paraId="497877B3"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Carnaval, A.C., Moritz, C., 2008. Historical climate modelling predicts patterns of current biodiversity in the Brazilian Atlantic forest. J. Biogeogr. 35, 1187–1201. https://doi.org/10.1111/j.1365-2699.2007.01870.x</w:t>
      </w:r>
    </w:p>
    <w:p w14:paraId="2D94FD13"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Carnaval, A.C., Waltari, E., Rodrigues, M.T., Rosauer, D., VanDerWal, J., Damasceno, R., Prates, I., Strangas, M., Spanos, Z., Rivera, D., Pie, M.R., Firkowski, C.R., Bornschein, M.R., Ribeiro, L.F., Moritz, C., 2014. Prediction of phylogeographic endemism in an environmentally complex biome. Proc. R. Soc. B Biol. Sci. 281, 20141461–20141461. https://doi.org/10.1098/rspb.2014.1461</w:t>
      </w:r>
    </w:p>
    <w:p w14:paraId="47BD7CB9"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 xml:space="preserve">Carvalho do Amaral, P.G., Fonseca Giannini, P.C., Sylvestre, F., Ruiz Pessenda, L.C., 2012. </w:t>
      </w:r>
      <w:r w:rsidRPr="003D6675">
        <w:rPr>
          <w:rFonts w:ascii="Calibri" w:hAnsi="Calibri" w:cs="Calibri"/>
          <w:noProof/>
          <w:szCs w:val="24"/>
        </w:rPr>
        <w:lastRenderedPageBreak/>
        <w:t>Paleoenvironmental reconstruction of a Late Quaternary lagoon system in southern Brazil (Jaguaruna region, Santa Catarina state) based on multi-proxy analysis. J. Quat. Sci. 27, 181–191. https://doi.org/10.1002/jqs.1531</w:t>
      </w:r>
    </w:p>
    <w:p w14:paraId="4B668F3C"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Cecchet, F.A., 2015. Análise de Fitólitos Aplicada a Reconstrução Paleoambiental (Vegetação e Clima) na Superfície Incompletamente Aplainada VI - Campo Erê (SC) no Pleistoceno Tardio. Universidade Estadual do Oeste do Paraná.</w:t>
      </w:r>
    </w:p>
    <w:p w14:paraId="3891DC52"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Chiessi, C.M., Mulitza, S., Groeneveld, J., Silva, J.B., Campos, M.C., Gurgel, M.H.C., 2014. Variability of the Brazil Current during the late Holocene. Palaeogeogr. Palaeoclimatol. Palaeoecol. 415, 28–36. https://doi.org/10.1016/j.palaeo.2013.12.005</w:t>
      </w:r>
    </w:p>
    <w:p w14:paraId="4EBE025D"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Chiessi, C.M., Mulitza, S., Mollenhauer, G., Silva, J.B., Groeneveld, J., Prange, M., 2015. Thermal evolution of the western South Atlantic and the adjacent continent during Termination 1. Clim. Past 11, 915–929. https://doi.org/10.5194/cp-11-915-2015</w:t>
      </w:r>
    </w:p>
    <w:p w14:paraId="6A6D9C0C"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Colinvaux, P.A., Bush, M.B., Steinitz-Kannan, M., Miller, M.C., 1997. Glacial and Postglacial Pollen Records from the Ecuadorian Andes and Amazon. Quat. Res. 48, 69–78. https://doi.org/10.1006/qres.1997.1908</w:t>
      </w:r>
    </w:p>
    <w:p w14:paraId="0A0878A4"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Colinvaux, P.A., De Oliveira, P.E., Bush, M.B., 2000. Amazonian and neotropical plant communities on glacial time-scales: The failure of the aridity and refuge hypotheses. Quat. Sci. Rev. 19, 141–169. https://doi.org/10.1016/S0277-3791(99)00059-1</w:t>
      </w:r>
    </w:p>
    <w:p w14:paraId="0208DDDC"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Colombo, A.F., Joly, C.A., 2010. Brazilian Atlantic Forest lato sensu: the most ancient Brazilian forest, and a biodiversity hotspot, is highly threatened by climate change. Brazilian J. Biol. 70, 697–708. https://doi.org/10.1590/S1519-69842010000400002</w:t>
      </w:r>
    </w:p>
    <w:p w14:paraId="2933EFD4"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Cooper, J.A.G., Meireles, R.P., Green, A.N., Klein, A.H.F., Toldo, E.E., 2018. Late Quaternary stratigraphic evolution of the inner continental shelf in response to sea-level change, Santa Catarina, Brazil. Mar. Geol. 397, 1–14. https://doi.org/10.1016/j.margeo.2017.11.011</w:t>
      </w:r>
    </w:p>
    <w:p w14:paraId="4884669E"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Costa, G.C., Hampe, A., Ledru, M.P., Martinez, P.A., Mazzochini, G.G., Shepard, D.B., Werneck, F.P., Moritz, C., Carnaval, A.C., 2017. Biome stability in South America over the last 30 kyr: Inferences from long-term vegetation dynamics and habitat modelling. Glob. Ecol. Biogeogr. 285–297. https://doi.org/10.1111/geb.12694</w:t>
      </w:r>
    </w:p>
    <w:p w14:paraId="1A619AA3"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 xml:space="preserve">Cruz, F.W., Burns, S.J., Jercinovic, M., Karmann, I., Sharp, W.D., Vuille, M., 2007. Evidence of rainfall variations in Southern Brazil from trace element ratios (Mg/Ca and Sr/Ca) in a Late Pleistocene stalagmite. Geochim. Cosmochim. Acta 71, 2250–2263. </w:t>
      </w:r>
      <w:r w:rsidRPr="003D6675">
        <w:rPr>
          <w:rFonts w:ascii="Calibri" w:hAnsi="Calibri" w:cs="Calibri"/>
          <w:noProof/>
          <w:szCs w:val="24"/>
        </w:rPr>
        <w:lastRenderedPageBreak/>
        <w:t>https://doi.org/10.1016/j.gca.2007.02.005</w:t>
      </w:r>
    </w:p>
    <w:p w14:paraId="2D760D86"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Cruz, F.W., Burns, S.J., Karmann, I., Sharp, W.D., Vuille, M., 2006. Reconstruction of regional atmospheric circulation features during the late Pleistocene in subtropical Brazil from oxygen isotope composition of speleothems. Earth Planet. Sci. Lett. 248, 495–507. https://doi.org/10.1016/j.epsl.2006.06.019</w:t>
      </w:r>
    </w:p>
    <w:p w14:paraId="24F18AE6"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Cruz, F.W., Burns, S.J., Karmann, I., Sharp, W.D., Vuille, M., Cardoso, A.O., Ferrari, J.A., Silva Dias, P.L., Viana, O., 2005. Insolation-driven changes in atmospheric circulation over the past 116,000 years in subtropical Brazil. Nature 434, 63–66. https://doi.org/10.1038/nature03365</w:t>
      </w:r>
    </w:p>
    <w:p w14:paraId="616A5C64"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Daniau, A.-L., Desprat, S., Aleman, J.C., Bremond, L., Davis, B., Fletcher, W., Marlon, J.R., Marquer, L., Montade, V., Morales-Molino, C., Naughton, F., Rius, D., Urrego, D.H., 2019. Terrestrial plant microfossils in palaeoenvironmental studies, pollen, microcharcoal and phytolith. Towards a comprehensive understanding of vegetation, fire and climate changes over the past one million years. Rev. Micropaléontologie 63, 1–35. https://doi.org/10.1016/j.revmic.2019.02.001</w:t>
      </w:r>
    </w:p>
    <w:p w14:paraId="48674311"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 xml:space="preserve">Dauner, A.L.L., Mollenhauer, G., Bícego, M.C., de Souza, M.M., Nagai, R.H., Figueira, R.C.L., de Mahiques, M.M., Sousa, S.H. de M. e., Martins, C.C., 2019. Multi-proxy reconstruction of sea surface and subsurface temperatures in the western South Atlantic over the last </w:t>
      </w:r>
      <w:r w:rsidRPr="003D6675">
        <w:rPr>
          <w:rFonts w:ascii="Cambria Math" w:hAnsi="Cambria Math" w:cs="Cambria Math"/>
          <w:noProof/>
          <w:szCs w:val="24"/>
        </w:rPr>
        <w:t>∼</w:t>
      </w:r>
      <w:r w:rsidRPr="003D6675">
        <w:rPr>
          <w:rFonts w:ascii="Calibri" w:hAnsi="Calibri" w:cs="Calibri"/>
          <w:noProof/>
          <w:szCs w:val="24"/>
        </w:rPr>
        <w:t>75 kyr. Quat. Sci. Rev. 215, 22–34. https://doi.org/10.1016/j.quascirev.2019.04.020</w:t>
      </w:r>
    </w:p>
    <w:p w14:paraId="3C84BBBE"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Davis, M.B., 1983. Quaternary History of Deciduous Forests of Eastern North America and Europe. Ann. Missouri Bot. Gard. 70, 550. https://doi.org/10.2307/2992086</w:t>
      </w:r>
    </w:p>
    <w:p w14:paraId="4B233653"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Davis, M.B., Shaw, R.G., 2001. Range shifts and adaptive responses to quaternary climate change. Science (80-. ). 292, 673–679. https://doi.org/10.1126/science.292.5517.673</w:t>
      </w:r>
    </w:p>
    <w:p w14:paraId="20E7E0E0"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de Barros Soares, D., Lee, H., Loikith, P.C., Barkhordarian, A., Mechoso, C.R., 2017. Can significant trends be detected in surface air temperature and precipitation over South America in recent decades? Int. J. Climatol. 37, 1483–1493. https://doi.org/10.1002/joc.4792</w:t>
      </w:r>
    </w:p>
    <w:p w14:paraId="7AAAB93A"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de Mahiques, M.M., de Mello e Sousa, S.H., Furtado, V.V., Tessler, M.G., de Lima Toledo, F.A., Burone, L., Figueira, R.C.L., Klein, D.A., Martins, C.C., Alves, D.P.V., 2010. The Southern Brazilian shelf: General characteristics, quaternary evolution and sediment distribution. Brazilian J. Oceanogr. 58, 25–34. https://doi.org/doi.10.1590/S1679-87592010000600004</w:t>
      </w:r>
    </w:p>
    <w:p w14:paraId="0290EDB2"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de Oliveira, M.A.T., Behling, H., Pessenda, L.C.R., de Lima, G.L., 2008. Stratigraphy of near-valley head quaternary deposits and evidence of climate-driven slope-channel processes in southern Brazilian highlands. Catena 75, 77–92. https://doi.org/10.1016/j.catena.2008.04.003</w:t>
      </w:r>
    </w:p>
    <w:p w14:paraId="0CFB7074"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lastRenderedPageBreak/>
        <w:t>De Oliveira, P.E., 1992. A Palynological record of Late Quaternary vegetational and climatic change in southeastern Brazil. Ohio State University.</w:t>
      </w:r>
    </w:p>
    <w:p w14:paraId="2515BAC2"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De Oliveira, P.E., Raczka, M., McMichael, C.N.H., Pinaya, J.L.D., Bush, M.B., 2020. Climate change and biogeographic connectivity across the Brazilian cerrado. J. Biogeogr. 47, 396–407. https://doi.org/10.1111/jbi.13732</w:t>
      </w:r>
    </w:p>
    <w:p w14:paraId="4DAA59D1"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de Sousa, V.A., Reeves, P.A., Reilley, A., de Aguiar, A.V., Stefenon, V.M., Richards, C.M., 2020. Genetic diversity and biogeographic determinants of population structure in Araucaria angustifolia (Bert.) O. Ktze. Conserv. Genet. 21, 217–229. https://doi.org/10.1007/s10592-019-01242-9</w:t>
      </w:r>
    </w:p>
    <w:p w14:paraId="1B447E1B"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Dietl, G.P., Kidwell, S.M., Brenner, M., Burney, D.A., Flessa, K.W., Jackson, S.T., Koch, P.L., 2015. Conservation Paleobiology: Leveraging Knowledge of the Past to Inform Conservation and Restoration. Annu. Rev. Earth Planet. Sci. 43, 79–103. https://doi.org/10.1146/annurev-earth-040610-133349</w:t>
      </w:r>
    </w:p>
    <w:p w14:paraId="2DA6A56E"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Dobrowski, S.Z., 2011. A climatic basis for microrefugia: The influence of terrain on climate. Glob. Chang. Biol. 17, 1022–1035. https://doi.org/10.1111/j.1365-2486.2010.02263.x</w:t>
      </w:r>
    </w:p>
    <w:p w14:paraId="6D253BB5"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Duarte, L.D.S., Bergamin, R.S., Marcilio-Silva, V., Seger, G.D.D.S., Marques, M.C.M., 2014. Phylobetadiversity among forest types in the Brazilian Atlantic Forest complex. PLoS One 9. https://doi.org/10.1371/journal.pone.0105043</w:t>
      </w:r>
    </w:p>
    <w:p w14:paraId="48708B49"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Dümig, A., Schad, P., Rumpel, C., Dignac, M.F., Kögel-Knabner, I., 2008. Araucaria forest expansion on grassland in the southern Brazilian highlands as revealed by 14C and δ13C studies. Geoderma 145, 143–157. https://doi.org/10.1016/j.geoderma.2007.06.005</w:t>
      </w:r>
    </w:p>
    <w:p w14:paraId="209C452A"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 xml:space="preserve">Esquivel‐Muelbert, A., Baker, T.R., Dexter, K.G., Lewis, S.L., Brienen, R.J.W., Feldpausch, T.R., Lloyd, J., Monteagudo‐Mendoza, A., Arroyo, L., Álvarez-Dávila, E., Higuchi, N., Marimon, B.S., Marimon-Junior, B.H., Silveira, M., Vilanova, E., Gloor, E., Malhi, Y., Chave, J., Barlow, J., Bonal, D., Davila Cardozo, N., Erwin, T., Fauset, S., Hérault, B., Laurance, S., Poorter, L., Qie, L., Stahl, C., Sullivan, M.J.P., ter Steege, H., Vos, V.A., Zuidema, P.A., Almeida, E., Almeida de Oliveira, E., Andrade, A., Vieira, S.A., Aragão, L., Araujo‐Murakami, A., Arets, E., Aymard C, G.A., Baraloto, C., Camargo, P.B., Barroso, J.G., Bongers, F., Boot, R., Camargo, J.L., Castro, W., Chama Moscoso, V., Comiskey, J., Cornejo Valverde, F., Lola da Costa, A.C., del Aguila Pasquel, J., Di Fiore, A., Fernanda Duque, L., Elias, F., Engel, J., Flores Llampazo, G., Galbraith, D., Herrera Fernández, R., Honorio Coronado, E., Hubau, W., Jimenez‐Rojas, E., Lima, A.J.N., Umetsu, R.K., Laurance, W., Lopez‐Gonzalez, G., Lovejoy, T., Aurelio Melo Cruz, O., Morandi, P.S., Neill, D., </w:t>
      </w:r>
      <w:r w:rsidRPr="003D6675">
        <w:rPr>
          <w:rFonts w:ascii="Calibri" w:hAnsi="Calibri" w:cs="Calibri"/>
          <w:noProof/>
          <w:szCs w:val="24"/>
        </w:rPr>
        <w:lastRenderedPageBreak/>
        <w:t>Núñez Vargas, P., Pallqui Camacho, N.C., Parada Gutierrez, A., Pardo, G., Peacock, J., Peña‐Claros, M., Peñuela‐Mora, M.C., Petronelli, P., Pickavance, G.C., Pitman, N., Prieto, A., Quesada, C., Ramírez‐Angulo, H., Réjou‐Méchain, M., Restrepo Correa, Z., Roopsind, A., Rudas, A., Salomão, R., Silva, N., Silva Espejo, J., Singh, J., Stropp, J., Terborgh, J., Thomas, R., Toledo, M., Torres‐Lezama, A., Valenzuela Gamarra, L., van de Meer, P.J., van der Heijden, G., van der Hout, P., Vasquez Martinez, R., Vela, C., Vieira, I.C.G., Phillips, O.L., 2019. Compositional response of Amazon forests to climate change. Glob. Chang. Biol. 25, 39–56. https://doi.org/10.1111/gcb.14413</w:t>
      </w:r>
    </w:p>
    <w:p w14:paraId="26162756"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Esser, L.F., Neves, D.M., Jarenkow, J.A., 2019. Habitat‐specific impacts of climate change in the Mata Atlântica biodiversity hotspot. Divers. Distrib. 25, 1846–1856. https://doi.org/10.1111/ddi.12984</w:t>
      </w:r>
    </w:p>
    <w:p w14:paraId="3AEFE83B"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Fair, K.R., Anand, M., Bauch, C.T., 2020. Spatial structure in protected forest‐grassland mosaics: Exploring futures under climate change. Glob. Chang. Biol. 26, 6097–6115. https://doi.org/10.1111/gcb.15288</w:t>
      </w:r>
    </w:p>
    <w:p w14:paraId="20ACFF0B"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Falkenberg, D. de B., Voltolini, J.C., 1993. The Montane Cloud Forest in Southern Brazil, in: Hamilton, L., Juvik, J.., Scatena, F.. (Eds.), Tropical Montane Cloud Forests. East-West Centre, Honolulu, Hawai’i, pp. 86–93. https://doi.org/10.1007/978-1-4612-2500-3</w:t>
      </w:r>
    </w:p>
    <w:p w14:paraId="27C11A25"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Ferrer‐Paris, J.R., Zager, I., Keith, D.A., Oliveira‐Miranda, M.A., Rodríguez, J.P., Josse, C., González‐Gil, M., Miller, R.M., Zambrana‐Torrelio, C., Barrow, E., 2019. An ecosystem risk assessment of temperate and tropical forests of the Americas with an outlook on future conservation strategies. Conserv. Lett. 12, e12623. https://doi.org/10.1111/conl.12623</w:t>
      </w:r>
    </w:p>
    <w:p w14:paraId="3614CC6B"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Fitzpatrick, M.C., Blois, J.L., Williams, J.W., Nieto-Lugilde, D., Maguire, K.C., Lorenz, D.J., 2018. How will climate novelty influence ecological forecasts? Using the Quaternary to assess future reliability. Glob. Chang. Biol. 24, 3575–3586. https://doi.org/10.1111/gcb.14138</w:t>
      </w:r>
    </w:p>
    <w:p w14:paraId="56F2E994"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Flantua, S.G.A., Hooghiemstra, H., Grimm, E.C., Behling, H., Bush, M.B., González-Arango, C., Gosling, W.D., Ledru, M.P., Lozano-García, S., Maldonado, A., Prieto, A.R., Rull, V., Van Boxel, J.H., 2015. Updated site compilation of the Latin American Pollen Database. Rev. Palaeobot. Palynol. 223, 104–115. https://doi.org/10.1016/j.revpalbo.2015.09.008</w:t>
      </w:r>
    </w:p>
    <w:p w14:paraId="3FF7C242"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Fordham, D.A., Saltré, F., Brown, S.C., Mellin, C., Wigley, T.M.L., 2018. Why decadal to century timescale palaeoclimate data are needed to explain present‐day patterns of biological diversity and change. Glob. Chang. Biol. 24, 1371–1381. https://doi.org/10.1111/gcb.13932</w:t>
      </w:r>
    </w:p>
    <w:p w14:paraId="1EE4429C"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lastRenderedPageBreak/>
        <w:t>Fordham, D.A., Saltré, F., Haythorne, S., Wigley, T.M.L., Otto-Bliesner, B.L., Chan, K.C., Brook, B.W., 2017. PaleoView: A tool for generating continuous climate projections spanning the last 21 000 years at regional and global scales. Ecography (Cop.). 1–11. https://doi.org/10.1111/ecog.03031</w:t>
      </w:r>
    </w:p>
    <w:p w14:paraId="35DC0BFA"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Fourcade, Y., Besnard, A.G., Secondi, J., 2017. Paintings predict the distribution of species, or the challenge of selecting environmental predictors and evaluation statistics. Glob. Ecol. Biogeogr. https://doi.org/10.1111/geb.12684</w:t>
      </w:r>
    </w:p>
    <w:p w14:paraId="55C43D3A"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Francisquini, M.I., Lorente, F.L., Ruiz Pessenda, L.C., Buso Junior, A.A., Mayle, F.E., Lisboa Cohen, M.C., França, M.C., Bendassolli, J.A., Fonseca Giannini, P.C., Schiavo, J.A., Macario, K., 2020. Cold and humid Atlantic Rainforest during the last glacial maximum, northern Espírito Santo state, southeastern Brazil. Quat. Sci. Rev. 244. https://doi.org/10.1016/j.quascirev.2020.106489</w:t>
      </w:r>
    </w:p>
    <w:p w14:paraId="646DB7E1"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Gasper, A.L. de, Uhlmann, A., Vibrans, A.C., Sevegnani, L., Meyer, L., 2012. Grupos florísticos estruturais da Floresta Estacional Decidual em Santa Catarina., in: Vibrans, A.C., Sevegnani, L., Gasper, A.L. de, Lingner, D.V. (Eds.), Inventário Florístico Florestal de Santa Catarina, Vol. II, Floresta Estacional Decidual. Edifurb, Blumenau, pp. 129–140.</w:t>
      </w:r>
    </w:p>
    <w:p w14:paraId="60341C76"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Gerhart, L.M., Ward, J.K., 2010. Plant responses to low [CO2] of the past. New Phytol. 188, 674–695. https://doi.org/10.1111/j.1469-8137.2010.03441.x</w:t>
      </w:r>
    </w:p>
    <w:p w14:paraId="4A34C005"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Gu, F., Zonneveld, K.A.F., Chiessi, C.M., Arz, H.W., Pätzold, J., Behling, H., 2017. Long-term vegetation, climate and ocean dynamics inferred from a 73,500 years old marine sediment core (GeoB2107-3) off southern Brazil. Quat. Sci. Rev. 172, 55–71. https://doi.org/10.1016/j.quascirev.2017.06.028</w:t>
      </w:r>
    </w:p>
    <w:p w14:paraId="64B761E5"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Guarinello de Oliveira Portes, M.C., DeForest Safford, H., Montade, V., Behling, H., 2020. Pollen rain–vegetation relationship along an elevational gradient in the Serra dos Órgãos National Park, southeastern Brazil. Rev. Palaeobot. Palynol. 283, 104314. https://doi.org/10.1016/j.revpalbo.2020.104314</w:t>
      </w:r>
    </w:p>
    <w:p w14:paraId="6A33857A"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Haberle, S.G., Maslin, M.A., 1999. Late Quaternary Vegetation and Climate Change in the Amazon Basin Based on a 50,000 Year Pollen Record from the Amazon Fan, ODP Site 932. Quat. Res. 51, 27–38. https://doi.org/10.1006/qres.1998.2020</w:t>
      </w:r>
    </w:p>
    <w:p w14:paraId="559479C1"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 xml:space="preserve">Hannah, L., Flint, L., Syphard, A.D., Moritz, M.A., Buckley, L.B., McCullough, I.M., 2014. Fine-grain modeling of species’ response to climate change: holdouts, stepping-stones, and microrefugia. </w:t>
      </w:r>
      <w:r w:rsidRPr="003D6675">
        <w:rPr>
          <w:rFonts w:ascii="Calibri" w:hAnsi="Calibri" w:cs="Calibri"/>
          <w:noProof/>
          <w:szCs w:val="24"/>
        </w:rPr>
        <w:lastRenderedPageBreak/>
        <w:t>Trends Ecol. Evol. 29, 390–397. https://doi.org/10.1016/j.tree.2014.04.006</w:t>
      </w:r>
    </w:p>
    <w:p w14:paraId="3C0FB230"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Hermanowski, B., da Costa, M.L., Behling, H., 2012. Environmental changes in southeastern Amazonia during the last 25,000yr revealed from a paleoecological record. Quat. Res. 77, 138–148. https://doi.org/10.1016/j.yqres.2011.10.009</w:t>
      </w:r>
    </w:p>
    <w:p w14:paraId="4133A372"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Hidalgo, H.G., Alfaro, E.J., 2015. Skill of CMIP5 climate models in reproducing 20th century basic climate features in Central America. Int. J. Climatol. 35, 3397–3421. https://doi.org/10.1002/joc.4216</w:t>
      </w:r>
    </w:p>
    <w:p w14:paraId="7512153E"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Higuchi, P., da Silva, A.C., de Almeida, J.A., Bortoluzzi, R.L. da C., Mantovani, A., Ferreira, T. de S., de Souza, S.T., Gomes, J.P., da Silva, K.M., 2013. Florística e estrutura do componente arbóreo e análise ambiental de um fragmento de floresta ombrófila mista alto-montana no Município de Painel, SC. Cienc. Florest. 23, 153–164. https://doi.org/10.1177/0272989X07302131</w:t>
      </w:r>
    </w:p>
    <w:p w14:paraId="51C5DAA4"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Higuchi, P., Silva, A.C. da, Sousa-Ferreira, T., Souza, S.T. de, Pereira-Gomes, J., Silva, K.M. da, Santos, K.F. do, 2012. Floristic composition and phytogeography of the tree component of Araucaria Forest fragments in southern Brazil. Brazilian J. Bot. 35, 145–157. https://doi.org/10.1590/S1806-99592012000200004</w:t>
      </w:r>
    </w:p>
    <w:p w14:paraId="2E61ADCE"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Horák-Terra, I., Cortizas, A.M., Da Luz, C.F.P., Silva, A.C., Mighall, T., De Camargo, P.B., Mendonça-Filho, C.V., De Oliveira, P.E., Cruz, F.W., Vidal-Torrado, P., 2020. Late Quaternary vegetation and climate dynamics in central-eastern Brazil: insights from a ~35k cal a bp peat record in the Cerrado biome. J. Quat. Sci. 35, 664–676. https://doi.org/10.1002/jqs.3209</w:t>
      </w:r>
    </w:p>
    <w:p w14:paraId="745584B6"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Hueck, K., 1953. Distribuição e habitat natural do Pinheiro do Paraná (Araucaria angustifolia). Bol. da Fac. Filos. Ciências e Let. Univ. São Paulo. 10, 5–24. https://doi.org/10.11606/issn.2318-5988.v10i1p5-24</w:t>
      </w:r>
    </w:p>
    <w:p w14:paraId="0FD121E5"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IBGE, I.B. de G. e E., 2012. Manual Técnico da Vegetação Brasileira, Manuais Técnicos em Geociências. Rio de Janeiro.</w:t>
      </w:r>
    </w:p>
    <w:p w14:paraId="650E17B2"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Iganci, J.R. V, Heiden, G., Miotto, S.T.S., Pennington, R.T., 2011. Campos de Cima da Serra: The Brazilian Subtropical Highland Grasslands show an unexpected level of plant endemism. Bot. J. Linn. Soc. 167, 378–393. https://doi.org/10.1111/j.1095-8339.2011.01182.x</w:t>
      </w:r>
    </w:p>
    <w:p w14:paraId="68AFE8C5"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Jackson, S.T., Blois, J.L., 2015. Community ecology in a changing environment: Perspectives from the Quaternary. Proc. Natl. Acad. Sci. U. S. A. 112, 4915–4921. https://doi.org/10.1073/pnas.1403664111</w:t>
      </w:r>
    </w:p>
    <w:p w14:paraId="3F81B6FE"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 xml:space="preserve">Jan, F., Schüler, L., Behling, H., 2015. Trends of pollen grain size variation in C3 and C4 Poaceae </w:t>
      </w:r>
      <w:r w:rsidRPr="003D6675">
        <w:rPr>
          <w:rFonts w:ascii="Calibri" w:hAnsi="Calibri" w:cs="Calibri"/>
          <w:noProof/>
          <w:szCs w:val="24"/>
        </w:rPr>
        <w:lastRenderedPageBreak/>
        <w:t>species using pollen morphology for future assessment of grassland ecosystem dynamics. Grana 54, 129–145. https://doi.org/10.1080/00173134.2014.966754</w:t>
      </w:r>
    </w:p>
    <w:p w14:paraId="6E55F78D"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Jeske-Pieruschka, V., Behling, H., 2012. Palaeoenvironmental history of the São Francisco de Paula region in southern Brazil during the late Quaternary inferred from the Rincão das Cabritas core. The Holocene 22, 1251–1262. https://doi.org/10.1177/0959683611414930</w:t>
      </w:r>
    </w:p>
    <w:p w14:paraId="7306CEC9"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Jeske-Pieruschka, V., Fidelis, A., Bergamin, R.S., Vélez, E., Behling, H., 2010. Araucaria forest dynamics in relation to fire frequency in southern Brazil based on fossil and modern pollen data. Rev. Palaeobot. Palynol. 160, 53–65. https://doi.org/10.1016/j.revpalbo.2010.01.005</w:t>
      </w:r>
    </w:p>
    <w:p w14:paraId="6737EAE1"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Jeske-Pieruschka, V., Pillar, V.D., de Oliveira, M.A.T., Behling, H., 2013. New insights into vegetation, climate and fire history of southern Brazil revealed by a 40,000 year environmental record from the State Park Serra do Tabuleiro. Veg. Hist. Archaeobot. 22, 299–314. https://doi.org/10.1007/s00334-012-0382-y</w:t>
      </w:r>
    </w:p>
    <w:p w14:paraId="673AAF4C"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Kalinovski, E.C.Z., Parolin, M., de Souza Filho, E.E., 2016. Paleoambientes quaternários da planície do rio Iapó, Castro, Paraná. Rev. Bras. Geogr. Física 9, 1543–1558. https://doi.org/10.26848/rbgf.v9.5.p1543-1558</w:t>
      </w:r>
    </w:p>
    <w:p w14:paraId="5163F696"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Karger, D.N., Conrad, O., Böhner, J., Kawohl, T., Kreft, H., Soria-Auza, R.W., Zimmermann, N.E., Linder, H.P., Kessler, M., 2017a. Data from: Climatologies at high resolution for the earth’s land surface areas. https://doi.org/https://doi.org/10.5061/dryad.kd1d4</w:t>
      </w:r>
    </w:p>
    <w:p w14:paraId="02F7BBA0"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Karger, D.N., Conrad, O., Böhner, J., Kawohl, T., Kreft, H., Soria-Auza, R.W., Zimmermann, N.E., Linder, H.P., Kessler, M., 2017b. Climatologies at high resolution for the earth’s land surface areas. Sci. Data 4, 170122. https://doi.org/10.1038/sdata.2017.122</w:t>
      </w:r>
    </w:p>
    <w:p w14:paraId="74E5A883"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 xml:space="preserve">Kaufman, D., McKay, N., Routson, C., Erb, M., Davis, B., Heiri, O., Jaccard, S., Tierney, J., Dätwyler, C., Axford, Y., Brussel, T., Cartapanis, O., Chase, B., Dawson, A., de Vernal, A., Engels, S., Jonkers, L., Marsicek, J., Moffa-Sánchez, P., Morrill, C., Orsi, A., Rehfeld, K., Saunders, K., Sommer, P.S., Thomas, E., Tonello, M., Tóth, M., Vachula, R., Andreev, A., Bertrand, S., Biskaborn, B., Bringué, M., Brooks, S., Caniupán, M., Chevalier, M., Cwynar, L., Emile-Geay, J., Fegyveresi, J., Feurdean, A., Finsinger, W., Fortin, M.-C., Foster, L., Fox, M., Gajewski, K., Grosjean, M., Hausmann, S., Heinrichs, M., Holmes, N., Ilyashuk, B., Ilyashuk, E., Juggins, S., Khider, D., Koinig, K., Langdon, P., Larocque-Tobler, I., Li, J., Lotter, A., Luoto, T., Mackay, A., Magyari, E., Malevich, S., Mark, B., Massaferro, J., Montade, V., Nazarova, L., Novenko, E., Pařil, P., Pearson, E., Peros, M., Pienitz, R., Płóciennik, M., Porinchu, D., Potito, A., Rees, A., Reinemann, S., Roberts, S., Rolland, N., Salonen, S., Self, A., Seppä, H., Shala, S., St-Jacques, J.-M., Stenni, B., Syrykh, L., Tarrats, P., </w:t>
      </w:r>
      <w:r w:rsidRPr="003D6675">
        <w:rPr>
          <w:rFonts w:ascii="Calibri" w:hAnsi="Calibri" w:cs="Calibri"/>
          <w:noProof/>
          <w:szCs w:val="24"/>
        </w:rPr>
        <w:lastRenderedPageBreak/>
        <w:t>Taylor, K., van den Bos, V., Velle, G., Wahl, E., Walker, I., Wilmshurst, J., Zhang, E., Zhilich, S., 2020. A global database of Holocene paleotemperature records. Sci. Data 7, 115. https://doi.org/10.1038/s41597-020-0445-3</w:t>
      </w:r>
    </w:p>
    <w:p w14:paraId="297E9D0F"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Klein, R.M., 1975. Southern Brazilian phytogeographic features and the probable influence of upper Quaternary climatic changes in the floristic distribution. Bol. Parana. Geociências 33, 67–88.</w:t>
      </w:r>
    </w:p>
    <w:p w14:paraId="795C0F67"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Lauterjung, M.B., Bernardi, A.P., Montagna, T., Candido-Ribeiro, R., da Costa, N.C.F., Mantovani, A., dos Reis, M.S., 2018. Phylogeography of Brazilian pine (Araucaria angustifolia): integrative evidence for pre-Columbian anthropogenic dispersal. Tree Genet. Genomes 14, 36. https://doi.org/10.1007/s11295-018-1250-4</w:t>
      </w:r>
    </w:p>
    <w:p w14:paraId="5BC7E325"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Leal, M.G., Lorscheitter, M.L., 2007. Plant succession in a forest on the Lower Northeast Slope of Serra Geral, Rio Grande do Sul, and Holocene palaeoenvironments, Southern Brazil. Acta Bot. Brasilica 21, 1–10. https://doi.org/10.1590/S0102-33062007000100001</w:t>
      </w:r>
    </w:p>
    <w:p w14:paraId="1E61DEAE"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Ledo, R.M.D., Colli, G.R., 2017. The historical connections between the Amazon and the Atlantic Forest revisited. J. Biogeogr. 44, 2551–2563. https://doi.org/10.1111/jbi.13049</w:t>
      </w:r>
    </w:p>
    <w:p w14:paraId="2BA883B1"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Ledru, M.-P., Montade, V., Blanchard, G., Hély, C., 2016. Long-term Spatial Changes in the Distribution of the Brazilian Atlantic Forest. Biotropica 48, 159–169. https://doi.org/10.1111/btp.12266</w:t>
      </w:r>
    </w:p>
    <w:p w14:paraId="7AD0E5E7"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Ledru, M.-P., Salatino, M.L.F., Ceccantini, G., Salatino, A., Pinheiro, F., Pintaud, J.-C., 2007. Regional assessment of the impact of climatic change on the distribution of a tropical conifer in the lowlands of South America. Divers. Distrib. 13, 761–771. https://doi.org/10.1111/j.1472-4642.2007.00389.x</w:t>
      </w:r>
    </w:p>
    <w:p w14:paraId="3B10CF7F"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Leite, Y.L.R., Costa, L.P., Loss, A.C., Rocha, R.G., Batalha-Filho, H., Bastos, A.C., Quaresma, V.S., Fagundes, V., Paresque, R., Passamani, M., Pardini, R., 2016. Neotropical forest expansion during the last glacial period challenges refuge hypothesis. Proc. Natl. Acad. Sci. 113, 1008–1013. https://doi.org/10.1073/pnas.1513062113</w:t>
      </w:r>
    </w:p>
    <w:p w14:paraId="0EF5094A"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Lenoir, J., Hattab, T., Pierre, G., 2017. Climatic microrefugia under anthropogenic climate change: implications for species redistribution. Ecography (Cop.). 40, 253–266. https://doi.org/10.1111/ecog.02788</w:t>
      </w:r>
    </w:p>
    <w:p w14:paraId="697220AA"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Leonhardt, A., Lorscheitter, M.L., 2010. The last 25,000 years in the Eastern Plateau of Southern Brazil according to Alpes de São Francisco record. J. South Am. Earth Sci. 29, 454–463. https://doi.org/10.1016/j.jsames.2009.09.003</w:t>
      </w:r>
    </w:p>
    <w:p w14:paraId="5A5C1038"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lastRenderedPageBreak/>
        <w:t>Lima, W.J.S., Cohen, M.C.L., Rossetti, D.F., França, M.C., 2018. Late Pleistocene glacial forest elements of Brazilian Amazonia. Palaeogeogr. Palaeoclimatol. Palaeoecol. 490, 617–628. https://doi.org/10.1016/j.palaeo.2017.11.050</w:t>
      </w:r>
    </w:p>
    <w:p w14:paraId="18E714DB"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Lingner, D.V., Schorn, L.A., Vibrans, A.C., Meyer, L., Sevegnani, L., Gasper, A.L. de, Sobral, M.G., Krüger, A., Klemz, G., Schmidt, R., Anastácio Junior, C., Pasqualli, V.R., 2013a. Fitossociologia do componente arbóreo/arbustivo da Floresta Ombrófla Densa no Estado de Santa Catarina., in: Vibrans, A.C., Sevegnani, L., Gasper, A.L. de, Lingner, D.V. (Eds.), Inventário Florístico Florestal de Santa Catarina, Vol. IV, Floresta Ombrófla Densa. Edifurb, Blumenau, pp. 159–200.</w:t>
      </w:r>
    </w:p>
    <w:p w14:paraId="7417C73C"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Lingner, D.V., Sevegnani, L., Gasper, A.L. de, Uhlmann, A., Vibrans, A.C., 2013b. Grupos florísticos estruturais da Floresta Ombrófla Densa em Santa Catarina., in: Vibrans, A.C., Sevegnani, L., Gasper, A.L. de, Lingner, D.V. (Eds.), Inventário Florístico Florestal de Santa Catarina, Vol. IV, Floresta Ombrófla Densa. Edifurb, Blumenau, pp. 143–157.</w:t>
      </w:r>
    </w:p>
    <w:p w14:paraId="4F43330B"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Lopes, R.P., Buchmann, F.S., 2011. Pleistocene mammals from the southern Brazilian continental shelf. J. South Am. Earth Sci. 31, 17–27. https://doi.org/10.1016/j.jsames.2010.11.003</w:t>
      </w:r>
    </w:p>
    <w:p w14:paraId="600A1CB6"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Lorenz, D.J., Nieto-Lugilde, D., Blois, J.L., Fitzpatrick, M.C., Williams, J.W., 2016. Downscaled and debiased climate simulations for North America from 21,000 years ago to 2100AD. Sci. Data 3, 160048. https://doi.org/10.1038/sdata.2016.48</w:t>
      </w:r>
    </w:p>
    <w:p w14:paraId="7EFC6BA6"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Lorscheitter, M.L., Dillenburg, S.R., 1998. Holocene Palaeoenvironments Of The Northern coastal plain Of Rio Grande do Sul, Brazil , reconstructed from paly ...., in: Rabassa, J., Salemme, M. (Eds.), Quaternary of South America and Antarctic Peninsula. A.A. Balkema, Rotterdam.</w:t>
      </w:r>
    </w:p>
    <w:p w14:paraId="34BAB0F9"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Loughlin, N.J.D., Gosling, W.D., Mothes, P., Montoya, E., 2018. Ecological consequences of post-Columbian indigenous depopulation in the Andean–Amazonian corridor. Nat. Ecol. Evol. 2, 1233–1236. https://doi.org/10.1038/s41559-018-0602-7</w:t>
      </w:r>
    </w:p>
    <w:p w14:paraId="7924090F"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Lovino, M.A., Müller, O. V, Berbery, E.H., Müller, G. V, 2018. Evaluation of CMIP5 retrospective simulations of temperature and precipitation in northeastern Argentina. Int. J. Climatol. 38, e1158–e1175. https://doi.org/10.1002/joc.5441</w:t>
      </w:r>
    </w:p>
    <w:p w14:paraId="767C8506"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Macedo, R.B., Cancelli, R.R., Bauermann, S.G., Bordignon, S.A. de L., Neves, P.C.P. das, 2007. Palinologia de níveis do Holoceno da Planície Costeira do Rio Grande do Sul (localidade de Passinhos), Brasil. Gaea - J. Geosci. 3, 68–74.</w:t>
      </w:r>
    </w:p>
    <w:p w14:paraId="22082BB2"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 xml:space="preserve">Maguire, K.C., Nieto-Lugilde, D., Blois, J.L., Fitzpatrick, M.C., Williams, J.W., Ferrier, S., Lorenz, D.J., 2016. Controlled comparison of species- and community-level models across novel climates </w:t>
      </w:r>
      <w:r w:rsidRPr="003D6675">
        <w:rPr>
          <w:rFonts w:ascii="Calibri" w:hAnsi="Calibri" w:cs="Calibri"/>
          <w:noProof/>
          <w:szCs w:val="24"/>
        </w:rPr>
        <w:lastRenderedPageBreak/>
        <w:t>and communities. Proc. R. Soc. B Biol. Sci. 283, 20152817. https://doi.org/10.1098/rspb.2015.2817</w:t>
      </w:r>
    </w:p>
    <w:p w14:paraId="2E811086"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Maksic, J., Shimizu, M.H., de Oliveira, G.S., Venancio, I.M., Cardoso, M., Ferreira, F.A., 2019. Simulation of the Holocene climate over South America and impacts on the vegetation. Holocene 29, 287–299. https://doi.org/10.1177/0959683618810406</w:t>
      </w:r>
    </w:p>
    <w:p w14:paraId="2863BBC0"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Mayle, F.E., Beerling, D.J., Gosling, W.D., Bush, M.B., 2004. Responses of Amazonian ecosystems to climatic and atmospheric carbon dioxide changes since the last glacial maximum. Philos. Trans. R. Soc. London. Ser. B Biol. Sci. 359, 499–514. https://doi.org/10.1098/rstb.2003.1434</w:t>
      </w:r>
    </w:p>
    <w:p w14:paraId="15266AC7"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McElwain, J.C., 2018. Paleobotany and Global Change: Important Lessons for Species to Biomes from Vegetation Responses to Past Global Change. Annu. Rev. Plant Biol. 69, 761–787. https://doi.org/10.1146/annurev-arplant-042817-040405</w:t>
      </w:r>
    </w:p>
    <w:p w14:paraId="7DDB0657"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McLaughlin, B.C., Ackerly, D.D., Klos, P.Z., Natali, J., Dawson, T.E., Thompson, S.E., 2017. Hydrologic refugia, plants, and climate change. Glob. Chang. Biol. 23, 2941–2961. https://doi.org/10.1111/gcb.13629</w:t>
      </w:r>
    </w:p>
    <w:p w14:paraId="568F44B2"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Meyer, L., Sevegnani, L., Gasper, A.L. de, Schorn, L.A., Vibrans, A.C., Lingner, D.V., Sobral, M.G., Klemz, G., Schmdt, R., Anastácio Junior, C., Brongi, E., 2013. Fitossociologia do componente arbóreo/arbustivo da Floresta Ombrófila Mista em Santa Catarina., in: Vibrans, A.C., Sevegnani, L., Gasper, A.L. de, Lingner, D.V. (Eds.), Inventário Florístico Florestal de Santa Catarina, Vol. III, Floresta Ombrófila Mista. Edifurb, Blumenau, pp. 157–189.</w:t>
      </w:r>
    </w:p>
    <w:p w14:paraId="514B3BB4"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Montade, V., Ledru, M.-P., Giesecke, T., Flantua, S.G., Behling, H., Peyron, O., 2019. A new modern pollen dataset describing the Brazilian Atlantic Forest. The Holocene 29, 1253–1262. https://doi.org/10.1177/0959683619846981</w:t>
      </w:r>
    </w:p>
    <w:p w14:paraId="4E3E3677"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Müller, S.C., Overbeck, G.E., Blanco, C.C., de Oliveira, J.M., Pillar, V.D., 2012. South Brazilian Forest-Grassland Ecotones: Dynamics Affected by Climate, Disturbance, and Woody Species Traits, in: Myster, R.W. (Ed.), Ecotones Between Forest and Grassland. Springer New York, New York, NY, pp. 167–187. https://doi.org/10.1007/978-1-4614-3797-0_7</w:t>
      </w:r>
    </w:p>
    <w:p w14:paraId="43BC5769"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Myers, N., Mittermeier, R.A., Mittermeier, C.G., da Fonseca, G.A.B., Kent, J., 2000. Biodiversity hotspots for conservation priorities. Nature 403, 853–858. https://doi.org/10.1038/35002501</w:t>
      </w:r>
    </w:p>
    <w:p w14:paraId="2B722B5E"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 xml:space="preserve">Neves, D.M., Dexter, K.G., Pennington, R.T., Valente, A.S.M., Bueno, M.L., Eisenlohr, P. V., Fontes, M.A.L., Miranda, P.L.S., Moreira, S.N., Rezende, V.L., Saiter, F.Z., Oliveira-Filho, A.T., 2017. Dissecting a biodiversity hotspot: The importance of environmentally marginal habitats in the </w:t>
      </w:r>
      <w:r w:rsidRPr="003D6675">
        <w:rPr>
          <w:rFonts w:ascii="Calibri" w:hAnsi="Calibri" w:cs="Calibri"/>
          <w:noProof/>
          <w:szCs w:val="24"/>
        </w:rPr>
        <w:lastRenderedPageBreak/>
        <w:t>Atlantic Forest Domain of South America. Divers. Distrib. 23, 898–909. https://doi.org/10.1111/ddi.12581</w:t>
      </w:r>
    </w:p>
    <w:p w14:paraId="55F66EEB"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Nieto‐Lugilde, D., Maguire, K.C., Blois, J.L., Williams, J.W., Fitzpatrick, M.C., 2018. Multiresponse algorithms for community‐level modelling: Review of theory, applications, and comparison to species distribution models. Methods Ecol. Evol. 9, 834–848. https://doi.org/10.1111/2041-210X.12936</w:t>
      </w:r>
    </w:p>
    <w:p w14:paraId="6A0A08EE"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Oksanen, J., Blanchet, F.G., Friendly, M., Kindt, R., Legendre, P., McGlinn, D., Minchin, P.R., O’Hara, R.B., Simpson, G.L., Solymos, P., Stevens, M.H.H., Szoecs, E., Wagner, H., 2019. vegan: Community Ecology Package.</w:t>
      </w:r>
    </w:p>
    <w:p w14:paraId="1E059151"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Oliveira-Filho, A.T., Budke, J.C., Jarenkow, J.A., Eisenlohr, P. V, Neves, D.R.M., 2014. Delving into the variations in tree species composition and richness across South American subtropical Atlantic and Pampean forests. J. Plant Ecol. 8, 242–260. https://doi.org/10.1093/jpe/rtt058</w:t>
      </w:r>
    </w:p>
    <w:p w14:paraId="56A497C2"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Oliveira‐Filho, A.T., Fontes, M.A.L., 2000. Patterns of Floristic Differentiation among Atlantic Forests in Southeastern Brazil and the Influence of Climate. Biotropica 32, 793–810. https://doi.org/10.1111/j.1744-7429.2000.tb00619.x</w:t>
      </w:r>
    </w:p>
    <w:p w14:paraId="035EC453"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Oliveira, J.M., Pillar, V. de P., 2005. Vegetation dynamics on mosaics of Campos and Araucaria forest between 1974 and 1999 in Southern Brazil. Community Ecol. 5, 197–202. https://doi.org/10.1556/ComEc.5.2004.2.8</w:t>
      </w:r>
    </w:p>
    <w:p w14:paraId="659E4545"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Overbeck, G.E., Müller, S.C., Fidelis, A., Pfadenhauer, J., Pillar, V.D., Blanco, C.C., Boldrini, I.I., Both, R., Forneck, E.D., 2007. Brazil’s neglected biome: The South Brazilian Campos. Perspect. Plant Ecol. Evol. Syst. 9, 101–116. https://doi.org/10.1016/j.ppees.2007.07.005</w:t>
      </w:r>
    </w:p>
    <w:p w14:paraId="03D44CD9"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Paisani, J.C., Lopes-Paisani, S.D., Lima, S., de Jesus Ribeiro, F., Pontelli, M.E., Fujita, R.H., 2019. Paleoenvironmental dynamics of low-order paleovalleys in the Late Quaternary – Palmas/Caçador Summit Surface – Southern Brazil. Catena 182, 104171. https://doi.org/10.1016/j.catena.2019.104171</w:t>
      </w:r>
    </w:p>
    <w:p w14:paraId="0294E013"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Peel, M.C., Finlayson, B.L., McMahon, T.A., 2007. Updated world map of the Köppen-Geiger climate classification. Hydrol. Earth Syst. Sci. 11, 1633–1644. https://doi.org/10.5194/hess-11-1633-2007</w:t>
      </w:r>
    </w:p>
    <w:p w14:paraId="2464F812"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Pereira, J.S., 2017. Pedogênese e Mofogênese na Superfície de São José dos Ausentes (RS) no Quaternário Tardio: Evidências em Paleofundo de Vale na Bacia Hidrográfica do Rio dos Touros. Universidade Estadual do Oeste do Paraná. https://doi.org/DOI:</w:t>
      </w:r>
    </w:p>
    <w:p w14:paraId="508D82BD"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lastRenderedPageBreak/>
        <w:t>Pessenda, L.C.R., De Oliveira, P.E., Mofatto, M., de Medeiros, V.B., Francischetti Garcia, R.J., Aravena, R., Bendassoli, J.A., Zuniga Leite, A., Saad, A.R., Lincoln Etchebehere, M., 2009. The evolution of a tropical rainforest/grassland mosaic in southeastern Brazil since 28,000 14 C yr BP based on carbon isotopes and pollen records. Quat. Res. 71, 437–452. https://doi.org/10.1016/j.yqres.2009.01.008</w:t>
      </w:r>
    </w:p>
    <w:p w14:paraId="5FDD5FFB"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Pivel, M.A.G., Santarosa, A.C.A., Toledo, F.A.L., Costa, K.B., 2013. The Holocene onset in the southwestern South Atlantic. Palaeogeogr. Palaeoclimatol. Palaeoecol. 374, 164–172. https://doi.org/10.1016/j.palaeo.2013.01.014</w:t>
      </w:r>
    </w:p>
    <w:p w14:paraId="4AB7F96C"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Pivel, M.A.G., Toledo, F., Costa, K., 2010. Foraminiferal record of changes in summer monsoon precipitation at the Southeastern Brazilian continental margin since the Last Glacial Maximum. Rev. Bras. Paleontol. 13, 79–88. https://doi.org/10.4072/rbp.2010.2.01</w:t>
      </w:r>
    </w:p>
    <w:p w14:paraId="0EE88AE4"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Plumpton, H., Whitney, B., Mayle, F., 2019. Ecosystem turnover in palaeoecological records: The sensitivity of pollen and phytolith proxies to detecting vegetation change in southwestern Amazonia. The Holocene 29, 1720–1730. https://doi.org/10.1177/0959683619862021</w:t>
      </w:r>
    </w:p>
    <w:p w14:paraId="0A24FA77"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Porto, T.J., Carnaval, A.C., da Rocha, P.L.B., 2013. Evaluating forest refugial models using species distribution models, model filling and inclusion: A case study with 14 Brazilian species. Divers. Distrib. 19, 330–340. https://doi.org/10.1111/j.1472-4642.2012.00944.x</w:t>
      </w:r>
    </w:p>
    <w:p w14:paraId="47A94C18"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R Core Team, 2018. R: a Language and Environment for Statistical Computing.</w:t>
      </w:r>
    </w:p>
    <w:p w14:paraId="44D91CA5"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Raczka, M.F., Bush, M.B., De Oliveira, P.E., 2018. The collapse of megafaunal populations in southeastern Brazil. Quat. Res. 89, 103–118. https://doi.org/10.1017/qua.2017.60</w:t>
      </w:r>
    </w:p>
    <w:p w14:paraId="582CBD4F"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Raczka, M.F., De Oliveira, P.E., Bush, M., McMichael, C.H., 2013. Two paleoecological histories spanning the period of human settlement in southeastern Brazil. J. Quat. Sci. 28, 144–151. https://doi.org/10.1002/jqs.2597</w:t>
      </w:r>
    </w:p>
    <w:p w14:paraId="47675199"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Rezende, C.L., Scarano, F.R., Assad, E.D., Joly, C.A., Metzger, J.P., Strassburg, B.B.N., Tabarelli, M., Fonseca, G.A., Mittermeier, R.A., 2018. From hotspot to hopespot: An opportunity for the Brazilian Atlantic Forest. Perspect. Ecol. Conserv. 16, 208–214. https://doi.org/10.1016/j.pecon.2018.10.002</w:t>
      </w:r>
    </w:p>
    <w:p w14:paraId="61B22283"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Ribeiro, M.C., Metzger, J.P., Martensen, A.C., Ponzoni, F.J., Hirota, M.M., 2009. The Brazilian Atlantic Forest: How much is left, and how is the remaining forest distributed? Implications for conservation. Biol. Conserv. 142, 1141–1153. https://doi.org/10.1016/j.biocon.2009.02.021</w:t>
      </w:r>
    </w:p>
    <w:p w14:paraId="09E2E3D2"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 xml:space="preserve">Rick, T.C., Lockwood, R., 2013. Integrating Paleobiology, Archeology, and History to Inform Biological </w:t>
      </w:r>
      <w:r w:rsidRPr="003D6675">
        <w:rPr>
          <w:rFonts w:ascii="Calibri" w:hAnsi="Calibri" w:cs="Calibri"/>
          <w:noProof/>
          <w:szCs w:val="24"/>
        </w:rPr>
        <w:lastRenderedPageBreak/>
        <w:t>Conservation. Conserv. Biol. 27, 45–54. https://doi.org/10.1111/j.1523-1739.2012.01920.x</w:t>
      </w:r>
    </w:p>
    <w:p w14:paraId="604A95CD"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Robinson, M., De Souza, J.G., Maezumi, S.Y., Cárdenas, M., Pessenda, L., Prufer, K., Corteletti, R., Scunderlick, D., Mayle, F.E., De Blasis, P., Iriarte, J., 2018. Uncoupling human and climate drivers of late Holocene vegetation change in southern Brazil. Sci. Rep. 8, 7800. https://doi.org/10.1038/s41598-018-24429-5</w:t>
      </w:r>
    </w:p>
    <w:p w14:paraId="2861C140"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Rodríguez-Zorro, P.A., Ledru, M.-P., Bard, E., Aquino-Alfonso, O., Camejo, A., Daniau, A.-L., Favier, C., Garcia, M., Mineli, T.D., Rostek, F., Ricardi-Branco, F., Sawakuchi, A.O., Simon, Q., Tachikawa, K., Thouveny, N., 2020. Shut down of the South American summer monsoon during the penultimate glacial. Sci. Rep. 10, 6275. https://doi.org/10.1038/s41598-020-62888-x</w:t>
      </w:r>
    </w:p>
    <w:p w14:paraId="493F7DAE"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Rull, V., 2009. Microrefugia. J. Biogeogr. 36, 481–484. https://doi.org/10.1111/j.1365-2699.2008.02023.x</w:t>
      </w:r>
    </w:p>
    <w:p w14:paraId="23C5565A"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Scheer, M.B., Mocochinski, A.Y., Roderjan, C.V., 2011. Estrutura arbórea da Floresta Ombrófila Densa Altomontana de serras do Sul do Brasil. Acta Bot. Brasilica 25, 735–750. https://doi.org/10.1590/S0102-33062011000400002</w:t>
      </w:r>
    </w:p>
    <w:p w14:paraId="648E81E0"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Scherer, C., Lorscheitter, M.L., 2014. Vegetation dynamics in the southern Brazilian highlands during the last millennia and the role of bogs in Araucaria forest formation. Quat. Int. 325, 3–12. https://doi.org/10.1016/j.quaint.2014.01.010</w:t>
      </w:r>
    </w:p>
    <w:p w14:paraId="4A195DA5"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Schorn, L.A., Lingner, D.V., Vibrans, A.C., Gasper, A.L. de, Sevegnani, L., Sobral, M., Meyer, L., Klemz, G., Schmitt, R., Anastacio-Jr, C., Pasqualli, V.R., 2012. Estrutura do componente arbóreo/arbustivo da Floresta Estacional Decidual em Santa Catarina. Vol. II - Floresta Estac. Decidual II, 139–159.</w:t>
      </w:r>
    </w:p>
    <w:p w14:paraId="4A2A52AA"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Schorn, L.A., Meyer, L., Sevegnani, L., Vibrans, A.C., Vanessa, D., de Gasper, L.A.L., Uhlmann, A., Verdi, M., Stival-Santos, A., 2014. Fitossociologia de fragmentos de floresta estacional decidual no estado de Santa Catarina – Brasil. Cienc. Florest. 24, 821–831.</w:t>
      </w:r>
    </w:p>
    <w:p w14:paraId="54B227C9"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Schüler, L., Behling, H., 2011a. Characteristics of Poaceae pollen grains as a tool to assess palaeoecological grassland dynamics in South America. Veg. Hist. Archaeobot. 20, 97–108. https://doi.org/10.1007/s00334-010-0264-0</w:t>
      </w:r>
    </w:p>
    <w:p w14:paraId="51AD36AA"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Schüler, L., Behling, H., 2011b. Poaceae pollen grain size as a tool to distinguish past grasslands in South America: A new methodological approach. Veg. Hist. Archaeobot. 20, 83–96. https://doi.org/10.1007/s00334-010-0265-z</w:t>
      </w:r>
    </w:p>
    <w:p w14:paraId="7D170021"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 xml:space="preserve">Sevegnani, L., Uhlmann, A., Gasper, A.L. de, Meyer, L., Vibrans, A.C., 2016. Climate affects the </w:t>
      </w:r>
      <w:r w:rsidRPr="003D6675">
        <w:rPr>
          <w:rFonts w:ascii="Calibri" w:hAnsi="Calibri" w:cs="Calibri"/>
          <w:noProof/>
          <w:szCs w:val="24"/>
        </w:rPr>
        <w:lastRenderedPageBreak/>
        <w:t>structure of mixed rain forest in southern sector of Atlantic domain in Brazil. Acta Oecologica 77, 109–117. https://doi.org/10.1016/j.actao.2016.10.002</w:t>
      </w:r>
    </w:p>
    <w:p w14:paraId="766CF329"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Silva, D.W., 2018. Caracterização paleoclimática do Quaternário Tardio em áreas planálticas do Estado do Paraná. Universidade Estadual de Ponta Grossa.</w:t>
      </w:r>
    </w:p>
    <w:p w14:paraId="4CB971CA"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Silva, D.W. da, Camargo Filho, M., Parolin, M., Bertotti, L.G., 2016. Análise paleoambiental a partir dos principais morfotipos de fitólitos encontrados em sedimento turfoso na região de Guarapuava-Paraná. Ambiência 12. https://doi.org/10.5935/ambiencia.2016.01.01</w:t>
      </w:r>
    </w:p>
    <w:p w14:paraId="014F4301"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Silva, L.C.R., Anand, M., 2011. Mechanisms of Araucaria (Atlantic) Forest Expansion into Southern Brazilian Grasslands. Ecosystems 14, 1354–1371. https://doi.org/10.1007/s10021-011-9486-y</w:t>
      </w:r>
    </w:p>
    <w:p w14:paraId="58CA3110"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Smith, R.J., Mayle, F.E., 2017. Impact of mid- to late Holocene precipitation changes on vegetation across lowland tropical South America: a paleo-data synthesis. Quat. Res. 89, 1–22. https://doi.org/10.1017/qua.2017.89</w:t>
      </w:r>
    </w:p>
    <w:p w14:paraId="5FC91964"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Souza, C.M., Z. Shimbo, J., Rosa, M.R., Parente, L.L., A. Alencar, A., Rudorff, B.F.T., Hasenack, H., Matsumoto, M., G. Ferreira, L., Souza-Filho, P.W.M., de Oliveira, S.W., Rocha, W.F., Fonseca, A. V., Marques, C.B., Diniz, C.G., Costa, D., Monteiro, D., Rosa, E.R., Vélez-Martin, E., Weber, E.J., Lenti, F.E.B., Paternost, F.F., Pareyn, F.G.C., Siqueira, J. V., Viera, J.L., Neto, L.C.F., Saraiva, M.M., Sales, M.H., Salgado, M.P.G., Vasconcelos, R., Galano, S., Mesquita, V. V., Azevedo, T., 2020. Reconstructing Three Decades of Land Use and Land Cover Changes in Brazilian Biomes with Landsat Archive and Earth Engine. Remote Sens. 12, 2735. https://doi.org/10.3390/rs12172735</w:t>
      </w:r>
    </w:p>
    <w:p w14:paraId="40DFE9D2"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Stefenon, V.M., Behling, H., Gailing, O., Finkeldey, R., 2008. Evidences of delayed size recovery in Araucaria angustifolia populations after post-glacial colonization of highlands in Southeastern Brazil. An. Acad. Bras. Cienc. 80, 433–443. https://doi.org/10.1590/S0001-37652008000300005</w:t>
      </w:r>
    </w:p>
    <w:p w14:paraId="6919E49E"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Stefenon, V.M., Gailing, O., Finkeldey, R., 2007. Genetic structure of Araucaria angustifolia (Araucariaceae) populations in Brazil: Implications for the in situ conservation of genetic resources. Plant Biol. 9, 516–525. https://doi.org/10.1055/s-2007-964974</w:t>
      </w:r>
    </w:p>
    <w:p w14:paraId="21647E9B"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Stefenon, V.M., Klabunde, G., Lemos, R.P.M., Rogalski, M., Nodari, R.O., 2019. Phylogeography of plastid DNA sequences suggests post-glacial southward demographic expansion and the existence of several glacial refugia for Araucaria angustifolia. Sci. Rep. 9, 2752. https://doi.org/10.1038/s41598-019-39308-w</w:t>
      </w:r>
    </w:p>
    <w:p w14:paraId="2759C7CB"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 xml:space="preserve">Suggitt, A.J., Wilson, R.J., Isaac, N.J.B., Beale, C.M., Auffret, A.G., August, T., Bennie, J.J., Crick, H.Q.P., </w:t>
      </w:r>
      <w:r w:rsidRPr="003D6675">
        <w:rPr>
          <w:rFonts w:ascii="Calibri" w:hAnsi="Calibri" w:cs="Calibri"/>
          <w:noProof/>
          <w:szCs w:val="24"/>
        </w:rPr>
        <w:lastRenderedPageBreak/>
        <w:t>Duffield, S., Fox, R., Hopkins, J.J., Macgregor, N.A., Morecroft, M.D., Walker, K.J., Maclean, I.M.D., 2018. Extinction risk from climate change is reduced by microclimatic buffering. Nat. Clim. Chang. 8, 713–717. https://doi.org/10.1038/s41558-018-0231-9</w:t>
      </w:r>
    </w:p>
    <w:p w14:paraId="3A527529"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Sühs, R.B., Giehl, E.L.H., Peroni, N., 2020. Preventing traditional management can cause grassland loss within 30 years in southern Brazil. Sci. Rep. 10, 783. https://doi.org/10.1038/s41598-020-57564-z</w:t>
      </w:r>
    </w:p>
    <w:p w14:paraId="08658B80"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Svenning, J.-C., Fløjgaard, C., Marske, K.A., Nógues-Bravo, D., Normand, S., 2011. Applications of species distribution modeling to paleobiology. Quat. Sci. Rev. 30, 2930–2947. https://doi.org/10.1016/j.quascirev.2011.06.012</w:t>
      </w:r>
    </w:p>
    <w:p w14:paraId="3AA56CAA"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Thuiller, W., Georges, D., Engler, R., Breiner, F., 2016. biomod2: Ensemble Platform for Species Distribution Modeling.</w:t>
      </w:r>
    </w:p>
    <w:p w14:paraId="77469450"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Tierney, J.E., Poulsen, C.J., Montañez, I.P., Bhattacharya, T., Feng, R., Ford, H.L., Hönisch, B., Inglis, G.N., Petersen, S. V, Sagoo, N., Tabor, C.R., Thirumalai, K., Zhu, J., Burls, N.J., Foster, G.L., Goddéris, Y., Huber, B.T., Ivany, L.C., Turner, S.K., Lunt, D.J., Mcelwain, J.C., Mills, B.J.W., Otto-Bliesner, B.L., Ridgwell, A., Zhang, Y.G., 2020. Past climates inform our future. Science (80-. ). 370. https://doi.org/10.1126/science.aay3701</w:t>
      </w:r>
    </w:p>
    <w:p w14:paraId="69B4CA1B"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Toledo, F.A.L., Cachão, M., Costa, K.B., Pivel, M.A.G., 2007. Planktonic foraminifera, calcareous nannoplankton and ascidian variations during the last 25 kyr in the Southwestern Atlantic: A paleoproductivity signature? Mar. Micropaleontol. 64, 67–79. https://doi.org/10.1016/j.marmicro.2007.03.001</w:t>
      </w:r>
    </w:p>
    <w:p w14:paraId="57BA5030"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Uhlmann, A., Gasper, A.L. de, Sevegnani, L., Vibrans, A.C., Meyer, L., Lingner, D.V., 2012. Fitogeografia de Santa Catarina., in: Vibrans, A.C., Sevegnani, L., Gasper, A.L. de, Lingner, D.V. (Eds.), Inventário Florístico Florestal de Santa Catarina, Vol. I, Diversidade e Conservação Dos Remanescentes Florestais. Edifurb, Blumenau, pp. 113–123.</w:t>
      </w:r>
    </w:p>
    <w:p w14:paraId="21A32E3C"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Vibrans, A.C., De Gasper, A.L., Moser, P., Oliveira, L.Z., Lingner, D.V., Sevegnani, L., 2020. Insights from a large-scale inventory in the southern Brazilian Atlantic Forest. Sci. Agric. 77. https://doi.org/10.1590/1678-992x-2018-0036</w:t>
      </w:r>
    </w:p>
    <w:p w14:paraId="0C3183C0"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Vibrans, A.C., Sevegnani, L., Lingner, D.V., de Gasper, A.L., Sabbagh, S., 2010. Inventário florístico florestal de Santa Catarina (IFFSC): aspectos metodológicos e operacionais. Pesqui. Florest. Bras. 30, 291–302. https://doi.org/10.4336/2010.pfb.64.291</w:t>
      </w:r>
    </w:p>
    <w:p w14:paraId="629808F5"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 xml:space="preserve">Vitorino, L.C., Lima-Ribeiro, M.S., Terribile, L.C., Collevatti, R.G., 2016. Demographical history and </w:t>
      </w:r>
      <w:r w:rsidRPr="003D6675">
        <w:rPr>
          <w:rFonts w:ascii="Calibri" w:hAnsi="Calibri" w:cs="Calibri"/>
          <w:noProof/>
          <w:szCs w:val="24"/>
        </w:rPr>
        <w:lastRenderedPageBreak/>
        <w:t>palaeodistribution modelling show range shift towards Amazon Basin for a Neotropical tree species in the LGM. BMC Evol. Biol. 16, 213. https://doi.org/10.1186/s12862-016-0779-9</w:t>
      </w:r>
    </w:p>
    <w:p w14:paraId="7D9C7F49"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Weatherall, P., Marks, K.M., Jakobsson, M., Schmitt, T., Tani, S., Arndt, J.E., Rovere, M., Chayes, D., Ferrini, V., Wigley, R., 2015. A new digital bathymetric model of the world’s oceans. Earth Sp. Sci. 2, 331–345. https://doi.org/10.1002/2015EA000107</w:t>
      </w:r>
    </w:p>
    <w:p w14:paraId="77CBFD04"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Whitney, B.S., Mayle, F.E., Punyasena, S.W., Fitzpatrick, K.A., Burn, M.J., Guillen, R., Chavez, E., Mann, D., Pennington, R.T., Metcalfe, S.E., 2011. A 45kyr palaeoclimate record from the lowland interior of tropical South America. Palaeogeogr. Palaeoclimatol. Palaeoecol. 307, 177–192. https://doi.org/10.1016/j.palaeo.2011.05.012</w:t>
      </w:r>
    </w:p>
    <w:p w14:paraId="67B67910"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Williams, J.W., Jackson, S.T., 2007. Novel climates, no-analog communities, and ecological surprises. Front. Ecol. Environ. 5, 475–482. https://doi.org/10.1890/070037</w:t>
      </w:r>
    </w:p>
    <w:p w14:paraId="5E4F4955"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Williams, J.W., Shuman, B.N., Webb, T., Bartlein, P.J., Leduc, P.L., 2004. Late-Quaternary vegetation dynamics in North America: Scaling from taxa to biomes. Ecol. Monogr. 74, 309–334. https://doi.org/10.1890/02-4045</w:t>
      </w:r>
    </w:p>
    <w:p w14:paraId="22BD18A6"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Willis, K.J., Bailey, R.M., Bhagwat, S.A., Birks, H.J.B., 2010. Biodiversity baselines, thresholds and resilience: Testing predictions and assumptions using palaeoecological data. Trends Ecol. Evol. 25, 583–591. https://doi.org/10.1016/j.tree.2010.07.006</w:t>
      </w:r>
    </w:p>
    <w:p w14:paraId="4B6758D1"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Wilson, O.J., Walters, R.J., Mayle, F.E., Lingner, D. V., Vibrans, A.C., 2019. Cold spot microrefugia hold the key to survival for Brazil’s Critically Endangered Araucaria tree. Glob. Chang. Biol. 25, 4339–4351. https://doi.org/10.1111/gcb.14755</w:t>
      </w:r>
    </w:p>
    <w:p w14:paraId="56C732D3"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Yin, L., Fu, R., Shevliakova, E., Dickinson, R.E., 2013. How well can CMIP5 simulate precipitation and its controlling processes over tropical South America? Clim. Dyn. 41, 3127–3143. https://doi.org/10.1007/s00382-012-1582-y</w:t>
      </w:r>
    </w:p>
    <w:p w14:paraId="32F5ADE2"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Zech, M., Zech, R., Morrás, H., Moretti, L., Glaser, B., Zech, W., 2009. Late Quaternary environmental changes in Misiones, subtropical NE Argentina, deduced from multi-proxy geochemical analyses in a palaeosol-sediment sequence. Quat. Int. 196, 121–136. https://doi.org/10.1016/j.quaint.2008.06.006</w:t>
      </w:r>
    </w:p>
    <w:p w14:paraId="161C79CA"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szCs w:val="24"/>
        </w:rPr>
      </w:pPr>
      <w:r w:rsidRPr="003D6675">
        <w:rPr>
          <w:rFonts w:ascii="Calibri" w:hAnsi="Calibri" w:cs="Calibri"/>
          <w:noProof/>
          <w:szCs w:val="24"/>
        </w:rPr>
        <w:t>Zwiener, V.P., Lira-Noriega, A., Grady, C.J., Padial, A.A., Vitule, J.R.S., 2018. Climate change as a driver of biotic homogenization of woody plants in the Atlantic Forest. Glob. Ecol. Biogeogr. 27, 298–309. https://doi.org/10.1111/geb.12695</w:t>
      </w:r>
    </w:p>
    <w:p w14:paraId="5D79072F" w14:textId="77777777" w:rsidR="003D6675" w:rsidRPr="003D6675" w:rsidRDefault="003D6675" w:rsidP="003D6675">
      <w:pPr>
        <w:widowControl w:val="0"/>
        <w:autoSpaceDE w:val="0"/>
        <w:autoSpaceDN w:val="0"/>
        <w:adjustRightInd w:val="0"/>
        <w:spacing w:line="360" w:lineRule="auto"/>
        <w:ind w:left="480" w:hanging="480"/>
        <w:rPr>
          <w:rFonts w:ascii="Calibri" w:hAnsi="Calibri" w:cs="Calibri"/>
          <w:noProof/>
        </w:rPr>
      </w:pPr>
      <w:r w:rsidRPr="003D6675">
        <w:rPr>
          <w:rFonts w:ascii="Calibri" w:hAnsi="Calibri" w:cs="Calibri"/>
          <w:noProof/>
          <w:szCs w:val="24"/>
        </w:rPr>
        <w:t xml:space="preserve">Zwiener, V.P., Padial, A.A., Marques, M.C.M., Faleiro, F. V., Loyola, R., Peterson, A.T., 2017. Planning </w:t>
      </w:r>
      <w:r w:rsidRPr="003D6675">
        <w:rPr>
          <w:rFonts w:ascii="Calibri" w:hAnsi="Calibri" w:cs="Calibri"/>
          <w:noProof/>
          <w:szCs w:val="24"/>
        </w:rPr>
        <w:lastRenderedPageBreak/>
        <w:t>for conservation and restoration under climate and land use change in the Brazilian Atlantic Forest. Divers. Distrib. 23, 955–966. https://doi.org/10.1111/ddi.12588</w:t>
      </w:r>
    </w:p>
    <w:p w14:paraId="10DB56B4" w14:textId="58A2B059" w:rsidR="00E6074C" w:rsidRPr="00E6074C" w:rsidRDefault="00E6074C" w:rsidP="00F74804">
      <w:pPr>
        <w:spacing w:line="360" w:lineRule="auto"/>
      </w:pPr>
      <w:r>
        <w:fldChar w:fldCharType="end"/>
      </w:r>
    </w:p>
    <w:sectPr w:rsidR="00E6074C" w:rsidRPr="00E6074C" w:rsidSect="00F459B3">
      <w:pgSz w:w="11906" w:h="16838"/>
      <w:pgMar w:top="1440" w:right="1440" w:bottom="1440" w:left="1440" w:header="708" w:footer="708" w:gutter="0"/>
      <w:lnNumType w:countBy="1" w:restart="continuou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91B28"/>
    <w:multiLevelType w:val="hybridMultilevel"/>
    <w:tmpl w:val="29B45232"/>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51F369B"/>
    <w:multiLevelType w:val="multilevel"/>
    <w:tmpl w:val="D4346D3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264A15B9"/>
    <w:multiLevelType w:val="hybridMultilevel"/>
    <w:tmpl w:val="1082A0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DFC4916"/>
    <w:multiLevelType w:val="hybridMultilevel"/>
    <w:tmpl w:val="1C8CAC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6E73F43"/>
    <w:multiLevelType w:val="hybridMultilevel"/>
    <w:tmpl w:val="690EBA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7AE199A"/>
    <w:multiLevelType w:val="hybridMultilevel"/>
    <w:tmpl w:val="DE3AE2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4"/>
  </w:num>
  <w:num w:numId="3">
    <w:abstractNumId w:val="2"/>
  </w:num>
  <w:num w:numId="4">
    <w:abstractNumId w:val="0"/>
  </w:num>
  <w:num w:numId="5">
    <w:abstractNumId w:val="1"/>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103E"/>
    <w:rsid w:val="000013C9"/>
    <w:rsid w:val="000014BB"/>
    <w:rsid w:val="00001540"/>
    <w:rsid w:val="000020BC"/>
    <w:rsid w:val="00002A9B"/>
    <w:rsid w:val="00002FA1"/>
    <w:rsid w:val="000032C4"/>
    <w:rsid w:val="000032E6"/>
    <w:rsid w:val="0000335D"/>
    <w:rsid w:val="0000413A"/>
    <w:rsid w:val="000043B4"/>
    <w:rsid w:val="00004511"/>
    <w:rsid w:val="00004789"/>
    <w:rsid w:val="000049DC"/>
    <w:rsid w:val="00004A41"/>
    <w:rsid w:val="00004D70"/>
    <w:rsid w:val="00004E32"/>
    <w:rsid w:val="000054B5"/>
    <w:rsid w:val="00005A45"/>
    <w:rsid w:val="000061E2"/>
    <w:rsid w:val="000078A8"/>
    <w:rsid w:val="00007EA8"/>
    <w:rsid w:val="00007EB8"/>
    <w:rsid w:val="00010911"/>
    <w:rsid w:val="00010B2A"/>
    <w:rsid w:val="00012C4C"/>
    <w:rsid w:val="00012FCF"/>
    <w:rsid w:val="000144F3"/>
    <w:rsid w:val="00014D6F"/>
    <w:rsid w:val="000152E6"/>
    <w:rsid w:val="000169BD"/>
    <w:rsid w:val="00016A3D"/>
    <w:rsid w:val="000174D0"/>
    <w:rsid w:val="0001792B"/>
    <w:rsid w:val="00017FC2"/>
    <w:rsid w:val="00020719"/>
    <w:rsid w:val="00020A93"/>
    <w:rsid w:val="00022488"/>
    <w:rsid w:val="000228AF"/>
    <w:rsid w:val="00023245"/>
    <w:rsid w:val="00024396"/>
    <w:rsid w:val="0002456C"/>
    <w:rsid w:val="00024623"/>
    <w:rsid w:val="000247F8"/>
    <w:rsid w:val="00025308"/>
    <w:rsid w:val="0002547A"/>
    <w:rsid w:val="0002559B"/>
    <w:rsid w:val="000256A1"/>
    <w:rsid w:val="0002611A"/>
    <w:rsid w:val="00026191"/>
    <w:rsid w:val="0002661F"/>
    <w:rsid w:val="00026A0C"/>
    <w:rsid w:val="00026A45"/>
    <w:rsid w:val="00026C1E"/>
    <w:rsid w:val="00027359"/>
    <w:rsid w:val="0002779E"/>
    <w:rsid w:val="00027AB1"/>
    <w:rsid w:val="00030AC1"/>
    <w:rsid w:val="00030CDF"/>
    <w:rsid w:val="0003119A"/>
    <w:rsid w:val="00031261"/>
    <w:rsid w:val="00031FA0"/>
    <w:rsid w:val="00032B8F"/>
    <w:rsid w:val="00032CD9"/>
    <w:rsid w:val="00032EC2"/>
    <w:rsid w:val="00033220"/>
    <w:rsid w:val="00033248"/>
    <w:rsid w:val="00033DAE"/>
    <w:rsid w:val="0003420A"/>
    <w:rsid w:val="0003518F"/>
    <w:rsid w:val="00036323"/>
    <w:rsid w:val="000369B7"/>
    <w:rsid w:val="00036CD0"/>
    <w:rsid w:val="00036F50"/>
    <w:rsid w:val="000376A8"/>
    <w:rsid w:val="00037EDE"/>
    <w:rsid w:val="00037F6A"/>
    <w:rsid w:val="0004011D"/>
    <w:rsid w:val="0004158E"/>
    <w:rsid w:val="000415C2"/>
    <w:rsid w:val="00041AA4"/>
    <w:rsid w:val="00041C95"/>
    <w:rsid w:val="00042DC7"/>
    <w:rsid w:val="000432EE"/>
    <w:rsid w:val="000435F6"/>
    <w:rsid w:val="0004361A"/>
    <w:rsid w:val="00043845"/>
    <w:rsid w:val="00043D31"/>
    <w:rsid w:val="000442E5"/>
    <w:rsid w:val="000443DD"/>
    <w:rsid w:val="00044B7C"/>
    <w:rsid w:val="000451C7"/>
    <w:rsid w:val="00047459"/>
    <w:rsid w:val="0004752B"/>
    <w:rsid w:val="00047584"/>
    <w:rsid w:val="0004787A"/>
    <w:rsid w:val="00047BFF"/>
    <w:rsid w:val="00047D19"/>
    <w:rsid w:val="00050281"/>
    <w:rsid w:val="00050712"/>
    <w:rsid w:val="00050961"/>
    <w:rsid w:val="00050F96"/>
    <w:rsid w:val="00052062"/>
    <w:rsid w:val="00052322"/>
    <w:rsid w:val="00052C2A"/>
    <w:rsid w:val="00053157"/>
    <w:rsid w:val="00053206"/>
    <w:rsid w:val="000537D4"/>
    <w:rsid w:val="00053B42"/>
    <w:rsid w:val="00053EFC"/>
    <w:rsid w:val="0005463F"/>
    <w:rsid w:val="000547CD"/>
    <w:rsid w:val="000548AA"/>
    <w:rsid w:val="00054D64"/>
    <w:rsid w:val="00055398"/>
    <w:rsid w:val="0005563F"/>
    <w:rsid w:val="00055F96"/>
    <w:rsid w:val="00055F9D"/>
    <w:rsid w:val="00056162"/>
    <w:rsid w:val="000564A8"/>
    <w:rsid w:val="00056788"/>
    <w:rsid w:val="00056842"/>
    <w:rsid w:val="00056F7E"/>
    <w:rsid w:val="0005707A"/>
    <w:rsid w:val="000571CD"/>
    <w:rsid w:val="00060413"/>
    <w:rsid w:val="00060A5E"/>
    <w:rsid w:val="00060B32"/>
    <w:rsid w:val="00060D3E"/>
    <w:rsid w:val="00061077"/>
    <w:rsid w:val="00061785"/>
    <w:rsid w:val="00061F55"/>
    <w:rsid w:val="00061FF8"/>
    <w:rsid w:val="000624F6"/>
    <w:rsid w:val="000631E5"/>
    <w:rsid w:val="00063816"/>
    <w:rsid w:val="00064132"/>
    <w:rsid w:val="00064B4A"/>
    <w:rsid w:val="00064BB9"/>
    <w:rsid w:val="0006521B"/>
    <w:rsid w:val="0006526F"/>
    <w:rsid w:val="00065636"/>
    <w:rsid w:val="000659D5"/>
    <w:rsid w:val="0006605B"/>
    <w:rsid w:val="000661C2"/>
    <w:rsid w:val="000671DD"/>
    <w:rsid w:val="00067E7A"/>
    <w:rsid w:val="00070199"/>
    <w:rsid w:val="0007038D"/>
    <w:rsid w:val="00070CF4"/>
    <w:rsid w:val="00070E52"/>
    <w:rsid w:val="0007108C"/>
    <w:rsid w:val="000710E3"/>
    <w:rsid w:val="0007167C"/>
    <w:rsid w:val="00072D99"/>
    <w:rsid w:val="00073B57"/>
    <w:rsid w:val="00074A5B"/>
    <w:rsid w:val="0007536D"/>
    <w:rsid w:val="000759B3"/>
    <w:rsid w:val="00075BAA"/>
    <w:rsid w:val="00075CA2"/>
    <w:rsid w:val="00075FFB"/>
    <w:rsid w:val="00076113"/>
    <w:rsid w:val="00076480"/>
    <w:rsid w:val="00076A4F"/>
    <w:rsid w:val="00076C92"/>
    <w:rsid w:val="00077C8E"/>
    <w:rsid w:val="00077CC4"/>
    <w:rsid w:val="0008033E"/>
    <w:rsid w:val="0008085F"/>
    <w:rsid w:val="000808AA"/>
    <w:rsid w:val="00080D03"/>
    <w:rsid w:val="000815EF"/>
    <w:rsid w:val="00081B3B"/>
    <w:rsid w:val="00081D7C"/>
    <w:rsid w:val="0008222D"/>
    <w:rsid w:val="00082645"/>
    <w:rsid w:val="00082F15"/>
    <w:rsid w:val="00083430"/>
    <w:rsid w:val="000834A6"/>
    <w:rsid w:val="00083651"/>
    <w:rsid w:val="000843A0"/>
    <w:rsid w:val="00084538"/>
    <w:rsid w:val="00084616"/>
    <w:rsid w:val="00085F23"/>
    <w:rsid w:val="00086FBA"/>
    <w:rsid w:val="00087E2A"/>
    <w:rsid w:val="00090072"/>
    <w:rsid w:val="000901EC"/>
    <w:rsid w:val="0009035B"/>
    <w:rsid w:val="00090CC2"/>
    <w:rsid w:val="00090E6E"/>
    <w:rsid w:val="00091084"/>
    <w:rsid w:val="00091376"/>
    <w:rsid w:val="0009139F"/>
    <w:rsid w:val="000916FB"/>
    <w:rsid w:val="0009212F"/>
    <w:rsid w:val="0009268F"/>
    <w:rsid w:val="0009279B"/>
    <w:rsid w:val="000928EF"/>
    <w:rsid w:val="00092BF8"/>
    <w:rsid w:val="00092CEA"/>
    <w:rsid w:val="00093068"/>
    <w:rsid w:val="0009396E"/>
    <w:rsid w:val="00093A21"/>
    <w:rsid w:val="0009402D"/>
    <w:rsid w:val="00095070"/>
    <w:rsid w:val="00095083"/>
    <w:rsid w:val="00095181"/>
    <w:rsid w:val="00095496"/>
    <w:rsid w:val="000959F4"/>
    <w:rsid w:val="00095DBD"/>
    <w:rsid w:val="00096717"/>
    <w:rsid w:val="00097167"/>
    <w:rsid w:val="00097375"/>
    <w:rsid w:val="00097C45"/>
    <w:rsid w:val="00097DB8"/>
    <w:rsid w:val="000A0071"/>
    <w:rsid w:val="000A03F5"/>
    <w:rsid w:val="000A081F"/>
    <w:rsid w:val="000A0881"/>
    <w:rsid w:val="000A0961"/>
    <w:rsid w:val="000A0DFD"/>
    <w:rsid w:val="000A0F35"/>
    <w:rsid w:val="000A12B4"/>
    <w:rsid w:val="000A1933"/>
    <w:rsid w:val="000A21D3"/>
    <w:rsid w:val="000A2D80"/>
    <w:rsid w:val="000A2DDA"/>
    <w:rsid w:val="000A35A5"/>
    <w:rsid w:val="000A3637"/>
    <w:rsid w:val="000A379E"/>
    <w:rsid w:val="000A37A9"/>
    <w:rsid w:val="000A40DA"/>
    <w:rsid w:val="000A4B86"/>
    <w:rsid w:val="000A52BC"/>
    <w:rsid w:val="000A53B3"/>
    <w:rsid w:val="000A58E3"/>
    <w:rsid w:val="000A68A9"/>
    <w:rsid w:val="000A6BA8"/>
    <w:rsid w:val="000A6D93"/>
    <w:rsid w:val="000A6E2C"/>
    <w:rsid w:val="000A77F6"/>
    <w:rsid w:val="000A7B11"/>
    <w:rsid w:val="000A7CAD"/>
    <w:rsid w:val="000B00F7"/>
    <w:rsid w:val="000B0165"/>
    <w:rsid w:val="000B01FD"/>
    <w:rsid w:val="000B0456"/>
    <w:rsid w:val="000B0F0E"/>
    <w:rsid w:val="000B12E5"/>
    <w:rsid w:val="000B1467"/>
    <w:rsid w:val="000B1558"/>
    <w:rsid w:val="000B26B4"/>
    <w:rsid w:val="000B2981"/>
    <w:rsid w:val="000B2B1C"/>
    <w:rsid w:val="000B3138"/>
    <w:rsid w:val="000B3498"/>
    <w:rsid w:val="000B35D3"/>
    <w:rsid w:val="000B361D"/>
    <w:rsid w:val="000B373A"/>
    <w:rsid w:val="000B3B54"/>
    <w:rsid w:val="000B3C7F"/>
    <w:rsid w:val="000B4386"/>
    <w:rsid w:val="000B464B"/>
    <w:rsid w:val="000B4688"/>
    <w:rsid w:val="000B482E"/>
    <w:rsid w:val="000B4D9A"/>
    <w:rsid w:val="000B5583"/>
    <w:rsid w:val="000B55F0"/>
    <w:rsid w:val="000B57FC"/>
    <w:rsid w:val="000B580F"/>
    <w:rsid w:val="000B5BCB"/>
    <w:rsid w:val="000B5FF5"/>
    <w:rsid w:val="000B693D"/>
    <w:rsid w:val="000B6D53"/>
    <w:rsid w:val="000B6ED2"/>
    <w:rsid w:val="000B75F0"/>
    <w:rsid w:val="000B7984"/>
    <w:rsid w:val="000B7B84"/>
    <w:rsid w:val="000B7C4B"/>
    <w:rsid w:val="000C06BB"/>
    <w:rsid w:val="000C0E11"/>
    <w:rsid w:val="000C14D2"/>
    <w:rsid w:val="000C17CE"/>
    <w:rsid w:val="000C1C70"/>
    <w:rsid w:val="000C24EA"/>
    <w:rsid w:val="000C2A45"/>
    <w:rsid w:val="000C38B6"/>
    <w:rsid w:val="000C4099"/>
    <w:rsid w:val="000C424F"/>
    <w:rsid w:val="000C5381"/>
    <w:rsid w:val="000C5BF1"/>
    <w:rsid w:val="000C664D"/>
    <w:rsid w:val="000C6BD5"/>
    <w:rsid w:val="000C770F"/>
    <w:rsid w:val="000C7A57"/>
    <w:rsid w:val="000D0456"/>
    <w:rsid w:val="000D096F"/>
    <w:rsid w:val="000D0B22"/>
    <w:rsid w:val="000D0E7A"/>
    <w:rsid w:val="000D169A"/>
    <w:rsid w:val="000D17A2"/>
    <w:rsid w:val="000D1C48"/>
    <w:rsid w:val="000D1E76"/>
    <w:rsid w:val="000D218E"/>
    <w:rsid w:val="000D2771"/>
    <w:rsid w:val="000D27B4"/>
    <w:rsid w:val="000D3753"/>
    <w:rsid w:val="000D3B69"/>
    <w:rsid w:val="000D47CF"/>
    <w:rsid w:val="000D4BB3"/>
    <w:rsid w:val="000D5200"/>
    <w:rsid w:val="000D592C"/>
    <w:rsid w:val="000D5D8B"/>
    <w:rsid w:val="000D620C"/>
    <w:rsid w:val="000D66BE"/>
    <w:rsid w:val="000D6B5C"/>
    <w:rsid w:val="000D6F80"/>
    <w:rsid w:val="000D734B"/>
    <w:rsid w:val="000D7403"/>
    <w:rsid w:val="000D7464"/>
    <w:rsid w:val="000D74FE"/>
    <w:rsid w:val="000E0394"/>
    <w:rsid w:val="000E14F6"/>
    <w:rsid w:val="000E1853"/>
    <w:rsid w:val="000E2096"/>
    <w:rsid w:val="000E25B2"/>
    <w:rsid w:val="000E2B9B"/>
    <w:rsid w:val="000E2D04"/>
    <w:rsid w:val="000E2ED2"/>
    <w:rsid w:val="000E31E8"/>
    <w:rsid w:val="000E326B"/>
    <w:rsid w:val="000E34E1"/>
    <w:rsid w:val="000E34F7"/>
    <w:rsid w:val="000E380D"/>
    <w:rsid w:val="000E38E7"/>
    <w:rsid w:val="000E392F"/>
    <w:rsid w:val="000E3E32"/>
    <w:rsid w:val="000E45BB"/>
    <w:rsid w:val="000E4B26"/>
    <w:rsid w:val="000E4DC6"/>
    <w:rsid w:val="000E50C4"/>
    <w:rsid w:val="000E5464"/>
    <w:rsid w:val="000E565A"/>
    <w:rsid w:val="000E587C"/>
    <w:rsid w:val="000E5B14"/>
    <w:rsid w:val="000E5CCC"/>
    <w:rsid w:val="000E5D86"/>
    <w:rsid w:val="000E65FC"/>
    <w:rsid w:val="000E6A41"/>
    <w:rsid w:val="000E71A5"/>
    <w:rsid w:val="000E72D2"/>
    <w:rsid w:val="000E73B5"/>
    <w:rsid w:val="000E7417"/>
    <w:rsid w:val="000E7B23"/>
    <w:rsid w:val="000E7CBB"/>
    <w:rsid w:val="000E7E2E"/>
    <w:rsid w:val="000E7FE5"/>
    <w:rsid w:val="000F034A"/>
    <w:rsid w:val="000F0A3E"/>
    <w:rsid w:val="000F0F98"/>
    <w:rsid w:val="000F1395"/>
    <w:rsid w:val="000F2140"/>
    <w:rsid w:val="000F21FE"/>
    <w:rsid w:val="000F24A5"/>
    <w:rsid w:val="000F273B"/>
    <w:rsid w:val="000F2DC0"/>
    <w:rsid w:val="000F3274"/>
    <w:rsid w:val="000F3338"/>
    <w:rsid w:val="000F3592"/>
    <w:rsid w:val="000F3D81"/>
    <w:rsid w:val="000F3DDD"/>
    <w:rsid w:val="000F44D0"/>
    <w:rsid w:val="000F4547"/>
    <w:rsid w:val="000F485F"/>
    <w:rsid w:val="000F4E97"/>
    <w:rsid w:val="000F5028"/>
    <w:rsid w:val="000F50A8"/>
    <w:rsid w:val="000F5450"/>
    <w:rsid w:val="000F5FFC"/>
    <w:rsid w:val="000F6490"/>
    <w:rsid w:val="000F6D5A"/>
    <w:rsid w:val="000F7882"/>
    <w:rsid w:val="000F7B2B"/>
    <w:rsid w:val="001009C0"/>
    <w:rsid w:val="001012B6"/>
    <w:rsid w:val="0010139D"/>
    <w:rsid w:val="0010170C"/>
    <w:rsid w:val="00101727"/>
    <w:rsid w:val="00101A13"/>
    <w:rsid w:val="00101ED6"/>
    <w:rsid w:val="00102158"/>
    <w:rsid w:val="001024DE"/>
    <w:rsid w:val="0010288C"/>
    <w:rsid w:val="00102C4E"/>
    <w:rsid w:val="00103732"/>
    <w:rsid w:val="001037B8"/>
    <w:rsid w:val="001038C5"/>
    <w:rsid w:val="001043D4"/>
    <w:rsid w:val="00104DDD"/>
    <w:rsid w:val="00104E08"/>
    <w:rsid w:val="00105267"/>
    <w:rsid w:val="00105B6C"/>
    <w:rsid w:val="00105D6E"/>
    <w:rsid w:val="001062B1"/>
    <w:rsid w:val="00106A80"/>
    <w:rsid w:val="00106AB2"/>
    <w:rsid w:val="00106B75"/>
    <w:rsid w:val="00106F65"/>
    <w:rsid w:val="001072C2"/>
    <w:rsid w:val="00107934"/>
    <w:rsid w:val="00107A0A"/>
    <w:rsid w:val="00107AAF"/>
    <w:rsid w:val="00107D5E"/>
    <w:rsid w:val="00110A63"/>
    <w:rsid w:val="001111AB"/>
    <w:rsid w:val="0011151A"/>
    <w:rsid w:val="001120C2"/>
    <w:rsid w:val="001124B3"/>
    <w:rsid w:val="001127A2"/>
    <w:rsid w:val="00112A17"/>
    <w:rsid w:val="00112A28"/>
    <w:rsid w:val="0011330A"/>
    <w:rsid w:val="00113399"/>
    <w:rsid w:val="0011344C"/>
    <w:rsid w:val="0011392D"/>
    <w:rsid w:val="00113D99"/>
    <w:rsid w:val="001141B3"/>
    <w:rsid w:val="0011438B"/>
    <w:rsid w:val="00114AA1"/>
    <w:rsid w:val="00114DF4"/>
    <w:rsid w:val="001150CC"/>
    <w:rsid w:val="001150FF"/>
    <w:rsid w:val="00115478"/>
    <w:rsid w:val="0011603A"/>
    <w:rsid w:val="00116615"/>
    <w:rsid w:val="00116C0B"/>
    <w:rsid w:val="00116C49"/>
    <w:rsid w:val="001170A8"/>
    <w:rsid w:val="0011738D"/>
    <w:rsid w:val="001176CB"/>
    <w:rsid w:val="00117817"/>
    <w:rsid w:val="0012022F"/>
    <w:rsid w:val="00120254"/>
    <w:rsid w:val="001205C0"/>
    <w:rsid w:val="00120918"/>
    <w:rsid w:val="00120BBE"/>
    <w:rsid w:val="00121318"/>
    <w:rsid w:val="0012137C"/>
    <w:rsid w:val="00121AC0"/>
    <w:rsid w:val="00122260"/>
    <w:rsid w:val="0012264A"/>
    <w:rsid w:val="001227D4"/>
    <w:rsid w:val="001229E0"/>
    <w:rsid w:val="00122AAA"/>
    <w:rsid w:val="00122C1C"/>
    <w:rsid w:val="00122D37"/>
    <w:rsid w:val="001233B4"/>
    <w:rsid w:val="0012355C"/>
    <w:rsid w:val="0012385D"/>
    <w:rsid w:val="00123EFC"/>
    <w:rsid w:val="001243AA"/>
    <w:rsid w:val="00124451"/>
    <w:rsid w:val="001245B1"/>
    <w:rsid w:val="001249E4"/>
    <w:rsid w:val="00126029"/>
    <w:rsid w:val="0012623C"/>
    <w:rsid w:val="00126577"/>
    <w:rsid w:val="001300D0"/>
    <w:rsid w:val="00130656"/>
    <w:rsid w:val="00130B47"/>
    <w:rsid w:val="0013101C"/>
    <w:rsid w:val="001311E4"/>
    <w:rsid w:val="00131243"/>
    <w:rsid w:val="0013125C"/>
    <w:rsid w:val="001316BE"/>
    <w:rsid w:val="00131764"/>
    <w:rsid w:val="00131CAB"/>
    <w:rsid w:val="00131E72"/>
    <w:rsid w:val="00132CFA"/>
    <w:rsid w:val="00132F0C"/>
    <w:rsid w:val="00133034"/>
    <w:rsid w:val="00133A38"/>
    <w:rsid w:val="00133D17"/>
    <w:rsid w:val="0013421D"/>
    <w:rsid w:val="00134AEF"/>
    <w:rsid w:val="00135482"/>
    <w:rsid w:val="00135488"/>
    <w:rsid w:val="0013552D"/>
    <w:rsid w:val="00136139"/>
    <w:rsid w:val="00136D2C"/>
    <w:rsid w:val="00136D32"/>
    <w:rsid w:val="00137A3B"/>
    <w:rsid w:val="00137E06"/>
    <w:rsid w:val="001403A4"/>
    <w:rsid w:val="0014087C"/>
    <w:rsid w:val="00140A72"/>
    <w:rsid w:val="00141183"/>
    <w:rsid w:val="0014120C"/>
    <w:rsid w:val="00141874"/>
    <w:rsid w:val="00141B78"/>
    <w:rsid w:val="00141F25"/>
    <w:rsid w:val="001422E0"/>
    <w:rsid w:val="001422F6"/>
    <w:rsid w:val="001423D5"/>
    <w:rsid w:val="001427C5"/>
    <w:rsid w:val="001429C1"/>
    <w:rsid w:val="00142B11"/>
    <w:rsid w:val="00142BEB"/>
    <w:rsid w:val="001431AA"/>
    <w:rsid w:val="00143C7B"/>
    <w:rsid w:val="00143CD5"/>
    <w:rsid w:val="00145067"/>
    <w:rsid w:val="001451C9"/>
    <w:rsid w:val="00145CC0"/>
    <w:rsid w:val="001461E6"/>
    <w:rsid w:val="0014692A"/>
    <w:rsid w:val="00147B5F"/>
    <w:rsid w:val="001509DD"/>
    <w:rsid w:val="00150E5C"/>
    <w:rsid w:val="00151102"/>
    <w:rsid w:val="0015174D"/>
    <w:rsid w:val="00151C09"/>
    <w:rsid w:val="00151E87"/>
    <w:rsid w:val="001522A8"/>
    <w:rsid w:val="00152A72"/>
    <w:rsid w:val="00152E06"/>
    <w:rsid w:val="00152EBE"/>
    <w:rsid w:val="001531B3"/>
    <w:rsid w:val="001537E4"/>
    <w:rsid w:val="00153F9E"/>
    <w:rsid w:val="0015426D"/>
    <w:rsid w:val="001548E7"/>
    <w:rsid w:val="001549C5"/>
    <w:rsid w:val="00155CE2"/>
    <w:rsid w:val="001560FC"/>
    <w:rsid w:val="00156285"/>
    <w:rsid w:val="0015634F"/>
    <w:rsid w:val="0015646B"/>
    <w:rsid w:val="00156538"/>
    <w:rsid w:val="00156E80"/>
    <w:rsid w:val="001577B8"/>
    <w:rsid w:val="00157A5D"/>
    <w:rsid w:val="00157A8E"/>
    <w:rsid w:val="00160AEA"/>
    <w:rsid w:val="00160B5B"/>
    <w:rsid w:val="00160CDE"/>
    <w:rsid w:val="0016155C"/>
    <w:rsid w:val="00161587"/>
    <w:rsid w:val="0016175E"/>
    <w:rsid w:val="00161B77"/>
    <w:rsid w:val="0016231B"/>
    <w:rsid w:val="00162B2C"/>
    <w:rsid w:val="00162BA5"/>
    <w:rsid w:val="0016331B"/>
    <w:rsid w:val="00163E53"/>
    <w:rsid w:val="00164260"/>
    <w:rsid w:val="001645E8"/>
    <w:rsid w:val="00165DC8"/>
    <w:rsid w:val="00165E13"/>
    <w:rsid w:val="00165FF9"/>
    <w:rsid w:val="00166189"/>
    <w:rsid w:val="00166880"/>
    <w:rsid w:val="00166BAC"/>
    <w:rsid w:val="00166ED4"/>
    <w:rsid w:val="0016735A"/>
    <w:rsid w:val="0016756C"/>
    <w:rsid w:val="00170137"/>
    <w:rsid w:val="0017091F"/>
    <w:rsid w:val="00170D6C"/>
    <w:rsid w:val="00170F3F"/>
    <w:rsid w:val="00171CB5"/>
    <w:rsid w:val="00171EE2"/>
    <w:rsid w:val="0017232E"/>
    <w:rsid w:val="0017242F"/>
    <w:rsid w:val="0017350B"/>
    <w:rsid w:val="0017377E"/>
    <w:rsid w:val="0017385D"/>
    <w:rsid w:val="001741AA"/>
    <w:rsid w:val="00174548"/>
    <w:rsid w:val="00174CE8"/>
    <w:rsid w:val="00175660"/>
    <w:rsid w:val="00175B3F"/>
    <w:rsid w:val="001762CD"/>
    <w:rsid w:val="00176C28"/>
    <w:rsid w:val="00176D53"/>
    <w:rsid w:val="0017728D"/>
    <w:rsid w:val="00177941"/>
    <w:rsid w:val="00180121"/>
    <w:rsid w:val="001805C9"/>
    <w:rsid w:val="00180E36"/>
    <w:rsid w:val="00181625"/>
    <w:rsid w:val="001818ED"/>
    <w:rsid w:val="00182A78"/>
    <w:rsid w:val="00182C01"/>
    <w:rsid w:val="00182C3D"/>
    <w:rsid w:val="00182EC5"/>
    <w:rsid w:val="001839CC"/>
    <w:rsid w:val="00184D32"/>
    <w:rsid w:val="001852FA"/>
    <w:rsid w:val="001855FA"/>
    <w:rsid w:val="00185715"/>
    <w:rsid w:val="00185852"/>
    <w:rsid w:val="0018595B"/>
    <w:rsid w:val="00185B4D"/>
    <w:rsid w:val="001867C6"/>
    <w:rsid w:val="00186D2A"/>
    <w:rsid w:val="0019017D"/>
    <w:rsid w:val="0019036A"/>
    <w:rsid w:val="0019040B"/>
    <w:rsid w:val="001904DB"/>
    <w:rsid w:val="00190EC3"/>
    <w:rsid w:val="00191B65"/>
    <w:rsid w:val="00191B90"/>
    <w:rsid w:val="001926E1"/>
    <w:rsid w:val="001926F4"/>
    <w:rsid w:val="00193BC7"/>
    <w:rsid w:val="00194B52"/>
    <w:rsid w:val="00195C67"/>
    <w:rsid w:val="00195EDD"/>
    <w:rsid w:val="00195F03"/>
    <w:rsid w:val="00195FEC"/>
    <w:rsid w:val="001964AC"/>
    <w:rsid w:val="0019654B"/>
    <w:rsid w:val="00196D3A"/>
    <w:rsid w:val="00196D50"/>
    <w:rsid w:val="001978F7"/>
    <w:rsid w:val="00197CB1"/>
    <w:rsid w:val="00197DB6"/>
    <w:rsid w:val="001A0187"/>
    <w:rsid w:val="001A0247"/>
    <w:rsid w:val="001A0D9D"/>
    <w:rsid w:val="001A0E08"/>
    <w:rsid w:val="001A1EC1"/>
    <w:rsid w:val="001A1F30"/>
    <w:rsid w:val="001A27EB"/>
    <w:rsid w:val="001A3856"/>
    <w:rsid w:val="001A3861"/>
    <w:rsid w:val="001A3920"/>
    <w:rsid w:val="001A42AD"/>
    <w:rsid w:val="001A4315"/>
    <w:rsid w:val="001A4525"/>
    <w:rsid w:val="001A4601"/>
    <w:rsid w:val="001A49B3"/>
    <w:rsid w:val="001A4DB1"/>
    <w:rsid w:val="001A52DE"/>
    <w:rsid w:val="001A53E7"/>
    <w:rsid w:val="001A54CD"/>
    <w:rsid w:val="001A5788"/>
    <w:rsid w:val="001A5BE2"/>
    <w:rsid w:val="001A5F9C"/>
    <w:rsid w:val="001A6A0F"/>
    <w:rsid w:val="001A6B9B"/>
    <w:rsid w:val="001A6EC8"/>
    <w:rsid w:val="001A7045"/>
    <w:rsid w:val="001A734A"/>
    <w:rsid w:val="001B0092"/>
    <w:rsid w:val="001B08F1"/>
    <w:rsid w:val="001B103E"/>
    <w:rsid w:val="001B1114"/>
    <w:rsid w:val="001B174A"/>
    <w:rsid w:val="001B1BA4"/>
    <w:rsid w:val="001B2055"/>
    <w:rsid w:val="001B248A"/>
    <w:rsid w:val="001B271A"/>
    <w:rsid w:val="001B2F08"/>
    <w:rsid w:val="001B31A4"/>
    <w:rsid w:val="001B3965"/>
    <w:rsid w:val="001B3B14"/>
    <w:rsid w:val="001B3BA8"/>
    <w:rsid w:val="001B436B"/>
    <w:rsid w:val="001B4B6B"/>
    <w:rsid w:val="001B4CF3"/>
    <w:rsid w:val="001B4E81"/>
    <w:rsid w:val="001B4EF0"/>
    <w:rsid w:val="001B4F22"/>
    <w:rsid w:val="001B5526"/>
    <w:rsid w:val="001B5FD5"/>
    <w:rsid w:val="001B69A8"/>
    <w:rsid w:val="001B6BFA"/>
    <w:rsid w:val="001B729B"/>
    <w:rsid w:val="001B7354"/>
    <w:rsid w:val="001B7836"/>
    <w:rsid w:val="001B797E"/>
    <w:rsid w:val="001B7C0E"/>
    <w:rsid w:val="001C1705"/>
    <w:rsid w:val="001C1923"/>
    <w:rsid w:val="001C1A6F"/>
    <w:rsid w:val="001C1C08"/>
    <w:rsid w:val="001C1C75"/>
    <w:rsid w:val="001C2151"/>
    <w:rsid w:val="001C2526"/>
    <w:rsid w:val="001C2946"/>
    <w:rsid w:val="001C34ED"/>
    <w:rsid w:val="001C3F84"/>
    <w:rsid w:val="001C41E4"/>
    <w:rsid w:val="001C459A"/>
    <w:rsid w:val="001C4773"/>
    <w:rsid w:val="001C47FB"/>
    <w:rsid w:val="001C583E"/>
    <w:rsid w:val="001C5EC9"/>
    <w:rsid w:val="001C5FB9"/>
    <w:rsid w:val="001C643C"/>
    <w:rsid w:val="001C69BD"/>
    <w:rsid w:val="001C6D7E"/>
    <w:rsid w:val="001C6E25"/>
    <w:rsid w:val="001C72D4"/>
    <w:rsid w:val="001C7501"/>
    <w:rsid w:val="001C78F3"/>
    <w:rsid w:val="001C7A43"/>
    <w:rsid w:val="001D0E08"/>
    <w:rsid w:val="001D0F35"/>
    <w:rsid w:val="001D1456"/>
    <w:rsid w:val="001D1FF1"/>
    <w:rsid w:val="001D2100"/>
    <w:rsid w:val="001D2DA0"/>
    <w:rsid w:val="001D2FAA"/>
    <w:rsid w:val="001D30D8"/>
    <w:rsid w:val="001D311B"/>
    <w:rsid w:val="001D3511"/>
    <w:rsid w:val="001D3685"/>
    <w:rsid w:val="001D376E"/>
    <w:rsid w:val="001D37A5"/>
    <w:rsid w:val="001D4025"/>
    <w:rsid w:val="001D432A"/>
    <w:rsid w:val="001D45BE"/>
    <w:rsid w:val="001D4C72"/>
    <w:rsid w:val="001D4DB7"/>
    <w:rsid w:val="001D4F47"/>
    <w:rsid w:val="001D6DEA"/>
    <w:rsid w:val="001D6F2B"/>
    <w:rsid w:val="001D75EB"/>
    <w:rsid w:val="001D75F6"/>
    <w:rsid w:val="001D7611"/>
    <w:rsid w:val="001D7656"/>
    <w:rsid w:val="001D7CD0"/>
    <w:rsid w:val="001D7E3E"/>
    <w:rsid w:val="001D7F5B"/>
    <w:rsid w:val="001E043A"/>
    <w:rsid w:val="001E0EA8"/>
    <w:rsid w:val="001E1564"/>
    <w:rsid w:val="001E1E04"/>
    <w:rsid w:val="001E1E4D"/>
    <w:rsid w:val="001E1F15"/>
    <w:rsid w:val="001E21D6"/>
    <w:rsid w:val="001E26C5"/>
    <w:rsid w:val="001E3260"/>
    <w:rsid w:val="001E3618"/>
    <w:rsid w:val="001E362A"/>
    <w:rsid w:val="001E3E28"/>
    <w:rsid w:val="001E4011"/>
    <w:rsid w:val="001E43C3"/>
    <w:rsid w:val="001E440D"/>
    <w:rsid w:val="001E640D"/>
    <w:rsid w:val="001E697A"/>
    <w:rsid w:val="001E71F3"/>
    <w:rsid w:val="001E731A"/>
    <w:rsid w:val="001E77DD"/>
    <w:rsid w:val="001E79AC"/>
    <w:rsid w:val="001E7BB7"/>
    <w:rsid w:val="001E7D5B"/>
    <w:rsid w:val="001F0FD3"/>
    <w:rsid w:val="001F1468"/>
    <w:rsid w:val="001F1827"/>
    <w:rsid w:val="001F1CF4"/>
    <w:rsid w:val="001F2114"/>
    <w:rsid w:val="001F236F"/>
    <w:rsid w:val="001F2E17"/>
    <w:rsid w:val="001F2FF8"/>
    <w:rsid w:val="001F34F9"/>
    <w:rsid w:val="001F4014"/>
    <w:rsid w:val="001F41D6"/>
    <w:rsid w:val="001F4394"/>
    <w:rsid w:val="001F4D39"/>
    <w:rsid w:val="001F4F79"/>
    <w:rsid w:val="001F54BF"/>
    <w:rsid w:val="001F571D"/>
    <w:rsid w:val="001F5798"/>
    <w:rsid w:val="001F5E06"/>
    <w:rsid w:val="001F5E6A"/>
    <w:rsid w:val="001F6031"/>
    <w:rsid w:val="001F6052"/>
    <w:rsid w:val="001F6733"/>
    <w:rsid w:val="001F6762"/>
    <w:rsid w:val="001F6EBD"/>
    <w:rsid w:val="001F72C9"/>
    <w:rsid w:val="001F74C3"/>
    <w:rsid w:val="001F789A"/>
    <w:rsid w:val="002001CD"/>
    <w:rsid w:val="00200D7D"/>
    <w:rsid w:val="00202303"/>
    <w:rsid w:val="00202A02"/>
    <w:rsid w:val="00202A15"/>
    <w:rsid w:val="00202E23"/>
    <w:rsid w:val="00203365"/>
    <w:rsid w:val="00203D86"/>
    <w:rsid w:val="00204525"/>
    <w:rsid w:val="002048CF"/>
    <w:rsid w:val="00204956"/>
    <w:rsid w:val="00204957"/>
    <w:rsid w:val="002070AE"/>
    <w:rsid w:val="00207611"/>
    <w:rsid w:val="00207B13"/>
    <w:rsid w:val="00207B6F"/>
    <w:rsid w:val="00207E90"/>
    <w:rsid w:val="002101A6"/>
    <w:rsid w:val="002101E9"/>
    <w:rsid w:val="002115EB"/>
    <w:rsid w:val="00211876"/>
    <w:rsid w:val="00212750"/>
    <w:rsid w:val="00212F41"/>
    <w:rsid w:val="00212FAA"/>
    <w:rsid w:val="0021332F"/>
    <w:rsid w:val="002134DD"/>
    <w:rsid w:val="0021364F"/>
    <w:rsid w:val="00213966"/>
    <w:rsid w:val="0021490C"/>
    <w:rsid w:val="00214D30"/>
    <w:rsid w:val="002152A7"/>
    <w:rsid w:val="00215C6E"/>
    <w:rsid w:val="002168CA"/>
    <w:rsid w:val="00216D5F"/>
    <w:rsid w:val="00216E8F"/>
    <w:rsid w:val="002170D6"/>
    <w:rsid w:val="002176B3"/>
    <w:rsid w:val="00217775"/>
    <w:rsid w:val="00217D78"/>
    <w:rsid w:val="00220760"/>
    <w:rsid w:val="00220CC8"/>
    <w:rsid w:val="00222110"/>
    <w:rsid w:val="002227CA"/>
    <w:rsid w:val="00222B5E"/>
    <w:rsid w:val="0022304E"/>
    <w:rsid w:val="00224539"/>
    <w:rsid w:val="00224A27"/>
    <w:rsid w:val="00225242"/>
    <w:rsid w:val="00225413"/>
    <w:rsid w:val="00225601"/>
    <w:rsid w:val="002256BF"/>
    <w:rsid w:val="00225C7D"/>
    <w:rsid w:val="0022653F"/>
    <w:rsid w:val="0022655B"/>
    <w:rsid w:val="00227A64"/>
    <w:rsid w:val="00230317"/>
    <w:rsid w:val="002306B4"/>
    <w:rsid w:val="00230A4F"/>
    <w:rsid w:val="00230D65"/>
    <w:rsid w:val="00230D7A"/>
    <w:rsid w:val="002315BE"/>
    <w:rsid w:val="00233979"/>
    <w:rsid w:val="002339F8"/>
    <w:rsid w:val="00233C23"/>
    <w:rsid w:val="00233C81"/>
    <w:rsid w:val="00234077"/>
    <w:rsid w:val="0023450B"/>
    <w:rsid w:val="00234FF1"/>
    <w:rsid w:val="00235161"/>
    <w:rsid w:val="00235560"/>
    <w:rsid w:val="002356EF"/>
    <w:rsid w:val="00236284"/>
    <w:rsid w:val="0023630A"/>
    <w:rsid w:val="0023693A"/>
    <w:rsid w:val="00236C8B"/>
    <w:rsid w:val="00236D63"/>
    <w:rsid w:val="002371A3"/>
    <w:rsid w:val="00237402"/>
    <w:rsid w:val="00237674"/>
    <w:rsid w:val="00237DC0"/>
    <w:rsid w:val="0024059D"/>
    <w:rsid w:val="00241692"/>
    <w:rsid w:val="00241B54"/>
    <w:rsid w:val="00241D5B"/>
    <w:rsid w:val="00242066"/>
    <w:rsid w:val="002422B9"/>
    <w:rsid w:val="002428D1"/>
    <w:rsid w:val="002431B5"/>
    <w:rsid w:val="0024369A"/>
    <w:rsid w:val="002436F4"/>
    <w:rsid w:val="002438AE"/>
    <w:rsid w:val="00243B23"/>
    <w:rsid w:val="00243CA9"/>
    <w:rsid w:val="00243E1F"/>
    <w:rsid w:val="00244236"/>
    <w:rsid w:val="0024426D"/>
    <w:rsid w:val="00244358"/>
    <w:rsid w:val="00244486"/>
    <w:rsid w:val="002446D4"/>
    <w:rsid w:val="002448B7"/>
    <w:rsid w:val="0024543C"/>
    <w:rsid w:val="00245AC3"/>
    <w:rsid w:val="00245B39"/>
    <w:rsid w:val="00245DF0"/>
    <w:rsid w:val="00246575"/>
    <w:rsid w:val="00246585"/>
    <w:rsid w:val="00246ABF"/>
    <w:rsid w:val="00246B15"/>
    <w:rsid w:val="00246EB2"/>
    <w:rsid w:val="00247421"/>
    <w:rsid w:val="00247BB1"/>
    <w:rsid w:val="00247E86"/>
    <w:rsid w:val="00250396"/>
    <w:rsid w:val="00250514"/>
    <w:rsid w:val="002507CE"/>
    <w:rsid w:val="00250843"/>
    <w:rsid w:val="00251693"/>
    <w:rsid w:val="002519A2"/>
    <w:rsid w:val="00251A77"/>
    <w:rsid w:val="00251EAF"/>
    <w:rsid w:val="002522BC"/>
    <w:rsid w:val="00252876"/>
    <w:rsid w:val="00252A67"/>
    <w:rsid w:val="00252B34"/>
    <w:rsid w:val="0025352D"/>
    <w:rsid w:val="00253A68"/>
    <w:rsid w:val="00253E02"/>
    <w:rsid w:val="00254359"/>
    <w:rsid w:val="00255657"/>
    <w:rsid w:val="0025566E"/>
    <w:rsid w:val="00256219"/>
    <w:rsid w:val="002564EB"/>
    <w:rsid w:val="00257F19"/>
    <w:rsid w:val="00260985"/>
    <w:rsid w:val="002619E0"/>
    <w:rsid w:val="00262334"/>
    <w:rsid w:val="00262CF5"/>
    <w:rsid w:val="00263168"/>
    <w:rsid w:val="002632AA"/>
    <w:rsid w:val="00264267"/>
    <w:rsid w:val="00264290"/>
    <w:rsid w:val="00264503"/>
    <w:rsid w:val="0026458B"/>
    <w:rsid w:val="002651AE"/>
    <w:rsid w:val="002669DC"/>
    <w:rsid w:val="00266D8F"/>
    <w:rsid w:val="00267889"/>
    <w:rsid w:val="00267978"/>
    <w:rsid w:val="0027013C"/>
    <w:rsid w:val="00270E17"/>
    <w:rsid w:val="00271052"/>
    <w:rsid w:val="0027116B"/>
    <w:rsid w:val="00271820"/>
    <w:rsid w:val="00272D2D"/>
    <w:rsid w:val="00272DCF"/>
    <w:rsid w:val="00273587"/>
    <w:rsid w:val="00273768"/>
    <w:rsid w:val="00273B9B"/>
    <w:rsid w:val="00273CE5"/>
    <w:rsid w:val="00273D5B"/>
    <w:rsid w:val="00273D6E"/>
    <w:rsid w:val="002748AE"/>
    <w:rsid w:val="00274954"/>
    <w:rsid w:val="00274C71"/>
    <w:rsid w:val="00275138"/>
    <w:rsid w:val="00275353"/>
    <w:rsid w:val="002754FE"/>
    <w:rsid w:val="002755A9"/>
    <w:rsid w:val="00275696"/>
    <w:rsid w:val="0027575B"/>
    <w:rsid w:val="00276A5D"/>
    <w:rsid w:val="00276D08"/>
    <w:rsid w:val="002778A1"/>
    <w:rsid w:val="002778B1"/>
    <w:rsid w:val="00277978"/>
    <w:rsid w:val="0027799F"/>
    <w:rsid w:val="00277AC4"/>
    <w:rsid w:val="00277B05"/>
    <w:rsid w:val="00277C7E"/>
    <w:rsid w:val="00277F2D"/>
    <w:rsid w:val="00280055"/>
    <w:rsid w:val="002802EB"/>
    <w:rsid w:val="0028040B"/>
    <w:rsid w:val="00280DA4"/>
    <w:rsid w:val="00281016"/>
    <w:rsid w:val="00281AEB"/>
    <w:rsid w:val="002833DA"/>
    <w:rsid w:val="002834F6"/>
    <w:rsid w:val="00283E75"/>
    <w:rsid w:val="0028403D"/>
    <w:rsid w:val="002841A3"/>
    <w:rsid w:val="00284A85"/>
    <w:rsid w:val="00284BED"/>
    <w:rsid w:val="00284DFD"/>
    <w:rsid w:val="00285617"/>
    <w:rsid w:val="00285C96"/>
    <w:rsid w:val="00286495"/>
    <w:rsid w:val="00287202"/>
    <w:rsid w:val="00287234"/>
    <w:rsid w:val="0029007D"/>
    <w:rsid w:val="002902C6"/>
    <w:rsid w:val="002909B5"/>
    <w:rsid w:val="00290D70"/>
    <w:rsid w:val="00290D71"/>
    <w:rsid w:val="002911CC"/>
    <w:rsid w:val="0029173D"/>
    <w:rsid w:val="0029182A"/>
    <w:rsid w:val="00291CD0"/>
    <w:rsid w:val="00291EF7"/>
    <w:rsid w:val="00291F89"/>
    <w:rsid w:val="00292715"/>
    <w:rsid w:val="002937D6"/>
    <w:rsid w:val="00293E7C"/>
    <w:rsid w:val="002957E1"/>
    <w:rsid w:val="00295AA6"/>
    <w:rsid w:val="002963C5"/>
    <w:rsid w:val="00296596"/>
    <w:rsid w:val="002965E4"/>
    <w:rsid w:val="002970DD"/>
    <w:rsid w:val="002971C4"/>
    <w:rsid w:val="002971F3"/>
    <w:rsid w:val="00297202"/>
    <w:rsid w:val="00297311"/>
    <w:rsid w:val="002978A1"/>
    <w:rsid w:val="002A02A1"/>
    <w:rsid w:val="002A04AF"/>
    <w:rsid w:val="002A096F"/>
    <w:rsid w:val="002A14D8"/>
    <w:rsid w:val="002A1559"/>
    <w:rsid w:val="002A1DE3"/>
    <w:rsid w:val="002A1F13"/>
    <w:rsid w:val="002A2A16"/>
    <w:rsid w:val="002A30C4"/>
    <w:rsid w:val="002A3390"/>
    <w:rsid w:val="002A3445"/>
    <w:rsid w:val="002A3C18"/>
    <w:rsid w:val="002A3D55"/>
    <w:rsid w:val="002A4AAE"/>
    <w:rsid w:val="002A4CF1"/>
    <w:rsid w:val="002A5E6A"/>
    <w:rsid w:val="002A65EA"/>
    <w:rsid w:val="002A66F9"/>
    <w:rsid w:val="002A6A18"/>
    <w:rsid w:val="002A6EDE"/>
    <w:rsid w:val="002A7196"/>
    <w:rsid w:val="002A7250"/>
    <w:rsid w:val="002A73D8"/>
    <w:rsid w:val="002A741C"/>
    <w:rsid w:val="002A741F"/>
    <w:rsid w:val="002A7C9D"/>
    <w:rsid w:val="002A7E4D"/>
    <w:rsid w:val="002B0330"/>
    <w:rsid w:val="002B0590"/>
    <w:rsid w:val="002B0762"/>
    <w:rsid w:val="002B09AC"/>
    <w:rsid w:val="002B17A8"/>
    <w:rsid w:val="002B2469"/>
    <w:rsid w:val="002B268A"/>
    <w:rsid w:val="002B2A60"/>
    <w:rsid w:val="002B2BEF"/>
    <w:rsid w:val="002B2C47"/>
    <w:rsid w:val="002B3788"/>
    <w:rsid w:val="002B4631"/>
    <w:rsid w:val="002B5017"/>
    <w:rsid w:val="002B59C7"/>
    <w:rsid w:val="002B601C"/>
    <w:rsid w:val="002B688F"/>
    <w:rsid w:val="002B71BE"/>
    <w:rsid w:val="002B7CF2"/>
    <w:rsid w:val="002C026F"/>
    <w:rsid w:val="002C03F7"/>
    <w:rsid w:val="002C231B"/>
    <w:rsid w:val="002C27BD"/>
    <w:rsid w:val="002C302E"/>
    <w:rsid w:val="002C3101"/>
    <w:rsid w:val="002C3729"/>
    <w:rsid w:val="002C3ECA"/>
    <w:rsid w:val="002C42AA"/>
    <w:rsid w:val="002C4441"/>
    <w:rsid w:val="002C4657"/>
    <w:rsid w:val="002C5137"/>
    <w:rsid w:val="002C5195"/>
    <w:rsid w:val="002C521E"/>
    <w:rsid w:val="002C665D"/>
    <w:rsid w:val="002C6922"/>
    <w:rsid w:val="002C730E"/>
    <w:rsid w:val="002C7563"/>
    <w:rsid w:val="002C75AC"/>
    <w:rsid w:val="002C7B6B"/>
    <w:rsid w:val="002D08C4"/>
    <w:rsid w:val="002D1B0B"/>
    <w:rsid w:val="002D20DF"/>
    <w:rsid w:val="002D29A2"/>
    <w:rsid w:val="002D2D3A"/>
    <w:rsid w:val="002D3CB9"/>
    <w:rsid w:val="002D3D58"/>
    <w:rsid w:val="002D44AD"/>
    <w:rsid w:val="002D46BC"/>
    <w:rsid w:val="002D50E1"/>
    <w:rsid w:val="002D543B"/>
    <w:rsid w:val="002D54BE"/>
    <w:rsid w:val="002D5614"/>
    <w:rsid w:val="002D5646"/>
    <w:rsid w:val="002D57F3"/>
    <w:rsid w:val="002D5885"/>
    <w:rsid w:val="002D59B5"/>
    <w:rsid w:val="002D647F"/>
    <w:rsid w:val="002D68B5"/>
    <w:rsid w:val="002D6973"/>
    <w:rsid w:val="002D6BBC"/>
    <w:rsid w:val="002D74C9"/>
    <w:rsid w:val="002D778F"/>
    <w:rsid w:val="002E0562"/>
    <w:rsid w:val="002E0798"/>
    <w:rsid w:val="002E0A26"/>
    <w:rsid w:val="002E0E95"/>
    <w:rsid w:val="002E18F3"/>
    <w:rsid w:val="002E1ABD"/>
    <w:rsid w:val="002E1BF3"/>
    <w:rsid w:val="002E21D8"/>
    <w:rsid w:val="002E2624"/>
    <w:rsid w:val="002E34A3"/>
    <w:rsid w:val="002E3AFD"/>
    <w:rsid w:val="002E3D46"/>
    <w:rsid w:val="002E3DF1"/>
    <w:rsid w:val="002E3E71"/>
    <w:rsid w:val="002E4077"/>
    <w:rsid w:val="002E40E4"/>
    <w:rsid w:val="002E4A05"/>
    <w:rsid w:val="002E5508"/>
    <w:rsid w:val="002E5589"/>
    <w:rsid w:val="002E58C4"/>
    <w:rsid w:val="002E5AB6"/>
    <w:rsid w:val="002E5AC8"/>
    <w:rsid w:val="002E5D7B"/>
    <w:rsid w:val="002E6009"/>
    <w:rsid w:val="002E69F2"/>
    <w:rsid w:val="002E6A0D"/>
    <w:rsid w:val="002E6E82"/>
    <w:rsid w:val="002E7154"/>
    <w:rsid w:val="002E78D8"/>
    <w:rsid w:val="002F0240"/>
    <w:rsid w:val="002F04C5"/>
    <w:rsid w:val="002F04FC"/>
    <w:rsid w:val="002F0DF2"/>
    <w:rsid w:val="002F18A4"/>
    <w:rsid w:val="002F1DDB"/>
    <w:rsid w:val="002F275D"/>
    <w:rsid w:val="002F2A66"/>
    <w:rsid w:val="002F2CE8"/>
    <w:rsid w:val="002F321B"/>
    <w:rsid w:val="002F367B"/>
    <w:rsid w:val="002F3718"/>
    <w:rsid w:val="002F37E1"/>
    <w:rsid w:val="002F394A"/>
    <w:rsid w:val="002F3C70"/>
    <w:rsid w:val="002F3E8C"/>
    <w:rsid w:val="002F4056"/>
    <w:rsid w:val="002F4143"/>
    <w:rsid w:val="002F4A02"/>
    <w:rsid w:val="002F4E89"/>
    <w:rsid w:val="002F52C6"/>
    <w:rsid w:val="002F558E"/>
    <w:rsid w:val="002F683A"/>
    <w:rsid w:val="002F6ABD"/>
    <w:rsid w:val="002F6E6C"/>
    <w:rsid w:val="002F6FD6"/>
    <w:rsid w:val="002F7343"/>
    <w:rsid w:val="002F74BC"/>
    <w:rsid w:val="002F7712"/>
    <w:rsid w:val="002F7BBE"/>
    <w:rsid w:val="003000E0"/>
    <w:rsid w:val="003006CE"/>
    <w:rsid w:val="00300BAE"/>
    <w:rsid w:val="00301139"/>
    <w:rsid w:val="003012E0"/>
    <w:rsid w:val="003022C5"/>
    <w:rsid w:val="0030292F"/>
    <w:rsid w:val="0030312F"/>
    <w:rsid w:val="0030340A"/>
    <w:rsid w:val="003037C3"/>
    <w:rsid w:val="003037EB"/>
    <w:rsid w:val="0030434E"/>
    <w:rsid w:val="003059A1"/>
    <w:rsid w:val="003060B7"/>
    <w:rsid w:val="003060EB"/>
    <w:rsid w:val="00306A89"/>
    <w:rsid w:val="00307116"/>
    <w:rsid w:val="00307971"/>
    <w:rsid w:val="00307ECB"/>
    <w:rsid w:val="00307FDB"/>
    <w:rsid w:val="00310538"/>
    <w:rsid w:val="003109D8"/>
    <w:rsid w:val="00311141"/>
    <w:rsid w:val="00311168"/>
    <w:rsid w:val="003116CA"/>
    <w:rsid w:val="00311907"/>
    <w:rsid w:val="00311A90"/>
    <w:rsid w:val="00311B20"/>
    <w:rsid w:val="003126DA"/>
    <w:rsid w:val="0031309E"/>
    <w:rsid w:val="003134AD"/>
    <w:rsid w:val="00313BA6"/>
    <w:rsid w:val="00313D86"/>
    <w:rsid w:val="0031400E"/>
    <w:rsid w:val="0031423D"/>
    <w:rsid w:val="00314D33"/>
    <w:rsid w:val="0031612F"/>
    <w:rsid w:val="0031707D"/>
    <w:rsid w:val="0032018D"/>
    <w:rsid w:val="00320E2E"/>
    <w:rsid w:val="00321227"/>
    <w:rsid w:val="003212F9"/>
    <w:rsid w:val="00321474"/>
    <w:rsid w:val="00321778"/>
    <w:rsid w:val="0032199A"/>
    <w:rsid w:val="0032276A"/>
    <w:rsid w:val="00322887"/>
    <w:rsid w:val="00322C42"/>
    <w:rsid w:val="00322EE2"/>
    <w:rsid w:val="00322F53"/>
    <w:rsid w:val="003236EB"/>
    <w:rsid w:val="00323DFC"/>
    <w:rsid w:val="00324ACC"/>
    <w:rsid w:val="00325642"/>
    <w:rsid w:val="0032583B"/>
    <w:rsid w:val="00325BF1"/>
    <w:rsid w:val="00325D35"/>
    <w:rsid w:val="003268B9"/>
    <w:rsid w:val="003273CA"/>
    <w:rsid w:val="0032776E"/>
    <w:rsid w:val="003277B6"/>
    <w:rsid w:val="00327D56"/>
    <w:rsid w:val="003309AA"/>
    <w:rsid w:val="00330DE1"/>
    <w:rsid w:val="00330EED"/>
    <w:rsid w:val="00331FF5"/>
    <w:rsid w:val="00332369"/>
    <w:rsid w:val="00332671"/>
    <w:rsid w:val="00332738"/>
    <w:rsid w:val="00332D6C"/>
    <w:rsid w:val="00332DCE"/>
    <w:rsid w:val="00333281"/>
    <w:rsid w:val="003335E1"/>
    <w:rsid w:val="003339BD"/>
    <w:rsid w:val="003345AF"/>
    <w:rsid w:val="00334BFA"/>
    <w:rsid w:val="00334D6F"/>
    <w:rsid w:val="00335123"/>
    <w:rsid w:val="00335AEC"/>
    <w:rsid w:val="00335B6F"/>
    <w:rsid w:val="00337794"/>
    <w:rsid w:val="0033799B"/>
    <w:rsid w:val="0034004F"/>
    <w:rsid w:val="00340586"/>
    <w:rsid w:val="003405AE"/>
    <w:rsid w:val="00340B06"/>
    <w:rsid w:val="00340F39"/>
    <w:rsid w:val="00341479"/>
    <w:rsid w:val="00341DB9"/>
    <w:rsid w:val="003427EF"/>
    <w:rsid w:val="00343E39"/>
    <w:rsid w:val="0034424F"/>
    <w:rsid w:val="003445C3"/>
    <w:rsid w:val="00344BC6"/>
    <w:rsid w:val="00344D13"/>
    <w:rsid w:val="00344D84"/>
    <w:rsid w:val="003450AE"/>
    <w:rsid w:val="003451D5"/>
    <w:rsid w:val="00345642"/>
    <w:rsid w:val="003459A1"/>
    <w:rsid w:val="00345FC8"/>
    <w:rsid w:val="003466C7"/>
    <w:rsid w:val="0034672A"/>
    <w:rsid w:val="00346C04"/>
    <w:rsid w:val="00347698"/>
    <w:rsid w:val="00347998"/>
    <w:rsid w:val="00347F19"/>
    <w:rsid w:val="003506CE"/>
    <w:rsid w:val="00350AC3"/>
    <w:rsid w:val="00350CB2"/>
    <w:rsid w:val="00351092"/>
    <w:rsid w:val="00351C01"/>
    <w:rsid w:val="00353D70"/>
    <w:rsid w:val="00353E50"/>
    <w:rsid w:val="00354299"/>
    <w:rsid w:val="003544CB"/>
    <w:rsid w:val="00354538"/>
    <w:rsid w:val="00354A06"/>
    <w:rsid w:val="00354A5C"/>
    <w:rsid w:val="00355176"/>
    <w:rsid w:val="0035541C"/>
    <w:rsid w:val="00355910"/>
    <w:rsid w:val="00355A8A"/>
    <w:rsid w:val="00355BDB"/>
    <w:rsid w:val="00356239"/>
    <w:rsid w:val="00356263"/>
    <w:rsid w:val="003566D0"/>
    <w:rsid w:val="0035683F"/>
    <w:rsid w:val="00356C46"/>
    <w:rsid w:val="003575FB"/>
    <w:rsid w:val="00360401"/>
    <w:rsid w:val="00360614"/>
    <w:rsid w:val="00360D98"/>
    <w:rsid w:val="00360E32"/>
    <w:rsid w:val="00360EB8"/>
    <w:rsid w:val="00361293"/>
    <w:rsid w:val="00361658"/>
    <w:rsid w:val="00361723"/>
    <w:rsid w:val="0036246C"/>
    <w:rsid w:val="00363315"/>
    <w:rsid w:val="00363C13"/>
    <w:rsid w:val="00363DA8"/>
    <w:rsid w:val="00363E0C"/>
    <w:rsid w:val="00364DDD"/>
    <w:rsid w:val="00364EB7"/>
    <w:rsid w:val="003650EF"/>
    <w:rsid w:val="00365293"/>
    <w:rsid w:val="003653E9"/>
    <w:rsid w:val="00365466"/>
    <w:rsid w:val="003656F6"/>
    <w:rsid w:val="00365B61"/>
    <w:rsid w:val="0036612B"/>
    <w:rsid w:val="00366470"/>
    <w:rsid w:val="00366633"/>
    <w:rsid w:val="00366937"/>
    <w:rsid w:val="00366BB1"/>
    <w:rsid w:val="00366C93"/>
    <w:rsid w:val="00366FE3"/>
    <w:rsid w:val="003677BC"/>
    <w:rsid w:val="00367891"/>
    <w:rsid w:val="00367D1F"/>
    <w:rsid w:val="003705B7"/>
    <w:rsid w:val="00370E4F"/>
    <w:rsid w:val="003715D7"/>
    <w:rsid w:val="00371818"/>
    <w:rsid w:val="00371D2B"/>
    <w:rsid w:val="00372505"/>
    <w:rsid w:val="00372B75"/>
    <w:rsid w:val="00372D99"/>
    <w:rsid w:val="00373307"/>
    <w:rsid w:val="0037348F"/>
    <w:rsid w:val="003735D1"/>
    <w:rsid w:val="00373933"/>
    <w:rsid w:val="00373DA8"/>
    <w:rsid w:val="00373FD6"/>
    <w:rsid w:val="003743B1"/>
    <w:rsid w:val="003745FD"/>
    <w:rsid w:val="00374800"/>
    <w:rsid w:val="00375668"/>
    <w:rsid w:val="003758F0"/>
    <w:rsid w:val="00375AFB"/>
    <w:rsid w:val="00375E0C"/>
    <w:rsid w:val="0037648D"/>
    <w:rsid w:val="0037710F"/>
    <w:rsid w:val="003777C2"/>
    <w:rsid w:val="00380CBC"/>
    <w:rsid w:val="003811EC"/>
    <w:rsid w:val="00381254"/>
    <w:rsid w:val="00381320"/>
    <w:rsid w:val="003826A7"/>
    <w:rsid w:val="00382715"/>
    <w:rsid w:val="00382FDB"/>
    <w:rsid w:val="0038329F"/>
    <w:rsid w:val="0038360C"/>
    <w:rsid w:val="003839A4"/>
    <w:rsid w:val="00383D51"/>
    <w:rsid w:val="00383F9D"/>
    <w:rsid w:val="00384D2F"/>
    <w:rsid w:val="00385D55"/>
    <w:rsid w:val="00386496"/>
    <w:rsid w:val="00386698"/>
    <w:rsid w:val="003867D7"/>
    <w:rsid w:val="003869B3"/>
    <w:rsid w:val="00386C03"/>
    <w:rsid w:val="00390750"/>
    <w:rsid w:val="00390BDD"/>
    <w:rsid w:val="00391673"/>
    <w:rsid w:val="0039173A"/>
    <w:rsid w:val="00391BE2"/>
    <w:rsid w:val="00391CA3"/>
    <w:rsid w:val="003921D7"/>
    <w:rsid w:val="00392328"/>
    <w:rsid w:val="00392919"/>
    <w:rsid w:val="003929B2"/>
    <w:rsid w:val="00392F38"/>
    <w:rsid w:val="003934E5"/>
    <w:rsid w:val="00393A01"/>
    <w:rsid w:val="003949B6"/>
    <w:rsid w:val="00394AFE"/>
    <w:rsid w:val="00394C77"/>
    <w:rsid w:val="003951DD"/>
    <w:rsid w:val="003955D1"/>
    <w:rsid w:val="0039568B"/>
    <w:rsid w:val="00395FA8"/>
    <w:rsid w:val="00396BCD"/>
    <w:rsid w:val="00396C9D"/>
    <w:rsid w:val="003977C4"/>
    <w:rsid w:val="003977FF"/>
    <w:rsid w:val="003A0054"/>
    <w:rsid w:val="003A0579"/>
    <w:rsid w:val="003A0B23"/>
    <w:rsid w:val="003A0C13"/>
    <w:rsid w:val="003A0E65"/>
    <w:rsid w:val="003A0F9D"/>
    <w:rsid w:val="003A1977"/>
    <w:rsid w:val="003A24F5"/>
    <w:rsid w:val="003A2EF1"/>
    <w:rsid w:val="003A36B3"/>
    <w:rsid w:val="003A38E6"/>
    <w:rsid w:val="003A3AF1"/>
    <w:rsid w:val="003A3EE4"/>
    <w:rsid w:val="003A483B"/>
    <w:rsid w:val="003A4EAE"/>
    <w:rsid w:val="003A5196"/>
    <w:rsid w:val="003A5240"/>
    <w:rsid w:val="003A538A"/>
    <w:rsid w:val="003A6171"/>
    <w:rsid w:val="003A6621"/>
    <w:rsid w:val="003A6805"/>
    <w:rsid w:val="003A695F"/>
    <w:rsid w:val="003A7A47"/>
    <w:rsid w:val="003B00C4"/>
    <w:rsid w:val="003B0149"/>
    <w:rsid w:val="003B09D5"/>
    <w:rsid w:val="003B100C"/>
    <w:rsid w:val="003B1066"/>
    <w:rsid w:val="003B1121"/>
    <w:rsid w:val="003B172D"/>
    <w:rsid w:val="003B1C98"/>
    <w:rsid w:val="003B2794"/>
    <w:rsid w:val="003B3817"/>
    <w:rsid w:val="003B38EE"/>
    <w:rsid w:val="003B3D7E"/>
    <w:rsid w:val="003B421C"/>
    <w:rsid w:val="003B598F"/>
    <w:rsid w:val="003B5D34"/>
    <w:rsid w:val="003B600E"/>
    <w:rsid w:val="003B6175"/>
    <w:rsid w:val="003B63B4"/>
    <w:rsid w:val="003B6D44"/>
    <w:rsid w:val="003B7445"/>
    <w:rsid w:val="003B771C"/>
    <w:rsid w:val="003B772B"/>
    <w:rsid w:val="003B7B02"/>
    <w:rsid w:val="003C014F"/>
    <w:rsid w:val="003C0646"/>
    <w:rsid w:val="003C0B13"/>
    <w:rsid w:val="003C1947"/>
    <w:rsid w:val="003C1CEC"/>
    <w:rsid w:val="003C1E20"/>
    <w:rsid w:val="003C1E63"/>
    <w:rsid w:val="003C2766"/>
    <w:rsid w:val="003C27AD"/>
    <w:rsid w:val="003C27D2"/>
    <w:rsid w:val="003C35A7"/>
    <w:rsid w:val="003C35BE"/>
    <w:rsid w:val="003C373F"/>
    <w:rsid w:val="003C4B22"/>
    <w:rsid w:val="003C4C7A"/>
    <w:rsid w:val="003C4DB4"/>
    <w:rsid w:val="003C5D58"/>
    <w:rsid w:val="003C63AE"/>
    <w:rsid w:val="003C66E1"/>
    <w:rsid w:val="003C6803"/>
    <w:rsid w:val="003C73BD"/>
    <w:rsid w:val="003C7533"/>
    <w:rsid w:val="003C7627"/>
    <w:rsid w:val="003C7757"/>
    <w:rsid w:val="003C7759"/>
    <w:rsid w:val="003C78AE"/>
    <w:rsid w:val="003C78BC"/>
    <w:rsid w:val="003C7AC8"/>
    <w:rsid w:val="003C7C36"/>
    <w:rsid w:val="003D003F"/>
    <w:rsid w:val="003D05CB"/>
    <w:rsid w:val="003D0600"/>
    <w:rsid w:val="003D0BCF"/>
    <w:rsid w:val="003D13A7"/>
    <w:rsid w:val="003D18B0"/>
    <w:rsid w:val="003D18B3"/>
    <w:rsid w:val="003D1FB2"/>
    <w:rsid w:val="003D260A"/>
    <w:rsid w:val="003D331D"/>
    <w:rsid w:val="003D39E3"/>
    <w:rsid w:val="003D3BAB"/>
    <w:rsid w:val="003D3C7D"/>
    <w:rsid w:val="003D426F"/>
    <w:rsid w:val="003D4732"/>
    <w:rsid w:val="003D4870"/>
    <w:rsid w:val="003D48CC"/>
    <w:rsid w:val="003D4926"/>
    <w:rsid w:val="003D52CC"/>
    <w:rsid w:val="003D554C"/>
    <w:rsid w:val="003D6422"/>
    <w:rsid w:val="003D65B7"/>
    <w:rsid w:val="003D6675"/>
    <w:rsid w:val="003D66FE"/>
    <w:rsid w:val="003D68FC"/>
    <w:rsid w:val="003D7182"/>
    <w:rsid w:val="003E0047"/>
    <w:rsid w:val="003E010A"/>
    <w:rsid w:val="003E0AF8"/>
    <w:rsid w:val="003E0F3C"/>
    <w:rsid w:val="003E1770"/>
    <w:rsid w:val="003E1BE1"/>
    <w:rsid w:val="003E2240"/>
    <w:rsid w:val="003E2349"/>
    <w:rsid w:val="003E2432"/>
    <w:rsid w:val="003E301B"/>
    <w:rsid w:val="003E3631"/>
    <w:rsid w:val="003E36C0"/>
    <w:rsid w:val="003E3B77"/>
    <w:rsid w:val="003E3FD2"/>
    <w:rsid w:val="003E4628"/>
    <w:rsid w:val="003E50BE"/>
    <w:rsid w:val="003E552E"/>
    <w:rsid w:val="003E5F51"/>
    <w:rsid w:val="003E5FA1"/>
    <w:rsid w:val="003E67D8"/>
    <w:rsid w:val="003E6C68"/>
    <w:rsid w:val="003E6D59"/>
    <w:rsid w:val="003E7F72"/>
    <w:rsid w:val="003F0451"/>
    <w:rsid w:val="003F071E"/>
    <w:rsid w:val="003F0825"/>
    <w:rsid w:val="003F12BD"/>
    <w:rsid w:val="003F13DF"/>
    <w:rsid w:val="003F1885"/>
    <w:rsid w:val="003F2309"/>
    <w:rsid w:val="003F263A"/>
    <w:rsid w:val="003F27C4"/>
    <w:rsid w:val="003F31B8"/>
    <w:rsid w:val="003F3480"/>
    <w:rsid w:val="003F3B29"/>
    <w:rsid w:val="003F3BC3"/>
    <w:rsid w:val="003F3C1D"/>
    <w:rsid w:val="003F4039"/>
    <w:rsid w:val="003F427B"/>
    <w:rsid w:val="003F52D5"/>
    <w:rsid w:val="003F572D"/>
    <w:rsid w:val="003F5DFC"/>
    <w:rsid w:val="003F6051"/>
    <w:rsid w:val="003F6F13"/>
    <w:rsid w:val="003F7790"/>
    <w:rsid w:val="003F7EF2"/>
    <w:rsid w:val="00400EC8"/>
    <w:rsid w:val="0040107F"/>
    <w:rsid w:val="004012B3"/>
    <w:rsid w:val="00401A24"/>
    <w:rsid w:val="00401AFB"/>
    <w:rsid w:val="00401E8A"/>
    <w:rsid w:val="00401F95"/>
    <w:rsid w:val="00402C9D"/>
    <w:rsid w:val="00402FDE"/>
    <w:rsid w:val="00403727"/>
    <w:rsid w:val="0040454A"/>
    <w:rsid w:val="00404868"/>
    <w:rsid w:val="00404B0B"/>
    <w:rsid w:val="00404CA0"/>
    <w:rsid w:val="00405658"/>
    <w:rsid w:val="00406534"/>
    <w:rsid w:val="004065E8"/>
    <w:rsid w:val="00406DE6"/>
    <w:rsid w:val="0040731D"/>
    <w:rsid w:val="004102E2"/>
    <w:rsid w:val="00410BEB"/>
    <w:rsid w:val="00410D89"/>
    <w:rsid w:val="004110E8"/>
    <w:rsid w:val="004113AE"/>
    <w:rsid w:val="004113CA"/>
    <w:rsid w:val="00411A57"/>
    <w:rsid w:val="004126EB"/>
    <w:rsid w:val="00412B8F"/>
    <w:rsid w:val="0041373E"/>
    <w:rsid w:val="00413FD4"/>
    <w:rsid w:val="004148CD"/>
    <w:rsid w:val="00414F86"/>
    <w:rsid w:val="00415372"/>
    <w:rsid w:val="00415E41"/>
    <w:rsid w:val="004165CE"/>
    <w:rsid w:val="00416945"/>
    <w:rsid w:val="00416D3A"/>
    <w:rsid w:val="004173EB"/>
    <w:rsid w:val="004205BA"/>
    <w:rsid w:val="00420DEB"/>
    <w:rsid w:val="00420E9B"/>
    <w:rsid w:val="00422ABB"/>
    <w:rsid w:val="00422DA1"/>
    <w:rsid w:val="00422EC9"/>
    <w:rsid w:val="00423308"/>
    <w:rsid w:val="0042331D"/>
    <w:rsid w:val="00423A50"/>
    <w:rsid w:val="004241B9"/>
    <w:rsid w:val="004241E6"/>
    <w:rsid w:val="0042461D"/>
    <w:rsid w:val="00424E56"/>
    <w:rsid w:val="0042505E"/>
    <w:rsid w:val="004257C5"/>
    <w:rsid w:val="00425BC0"/>
    <w:rsid w:val="00426EE3"/>
    <w:rsid w:val="004308E5"/>
    <w:rsid w:val="0043157C"/>
    <w:rsid w:val="00431BD6"/>
    <w:rsid w:val="0043206F"/>
    <w:rsid w:val="00432427"/>
    <w:rsid w:val="00432AD6"/>
    <w:rsid w:val="00432AF5"/>
    <w:rsid w:val="00433319"/>
    <w:rsid w:val="004334B2"/>
    <w:rsid w:val="00433604"/>
    <w:rsid w:val="0043375B"/>
    <w:rsid w:val="00433F6B"/>
    <w:rsid w:val="004347BF"/>
    <w:rsid w:val="00434DAF"/>
    <w:rsid w:val="00434F5D"/>
    <w:rsid w:val="004351FF"/>
    <w:rsid w:val="00435875"/>
    <w:rsid w:val="00435ADB"/>
    <w:rsid w:val="00435C54"/>
    <w:rsid w:val="0043604E"/>
    <w:rsid w:val="00437034"/>
    <w:rsid w:val="00437EC0"/>
    <w:rsid w:val="00440220"/>
    <w:rsid w:val="004402B2"/>
    <w:rsid w:val="00440344"/>
    <w:rsid w:val="00440DE3"/>
    <w:rsid w:val="00441075"/>
    <w:rsid w:val="00441319"/>
    <w:rsid w:val="00441FB8"/>
    <w:rsid w:val="00442145"/>
    <w:rsid w:val="004423A0"/>
    <w:rsid w:val="00443429"/>
    <w:rsid w:val="00443C5C"/>
    <w:rsid w:val="00444213"/>
    <w:rsid w:val="00444545"/>
    <w:rsid w:val="004446F9"/>
    <w:rsid w:val="004455CF"/>
    <w:rsid w:val="004461EF"/>
    <w:rsid w:val="0044660B"/>
    <w:rsid w:val="00446AE1"/>
    <w:rsid w:val="00446B1D"/>
    <w:rsid w:val="00447E03"/>
    <w:rsid w:val="00447E92"/>
    <w:rsid w:val="00451AC5"/>
    <w:rsid w:val="00452395"/>
    <w:rsid w:val="00452C28"/>
    <w:rsid w:val="00452F68"/>
    <w:rsid w:val="004530BE"/>
    <w:rsid w:val="00453182"/>
    <w:rsid w:val="004532DA"/>
    <w:rsid w:val="00453C22"/>
    <w:rsid w:val="00454360"/>
    <w:rsid w:val="004557EC"/>
    <w:rsid w:val="00455C37"/>
    <w:rsid w:val="00455FBD"/>
    <w:rsid w:val="00456544"/>
    <w:rsid w:val="004565C1"/>
    <w:rsid w:val="004567BA"/>
    <w:rsid w:val="00457271"/>
    <w:rsid w:val="004576A6"/>
    <w:rsid w:val="004579C8"/>
    <w:rsid w:val="00457EB3"/>
    <w:rsid w:val="004605D9"/>
    <w:rsid w:val="00460C18"/>
    <w:rsid w:val="004610C8"/>
    <w:rsid w:val="004611FF"/>
    <w:rsid w:val="00461563"/>
    <w:rsid w:val="004617CF"/>
    <w:rsid w:val="0046206C"/>
    <w:rsid w:val="004620AF"/>
    <w:rsid w:val="004627F7"/>
    <w:rsid w:val="00462B5D"/>
    <w:rsid w:val="004636D3"/>
    <w:rsid w:val="00463B78"/>
    <w:rsid w:val="00463EC1"/>
    <w:rsid w:val="004646EB"/>
    <w:rsid w:val="0046477A"/>
    <w:rsid w:val="0046491B"/>
    <w:rsid w:val="00464EA3"/>
    <w:rsid w:val="004652D3"/>
    <w:rsid w:val="004656E8"/>
    <w:rsid w:val="00465AC9"/>
    <w:rsid w:val="0046604C"/>
    <w:rsid w:val="004664BF"/>
    <w:rsid w:val="00466B60"/>
    <w:rsid w:val="00466BAA"/>
    <w:rsid w:val="00466D96"/>
    <w:rsid w:val="004678EA"/>
    <w:rsid w:val="0046794C"/>
    <w:rsid w:val="00467A70"/>
    <w:rsid w:val="004704FB"/>
    <w:rsid w:val="004706E6"/>
    <w:rsid w:val="004710E0"/>
    <w:rsid w:val="0047196E"/>
    <w:rsid w:val="00471B9A"/>
    <w:rsid w:val="00471F42"/>
    <w:rsid w:val="00471FA1"/>
    <w:rsid w:val="004732D9"/>
    <w:rsid w:val="00473A5F"/>
    <w:rsid w:val="00473AA8"/>
    <w:rsid w:val="00473E12"/>
    <w:rsid w:val="00473F2D"/>
    <w:rsid w:val="0047453E"/>
    <w:rsid w:val="00474595"/>
    <w:rsid w:val="00474B3C"/>
    <w:rsid w:val="00474C28"/>
    <w:rsid w:val="00475923"/>
    <w:rsid w:val="00475F9A"/>
    <w:rsid w:val="00476435"/>
    <w:rsid w:val="00477551"/>
    <w:rsid w:val="00477827"/>
    <w:rsid w:val="00477DB4"/>
    <w:rsid w:val="00477EC1"/>
    <w:rsid w:val="004807D7"/>
    <w:rsid w:val="00480E8E"/>
    <w:rsid w:val="004819A4"/>
    <w:rsid w:val="00481A6E"/>
    <w:rsid w:val="00482723"/>
    <w:rsid w:val="004829DC"/>
    <w:rsid w:val="00482C71"/>
    <w:rsid w:val="004833A5"/>
    <w:rsid w:val="00483CB7"/>
    <w:rsid w:val="004842B9"/>
    <w:rsid w:val="0048487A"/>
    <w:rsid w:val="00485071"/>
    <w:rsid w:val="0048563E"/>
    <w:rsid w:val="0048668F"/>
    <w:rsid w:val="00486C99"/>
    <w:rsid w:val="00487A15"/>
    <w:rsid w:val="00487B51"/>
    <w:rsid w:val="00490D34"/>
    <w:rsid w:val="00491C98"/>
    <w:rsid w:val="00491DEC"/>
    <w:rsid w:val="00491E4A"/>
    <w:rsid w:val="00492127"/>
    <w:rsid w:val="0049261D"/>
    <w:rsid w:val="004927D0"/>
    <w:rsid w:val="00492CCD"/>
    <w:rsid w:val="0049355A"/>
    <w:rsid w:val="00493779"/>
    <w:rsid w:val="00493953"/>
    <w:rsid w:val="0049518D"/>
    <w:rsid w:val="004955AC"/>
    <w:rsid w:val="00495F03"/>
    <w:rsid w:val="00496046"/>
    <w:rsid w:val="00496889"/>
    <w:rsid w:val="00496A4B"/>
    <w:rsid w:val="00496B0A"/>
    <w:rsid w:val="004974B5"/>
    <w:rsid w:val="00497F81"/>
    <w:rsid w:val="00497FFC"/>
    <w:rsid w:val="004A00E2"/>
    <w:rsid w:val="004A0119"/>
    <w:rsid w:val="004A0A18"/>
    <w:rsid w:val="004A0DF7"/>
    <w:rsid w:val="004A2423"/>
    <w:rsid w:val="004A267B"/>
    <w:rsid w:val="004A288C"/>
    <w:rsid w:val="004A2B42"/>
    <w:rsid w:val="004A32C7"/>
    <w:rsid w:val="004A3341"/>
    <w:rsid w:val="004A3CFD"/>
    <w:rsid w:val="004A499C"/>
    <w:rsid w:val="004A50C1"/>
    <w:rsid w:val="004A5748"/>
    <w:rsid w:val="004A5F82"/>
    <w:rsid w:val="004A6F7C"/>
    <w:rsid w:val="004B02A4"/>
    <w:rsid w:val="004B0628"/>
    <w:rsid w:val="004B0FFA"/>
    <w:rsid w:val="004B1297"/>
    <w:rsid w:val="004B1521"/>
    <w:rsid w:val="004B1CB4"/>
    <w:rsid w:val="004B2B29"/>
    <w:rsid w:val="004B2BE8"/>
    <w:rsid w:val="004B2CEE"/>
    <w:rsid w:val="004B2CFD"/>
    <w:rsid w:val="004B2DF1"/>
    <w:rsid w:val="004B3BD2"/>
    <w:rsid w:val="004B3C18"/>
    <w:rsid w:val="004B3D03"/>
    <w:rsid w:val="004B40C4"/>
    <w:rsid w:val="004B42BF"/>
    <w:rsid w:val="004B463A"/>
    <w:rsid w:val="004B48F5"/>
    <w:rsid w:val="004B53EF"/>
    <w:rsid w:val="004B6670"/>
    <w:rsid w:val="004B6EE3"/>
    <w:rsid w:val="004B73A8"/>
    <w:rsid w:val="004B7E75"/>
    <w:rsid w:val="004C00FB"/>
    <w:rsid w:val="004C01ED"/>
    <w:rsid w:val="004C06AA"/>
    <w:rsid w:val="004C0A6A"/>
    <w:rsid w:val="004C0A82"/>
    <w:rsid w:val="004C108C"/>
    <w:rsid w:val="004C2322"/>
    <w:rsid w:val="004C252C"/>
    <w:rsid w:val="004C275B"/>
    <w:rsid w:val="004C2B78"/>
    <w:rsid w:val="004C2B85"/>
    <w:rsid w:val="004C3212"/>
    <w:rsid w:val="004C35E2"/>
    <w:rsid w:val="004C36C9"/>
    <w:rsid w:val="004C5199"/>
    <w:rsid w:val="004C5352"/>
    <w:rsid w:val="004C59B4"/>
    <w:rsid w:val="004C5A78"/>
    <w:rsid w:val="004C5F5A"/>
    <w:rsid w:val="004C68BA"/>
    <w:rsid w:val="004C6F22"/>
    <w:rsid w:val="004C6FE3"/>
    <w:rsid w:val="004C7B18"/>
    <w:rsid w:val="004D01D3"/>
    <w:rsid w:val="004D0337"/>
    <w:rsid w:val="004D0604"/>
    <w:rsid w:val="004D0BC8"/>
    <w:rsid w:val="004D1367"/>
    <w:rsid w:val="004D1A85"/>
    <w:rsid w:val="004D1C40"/>
    <w:rsid w:val="004D221E"/>
    <w:rsid w:val="004D234E"/>
    <w:rsid w:val="004D283E"/>
    <w:rsid w:val="004D2A0F"/>
    <w:rsid w:val="004D3384"/>
    <w:rsid w:val="004D33A0"/>
    <w:rsid w:val="004D34E0"/>
    <w:rsid w:val="004D383C"/>
    <w:rsid w:val="004D3BE2"/>
    <w:rsid w:val="004D51D4"/>
    <w:rsid w:val="004D53FA"/>
    <w:rsid w:val="004D5B62"/>
    <w:rsid w:val="004D5B80"/>
    <w:rsid w:val="004D665F"/>
    <w:rsid w:val="004D68DD"/>
    <w:rsid w:val="004D6A7F"/>
    <w:rsid w:val="004D703E"/>
    <w:rsid w:val="004D71F7"/>
    <w:rsid w:val="004D7E9E"/>
    <w:rsid w:val="004E01BF"/>
    <w:rsid w:val="004E062E"/>
    <w:rsid w:val="004E1082"/>
    <w:rsid w:val="004E113D"/>
    <w:rsid w:val="004E20DF"/>
    <w:rsid w:val="004E2AB5"/>
    <w:rsid w:val="004E2CD7"/>
    <w:rsid w:val="004E2DBE"/>
    <w:rsid w:val="004E2EBB"/>
    <w:rsid w:val="004E3450"/>
    <w:rsid w:val="004E3DBA"/>
    <w:rsid w:val="004E4323"/>
    <w:rsid w:val="004E44B4"/>
    <w:rsid w:val="004E45D9"/>
    <w:rsid w:val="004E462A"/>
    <w:rsid w:val="004E46FC"/>
    <w:rsid w:val="004E4723"/>
    <w:rsid w:val="004E4812"/>
    <w:rsid w:val="004E48C0"/>
    <w:rsid w:val="004E52EE"/>
    <w:rsid w:val="004E5DD9"/>
    <w:rsid w:val="004E5E35"/>
    <w:rsid w:val="004E65CB"/>
    <w:rsid w:val="004E6BB6"/>
    <w:rsid w:val="004E7014"/>
    <w:rsid w:val="004E71C7"/>
    <w:rsid w:val="004E7351"/>
    <w:rsid w:val="004E7E08"/>
    <w:rsid w:val="004E7F22"/>
    <w:rsid w:val="004F036A"/>
    <w:rsid w:val="004F0713"/>
    <w:rsid w:val="004F0755"/>
    <w:rsid w:val="004F1029"/>
    <w:rsid w:val="004F118A"/>
    <w:rsid w:val="004F12A3"/>
    <w:rsid w:val="004F15E0"/>
    <w:rsid w:val="004F1729"/>
    <w:rsid w:val="004F23B7"/>
    <w:rsid w:val="004F2563"/>
    <w:rsid w:val="004F31B8"/>
    <w:rsid w:val="004F3A82"/>
    <w:rsid w:val="004F3C71"/>
    <w:rsid w:val="004F4501"/>
    <w:rsid w:val="004F45E9"/>
    <w:rsid w:val="004F4E20"/>
    <w:rsid w:val="004F4F54"/>
    <w:rsid w:val="004F4F56"/>
    <w:rsid w:val="004F55E5"/>
    <w:rsid w:val="004F5D7F"/>
    <w:rsid w:val="004F645D"/>
    <w:rsid w:val="004F6547"/>
    <w:rsid w:val="004F7015"/>
    <w:rsid w:val="004F71CD"/>
    <w:rsid w:val="004F7478"/>
    <w:rsid w:val="005006CE"/>
    <w:rsid w:val="00500937"/>
    <w:rsid w:val="005009B9"/>
    <w:rsid w:val="00500F02"/>
    <w:rsid w:val="00501404"/>
    <w:rsid w:val="0050219F"/>
    <w:rsid w:val="005038F3"/>
    <w:rsid w:val="00503E7F"/>
    <w:rsid w:val="00503F7E"/>
    <w:rsid w:val="005040CF"/>
    <w:rsid w:val="00505097"/>
    <w:rsid w:val="00505B5C"/>
    <w:rsid w:val="005065F3"/>
    <w:rsid w:val="0050694A"/>
    <w:rsid w:val="005073A1"/>
    <w:rsid w:val="005076DB"/>
    <w:rsid w:val="00507798"/>
    <w:rsid w:val="0051038F"/>
    <w:rsid w:val="005107E0"/>
    <w:rsid w:val="00511235"/>
    <w:rsid w:val="005113B8"/>
    <w:rsid w:val="0051152D"/>
    <w:rsid w:val="00511BFA"/>
    <w:rsid w:val="0051340B"/>
    <w:rsid w:val="00514D82"/>
    <w:rsid w:val="00514E09"/>
    <w:rsid w:val="005156F8"/>
    <w:rsid w:val="0051599C"/>
    <w:rsid w:val="005165B5"/>
    <w:rsid w:val="00516B52"/>
    <w:rsid w:val="00516C45"/>
    <w:rsid w:val="00516F6C"/>
    <w:rsid w:val="00517359"/>
    <w:rsid w:val="00517C61"/>
    <w:rsid w:val="00520126"/>
    <w:rsid w:val="005208E4"/>
    <w:rsid w:val="005214E0"/>
    <w:rsid w:val="0052166F"/>
    <w:rsid w:val="00521898"/>
    <w:rsid w:val="0052194B"/>
    <w:rsid w:val="0052253F"/>
    <w:rsid w:val="005228FF"/>
    <w:rsid w:val="00522C02"/>
    <w:rsid w:val="00523638"/>
    <w:rsid w:val="00524843"/>
    <w:rsid w:val="005252C2"/>
    <w:rsid w:val="00525AFF"/>
    <w:rsid w:val="00525C0E"/>
    <w:rsid w:val="005260FD"/>
    <w:rsid w:val="005262A2"/>
    <w:rsid w:val="005266D3"/>
    <w:rsid w:val="005267F9"/>
    <w:rsid w:val="00526D33"/>
    <w:rsid w:val="0053016D"/>
    <w:rsid w:val="00530822"/>
    <w:rsid w:val="00530AE6"/>
    <w:rsid w:val="00530C1F"/>
    <w:rsid w:val="005324E7"/>
    <w:rsid w:val="00532CB1"/>
    <w:rsid w:val="00532E5F"/>
    <w:rsid w:val="0053381F"/>
    <w:rsid w:val="00533F93"/>
    <w:rsid w:val="005340B5"/>
    <w:rsid w:val="0053421C"/>
    <w:rsid w:val="00534672"/>
    <w:rsid w:val="0053480B"/>
    <w:rsid w:val="0053546F"/>
    <w:rsid w:val="00535527"/>
    <w:rsid w:val="005361B3"/>
    <w:rsid w:val="005363AA"/>
    <w:rsid w:val="00536BBE"/>
    <w:rsid w:val="00536DDB"/>
    <w:rsid w:val="00537F2D"/>
    <w:rsid w:val="00540160"/>
    <w:rsid w:val="005401E0"/>
    <w:rsid w:val="00540F6D"/>
    <w:rsid w:val="0054101E"/>
    <w:rsid w:val="0054126F"/>
    <w:rsid w:val="005414B9"/>
    <w:rsid w:val="0054183C"/>
    <w:rsid w:val="0054197B"/>
    <w:rsid w:val="00541C3A"/>
    <w:rsid w:val="00541D5A"/>
    <w:rsid w:val="005421D3"/>
    <w:rsid w:val="00542C38"/>
    <w:rsid w:val="00542F24"/>
    <w:rsid w:val="00542F60"/>
    <w:rsid w:val="00543192"/>
    <w:rsid w:val="00543501"/>
    <w:rsid w:val="00543520"/>
    <w:rsid w:val="005437BA"/>
    <w:rsid w:val="005444BE"/>
    <w:rsid w:val="00544A4A"/>
    <w:rsid w:val="00545974"/>
    <w:rsid w:val="005465F4"/>
    <w:rsid w:val="0054720C"/>
    <w:rsid w:val="0054747B"/>
    <w:rsid w:val="00547684"/>
    <w:rsid w:val="00547A3B"/>
    <w:rsid w:val="00550CF9"/>
    <w:rsid w:val="0055100C"/>
    <w:rsid w:val="0055123C"/>
    <w:rsid w:val="0055131E"/>
    <w:rsid w:val="0055159C"/>
    <w:rsid w:val="00551FEA"/>
    <w:rsid w:val="005521DF"/>
    <w:rsid w:val="0055271A"/>
    <w:rsid w:val="00552D69"/>
    <w:rsid w:val="00553499"/>
    <w:rsid w:val="00553F96"/>
    <w:rsid w:val="005543F8"/>
    <w:rsid w:val="00554543"/>
    <w:rsid w:val="0055475D"/>
    <w:rsid w:val="00554D4A"/>
    <w:rsid w:val="00554E32"/>
    <w:rsid w:val="005550F2"/>
    <w:rsid w:val="005554EB"/>
    <w:rsid w:val="00555765"/>
    <w:rsid w:val="00555911"/>
    <w:rsid w:val="00556D21"/>
    <w:rsid w:val="005575AC"/>
    <w:rsid w:val="00557646"/>
    <w:rsid w:val="0056045D"/>
    <w:rsid w:val="00561283"/>
    <w:rsid w:val="005616B4"/>
    <w:rsid w:val="005636D5"/>
    <w:rsid w:val="00563776"/>
    <w:rsid w:val="00563DB7"/>
    <w:rsid w:val="00564A74"/>
    <w:rsid w:val="00564BDB"/>
    <w:rsid w:val="00565A93"/>
    <w:rsid w:val="00566273"/>
    <w:rsid w:val="00566370"/>
    <w:rsid w:val="005669EF"/>
    <w:rsid w:val="00566AF2"/>
    <w:rsid w:val="00567A14"/>
    <w:rsid w:val="005700EA"/>
    <w:rsid w:val="00570ADB"/>
    <w:rsid w:val="0057103D"/>
    <w:rsid w:val="00571505"/>
    <w:rsid w:val="00571638"/>
    <w:rsid w:val="00571689"/>
    <w:rsid w:val="005717A6"/>
    <w:rsid w:val="00571816"/>
    <w:rsid w:val="00572ECA"/>
    <w:rsid w:val="00572F1C"/>
    <w:rsid w:val="00572FEC"/>
    <w:rsid w:val="005731A7"/>
    <w:rsid w:val="005731EC"/>
    <w:rsid w:val="00573B4D"/>
    <w:rsid w:val="0057408E"/>
    <w:rsid w:val="005744C5"/>
    <w:rsid w:val="00574503"/>
    <w:rsid w:val="00575F5F"/>
    <w:rsid w:val="0057663C"/>
    <w:rsid w:val="00576CDC"/>
    <w:rsid w:val="0057792D"/>
    <w:rsid w:val="005800DD"/>
    <w:rsid w:val="00580123"/>
    <w:rsid w:val="00580556"/>
    <w:rsid w:val="00580BD0"/>
    <w:rsid w:val="005828F8"/>
    <w:rsid w:val="005830FC"/>
    <w:rsid w:val="005835E9"/>
    <w:rsid w:val="00583C27"/>
    <w:rsid w:val="00584947"/>
    <w:rsid w:val="00585978"/>
    <w:rsid w:val="00585C4F"/>
    <w:rsid w:val="00585D24"/>
    <w:rsid w:val="00585D99"/>
    <w:rsid w:val="00585EEB"/>
    <w:rsid w:val="00586051"/>
    <w:rsid w:val="005866AD"/>
    <w:rsid w:val="00586D98"/>
    <w:rsid w:val="00586FFE"/>
    <w:rsid w:val="0058713A"/>
    <w:rsid w:val="00587529"/>
    <w:rsid w:val="00587545"/>
    <w:rsid w:val="00590511"/>
    <w:rsid w:val="0059080B"/>
    <w:rsid w:val="00590F28"/>
    <w:rsid w:val="005914E2"/>
    <w:rsid w:val="005915C8"/>
    <w:rsid w:val="00592019"/>
    <w:rsid w:val="00592168"/>
    <w:rsid w:val="00592761"/>
    <w:rsid w:val="00592E44"/>
    <w:rsid w:val="00593B86"/>
    <w:rsid w:val="00593C14"/>
    <w:rsid w:val="005942BB"/>
    <w:rsid w:val="005944BB"/>
    <w:rsid w:val="005946A1"/>
    <w:rsid w:val="00594756"/>
    <w:rsid w:val="005949E3"/>
    <w:rsid w:val="00594D96"/>
    <w:rsid w:val="00595E52"/>
    <w:rsid w:val="00596F83"/>
    <w:rsid w:val="005970E7"/>
    <w:rsid w:val="005976E1"/>
    <w:rsid w:val="00597856"/>
    <w:rsid w:val="00597874"/>
    <w:rsid w:val="00597B73"/>
    <w:rsid w:val="00597FA2"/>
    <w:rsid w:val="005A0322"/>
    <w:rsid w:val="005A0D3A"/>
    <w:rsid w:val="005A0F9B"/>
    <w:rsid w:val="005A10DB"/>
    <w:rsid w:val="005A133F"/>
    <w:rsid w:val="005A1417"/>
    <w:rsid w:val="005A16F9"/>
    <w:rsid w:val="005A1968"/>
    <w:rsid w:val="005A1986"/>
    <w:rsid w:val="005A1BD7"/>
    <w:rsid w:val="005A1DEA"/>
    <w:rsid w:val="005A1F4F"/>
    <w:rsid w:val="005A1FEA"/>
    <w:rsid w:val="005A20AF"/>
    <w:rsid w:val="005A2BDF"/>
    <w:rsid w:val="005A2BF2"/>
    <w:rsid w:val="005A2ED4"/>
    <w:rsid w:val="005A341C"/>
    <w:rsid w:val="005A4100"/>
    <w:rsid w:val="005A46AF"/>
    <w:rsid w:val="005A4836"/>
    <w:rsid w:val="005A4D4E"/>
    <w:rsid w:val="005A4D85"/>
    <w:rsid w:val="005A4F38"/>
    <w:rsid w:val="005A63B9"/>
    <w:rsid w:val="005A68F8"/>
    <w:rsid w:val="005A6A6B"/>
    <w:rsid w:val="005A6B8F"/>
    <w:rsid w:val="005A6D15"/>
    <w:rsid w:val="005A708B"/>
    <w:rsid w:val="005A757E"/>
    <w:rsid w:val="005A7E0E"/>
    <w:rsid w:val="005B0A5A"/>
    <w:rsid w:val="005B0B27"/>
    <w:rsid w:val="005B18A9"/>
    <w:rsid w:val="005B19A2"/>
    <w:rsid w:val="005B1CA6"/>
    <w:rsid w:val="005B22D5"/>
    <w:rsid w:val="005B23A8"/>
    <w:rsid w:val="005B2A69"/>
    <w:rsid w:val="005B2A6C"/>
    <w:rsid w:val="005B2ECF"/>
    <w:rsid w:val="005B2F23"/>
    <w:rsid w:val="005B348A"/>
    <w:rsid w:val="005B35E0"/>
    <w:rsid w:val="005B37B8"/>
    <w:rsid w:val="005B4D5F"/>
    <w:rsid w:val="005B51D5"/>
    <w:rsid w:val="005B56E0"/>
    <w:rsid w:val="005B5828"/>
    <w:rsid w:val="005B59E2"/>
    <w:rsid w:val="005B59EF"/>
    <w:rsid w:val="005B5BDB"/>
    <w:rsid w:val="005B5CBA"/>
    <w:rsid w:val="005B5F36"/>
    <w:rsid w:val="005B681E"/>
    <w:rsid w:val="005B6E82"/>
    <w:rsid w:val="005B6F7F"/>
    <w:rsid w:val="005B701D"/>
    <w:rsid w:val="005B76C3"/>
    <w:rsid w:val="005B770E"/>
    <w:rsid w:val="005B7C54"/>
    <w:rsid w:val="005B7DDF"/>
    <w:rsid w:val="005C0612"/>
    <w:rsid w:val="005C10C5"/>
    <w:rsid w:val="005C14EC"/>
    <w:rsid w:val="005C1764"/>
    <w:rsid w:val="005C2622"/>
    <w:rsid w:val="005C29E8"/>
    <w:rsid w:val="005C331F"/>
    <w:rsid w:val="005C3645"/>
    <w:rsid w:val="005C3C62"/>
    <w:rsid w:val="005C3DB3"/>
    <w:rsid w:val="005C41FD"/>
    <w:rsid w:val="005C477A"/>
    <w:rsid w:val="005C49F9"/>
    <w:rsid w:val="005C4C1C"/>
    <w:rsid w:val="005C4D75"/>
    <w:rsid w:val="005C4E18"/>
    <w:rsid w:val="005C4EF5"/>
    <w:rsid w:val="005C5061"/>
    <w:rsid w:val="005C5E44"/>
    <w:rsid w:val="005C6660"/>
    <w:rsid w:val="005C682F"/>
    <w:rsid w:val="005C6BE2"/>
    <w:rsid w:val="005C6C7F"/>
    <w:rsid w:val="005C765F"/>
    <w:rsid w:val="005C7D1B"/>
    <w:rsid w:val="005C7F4E"/>
    <w:rsid w:val="005D04D1"/>
    <w:rsid w:val="005D0E68"/>
    <w:rsid w:val="005D1593"/>
    <w:rsid w:val="005D1802"/>
    <w:rsid w:val="005D1C03"/>
    <w:rsid w:val="005D1D62"/>
    <w:rsid w:val="005D2988"/>
    <w:rsid w:val="005D2A29"/>
    <w:rsid w:val="005D35BB"/>
    <w:rsid w:val="005D3C28"/>
    <w:rsid w:val="005D3C65"/>
    <w:rsid w:val="005D3F54"/>
    <w:rsid w:val="005D42DE"/>
    <w:rsid w:val="005D5765"/>
    <w:rsid w:val="005D59B5"/>
    <w:rsid w:val="005D5B76"/>
    <w:rsid w:val="005D5E0C"/>
    <w:rsid w:val="005D5E44"/>
    <w:rsid w:val="005D65FD"/>
    <w:rsid w:val="005E0748"/>
    <w:rsid w:val="005E123E"/>
    <w:rsid w:val="005E15E9"/>
    <w:rsid w:val="005E211B"/>
    <w:rsid w:val="005E2993"/>
    <w:rsid w:val="005E2EC8"/>
    <w:rsid w:val="005E32EF"/>
    <w:rsid w:val="005E3658"/>
    <w:rsid w:val="005E395A"/>
    <w:rsid w:val="005E4C1F"/>
    <w:rsid w:val="005E51C6"/>
    <w:rsid w:val="005E5519"/>
    <w:rsid w:val="005E7F5C"/>
    <w:rsid w:val="005F0430"/>
    <w:rsid w:val="005F06B5"/>
    <w:rsid w:val="005F0859"/>
    <w:rsid w:val="005F1152"/>
    <w:rsid w:val="005F17F3"/>
    <w:rsid w:val="005F242D"/>
    <w:rsid w:val="005F260F"/>
    <w:rsid w:val="005F26A8"/>
    <w:rsid w:val="005F2E45"/>
    <w:rsid w:val="005F34BB"/>
    <w:rsid w:val="005F3945"/>
    <w:rsid w:val="005F3DDF"/>
    <w:rsid w:val="005F3ED1"/>
    <w:rsid w:val="005F47F3"/>
    <w:rsid w:val="005F6117"/>
    <w:rsid w:val="005F63DE"/>
    <w:rsid w:val="005F6B85"/>
    <w:rsid w:val="005F70B5"/>
    <w:rsid w:val="005F71AC"/>
    <w:rsid w:val="005F72BF"/>
    <w:rsid w:val="005F7E06"/>
    <w:rsid w:val="005F7E3D"/>
    <w:rsid w:val="00600EEB"/>
    <w:rsid w:val="00601117"/>
    <w:rsid w:val="006014BE"/>
    <w:rsid w:val="00601D98"/>
    <w:rsid w:val="006022C2"/>
    <w:rsid w:val="00602449"/>
    <w:rsid w:val="00602D06"/>
    <w:rsid w:val="006031FB"/>
    <w:rsid w:val="0060374E"/>
    <w:rsid w:val="00603A93"/>
    <w:rsid w:val="00603B96"/>
    <w:rsid w:val="006043E0"/>
    <w:rsid w:val="0060507C"/>
    <w:rsid w:val="00605569"/>
    <w:rsid w:val="00605FA4"/>
    <w:rsid w:val="00605FD1"/>
    <w:rsid w:val="00605FF3"/>
    <w:rsid w:val="00606626"/>
    <w:rsid w:val="006112BB"/>
    <w:rsid w:val="00611529"/>
    <w:rsid w:val="0061185E"/>
    <w:rsid w:val="00611AE7"/>
    <w:rsid w:val="00611B54"/>
    <w:rsid w:val="0061215D"/>
    <w:rsid w:val="00612422"/>
    <w:rsid w:val="006135E4"/>
    <w:rsid w:val="00613BAA"/>
    <w:rsid w:val="0061426B"/>
    <w:rsid w:val="00615000"/>
    <w:rsid w:val="00615154"/>
    <w:rsid w:val="00616636"/>
    <w:rsid w:val="00616B99"/>
    <w:rsid w:val="00616DBE"/>
    <w:rsid w:val="006174F8"/>
    <w:rsid w:val="00617FC9"/>
    <w:rsid w:val="006209CB"/>
    <w:rsid w:val="00620A6B"/>
    <w:rsid w:val="00622754"/>
    <w:rsid w:val="00622894"/>
    <w:rsid w:val="00622AFB"/>
    <w:rsid w:val="00622B06"/>
    <w:rsid w:val="00623064"/>
    <w:rsid w:val="00623611"/>
    <w:rsid w:val="00623B7A"/>
    <w:rsid w:val="006240D2"/>
    <w:rsid w:val="006241E5"/>
    <w:rsid w:val="00624DA6"/>
    <w:rsid w:val="00625348"/>
    <w:rsid w:val="00625BAA"/>
    <w:rsid w:val="00625E5E"/>
    <w:rsid w:val="00626484"/>
    <w:rsid w:val="00626646"/>
    <w:rsid w:val="00627260"/>
    <w:rsid w:val="00627AC3"/>
    <w:rsid w:val="00627D1B"/>
    <w:rsid w:val="00627FA0"/>
    <w:rsid w:val="0063022E"/>
    <w:rsid w:val="006302E8"/>
    <w:rsid w:val="00630379"/>
    <w:rsid w:val="00630426"/>
    <w:rsid w:val="00630FFE"/>
    <w:rsid w:val="00631DD2"/>
    <w:rsid w:val="0063251E"/>
    <w:rsid w:val="00632C91"/>
    <w:rsid w:val="00632CAC"/>
    <w:rsid w:val="00632D21"/>
    <w:rsid w:val="006334FD"/>
    <w:rsid w:val="0063379D"/>
    <w:rsid w:val="006339AD"/>
    <w:rsid w:val="006339CF"/>
    <w:rsid w:val="006341E3"/>
    <w:rsid w:val="00634715"/>
    <w:rsid w:val="0063478E"/>
    <w:rsid w:val="00634856"/>
    <w:rsid w:val="00634B24"/>
    <w:rsid w:val="00634EAE"/>
    <w:rsid w:val="00635334"/>
    <w:rsid w:val="00635A19"/>
    <w:rsid w:val="00635C58"/>
    <w:rsid w:val="0063680F"/>
    <w:rsid w:val="00636850"/>
    <w:rsid w:val="006400BA"/>
    <w:rsid w:val="0064048F"/>
    <w:rsid w:val="00640F18"/>
    <w:rsid w:val="006415F8"/>
    <w:rsid w:val="00641805"/>
    <w:rsid w:val="00642E20"/>
    <w:rsid w:val="006431C4"/>
    <w:rsid w:val="0064464D"/>
    <w:rsid w:val="00644C96"/>
    <w:rsid w:val="0064541A"/>
    <w:rsid w:val="00645663"/>
    <w:rsid w:val="006457AF"/>
    <w:rsid w:val="00645C0F"/>
    <w:rsid w:val="00646219"/>
    <w:rsid w:val="0064668A"/>
    <w:rsid w:val="00646D5F"/>
    <w:rsid w:val="00647A90"/>
    <w:rsid w:val="006507A4"/>
    <w:rsid w:val="00650834"/>
    <w:rsid w:val="00651062"/>
    <w:rsid w:val="0065107A"/>
    <w:rsid w:val="006510CB"/>
    <w:rsid w:val="0065124F"/>
    <w:rsid w:val="0065212B"/>
    <w:rsid w:val="00652D75"/>
    <w:rsid w:val="00652E4D"/>
    <w:rsid w:val="0065304C"/>
    <w:rsid w:val="00653F3F"/>
    <w:rsid w:val="006545E5"/>
    <w:rsid w:val="006546BD"/>
    <w:rsid w:val="00655498"/>
    <w:rsid w:val="00655F60"/>
    <w:rsid w:val="00656BE1"/>
    <w:rsid w:val="00657778"/>
    <w:rsid w:val="006601D5"/>
    <w:rsid w:val="006608E2"/>
    <w:rsid w:val="00660EA2"/>
    <w:rsid w:val="006616BB"/>
    <w:rsid w:val="00661821"/>
    <w:rsid w:val="00661A61"/>
    <w:rsid w:val="00661D40"/>
    <w:rsid w:val="006621E5"/>
    <w:rsid w:val="006622E8"/>
    <w:rsid w:val="00662A6C"/>
    <w:rsid w:val="00662D99"/>
    <w:rsid w:val="00662F39"/>
    <w:rsid w:val="00663349"/>
    <w:rsid w:val="00664968"/>
    <w:rsid w:val="006656D2"/>
    <w:rsid w:val="006656DF"/>
    <w:rsid w:val="006658D2"/>
    <w:rsid w:val="00666EEB"/>
    <w:rsid w:val="0066711F"/>
    <w:rsid w:val="00667422"/>
    <w:rsid w:val="006675D7"/>
    <w:rsid w:val="00667602"/>
    <w:rsid w:val="00670E93"/>
    <w:rsid w:val="006716D1"/>
    <w:rsid w:val="00671AE0"/>
    <w:rsid w:val="00671DD4"/>
    <w:rsid w:val="006720E8"/>
    <w:rsid w:val="00672232"/>
    <w:rsid w:val="006725CC"/>
    <w:rsid w:val="00672E84"/>
    <w:rsid w:val="00673039"/>
    <w:rsid w:val="00673298"/>
    <w:rsid w:val="00673CD6"/>
    <w:rsid w:val="00673D18"/>
    <w:rsid w:val="00674087"/>
    <w:rsid w:val="0067425A"/>
    <w:rsid w:val="00674385"/>
    <w:rsid w:val="0067468E"/>
    <w:rsid w:val="00674932"/>
    <w:rsid w:val="006757B4"/>
    <w:rsid w:val="00676351"/>
    <w:rsid w:val="006766E8"/>
    <w:rsid w:val="00676C90"/>
    <w:rsid w:val="00676F00"/>
    <w:rsid w:val="00676F1A"/>
    <w:rsid w:val="006771DB"/>
    <w:rsid w:val="00677745"/>
    <w:rsid w:val="006779C8"/>
    <w:rsid w:val="00677E55"/>
    <w:rsid w:val="006801E3"/>
    <w:rsid w:val="006809AD"/>
    <w:rsid w:val="00680A00"/>
    <w:rsid w:val="00680FFA"/>
    <w:rsid w:val="0068177E"/>
    <w:rsid w:val="00681CCF"/>
    <w:rsid w:val="0068240D"/>
    <w:rsid w:val="006833CE"/>
    <w:rsid w:val="0068352B"/>
    <w:rsid w:val="00684C68"/>
    <w:rsid w:val="00685105"/>
    <w:rsid w:val="00685638"/>
    <w:rsid w:val="00685663"/>
    <w:rsid w:val="00685850"/>
    <w:rsid w:val="00685E8E"/>
    <w:rsid w:val="00685F63"/>
    <w:rsid w:val="00686247"/>
    <w:rsid w:val="0068626A"/>
    <w:rsid w:val="00686777"/>
    <w:rsid w:val="00686A51"/>
    <w:rsid w:val="00686BFE"/>
    <w:rsid w:val="006900A6"/>
    <w:rsid w:val="00690348"/>
    <w:rsid w:val="00690739"/>
    <w:rsid w:val="00690843"/>
    <w:rsid w:val="006924FD"/>
    <w:rsid w:val="00692D47"/>
    <w:rsid w:val="006937D9"/>
    <w:rsid w:val="00693A53"/>
    <w:rsid w:val="00693C50"/>
    <w:rsid w:val="0069498F"/>
    <w:rsid w:val="00694E55"/>
    <w:rsid w:val="006953F2"/>
    <w:rsid w:val="00695CF7"/>
    <w:rsid w:val="00696154"/>
    <w:rsid w:val="00696638"/>
    <w:rsid w:val="00696A50"/>
    <w:rsid w:val="00696BEC"/>
    <w:rsid w:val="00697051"/>
    <w:rsid w:val="00697598"/>
    <w:rsid w:val="0069769D"/>
    <w:rsid w:val="00697EC9"/>
    <w:rsid w:val="006A020E"/>
    <w:rsid w:val="006A04CF"/>
    <w:rsid w:val="006A07BE"/>
    <w:rsid w:val="006A0A44"/>
    <w:rsid w:val="006A175D"/>
    <w:rsid w:val="006A19A7"/>
    <w:rsid w:val="006A26FA"/>
    <w:rsid w:val="006A315D"/>
    <w:rsid w:val="006A357C"/>
    <w:rsid w:val="006A5245"/>
    <w:rsid w:val="006A52A5"/>
    <w:rsid w:val="006A54E2"/>
    <w:rsid w:val="006A54F6"/>
    <w:rsid w:val="006A6579"/>
    <w:rsid w:val="006A67A0"/>
    <w:rsid w:val="006A753C"/>
    <w:rsid w:val="006A7613"/>
    <w:rsid w:val="006A792F"/>
    <w:rsid w:val="006B0637"/>
    <w:rsid w:val="006B0FE4"/>
    <w:rsid w:val="006B1440"/>
    <w:rsid w:val="006B1698"/>
    <w:rsid w:val="006B1F68"/>
    <w:rsid w:val="006B1FB1"/>
    <w:rsid w:val="006B2E91"/>
    <w:rsid w:val="006B32A7"/>
    <w:rsid w:val="006B33C3"/>
    <w:rsid w:val="006B411C"/>
    <w:rsid w:val="006B4ADC"/>
    <w:rsid w:val="006B4C16"/>
    <w:rsid w:val="006B5B81"/>
    <w:rsid w:val="006B5E12"/>
    <w:rsid w:val="006B635B"/>
    <w:rsid w:val="006B6EDE"/>
    <w:rsid w:val="006B7400"/>
    <w:rsid w:val="006B7A0D"/>
    <w:rsid w:val="006B7C03"/>
    <w:rsid w:val="006B7EDF"/>
    <w:rsid w:val="006C0365"/>
    <w:rsid w:val="006C0B21"/>
    <w:rsid w:val="006C0F33"/>
    <w:rsid w:val="006C0F85"/>
    <w:rsid w:val="006C1192"/>
    <w:rsid w:val="006C1502"/>
    <w:rsid w:val="006C1A6A"/>
    <w:rsid w:val="006C1CC9"/>
    <w:rsid w:val="006C22BA"/>
    <w:rsid w:val="006C3599"/>
    <w:rsid w:val="006C39D2"/>
    <w:rsid w:val="006C4273"/>
    <w:rsid w:val="006C4691"/>
    <w:rsid w:val="006C4CCA"/>
    <w:rsid w:val="006C5094"/>
    <w:rsid w:val="006C548E"/>
    <w:rsid w:val="006C5594"/>
    <w:rsid w:val="006C587D"/>
    <w:rsid w:val="006C70F6"/>
    <w:rsid w:val="006C725F"/>
    <w:rsid w:val="006C7263"/>
    <w:rsid w:val="006C791D"/>
    <w:rsid w:val="006D0A1E"/>
    <w:rsid w:val="006D16E4"/>
    <w:rsid w:val="006D1777"/>
    <w:rsid w:val="006D1AAD"/>
    <w:rsid w:val="006D1F0A"/>
    <w:rsid w:val="006D26A6"/>
    <w:rsid w:val="006D2C78"/>
    <w:rsid w:val="006D33CC"/>
    <w:rsid w:val="006D35F7"/>
    <w:rsid w:val="006D3625"/>
    <w:rsid w:val="006D3FEB"/>
    <w:rsid w:val="006D4522"/>
    <w:rsid w:val="006D466E"/>
    <w:rsid w:val="006D486A"/>
    <w:rsid w:val="006D54E9"/>
    <w:rsid w:val="006D5D09"/>
    <w:rsid w:val="006D65C4"/>
    <w:rsid w:val="006D679A"/>
    <w:rsid w:val="006D6B42"/>
    <w:rsid w:val="006D70D2"/>
    <w:rsid w:val="006D721E"/>
    <w:rsid w:val="006D737B"/>
    <w:rsid w:val="006D7E33"/>
    <w:rsid w:val="006E042E"/>
    <w:rsid w:val="006E1018"/>
    <w:rsid w:val="006E17DE"/>
    <w:rsid w:val="006E1D98"/>
    <w:rsid w:val="006E1DFA"/>
    <w:rsid w:val="006E2147"/>
    <w:rsid w:val="006E2518"/>
    <w:rsid w:val="006E2661"/>
    <w:rsid w:val="006E27A9"/>
    <w:rsid w:val="006E3B23"/>
    <w:rsid w:val="006E3BF1"/>
    <w:rsid w:val="006E3F21"/>
    <w:rsid w:val="006E4517"/>
    <w:rsid w:val="006E55D5"/>
    <w:rsid w:val="006E643B"/>
    <w:rsid w:val="006E654B"/>
    <w:rsid w:val="006E6F33"/>
    <w:rsid w:val="006E6FA1"/>
    <w:rsid w:val="006E7B21"/>
    <w:rsid w:val="006E7DC9"/>
    <w:rsid w:val="006F06C3"/>
    <w:rsid w:val="006F0E30"/>
    <w:rsid w:val="006F0F77"/>
    <w:rsid w:val="006F1233"/>
    <w:rsid w:val="006F1348"/>
    <w:rsid w:val="006F14D6"/>
    <w:rsid w:val="006F1CE2"/>
    <w:rsid w:val="006F24FA"/>
    <w:rsid w:val="006F2B4E"/>
    <w:rsid w:val="006F3A0E"/>
    <w:rsid w:val="006F3B44"/>
    <w:rsid w:val="006F4AC4"/>
    <w:rsid w:val="006F541C"/>
    <w:rsid w:val="006F628F"/>
    <w:rsid w:val="006F712B"/>
    <w:rsid w:val="006F7144"/>
    <w:rsid w:val="006F72F0"/>
    <w:rsid w:val="006F7758"/>
    <w:rsid w:val="0070001B"/>
    <w:rsid w:val="00701097"/>
    <w:rsid w:val="00702043"/>
    <w:rsid w:val="007020E5"/>
    <w:rsid w:val="00702187"/>
    <w:rsid w:val="00702582"/>
    <w:rsid w:val="0070260D"/>
    <w:rsid w:val="007028F2"/>
    <w:rsid w:val="00702B34"/>
    <w:rsid w:val="00703BD4"/>
    <w:rsid w:val="00703EDD"/>
    <w:rsid w:val="00704408"/>
    <w:rsid w:val="00704445"/>
    <w:rsid w:val="007054D0"/>
    <w:rsid w:val="00705C8D"/>
    <w:rsid w:val="00705EEB"/>
    <w:rsid w:val="007061E6"/>
    <w:rsid w:val="00706EA6"/>
    <w:rsid w:val="0070764F"/>
    <w:rsid w:val="0071048F"/>
    <w:rsid w:val="0071050F"/>
    <w:rsid w:val="0071062D"/>
    <w:rsid w:val="00710B22"/>
    <w:rsid w:val="00711752"/>
    <w:rsid w:val="00712874"/>
    <w:rsid w:val="00712C26"/>
    <w:rsid w:val="00713142"/>
    <w:rsid w:val="00713472"/>
    <w:rsid w:val="00713F1D"/>
    <w:rsid w:val="007143C6"/>
    <w:rsid w:val="00714603"/>
    <w:rsid w:val="0071544A"/>
    <w:rsid w:val="00715F01"/>
    <w:rsid w:val="00716A3A"/>
    <w:rsid w:val="00716AF6"/>
    <w:rsid w:val="00716D17"/>
    <w:rsid w:val="007175A2"/>
    <w:rsid w:val="007176E5"/>
    <w:rsid w:val="00717DC9"/>
    <w:rsid w:val="007206B2"/>
    <w:rsid w:val="007206C3"/>
    <w:rsid w:val="00720A26"/>
    <w:rsid w:val="00720B39"/>
    <w:rsid w:val="007214F2"/>
    <w:rsid w:val="00722704"/>
    <w:rsid w:val="00722FA7"/>
    <w:rsid w:val="007235B4"/>
    <w:rsid w:val="00723D60"/>
    <w:rsid w:val="0072410C"/>
    <w:rsid w:val="0072472B"/>
    <w:rsid w:val="00724AF3"/>
    <w:rsid w:val="00724B8F"/>
    <w:rsid w:val="00724CE8"/>
    <w:rsid w:val="00726565"/>
    <w:rsid w:val="00726587"/>
    <w:rsid w:val="00726B62"/>
    <w:rsid w:val="00726CFD"/>
    <w:rsid w:val="007271CD"/>
    <w:rsid w:val="0072738F"/>
    <w:rsid w:val="0072751B"/>
    <w:rsid w:val="007278B7"/>
    <w:rsid w:val="00727C50"/>
    <w:rsid w:val="0073069E"/>
    <w:rsid w:val="00731EA7"/>
    <w:rsid w:val="007322CF"/>
    <w:rsid w:val="007326DE"/>
    <w:rsid w:val="0073313E"/>
    <w:rsid w:val="00733142"/>
    <w:rsid w:val="0073314C"/>
    <w:rsid w:val="007341A0"/>
    <w:rsid w:val="007344E4"/>
    <w:rsid w:val="0073464D"/>
    <w:rsid w:val="00734754"/>
    <w:rsid w:val="00735DA6"/>
    <w:rsid w:val="0073676E"/>
    <w:rsid w:val="007369FF"/>
    <w:rsid w:val="00736B63"/>
    <w:rsid w:val="00736DCD"/>
    <w:rsid w:val="007374B2"/>
    <w:rsid w:val="00737557"/>
    <w:rsid w:val="007375EF"/>
    <w:rsid w:val="00737823"/>
    <w:rsid w:val="00737E88"/>
    <w:rsid w:val="00740288"/>
    <w:rsid w:val="00740328"/>
    <w:rsid w:val="00740811"/>
    <w:rsid w:val="00741433"/>
    <w:rsid w:val="00741ACA"/>
    <w:rsid w:val="00741ED7"/>
    <w:rsid w:val="007427EA"/>
    <w:rsid w:val="00742806"/>
    <w:rsid w:val="00742B66"/>
    <w:rsid w:val="00742E9F"/>
    <w:rsid w:val="00742F5D"/>
    <w:rsid w:val="00743757"/>
    <w:rsid w:val="007438B2"/>
    <w:rsid w:val="007439E0"/>
    <w:rsid w:val="0074443B"/>
    <w:rsid w:val="007448B8"/>
    <w:rsid w:val="00744B0E"/>
    <w:rsid w:val="00744DA3"/>
    <w:rsid w:val="0074503C"/>
    <w:rsid w:val="00745396"/>
    <w:rsid w:val="007457B2"/>
    <w:rsid w:val="00745810"/>
    <w:rsid w:val="00745D13"/>
    <w:rsid w:val="00746323"/>
    <w:rsid w:val="007465D1"/>
    <w:rsid w:val="007466A1"/>
    <w:rsid w:val="00746FAE"/>
    <w:rsid w:val="00747173"/>
    <w:rsid w:val="007473B4"/>
    <w:rsid w:val="00747474"/>
    <w:rsid w:val="00747486"/>
    <w:rsid w:val="007478C8"/>
    <w:rsid w:val="00747BCD"/>
    <w:rsid w:val="007509D9"/>
    <w:rsid w:val="00750E77"/>
    <w:rsid w:val="00751817"/>
    <w:rsid w:val="00751852"/>
    <w:rsid w:val="00751ADC"/>
    <w:rsid w:val="00751B38"/>
    <w:rsid w:val="00751D58"/>
    <w:rsid w:val="00751DBA"/>
    <w:rsid w:val="007520EB"/>
    <w:rsid w:val="007521DC"/>
    <w:rsid w:val="007521EB"/>
    <w:rsid w:val="007526CC"/>
    <w:rsid w:val="00752FEB"/>
    <w:rsid w:val="0075342E"/>
    <w:rsid w:val="00753BC5"/>
    <w:rsid w:val="007541F8"/>
    <w:rsid w:val="00754201"/>
    <w:rsid w:val="0075422A"/>
    <w:rsid w:val="007542B4"/>
    <w:rsid w:val="007549EC"/>
    <w:rsid w:val="00754F42"/>
    <w:rsid w:val="00754FC4"/>
    <w:rsid w:val="0075510F"/>
    <w:rsid w:val="0075537C"/>
    <w:rsid w:val="0075552A"/>
    <w:rsid w:val="0075629F"/>
    <w:rsid w:val="00756D4D"/>
    <w:rsid w:val="00757EF4"/>
    <w:rsid w:val="00757F02"/>
    <w:rsid w:val="0076056C"/>
    <w:rsid w:val="00760A9F"/>
    <w:rsid w:val="0076166B"/>
    <w:rsid w:val="00761676"/>
    <w:rsid w:val="0076173B"/>
    <w:rsid w:val="007629B8"/>
    <w:rsid w:val="00763002"/>
    <w:rsid w:val="007631DD"/>
    <w:rsid w:val="00763F06"/>
    <w:rsid w:val="00763FD7"/>
    <w:rsid w:val="007643A6"/>
    <w:rsid w:val="0076488F"/>
    <w:rsid w:val="00765183"/>
    <w:rsid w:val="007652ED"/>
    <w:rsid w:val="007652F3"/>
    <w:rsid w:val="00765BCB"/>
    <w:rsid w:val="00765C3F"/>
    <w:rsid w:val="00766861"/>
    <w:rsid w:val="007675DA"/>
    <w:rsid w:val="00767EA3"/>
    <w:rsid w:val="00770540"/>
    <w:rsid w:val="00770A59"/>
    <w:rsid w:val="00770DDB"/>
    <w:rsid w:val="00770F77"/>
    <w:rsid w:val="00771061"/>
    <w:rsid w:val="00771181"/>
    <w:rsid w:val="007715AA"/>
    <w:rsid w:val="0077237C"/>
    <w:rsid w:val="00772651"/>
    <w:rsid w:val="00772A28"/>
    <w:rsid w:val="007731E6"/>
    <w:rsid w:val="007731E9"/>
    <w:rsid w:val="007733C4"/>
    <w:rsid w:val="00773510"/>
    <w:rsid w:val="00773541"/>
    <w:rsid w:val="007737C2"/>
    <w:rsid w:val="00773F70"/>
    <w:rsid w:val="007749D9"/>
    <w:rsid w:val="00774CBF"/>
    <w:rsid w:val="00775A58"/>
    <w:rsid w:val="00776E26"/>
    <w:rsid w:val="007771A4"/>
    <w:rsid w:val="007774E7"/>
    <w:rsid w:val="00777908"/>
    <w:rsid w:val="00777BC1"/>
    <w:rsid w:val="00780457"/>
    <w:rsid w:val="00780FE8"/>
    <w:rsid w:val="00781385"/>
    <w:rsid w:val="0078172A"/>
    <w:rsid w:val="00781D74"/>
    <w:rsid w:val="00781E22"/>
    <w:rsid w:val="00781E80"/>
    <w:rsid w:val="00782895"/>
    <w:rsid w:val="00783436"/>
    <w:rsid w:val="00783E6D"/>
    <w:rsid w:val="00783EF7"/>
    <w:rsid w:val="00784092"/>
    <w:rsid w:val="00784A0A"/>
    <w:rsid w:val="00784D2A"/>
    <w:rsid w:val="00784D71"/>
    <w:rsid w:val="00784E8D"/>
    <w:rsid w:val="007857A2"/>
    <w:rsid w:val="00785E2F"/>
    <w:rsid w:val="00786142"/>
    <w:rsid w:val="0078680E"/>
    <w:rsid w:val="007869FB"/>
    <w:rsid w:val="00786DB3"/>
    <w:rsid w:val="00787807"/>
    <w:rsid w:val="00790EB3"/>
    <w:rsid w:val="007910D1"/>
    <w:rsid w:val="0079182E"/>
    <w:rsid w:val="00791B3D"/>
    <w:rsid w:val="00791FE9"/>
    <w:rsid w:val="00792537"/>
    <w:rsid w:val="00793283"/>
    <w:rsid w:val="00795253"/>
    <w:rsid w:val="0079578D"/>
    <w:rsid w:val="0079580E"/>
    <w:rsid w:val="0079584A"/>
    <w:rsid w:val="007963C7"/>
    <w:rsid w:val="00796A07"/>
    <w:rsid w:val="0079774C"/>
    <w:rsid w:val="007977D4"/>
    <w:rsid w:val="007A0031"/>
    <w:rsid w:val="007A0880"/>
    <w:rsid w:val="007A0C6B"/>
    <w:rsid w:val="007A1503"/>
    <w:rsid w:val="007A150F"/>
    <w:rsid w:val="007A1752"/>
    <w:rsid w:val="007A181B"/>
    <w:rsid w:val="007A19AE"/>
    <w:rsid w:val="007A1C0F"/>
    <w:rsid w:val="007A2112"/>
    <w:rsid w:val="007A24FB"/>
    <w:rsid w:val="007A2662"/>
    <w:rsid w:val="007A2702"/>
    <w:rsid w:val="007A2F43"/>
    <w:rsid w:val="007A4124"/>
    <w:rsid w:val="007A4789"/>
    <w:rsid w:val="007A4901"/>
    <w:rsid w:val="007A49C8"/>
    <w:rsid w:val="007A4CF4"/>
    <w:rsid w:val="007A4ED2"/>
    <w:rsid w:val="007A4FA1"/>
    <w:rsid w:val="007A59C8"/>
    <w:rsid w:val="007A5EFD"/>
    <w:rsid w:val="007A72DB"/>
    <w:rsid w:val="007B00BF"/>
    <w:rsid w:val="007B0391"/>
    <w:rsid w:val="007B1488"/>
    <w:rsid w:val="007B16DC"/>
    <w:rsid w:val="007B1E83"/>
    <w:rsid w:val="007B2955"/>
    <w:rsid w:val="007B302E"/>
    <w:rsid w:val="007B3432"/>
    <w:rsid w:val="007B39F2"/>
    <w:rsid w:val="007B3E0F"/>
    <w:rsid w:val="007B4502"/>
    <w:rsid w:val="007B45F8"/>
    <w:rsid w:val="007B4671"/>
    <w:rsid w:val="007B5065"/>
    <w:rsid w:val="007B5C54"/>
    <w:rsid w:val="007B6AE9"/>
    <w:rsid w:val="007B7996"/>
    <w:rsid w:val="007B7A61"/>
    <w:rsid w:val="007B7BDB"/>
    <w:rsid w:val="007C072D"/>
    <w:rsid w:val="007C0A6A"/>
    <w:rsid w:val="007C1120"/>
    <w:rsid w:val="007C1929"/>
    <w:rsid w:val="007C1E02"/>
    <w:rsid w:val="007C2965"/>
    <w:rsid w:val="007C2A43"/>
    <w:rsid w:val="007C3927"/>
    <w:rsid w:val="007C49D2"/>
    <w:rsid w:val="007C4B81"/>
    <w:rsid w:val="007C51FB"/>
    <w:rsid w:val="007C57F9"/>
    <w:rsid w:val="007C5A0E"/>
    <w:rsid w:val="007C6237"/>
    <w:rsid w:val="007C64B0"/>
    <w:rsid w:val="007C65FB"/>
    <w:rsid w:val="007C67DB"/>
    <w:rsid w:val="007C690C"/>
    <w:rsid w:val="007C6C85"/>
    <w:rsid w:val="007C7223"/>
    <w:rsid w:val="007C7638"/>
    <w:rsid w:val="007D028E"/>
    <w:rsid w:val="007D21D4"/>
    <w:rsid w:val="007D290A"/>
    <w:rsid w:val="007D2E4E"/>
    <w:rsid w:val="007D35C5"/>
    <w:rsid w:val="007D370A"/>
    <w:rsid w:val="007D37EE"/>
    <w:rsid w:val="007D3B9B"/>
    <w:rsid w:val="007D3E60"/>
    <w:rsid w:val="007D41CC"/>
    <w:rsid w:val="007D5606"/>
    <w:rsid w:val="007D56A7"/>
    <w:rsid w:val="007D5EAD"/>
    <w:rsid w:val="007D60E5"/>
    <w:rsid w:val="007D6723"/>
    <w:rsid w:val="007D6B30"/>
    <w:rsid w:val="007D6BB9"/>
    <w:rsid w:val="007D783D"/>
    <w:rsid w:val="007D7982"/>
    <w:rsid w:val="007D7BD4"/>
    <w:rsid w:val="007D7F5C"/>
    <w:rsid w:val="007E1117"/>
    <w:rsid w:val="007E11CB"/>
    <w:rsid w:val="007E1E92"/>
    <w:rsid w:val="007E2EF5"/>
    <w:rsid w:val="007E3297"/>
    <w:rsid w:val="007E34E6"/>
    <w:rsid w:val="007E37CD"/>
    <w:rsid w:val="007E3998"/>
    <w:rsid w:val="007E57A3"/>
    <w:rsid w:val="007E631A"/>
    <w:rsid w:val="007E6E78"/>
    <w:rsid w:val="007E75B2"/>
    <w:rsid w:val="007E7720"/>
    <w:rsid w:val="007E7E56"/>
    <w:rsid w:val="007F093F"/>
    <w:rsid w:val="007F097E"/>
    <w:rsid w:val="007F0C65"/>
    <w:rsid w:val="007F0CBB"/>
    <w:rsid w:val="007F0F20"/>
    <w:rsid w:val="007F16D3"/>
    <w:rsid w:val="007F1CAB"/>
    <w:rsid w:val="007F1DF6"/>
    <w:rsid w:val="007F1E35"/>
    <w:rsid w:val="007F1EB1"/>
    <w:rsid w:val="007F2E38"/>
    <w:rsid w:val="007F302A"/>
    <w:rsid w:val="007F330C"/>
    <w:rsid w:val="007F3702"/>
    <w:rsid w:val="007F460F"/>
    <w:rsid w:val="007F5248"/>
    <w:rsid w:val="007F541B"/>
    <w:rsid w:val="007F5B71"/>
    <w:rsid w:val="007F6421"/>
    <w:rsid w:val="007F6723"/>
    <w:rsid w:val="007F6FB4"/>
    <w:rsid w:val="007F6FF5"/>
    <w:rsid w:val="007F7424"/>
    <w:rsid w:val="007F750D"/>
    <w:rsid w:val="007F77FD"/>
    <w:rsid w:val="007F7D72"/>
    <w:rsid w:val="00800269"/>
    <w:rsid w:val="00800601"/>
    <w:rsid w:val="00800DCB"/>
    <w:rsid w:val="00800E44"/>
    <w:rsid w:val="008016AA"/>
    <w:rsid w:val="00801A6A"/>
    <w:rsid w:val="00802074"/>
    <w:rsid w:val="00802490"/>
    <w:rsid w:val="00802C86"/>
    <w:rsid w:val="00803324"/>
    <w:rsid w:val="008035AA"/>
    <w:rsid w:val="008036A0"/>
    <w:rsid w:val="00803D66"/>
    <w:rsid w:val="00803F73"/>
    <w:rsid w:val="0080440A"/>
    <w:rsid w:val="008046EE"/>
    <w:rsid w:val="00804C3D"/>
    <w:rsid w:val="00804D12"/>
    <w:rsid w:val="00804ED8"/>
    <w:rsid w:val="00805011"/>
    <w:rsid w:val="0080559A"/>
    <w:rsid w:val="00805871"/>
    <w:rsid w:val="008058A6"/>
    <w:rsid w:val="008058ED"/>
    <w:rsid w:val="00805AC0"/>
    <w:rsid w:val="00805B64"/>
    <w:rsid w:val="00805D83"/>
    <w:rsid w:val="008060C5"/>
    <w:rsid w:val="00806EC1"/>
    <w:rsid w:val="00806F79"/>
    <w:rsid w:val="008075ED"/>
    <w:rsid w:val="00807A99"/>
    <w:rsid w:val="00807CCD"/>
    <w:rsid w:val="008101E7"/>
    <w:rsid w:val="00810A29"/>
    <w:rsid w:val="00810C4C"/>
    <w:rsid w:val="00810E57"/>
    <w:rsid w:val="00811563"/>
    <w:rsid w:val="008116EE"/>
    <w:rsid w:val="008118DC"/>
    <w:rsid w:val="00811AAC"/>
    <w:rsid w:val="008120A2"/>
    <w:rsid w:val="008122D0"/>
    <w:rsid w:val="00812FF9"/>
    <w:rsid w:val="00813106"/>
    <w:rsid w:val="00813533"/>
    <w:rsid w:val="00813D13"/>
    <w:rsid w:val="0081423F"/>
    <w:rsid w:val="0081443A"/>
    <w:rsid w:val="008155F9"/>
    <w:rsid w:val="008157BB"/>
    <w:rsid w:val="00816B1D"/>
    <w:rsid w:val="00816FA9"/>
    <w:rsid w:val="00820668"/>
    <w:rsid w:val="00820803"/>
    <w:rsid w:val="008211D4"/>
    <w:rsid w:val="00821B05"/>
    <w:rsid w:val="008220FD"/>
    <w:rsid w:val="008227BB"/>
    <w:rsid w:val="0082367A"/>
    <w:rsid w:val="00823C20"/>
    <w:rsid w:val="00823D68"/>
    <w:rsid w:val="00824EA0"/>
    <w:rsid w:val="0082521E"/>
    <w:rsid w:val="008260E3"/>
    <w:rsid w:val="008261E1"/>
    <w:rsid w:val="008266B2"/>
    <w:rsid w:val="00826869"/>
    <w:rsid w:val="00826FA3"/>
    <w:rsid w:val="0083005E"/>
    <w:rsid w:val="00830A64"/>
    <w:rsid w:val="00831320"/>
    <w:rsid w:val="0083189A"/>
    <w:rsid w:val="00831C50"/>
    <w:rsid w:val="00831DBC"/>
    <w:rsid w:val="00831EFA"/>
    <w:rsid w:val="00832299"/>
    <w:rsid w:val="00832611"/>
    <w:rsid w:val="00832B79"/>
    <w:rsid w:val="00832CE9"/>
    <w:rsid w:val="00833D3E"/>
    <w:rsid w:val="00834665"/>
    <w:rsid w:val="0083532B"/>
    <w:rsid w:val="008353E5"/>
    <w:rsid w:val="0083562E"/>
    <w:rsid w:val="0083578A"/>
    <w:rsid w:val="008366B8"/>
    <w:rsid w:val="008368E6"/>
    <w:rsid w:val="00837360"/>
    <w:rsid w:val="00837BC5"/>
    <w:rsid w:val="00840351"/>
    <w:rsid w:val="0084085F"/>
    <w:rsid w:val="008413D9"/>
    <w:rsid w:val="00842E5C"/>
    <w:rsid w:val="008430E6"/>
    <w:rsid w:val="0084313F"/>
    <w:rsid w:val="00843C68"/>
    <w:rsid w:val="008443A6"/>
    <w:rsid w:val="00844BBA"/>
    <w:rsid w:val="00844BE3"/>
    <w:rsid w:val="00844BE9"/>
    <w:rsid w:val="00845026"/>
    <w:rsid w:val="008454E5"/>
    <w:rsid w:val="0084626A"/>
    <w:rsid w:val="00846299"/>
    <w:rsid w:val="008466B1"/>
    <w:rsid w:val="00846798"/>
    <w:rsid w:val="00846880"/>
    <w:rsid w:val="00846890"/>
    <w:rsid w:val="00846A9E"/>
    <w:rsid w:val="00846DE1"/>
    <w:rsid w:val="00847696"/>
    <w:rsid w:val="00847702"/>
    <w:rsid w:val="0084771A"/>
    <w:rsid w:val="00847E41"/>
    <w:rsid w:val="00847F26"/>
    <w:rsid w:val="00850B0A"/>
    <w:rsid w:val="00850BC7"/>
    <w:rsid w:val="008513AC"/>
    <w:rsid w:val="008513AD"/>
    <w:rsid w:val="008520A5"/>
    <w:rsid w:val="00852549"/>
    <w:rsid w:val="008527B9"/>
    <w:rsid w:val="00852801"/>
    <w:rsid w:val="00852CC5"/>
    <w:rsid w:val="00852F59"/>
    <w:rsid w:val="008532E0"/>
    <w:rsid w:val="00853655"/>
    <w:rsid w:val="0085366C"/>
    <w:rsid w:val="00853A9D"/>
    <w:rsid w:val="0085416B"/>
    <w:rsid w:val="008544EF"/>
    <w:rsid w:val="00854A66"/>
    <w:rsid w:val="00855257"/>
    <w:rsid w:val="00855968"/>
    <w:rsid w:val="008559BC"/>
    <w:rsid w:val="00855B9F"/>
    <w:rsid w:val="00856254"/>
    <w:rsid w:val="00856528"/>
    <w:rsid w:val="008566A0"/>
    <w:rsid w:val="00857530"/>
    <w:rsid w:val="00857FB3"/>
    <w:rsid w:val="008602D7"/>
    <w:rsid w:val="00860814"/>
    <w:rsid w:val="00861086"/>
    <w:rsid w:val="0086121B"/>
    <w:rsid w:val="00861337"/>
    <w:rsid w:val="00861393"/>
    <w:rsid w:val="0086159E"/>
    <w:rsid w:val="00861B36"/>
    <w:rsid w:val="00861BCA"/>
    <w:rsid w:val="00862154"/>
    <w:rsid w:val="008624A3"/>
    <w:rsid w:val="008628D4"/>
    <w:rsid w:val="00863D68"/>
    <w:rsid w:val="00863E2B"/>
    <w:rsid w:val="00864139"/>
    <w:rsid w:val="00864160"/>
    <w:rsid w:val="00864B7E"/>
    <w:rsid w:val="008651A4"/>
    <w:rsid w:val="00865C52"/>
    <w:rsid w:val="00865EDA"/>
    <w:rsid w:val="0086605B"/>
    <w:rsid w:val="00866318"/>
    <w:rsid w:val="008663F0"/>
    <w:rsid w:val="00866B13"/>
    <w:rsid w:val="008670A6"/>
    <w:rsid w:val="00867AB2"/>
    <w:rsid w:val="00867BCF"/>
    <w:rsid w:val="00867C46"/>
    <w:rsid w:val="00867E88"/>
    <w:rsid w:val="00867EBE"/>
    <w:rsid w:val="00867F5D"/>
    <w:rsid w:val="00870681"/>
    <w:rsid w:val="00870AF6"/>
    <w:rsid w:val="00870BD7"/>
    <w:rsid w:val="008710A8"/>
    <w:rsid w:val="00871793"/>
    <w:rsid w:val="00871CD3"/>
    <w:rsid w:val="00871FD0"/>
    <w:rsid w:val="0087233E"/>
    <w:rsid w:val="008725E5"/>
    <w:rsid w:val="008726AF"/>
    <w:rsid w:val="00872E99"/>
    <w:rsid w:val="00872FC5"/>
    <w:rsid w:val="00873DD6"/>
    <w:rsid w:val="008742FB"/>
    <w:rsid w:val="00874A5B"/>
    <w:rsid w:val="00874CD9"/>
    <w:rsid w:val="00874E5B"/>
    <w:rsid w:val="00875994"/>
    <w:rsid w:val="008759CC"/>
    <w:rsid w:val="00875B44"/>
    <w:rsid w:val="00875C02"/>
    <w:rsid w:val="00875E3F"/>
    <w:rsid w:val="00877443"/>
    <w:rsid w:val="0087768F"/>
    <w:rsid w:val="008776FC"/>
    <w:rsid w:val="00877CA9"/>
    <w:rsid w:val="008800A3"/>
    <w:rsid w:val="00880CA1"/>
    <w:rsid w:val="008817EF"/>
    <w:rsid w:val="0088379D"/>
    <w:rsid w:val="00883939"/>
    <w:rsid w:val="00883C25"/>
    <w:rsid w:val="00884B48"/>
    <w:rsid w:val="00884C7F"/>
    <w:rsid w:val="00884EF4"/>
    <w:rsid w:val="008855A0"/>
    <w:rsid w:val="0088575D"/>
    <w:rsid w:val="0088600A"/>
    <w:rsid w:val="00886432"/>
    <w:rsid w:val="00886815"/>
    <w:rsid w:val="00887237"/>
    <w:rsid w:val="008874F6"/>
    <w:rsid w:val="00890315"/>
    <w:rsid w:val="008905A2"/>
    <w:rsid w:val="0089088F"/>
    <w:rsid w:val="00890A46"/>
    <w:rsid w:val="00891540"/>
    <w:rsid w:val="00891657"/>
    <w:rsid w:val="00891C08"/>
    <w:rsid w:val="0089220C"/>
    <w:rsid w:val="00892745"/>
    <w:rsid w:val="00892966"/>
    <w:rsid w:val="008949D9"/>
    <w:rsid w:val="00894F4E"/>
    <w:rsid w:val="0089558F"/>
    <w:rsid w:val="008956A2"/>
    <w:rsid w:val="0089718D"/>
    <w:rsid w:val="008972D3"/>
    <w:rsid w:val="008979F6"/>
    <w:rsid w:val="00897D7C"/>
    <w:rsid w:val="008A080F"/>
    <w:rsid w:val="008A0CFE"/>
    <w:rsid w:val="008A0D88"/>
    <w:rsid w:val="008A1384"/>
    <w:rsid w:val="008A18F5"/>
    <w:rsid w:val="008A1D73"/>
    <w:rsid w:val="008A24BD"/>
    <w:rsid w:val="008A29B8"/>
    <w:rsid w:val="008A2A24"/>
    <w:rsid w:val="008A317B"/>
    <w:rsid w:val="008A33FE"/>
    <w:rsid w:val="008A3F4B"/>
    <w:rsid w:val="008A43A7"/>
    <w:rsid w:val="008A44B8"/>
    <w:rsid w:val="008A455D"/>
    <w:rsid w:val="008A504D"/>
    <w:rsid w:val="008A588C"/>
    <w:rsid w:val="008A5DE4"/>
    <w:rsid w:val="008A609D"/>
    <w:rsid w:val="008A6CC7"/>
    <w:rsid w:val="008A73A2"/>
    <w:rsid w:val="008A7444"/>
    <w:rsid w:val="008A76ED"/>
    <w:rsid w:val="008B0034"/>
    <w:rsid w:val="008B020F"/>
    <w:rsid w:val="008B02C2"/>
    <w:rsid w:val="008B041F"/>
    <w:rsid w:val="008B0896"/>
    <w:rsid w:val="008B0F37"/>
    <w:rsid w:val="008B104B"/>
    <w:rsid w:val="008B123D"/>
    <w:rsid w:val="008B2416"/>
    <w:rsid w:val="008B2C4B"/>
    <w:rsid w:val="008B2C91"/>
    <w:rsid w:val="008B3022"/>
    <w:rsid w:val="008B3A1B"/>
    <w:rsid w:val="008B3A99"/>
    <w:rsid w:val="008B3FC0"/>
    <w:rsid w:val="008B4525"/>
    <w:rsid w:val="008B4952"/>
    <w:rsid w:val="008B4F77"/>
    <w:rsid w:val="008B5172"/>
    <w:rsid w:val="008B53EE"/>
    <w:rsid w:val="008B55A5"/>
    <w:rsid w:val="008B5711"/>
    <w:rsid w:val="008B68A2"/>
    <w:rsid w:val="008B6FBE"/>
    <w:rsid w:val="008B734C"/>
    <w:rsid w:val="008B744A"/>
    <w:rsid w:val="008B77C7"/>
    <w:rsid w:val="008C01F6"/>
    <w:rsid w:val="008C10C8"/>
    <w:rsid w:val="008C1152"/>
    <w:rsid w:val="008C1230"/>
    <w:rsid w:val="008C191A"/>
    <w:rsid w:val="008C205E"/>
    <w:rsid w:val="008C21E1"/>
    <w:rsid w:val="008C26D6"/>
    <w:rsid w:val="008C2719"/>
    <w:rsid w:val="008C2A88"/>
    <w:rsid w:val="008C3F4B"/>
    <w:rsid w:val="008C47CA"/>
    <w:rsid w:val="008C4AA5"/>
    <w:rsid w:val="008C5816"/>
    <w:rsid w:val="008C5DFE"/>
    <w:rsid w:val="008C68E5"/>
    <w:rsid w:val="008C73A8"/>
    <w:rsid w:val="008C7604"/>
    <w:rsid w:val="008C7FCE"/>
    <w:rsid w:val="008D089D"/>
    <w:rsid w:val="008D1056"/>
    <w:rsid w:val="008D1547"/>
    <w:rsid w:val="008D1707"/>
    <w:rsid w:val="008D18C9"/>
    <w:rsid w:val="008D1A93"/>
    <w:rsid w:val="008D244B"/>
    <w:rsid w:val="008D2580"/>
    <w:rsid w:val="008D2952"/>
    <w:rsid w:val="008D337E"/>
    <w:rsid w:val="008D3988"/>
    <w:rsid w:val="008D3AA0"/>
    <w:rsid w:val="008D414C"/>
    <w:rsid w:val="008D42BB"/>
    <w:rsid w:val="008D4929"/>
    <w:rsid w:val="008D4B3A"/>
    <w:rsid w:val="008D4E99"/>
    <w:rsid w:val="008D4FD4"/>
    <w:rsid w:val="008D5168"/>
    <w:rsid w:val="008D5478"/>
    <w:rsid w:val="008D5762"/>
    <w:rsid w:val="008D5B91"/>
    <w:rsid w:val="008D6E73"/>
    <w:rsid w:val="008D6FCD"/>
    <w:rsid w:val="008D776C"/>
    <w:rsid w:val="008D7C94"/>
    <w:rsid w:val="008D7F92"/>
    <w:rsid w:val="008E0C52"/>
    <w:rsid w:val="008E0E2B"/>
    <w:rsid w:val="008E1A5F"/>
    <w:rsid w:val="008E1EBA"/>
    <w:rsid w:val="008E2145"/>
    <w:rsid w:val="008E21F7"/>
    <w:rsid w:val="008E26A1"/>
    <w:rsid w:val="008E30E2"/>
    <w:rsid w:val="008E37D9"/>
    <w:rsid w:val="008E3A40"/>
    <w:rsid w:val="008E3D8A"/>
    <w:rsid w:val="008E4174"/>
    <w:rsid w:val="008E4CFA"/>
    <w:rsid w:val="008E4E7D"/>
    <w:rsid w:val="008E5A13"/>
    <w:rsid w:val="008E6206"/>
    <w:rsid w:val="008E656F"/>
    <w:rsid w:val="008E7E34"/>
    <w:rsid w:val="008F0B77"/>
    <w:rsid w:val="008F11C3"/>
    <w:rsid w:val="008F199E"/>
    <w:rsid w:val="008F1EBB"/>
    <w:rsid w:val="008F2AFD"/>
    <w:rsid w:val="008F2C8D"/>
    <w:rsid w:val="008F3748"/>
    <w:rsid w:val="008F3775"/>
    <w:rsid w:val="008F3BD0"/>
    <w:rsid w:val="008F4320"/>
    <w:rsid w:val="008F4415"/>
    <w:rsid w:val="008F462E"/>
    <w:rsid w:val="008F48D3"/>
    <w:rsid w:val="008F4A16"/>
    <w:rsid w:val="008F4A45"/>
    <w:rsid w:val="008F4E0E"/>
    <w:rsid w:val="008F556C"/>
    <w:rsid w:val="008F61AF"/>
    <w:rsid w:val="008F666D"/>
    <w:rsid w:val="008F69BF"/>
    <w:rsid w:val="008F6DD9"/>
    <w:rsid w:val="008F6E45"/>
    <w:rsid w:val="008F7692"/>
    <w:rsid w:val="008F790F"/>
    <w:rsid w:val="008F7C02"/>
    <w:rsid w:val="008F7D52"/>
    <w:rsid w:val="009007B5"/>
    <w:rsid w:val="00900CCD"/>
    <w:rsid w:val="009012EA"/>
    <w:rsid w:val="00901A95"/>
    <w:rsid w:val="00901B48"/>
    <w:rsid w:val="00901D0E"/>
    <w:rsid w:val="009025D3"/>
    <w:rsid w:val="00902953"/>
    <w:rsid w:val="00902F6D"/>
    <w:rsid w:val="0090429F"/>
    <w:rsid w:val="009047C0"/>
    <w:rsid w:val="00904ABC"/>
    <w:rsid w:val="00905337"/>
    <w:rsid w:val="00905676"/>
    <w:rsid w:val="00905AC1"/>
    <w:rsid w:val="00906555"/>
    <w:rsid w:val="00906D82"/>
    <w:rsid w:val="00907108"/>
    <w:rsid w:val="009076BB"/>
    <w:rsid w:val="00907AA0"/>
    <w:rsid w:val="00910317"/>
    <w:rsid w:val="0091079F"/>
    <w:rsid w:val="009113A7"/>
    <w:rsid w:val="00912277"/>
    <w:rsid w:val="0091274C"/>
    <w:rsid w:val="009133EA"/>
    <w:rsid w:val="00913588"/>
    <w:rsid w:val="0091393F"/>
    <w:rsid w:val="009146A4"/>
    <w:rsid w:val="009146E8"/>
    <w:rsid w:val="0091510F"/>
    <w:rsid w:val="00915155"/>
    <w:rsid w:val="00915A5C"/>
    <w:rsid w:val="00915D6A"/>
    <w:rsid w:val="00915EB8"/>
    <w:rsid w:val="009172F0"/>
    <w:rsid w:val="009200DF"/>
    <w:rsid w:val="009203C7"/>
    <w:rsid w:val="009203EF"/>
    <w:rsid w:val="00920BE0"/>
    <w:rsid w:val="00920FC9"/>
    <w:rsid w:val="00921125"/>
    <w:rsid w:val="0092195C"/>
    <w:rsid w:val="00921C16"/>
    <w:rsid w:val="00921F5D"/>
    <w:rsid w:val="0092296F"/>
    <w:rsid w:val="00922EBB"/>
    <w:rsid w:val="00922FD8"/>
    <w:rsid w:val="00923030"/>
    <w:rsid w:val="009238AD"/>
    <w:rsid w:val="00924780"/>
    <w:rsid w:val="009249C2"/>
    <w:rsid w:val="0092530B"/>
    <w:rsid w:val="009255C5"/>
    <w:rsid w:val="00925B41"/>
    <w:rsid w:val="00925FDE"/>
    <w:rsid w:val="00926266"/>
    <w:rsid w:val="00927639"/>
    <w:rsid w:val="009277F7"/>
    <w:rsid w:val="00927F98"/>
    <w:rsid w:val="0093003B"/>
    <w:rsid w:val="0093035B"/>
    <w:rsid w:val="00930456"/>
    <w:rsid w:val="00930683"/>
    <w:rsid w:val="0093072D"/>
    <w:rsid w:val="00931D4A"/>
    <w:rsid w:val="009325E6"/>
    <w:rsid w:val="009332DB"/>
    <w:rsid w:val="00934744"/>
    <w:rsid w:val="00934F65"/>
    <w:rsid w:val="00934F7D"/>
    <w:rsid w:val="00935F11"/>
    <w:rsid w:val="00936E52"/>
    <w:rsid w:val="0093731C"/>
    <w:rsid w:val="009373C5"/>
    <w:rsid w:val="009373F8"/>
    <w:rsid w:val="009376B8"/>
    <w:rsid w:val="009378EF"/>
    <w:rsid w:val="009379E4"/>
    <w:rsid w:val="00937D47"/>
    <w:rsid w:val="00940CBA"/>
    <w:rsid w:val="00940E40"/>
    <w:rsid w:val="0094133F"/>
    <w:rsid w:val="009417DE"/>
    <w:rsid w:val="009421D2"/>
    <w:rsid w:val="00943D76"/>
    <w:rsid w:val="00944E3C"/>
    <w:rsid w:val="00945106"/>
    <w:rsid w:val="00946237"/>
    <w:rsid w:val="00946575"/>
    <w:rsid w:val="00946ABD"/>
    <w:rsid w:val="00946B84"/>
    <w:rsid w:val="00947DC3"/>
    <w:rsid w:val="00947EF0"/>
    <w:rsid w:val="009503CB"/>
    <w:rsid w:val="00950588"/>
    <w:rsid w:val="009509C0"/>
    <w:rsid w:val="00951101"/>
    <w:rsid w:val="00951254"/>
    <w:rsid w:val="0095145C"/>
    <w:rsid w:val="009519E7"/>
    <w:rsid w:val="009523DC"/>
    <w:rsid w:val="00952805"/>
    <w:rsid w:val="00952876"/>
    <w:rsid w:val="0095370E"/>
    <w:rsid w:val="00953F52"/>
    <w:rsid w:val="00954BE3"/>
    <w:rsid w:val="00955646"/>
    <w:rsid w:val="00956051"/>
    <w:rsid w:val="0095619C"/>
    <w:rsid w:val="00956340"/>
    <w:rsid w:val="00956A3F"/>
    <w:rsid w:val="0095744E"/>
    <w:rsid w:val="00960120"/>
    <w:rsid w:val="00960428"/>
    <w:rsid w:val="00961133"/>
    <w:rsid w:val="00961829"/>
    <w:rsid w:val="009619E0"/>
    <w:rsid w:val="009620DB"/>
    <w:rsid w:val="00962226"/>
    <w:rsid w:val="00963057"/>
    <w:rsid w:val="009630F5"/>
    <w:rsid w:val="009634B6"/>
    <w:rsid w:val="00963C08"/>
    <w:rsid w:val="009640E1"/>
    <w:rsid w:val="009641C5"/>
    <w:rsid w:val="0096420B"/>
    <w:rsid w:val="009644FC"/>
    <w:rsid w:val="00964ACC"/>
    <w:rsid w:val="00965365"/>
    <w:rsid w:val="009658EE"/>
    <w:rsid w:val="00965E6D"/>
    <w:rsid w:val="00965E6E"/>
    <w:rsid w:val="00965F36"/>
    <w:rsid w:val="00966140"/>
    <w:rsid w:val="00966298"/>
    <w:rsid w:val="0096641E"/>
    <w:rsid w:val="009666EB"/>
    <w:rsid w:val="009668D2"/>
    <w:rsid w:val="009671E0"/>
    <w:rsid w:val="0096722E"/>
    <w:rsid w:val="00967CBA"/>
    <w:rsid w:val="00970065"/>
    <w:rsid w:val="00970462"/>
    <w:rsid w:val="009708DC"/>
    <w:rsid w:val="00970A06"/>
    <w:rsid w:val="00970B08"/>
    <w:rsid w:val="0097101F"/>
    <w:rsid w:val="0097143C"/>
    <w:rsid w:val="00971885"/>
    <w:rsid w:val="009719BD"/>
    <w:rsid w:val="00971E4F"/>
    <w:rsid w:val="0097279F"/>
    <w:rsid w:val="009728FF"/>
    <w:rsid w:val="00973899"/>
    <w:rsid w:val="00973999"/>
    <w:rsid w:val="00973A30"/>
    <w:rsid w:val="00973AD4"/>
    <w:rsid w:val="00973DCA"/>
    <w:rsid w:val="00973E3D"/>
    <w:rsid w:val="00973E9D"/>
    <w:rsid w:val="00974D1B"/>
    <w:rsid w:val="00975BD0"/>
    <w:rsid w:val="00975CB7"/>
    <w:rsid w:val="0097712A"/>
    <w:rsid w:val="009774E0"/>
    <w:rsid w:val="00977906"/>
    <w:rsid w:val="00977936"/>
    <w:rsid w:val="009779F3"/>
    <w:rsid w:val="00980391"/>
    <w:rsid w:val="00980444"/>
    <w:rsid w:val="0098076D"/>
    <w:rsid w:val="00981343"/>
    <w:rsid w:val="00981DCD"/>
    <w:rsid w:val="00982554"/>
    <w:rsid w:val="00982817"/>
    <w:rsid w:val="00982A3C"/>
    <w:rsid w:val="00982EDB"/>
    <w:rsid w:val="009837E7"/>
    <w:rsid w:val="00984B6F"/>
    <w:rsid w:val="00985568"/>
    <w:rsid w:val="00986677"/>
    <w:rsid w:val="009867B3"/>
    <w:rsid w:val="00986813"/>
    <w:rsid w:val="00986B2A"/>
    <w:rsid w:val="00986B47"/>
    <w:rsid w:val="00986CF0"/>
    <w:rsid w:val="00987165"/>
    <w:rsid w:val="0098777E"/>
    <w:rsid w:val="00987A21"/>
    <w:rsid w:val="00987B71"/>
    <w:rsid w:val="00987D47"/>
    <w:rsid w:val="0099005B"/>
    <w:rsid w:val="00990778"/>
    <w:rsid w:val="00990D71"/>
    <w:rsid w:val="00991D80"/>
    <w:rsid w:val="00991FA3"/>
    <w:rsid w:val="0099369D"/>
    <w:rsid w:val="00993B9C"/>
    <w:rsid w:val="009940A1"/>
    <w:rsid w:val="009947E6"/>
    <w:rsid w:val="00994E66"/>
    <w:rsid w:val="0099529C"/>
    <w:rsid w:val="009956B1"/>
    <w:rsid w:val="009956C1"/>
    <w:rsid w:val="009956E5"/>
    <w:rsid w:val="00995848"/>
    <w:rsid w:val="00996079"/>
    <w:rsid w:val="0099636E"/>
    <w:rsid w:val="009969CF"/>
    <w:rsid w:val="009969F1"/>
    <w:rsid w:val="0099724D"/>
    <w:rsid w:val="0099754A"/>
    <w:rsid w:val="00997976"/>
    <w:rsid w:val="009A02BC"/>
    <w:rsid w:val="009A04F4"/>
    <w:rsid w:val="009A0640"/>
    <w:rsid w:val="009A077E"/>
    <w:rsid w:val="009A0D45"/>
    <w:rsid w:val="009A0D75"/>
    <w:rsid w:val="009A15F0"/>
    <w:rsid w:val="009A1686"/>
    <w:rsid w:val="009A1B9B"/>
    <w:rsid w:val="009A1E64"/>
    <w:rsid w:val="009A23CC"/>
    <w:rsid w:val="009A30EE"/>
    <w:rsid w:val="009A3122"/>
    <w:rsid w:val="009A4152"/>
    <w:rsid w:val="009A41E3"/>
    <w:rsid w:val="009A43BC"/>
    <w:rsid w:val="009A468D"/>
    <w:rsid w:val="009A4C33"/>
    <w:rsid w:val="009A562F"/>
    <w:rsid w:val="009A5CFC"/>
    <w:rsid w:val="009A6169"/>
    <w:rsid w:val="009A6BCD"/>
    <w:rsid w:val="009B072B"/>
    <w:rsid w:val="009B0C91"/>
    <w:rsid w:val="009B0E07"/>
    <w:rsid w:val="009B174B"/>
    <w:rsid w:val="009B1967"/>
    <w:rsid w:val="009B1C79"/>
    <w:rsid w:val="009B2459"/>
    <w:rsid w:val="009B25E5"/>
    <w:rsid w:val="009B2680"/>
    <w:rsid w:val="009B26B9"/>
    <w:rsid w:val="009B2B94"/>
    <w:rsid w:val="009B36D0"/>
    <w:rsid w:val="009B423A"/>
    <w:rsid w:val="009B4524"/>
    <w:rsid w:val="009B4594"/>
    <w:rsid w:val="009B4992"/>
    <w:rsid w:val="009B5A68"/>
    <w:rsid w:val="009B7029"/>
    <w:rsid w:val="009B778D"/>
    <w:rsid w:val="009C03BF"/>
    <w:rsid w:val="009C041D"/>
    <w:rsid w:val="009C0712"/>
    <w:rsid w:val="009C0901"/>
    <w:rsid w:val="009C0D2F"/>
    <w:rsid w:val="009C17E8"/>
    <w:rsid w:val="009C1D34"/>
    <w:rsid w:val="009C1E2C"/>
    <w:rsid w:val="009C25C7"/>
    <w:rsid w:val="009C26F8"/>
    <w:rsid w:val="009C2EAD"/>
    <w:rsid w:val="009C3E66"/>
    <w:rsid w:val="009C4017"/>
    <w:rsid w:val="009C4677"/>
    <w:rsid w:val="009C486B"/>
    <w:rsid w:val="009C4B1D"/>
    <w:rsid w:val="009C5343"/>
    <w:rsid w:val="009C5451"/>
    <w:rsid w:val="009C5A24"/>
    <w:rsid w:val="009C5AA5"/>
    <w:rsid w:val="009C5C0C"/>
    <w:rsid w:val="009C5F72"/>
    <w:rsid w:val="009C63CD"/>
    <w:rsid w:val="009C6F73"/>
    <w:rsid w:val="009C73C1"/>
    <w:rsid w:val="009C74A8"/>
    <w:rsid w:val="009C7616"/>
    <w:rsid w:val="009C7B1A"/>
    <w:rsid w:val="009D0342"/>
    <w:rsid w:val="009D03AB"/>
    <w:rsid w:val="009D05D9"/>
    <w:rsid w:val="009D08B3"/>
    <w:rsid w:val="009D097A"/>
    <w:rsid w:val="009D1708"/>
    <w:rsid w:val="009D18D9"/>
    <w:rsid w:val="009D19C5"/>
    <w:rsid w:val="009D1C48"/>
    <w:rsid w:val="009D2075"/>
    <w:rsid w:val="009D22CF"/>
    <w:rsid w:val="009D25BB"/>
    <w:rsid w:val="009D322F"/>
    <w:rsid w:val="009D327B"/>
    <w:rsid w:val="009D3A15"/>
    <w:rsid w:val="009D3BFA"/>
    <w:rsid w:val="009D4CC1"/>
    <w:rsid w:val="009D58B1"/>
    <w:rsid w:val="009D6E44"/>
    <w:rsid w:val="009D7652"/>
    <w:rsid w:val="009E0505"/>
    <w:rsid w:val="009E0872"/>
    <w:rsid w:val="009E08E4"/>
    <w:rsid w:val="009E0D73"/>
    <w:rsid w:val="009E0EFD"/>
    <w:rsid w:val="009E108A"/>
    <w:rsid w:val="009E1361"/>
    <w:rsid w:val="009E1D33"/>
    <w:rsid w:val="009E2458"/>
    <w:rsid w:val="009E246E"/>
    <w:rsid w:val="009E2601"/>
    <w:rsid w:val="009E2AF3"/>
    <w:rsid w:val="009E2DC2"/>
    <w:rsid w:val="009E3251"/>
    <w:rsid w:val="009E3939"/>
    <w:rsid w:val="009E40F2"/>
    <w:rsid w:val="009E456A"/>
    <w:rsid w:val="009E4885"/>
    <w:rsid w:val="009E4E87"/>
    <w:rsid w:val="009E526C"/>
    <w:rsid w:val="009E52A3"/>
    <w:rsid w:val="009E5935"/>
    <w:rsid w:val="009E5A05"/>
    <w:rsid w:val="009E5AAE"/>
    <w:rsid w:val="009E5B9C"/>
    <w:rsid w:val="009E7068"/>
    <w:rsid w:val="009E7DB1"/>
    <w:rsid w:val="009E7FA9"/>
    <w:rsid w:val="009F05D7"/>
    <w:rsid w:val="009F0755"/>
    <w:rsid w:val="009F0BF0"/>
    <w:rsid w:val="009F0D8C"/>
    <w:rsid w:val="009F106B"/>
    <w:rsid w:val="009F1BE7"/>
    <w:rsid w:val="009F1C2B"/>
    <w:rsid w:val="009F21B9"/>
    <w:rsid w:val="009F28E3"/>
    <w:rsid w:val="009F2C6A"/>
    <w:rsid w:val="009F2F7E"/>
    <w:rsid w:val="009F32F5"/>
    <w:rsid w:val="009F38B4"/>
    <w:rsid w:val="009F3BA0"/>
    <w:rsid w:val="009F3D6D"/>
    <w:rsid w:val="009F4187"/>
    <w:rsid w:val="009F4479"/>
    <w:rsid w:val="009F47D0"/>
    <w:rsid w:val="009F4A3C"/>
    <w:rsid w:val="009F4C78"/>
    <w:rsid w:val="009F4FC0"/>
    <w:rsid w:val="009F5526"/>
    <w:rsid w:val="009F5A96"/>
    <w:rsid w:val="009F5D37"/>
    <w:rsid w:val="009F6334"/>
    <w:rsid w:val="009F6412"/>
    <w:rsid w:val="009F690C"/>
    <w:rsid w:val="009F6F92"/>
    <w:rsid w:val="009F7C18"/>
    <w:rsid w:val="009F7D44"/>
    <w:rsid w:val="009F7D86"/>
    <w:rsid w:val="009F7E40"/>
    <w:rsid w:val="00A0000F"/>
    <w:rsid w:val="00A000A8"/>
    <w:rsid w:val="00A00523"/>
    <w:rsid w:val="00A010BC"/>
    <w:rsid w:val="00A01241"/>
    <w:rsid w:val="00A01CCB"/>
    <w:rsid w:val="00A0285E"/>
    <w:rsid w:val="00A036BF"/>
    <w:rsid w:val="00A03790"/>
    <w:rsid w:val="00A0408F"/>
    <w:rsid w:val="00A04616"/>
    <w:rsid w:val="00A04E94"/>
    <w:rsid w:val="00A04FF2"/>
    <w:rsid w:val="00A05C90"/>
    <w:rsid w:val="00A05F01"/>
    <w:rsid w:val="00A05F4C"/>
    <w:rsid w:val="00A06138"/>
    <w:rsid w:val="00A07069"/>
    <w:rsid w:val="00A0756A"/>
    <w:rsid w:val="00A078E2"/>
    <w:rsid w:val="00A07EBD"/>
    <w:rsid w:val="00A10704"/>
    <w:rsid w:val="00A11734"/>
    <w:rsid w:val="00A117A6"/>
    <w:rsid w:val="00A12CE0"/>
    <w:rsid w:val="00A12D5C"/>
    <w:rsid w:val="00A12F5B"/>
    <w:rsid w:val="00A12FA5"/>
    <w:rsid w:val="00A131FD"/>
    <w:rsid w:val="00A13392"/>
    <w:rsid w:val="00A140B2"/>
    <w:rsid w:val="00A14C59"/>
    <w:rsid w:val="00A14E80"/>
    <w:rsid w:val="00A14ECD"/>
    <w:rsid w:val="00A15A7B"/>
    <w:rsid w:val="00A15BB7"/>
    <w:rsid w:val="00A16986"/>
    <w:rsid w:val="00A16AC5"/>
    <w:rsid w:val="00A16B50"/>
    <w:rsid w:val="00A16BD7"/>
    <w:rsid w:val="00A17AF6"/>
    <w:rsid w:val="00A21424"/>
    <w:rsid w:val="00A214A0"/>
    <w:rsid w:val="00A21A35"/>
    <w:rsid w:val="00A226F7"/>
    <w:rsid w:val="00A22A0A"/>
    <w:rsid w:val="00A22AF0"/>
    <w:rsid w:val="00A23326"/>
    <w:rsid w:val="00A24008"/>
    <w:rsid w:val="00A24285"/>
    <w:rsid w:val="00A25706"/>
    <w:rsid w:val="00A25CA1"/>
    <w:rsid w:val="00A260B0"/>
    <w:rsid w:val="00A2626B"/>
    <w:rsid w:val="00A26661"/>
    <w:rsid w:val="00A26857"/>
    <w:rsid w:val="00A26A6E"/>
    <w:rsid w:val="00A300A1"/>
    <w:rsid w:val="00A3064E"/>
    <w:rsid w:val="00A30C49"/>
    <w:rsid w:val="00A30FFD"/>
    <w:rsid w:val="00A31457"/>
    <w:rsid w:val="00A31C4A"/>
    <w:rsid w:val="00A323AF"/>
    <w:rsid w:val="00A3302D"/>
    <w:rsid w:val="00A33837"/>
    <w:rsid w:val="00A33C4F"/>
    <w:rsid w:val="00A33D33"/>
    <w:rsid w:val="00A33F57"/>
    <w:rsid w:val="00A3405E"/>
    <w:rsid w:val="00A340DB"/>
    <w:rsid w:val="00A34673"/>
    <w:rsid w:val="00A34CF1"/>
    <w:rsid w:val="00A3517B"/>
    <w:rsid w:val="00A35192"/>
    <w:rsid w:val="00A354AC"/>
    <w:rsid w:val="00A355BA"/>
    <w:rsid w:val="00A35D5F"/>
    <w:rsid w:val="00A362D8"/>
    <w:rsid w:val="00A363EB"/>
    <w:rsid w:val="00A364CF"/>
    <w:rsid w:val="00A373F4"/>
    <w:rsid w:val="00A375EC"/>
    <w:rsid w:val="00A37E5D"/>
    <w:rsid w:val="00A40520"/>
    <w:rsid w:val="00A40971"/>
    <w:rsid w:val="00A40D8E"/>
    <w:rsid w:val="00A4108A"/>
    <w:rsid w:val="00A410C4"/>
    <w:rsid w:val="00A41891"/>
    <w:rsid w:val="00A4196F"/>
    <w:rsid w:val="00A41EFB"/>
    <w:rsid w:val="00A41F46"/>
    <w:rsid w:val="00A4257A"/>
    <w:rsid w:val="00A42970"/>
    <w:rsid w:val="00A42FA0"/>
    <w:rsid w:val="00A439BD"/>
    <w:rsid w:val="00A439CB"/>
    <w:rsid w:val="00A4448F"/>
    <w:rsid w:val="00A4479A"/>
    <w:rsid w:val="00A447EB"/>
    <w:rsid w:val="00A4503C"/>
    <w:rsid w:val="00A467C1"/>
    <w:rsid w:val="00A46BB0"/>
    <w:rsid w:val="00A47F3C"/>
    <w:rsid w:val="00A5019A"/>
    <w:rsid w:val="00A50A33"/>
    <w:rsid w:val="00A515E4"/>
    <w:rsid w:val="00A5227D"/>
    <w:rsid w:val="00A527AC"/>
    <w:rsid w:val="00A52B66"/>
    <w:rsid w:val="00A5318B"/>
    <w:rsid w:val="00A536AD"/>
    <w:rsid w:val="00A55B0B"/>
    <w:rsid w:val="00A564EC"/>
    <w:rsid w:val="00A565EF"/>
    <w:rsid w:val="00A56F41"/>
    <w:rsid w:val="00A57D90"/>
    <w:rsid w:val="00A57F0C"/>
    <w:rsid w:val="00A60A1E"/>
    <w:rsid w:val="00A60B05"/>
    <w:rsid w:val="00A61CF1"/>
    <w:rsid w:val="00A62242"/>
    <w:rsid w:val="00A62E1E"/>
    <w:rsid w:val="00A6325F"/>
    <w:rsid w:val="00A63AA7"/>
    <w:rsid w:val="00A64180"/>
    <w:rsid w:val="00A64203"/>
    <w:rsid w:val="00A64508"/>
    <w:rsid w:val="00A64854"/>
    <w:rsid w:val="00A64C41"/>
    <w:rsid w:val="00A65A02"/>
    <w:rsid w:val="00A65CC9"/>
    <w:rsid w:val="00A662A1"/>
    <w:rsid w:val="00A6644F"/>
    <w:rsid w:val="00A666D4"/>
    <w:rsid w:val="00A666F5"/>
    <w:rsid w:val="00A667E3"/>
    <w:rsid w:val="00A66B7D"/>
    <w:rsid w:val="00A66B9E"/>
    <w:rsid w:val="00A67084"/>
    <w:rsid w:val="00A704AF"/>
    <w:rsid w:val="00A7149C"/>
    <w:rsid w:val="00A71D99"/>
    <w:rsid w:val="00A72528"/>
    <w:rsid w:val="00A72618"/>
    <w:rsid w:val="00A72674"/>
    <w:rsid w:val="00A727C3"/>
    <w:rsid w:val="00A72B6F"/>
    <w:rsid w:val="00A72D0C"/>
    <w:rsid w:val="00A72EFC"/>
    <w:rsid w:val="00A730EB"/>
    <w:rsid w:val="00A73EFE"/>
    <w:rsid w:val="00A744DE"/>
    <w:rsid w:val="00A75C8C"/>
    <w:rsid w:val="00A76D71"/>
    <w:rsid w:val="00A76D73"/>
    <w:rsid w:val="00A77141"/>
    <w:rsid w:val="00A7780D"/>
    <w:rsid w:val="00A803FA"/>
    <w:rsid w:val="00A806AF"/>
    <w:rsid w:val="00A808B7"/>
    <w:rsid w:val="00A80A9B"/>
    <w:rsid w:val="00A80DDA"/>
    <w:rsid w:val="00A81B06"/>
    <w:rsid w:val="00A82061"/>
    <w:rsid w:val="00A82854"/>
    <w:rsid w:val="00A82A5E"/>
    <w:rsid w:val="00A82B6B"/>
    <w:rsid w:val="00A82D08"/>
    <w:rsid w:val="00A82D0A"/>
    <w:rsid w:val="00A83474"/>
    <w:rsid w:val="00A83808"/>
    <w:rsid w:val="00A83C3D"/>
    <w:rsid w:val="00A83E76"/>
    <w:rsid w:val="00A842D3"/>
    <w:rsid w:val="00A84503"/>
    <w:rsid w:val="00A84706"/>
    <w:rsid w:val="00A8623D"/>
    <w:rsid w:val="00A86F15"/>
    <w:rsid w:val="00A8735C"/>
    <w:rsid w:val="00A87840"/>
    <w:rsid w:val="00A87920"/>
    <w:rsid w:val="00A87A1A"/>
    <w:rsid w:val="00A87EE7"/>
    <w:rsid w:val="00A90566"/>
    <w:rsid w:val="00A90FF7"/>
    <w:rsid w:val="00A91013"/>
    <w:rsid w:val="00A91279"/>
    <w:rsid w:val="00A91356"/>
    <w:rsid w:val="00A9213A"/>
    <w:rsid w:val="00A930D2"/>
    <w:rsid w:val="00A934CD"/>
    <w:rsid w:val="00A934D4"/>
    <w:rsid w:val="00A941B4"/>
    <w:rsid w:val="00A941DD"/>
    <w:rsid w:val="00A94B9A"/>
    <w:rsid w:val="00A94D0C"/>
    <w:rsid w:val="00A94E19"/>
    <w:rsid w:val="00A9562D"/>
    <w:rsid w:val="00A95A6B"/>
    <w:rsid w:val="00A95DD7"/>
    <w:rsid w:val="00A962DD"/>
    <w:rsid w:val="00A96DB3"/>
    <w:rsid w:val="00A974FE"/>
    <w:rsid w:val="00A97B81"/>
    <w:rsid w:val="00AA06CE"/>
    <w:rsid w:val="00AA11DF"/>
    <w:rsid w:val="00AA12F8"/>
    <w:rsid w:val="00AA1378"/>
    <w:rsid w:val="00AA1406"/>
    <w:rsid w:val="00AA1759"/>
    <w:rsid w:val="00AA276B"/>
    <w:rsid w:val="00AA2A14"/>
    <w:rsid w:val="00AA2C23"/>
    <w:rsid w:val="00AA414B"/>
    <w:rsid w:val="00AA4708"/>
    <w:rsid w:val="00AA48E3"/>
    <w:rsid w:val="00AA4AB5"/>
    <w:rsid w:val="00AA4DAE"/>
    <w:rsid w:val="00AA544D"/>
    <w:rsid w:val="00AA5ED2"/>
    <w:rsid w:val="00AA6182"/>
    <w:rsid w:val="00AA63BD"/>
    <w:rsid w:val="00AA6971"/>
    <w:rsid w:val="00AA6F0F"/>
    <w:rsid w:val="00AB0455"/>
    <w:rsid w:val="00AB0641"/>
    <w:rsid w:val="00AB15B9"/>
    <w:rsid w:val="00AB1851"/>
    <w:rsid w:val="00AB2007"/>
    <w:rsid w:val="00AB3225"/>
    <w:rsid w:val="00AB3989"/>
    <w:rsid w:val="00AB3F0C"/>
    <w:rsid w:val="00AB4AC4"/>
    <w:rsid w:val="00AB60C1"/>
    <w:rsid w:val="00AB6252"/>
    <w:rsid w:val="00AB6737"/>
    <w:rsid w:val="00AB68BA"/>
    <w:rsid w:val="00AB70B9"/>
    <w:rsid w:val="00AB7D78"/>
    <w:rsid w:val="00AC017B"/>
    <w:rsid w:val="00AC0B61"/>
    <w:rsid w:val="00AC12D6"/>
    <w:rsid w:val="00AC1375"/>
    <w:rsid w:val="00AC140C"/>
    <w:rsid w:val="00AC16D2"/>
    <w:rsid w:val="00AC25B4"/>
    <w:rsid w:val="00AC294E"/>
    <w:rsid w:val="00AC2FE9"/>
    <w:rsid w:val="00AC33B9"/>
    <w:rsid w:val="00AC3494"/>
    <w:rsid w:val="00AC3495"/>
    <w:rsid w:val="00AC360E"/>
    <w:rsid w:val="00AC3880"/>
    <w:rsid w:val="00AC38EC"/>
    <w:rsid w:val="00AC398A"/>
    <w:rsid w:val="00AC3A62"/>
    <w:rsid w:val="00AC3BB5"/>
    <w:rsid w:val="00AC3E64"/>
    <w:rsid w:val="00AC4769"/>
    <w:rsid w:val="00AC4AF9"/>
    <w:rsid w:val="00AC4B01"/>
    <w:rsid w:val="00AC4E91"/>
    <w:rsid w:val="00AC4ED7"/>
    <w:rsid w:val="00AC52AD"/>
    <w:rsid w:val="00AC5475"/>
    <w:rsid w:val="00AC5789"/>
    <w:rsid w:val="00AC686C"/>
    <w:rsid w:val="00AC686D"/>
    <w:rsid w:val="00AD01EC"/>
    <w:rsid w:val="00AD05B4"/>
    <w:rsid w:val="00AD15B7"/>
    <w:rsid w:val="00AD1B06"/>
    <w:rsid w:val="00AD28D7"/>
    <w:rsid w:val="00AD32F4"/>
    <w:rsid w:val="00AD33BC"/>
    <w:rsid w:val="00AD39F8"/>
    <w:rsid w:val="00AD3CCC"/>
    <w:rsid w:val="00AD3D7A"/>
    <w:rsid w:val="00AD4825"/>
    <w:rsid w:val="00AD4A55"/>
    <w:rsid w:val="00AD538D"/>
    <w:rsid w:val="00AD54BF"/>
    <w:rsid w:val="00AD56E4"/>
    <w:rsid w:val="00AD5705"/>
    <w:rsid w:val="00AD5DDE"/>
    <w:rsid w:val="00AD7C08"/>
    <w:rsid w:val="00AE02F6"/>
    <w:rsid w:val="00AE03B4"/>
    <w:rsid w:val="00AE12F0"/>
    <w:rsid w:val="00AE160E"/>
    <w:rsid w:val="00AE1E6A"/>
    <w:rsid w:val="00AE32F3"/>
    <w:rsid w:val="00AE353D"/>
    <w:rsid w:val="00AE39CC"/>
    <w:rsid w:val="00AE4024"/>
    <w:rsid w:val="00AE4368"/>
    <w:rsid w:val="00AE43D1"/>
    <w:rsid w:val="00AE4A88"/>
    <w:rsid w:val="00AE4B9B"/>
    <w:rsid w:val="00AE4DF2"/>
    <w:rsid w:val="00AE578C"/>
    <w:rsid w:val="00AE5B66"/>
    <w:rsid w:val="00AE6173"/>
    <w:rsid w:val="00AE64BE"/>
    <w:rsid w:val="00AE6851"/>
    <w:rsid w:val="00AE6F6C"/>
    <w:rsid w:val="00AE78A1"/>
    <w:rsid w:val="00AE799D"/>
    <w:rsid w:val="00AE7F85"/>
    <w:rsid w:val="00AF0D80"/>
    <w:rsid w:val="00AF101E"/>
    <w:rsid w:val="00AF1468"/>
    <w:rsid w:val="00AF1C93"/>
    <w:rsid w:val="00AF1F7E"/>
    <w:rsid w:val="00AF2295"/>
    <w:rsid w:val="00AF2814"/>
    <w:rsid w:val="00AF2D0F"/>
    <w:rsid w:val="00AF3175"/>
    <w:rsid w:val="00AF3C95"/>
    <w:rsid w:val="00AF3EAE"/>
    <w:rsid w:val="00AF407E"/>
    <w:rsid w:val="00AF4854"/>
    <w:rsid w:val="00AF4ABB"/>
    <w:rsid w:val="00AF4ACC"/>
    <w:rsid w:val="00AF4B23"/>
    <w:rsid w:val="00AF5ABB"/>
    <w:rsid w:val="00AF5D02"/>
    <w:rsid w:val="00AF5FFE"/>
    <w:rsid w:val="00AF702A"/>
    <w:rsid w:val="00AF70DD"/>
    <w:rsid w:val="00AF742D"/>
    <w:rsid w:val="00AF7436"/>
    <w:rsid w:val="00B0128C"/>
    <w:rsid w:val="00B01B0E"/>
    <w:rsid w:val="00B01B63"/>
    <w:rsid w:val="00B01C71"/>
    <w:rsid w:val="00B01CE7"/>
    <w:rsid w:val="00B01CFA"/>
    <w:rsid w:val="00B022F7"/>
    <w:rsid w:val="00B024E1"/>
    <w:rsid w:val="00B02C5A"/>
    <w:rsid w:val="00B02EF5"/>
    <w:rsid w:val="00B03388"/>
    <w:rsid w:val="00B046C0"/>
    <w:rsid w:val="00B047D2"/>
    <w:rsid w:val="00B04B31"/>
    <w:rsid w:val="00B04B65"/>
    <w:rsid w:val="00B058E4"/>
    <w:rsid w:val="00B05979"/>
    <w:rsid w:val="00B05BB0"/>
    <w:rsid w:val="00B065D5"/>
    <w:rsid w:val="00B06D40"/>
    <w:rsid w:val="00B0792A"/>
    <w:rsid w:val="00B10631"/>
    <w:rsid w:val="00B10C12"/>
    <w:rsid w:val="00B10E7C"/>
    <w:rsid w:val="00B1121B"/>
    <w:rsid w:val="00B11BE3"/>
    <w:rsid w:val="00B11CAB"/>
    <w:rsid w:val="00B120BC"/>
    <w:rsid w:val="00B120BE"/>
    <w:rsid w:val="00B1260A"/>
    <w:rsid w:val="00B12797"/>
    <w:rsid w:val="00B128D7"/>
    <w:rsid w:val="00B12ABC"/>
    <w:rsid w:val="00B1345D"/>
    <w:rsid w:val="00B13462"/>
    <w:rsid w:val="00B13A1E"/>
    <w:rsid w:val="00B14140"/>
    <w:rsid w:val="00B1424A"/>
    <w:rsid w:val="00B14E2E"/>
    <w:rsid w:val="00B14EBC"/>
    <w:rsid w:val="00B1520A"/>
    <w:rsid w:val="00B15922"/>
    <w:rsid w:val="00B15F7E"/>
    <w:rsid w:val="00B16583"/>
    <w:rsid w:val="00B16A06"/>
    <w:rsid w:val="00B16B76"/>
    <w:rsid w:val="00B170D4"/>
    <w:rsid w:val="00B172C7"/>
    <w:rsid w:val="00B174E4"/>
    <w:rsid w:val="00B200B5"/>
    <w:rsid w:val="00B20950"/>
    <w:rsid w:val="00B20BF8"/>
    <w:rsid w:val="00B216A7"/>
    <w:rsid w:val="00B21C67"/>
    <w:rsid w:val="00B22369"/>
    <w:rsid w:val="00B22513"/>
    <w:rsid w:val="00B22A04"/>
    <w:rsid w:val="00B23022"/>
    <w:rsid w:val="00B233E7"/>
    <w:rsid w:val="00B23710"/>
    <w:rsid w:val="00B239FF"/>
    <w:rsid w:val="00B245EF"/>
    <w:rsid w:val="00B246AF"/>
    <w:rsid w:val="00B247C6"/>
    <w:rsid w:val="00B24CE1"/>
    <w:rsid w:val="00B260B1"/>
    <w:rsid w:val="00B26565"/>
    <w:rsid w:val="00B26836"/>
    <w:rsid w:val="00B26A37"/>
    <w:rsid w:val="00B26C46"/>
    <w:rsid w:val="00B26D21"/>
    <w:rsid w:val="00B277F5"/>
    <w:rsid w:val="00B27894"/>
    <w:rsid w:val="00B27902"/>
    <w:rsid w:val="00B27A19"/>
    <w:rsid w:val="00B3003D"/>
    <w:rsid w:val="00B30342"/>
    <w:rsid w:val="00B304D3"/>
    <w:rsid w:val="00B30E5A"/>
    <w:rsid w:val="00B30EE4"/>
    <w:rsid w:val="00B31132"/>
    <w:rsid w:val="00B31629"/>
    <w:rsid w:val="00B31895"/>
    <w:rsid w:val="00B323C8"/>
    <w:rsid w:val="00B3248F"/>
    <w:rsid w:val="00B3261D"/>
    <w:rsid w:val="00B327D2"/>
    <w:rsid w:val="00B32D79"/>
    <w:rsid w:val="00B32DFC"/>
    <w:rsid w:val="00B32F04"/>
    <w:rsid w:val="00B32F74"/>
    <w:rsid w:val="00B33506"/>
    <w:rsid w:val="00B335B2"/>
    <w:rsid w:val="00B33D84"/>
    <w:rsid w:val="00B34247"/>
    <w:rsid w:val="00B3436A"/>
    <w:rsid w:val="00B34BF6"/>
    <w:rsid w:val="00B34ED6"/>
    <w:rsid w:val="00B3523F"/>
    <w:rsid w:val="00B3546F"/>
    <w:rsid w:val="00B354FB"/>
    <w:rsid w:val="00B35FD2"/>
    <w:rsid w:val="00B3620E"/>
    <w:rsid w:val="00B36643"/>
    <w:rsid w:val="00B36CE5"/>
    <w:rsid w:val="00B36D05"/>
    <w:rsid w:val="00B36DBE"/>
    <w:rsid w:val="00B37043"/>
    <w:rsid w:val="00B371FB"/>
    <w:rsid w:val="00B37249"/>
    <w:rsid w:val="00B37262"/>
    <w:rsid w:val="00B377E1"/>
    <w:rsid w:val="00B37B4D"/>
    <w:rsid w:val="00B40720"/>
    <w:rsid w:val="00B40F36"/>
    <w:rsid w:val="00B4101E"/>
    <w:rsid w:val="00B4133F"/>
    <w:rsid w:val="00B41B2E"/>
    <w:rsid w:val="00B4332E"/>
    <w:rsid w:val="00B442A2"/>
    <w:rsid w:val="00B442D5"/>
    <w:rsid w:val="00B444D0"/>
    <w:rsid w:val="00B44520"/>
    <w:rsid w:val="00B44D7A"/>
    <w:rsid w:val="00B455D1"/>
    <w:rsid w:val="00B4563D"/>
    <w:rsid w:val="00B4572D"/>
    <w:rsid w:val="00B45D4D"/>
    <w:rsid w:val="00B46464"/>
    <w:rsid w:val="00B46817"/>
    <w:rsid w:val="00B46BBA"/>
    <w:rsid w:val="00B46F38"/>
    <w:rsid w:val="00B479CC"/>
    <w:rsid w:val="00B501DC"/>
    <w:rsid w:val="00B5032D"/>
    <w:rsid w:val="00B523A2"/>
    <w:rsid w:val="00B527C5"/>
    <w:rsid w:val="00B529C8"/>
    <w:rsid w:val="00B52F7C"/>
    <w:rsid w:val="00B53BD8"/>
    <w:rsid w:val="00B53C0F"/>
    <w:rsid w:val="00B5495C"/>
    <w:rsid w:val="00B5543B"/>
    <w:rsid w:val="00B55813"/>
    <w:rsid w:val="00B55E9D"/>
    <w:rsid w:val="00B56356"/>
    <w:rsid w:val="00B56450"/>
    <w:rsid w:val="00B575D8"/>
    <w:rsid w:val="00B57668"/>
    <w:rsid w:val="00B57AD4"/>
    <w:rsid w:val="00B57D0B"/>
    <w:rsid w:val="00B60344"/>
    <w:rsid w:val="00B605C0"/>
    <w:rsid w:val="00B6080C"/>
    <w:rsid w:val="00B60911"/>
    <w:rsid w:val="00B60DA6"/>
    <w:rsid w:val="00B60DFC"/>
    <w:rsid w:val="00B61628"/>
    <w:rsid w:val="00B6181E"/>
    <w:rsid w:val="00B61A55"/>
    <w:rsid w:val="00B61B7A"/>
    <w:rsid w:val="00B61D1A"/>
    <w:rsid w:val="00B61F10"/>
    <w:rsid w:val="00B627D0"/>
    <w:rsid w:val="00B628F2"/>
    <w:rsid w:val="00B629C7"/>
    <w:rsid w:val="00B62C01"/>
    <w:rsid w:val="00B62C63"/>
    <w:rsid w:val="00B62E26"/>
    <w:rsid w:val="00B63069"/>
    <w:rsid w:val="00B635BF"/>
    <w:rsid w:val="00B6363A"/>
    <w:rsid w:val="00B63AC8"/>
    <w:rsid w:val="00B63D70"/>
    <w:rsid w:val="00B644C0"/>
    <w:rsid w:val="00B6487B"/>
    <w:rsid w:val="00B64946"/>
    <w:rsid w:val="00B65564"/>
    <w:rsid w:val="00B66642"/>
    <w:rsid w:val="00B667CB"/>
    <w:rsid w:val="00B66B2B"/>
    <w:rsid w:val="00B67375"/>
    <w:rsid w:val="00B67732"/>
    <w:rsid w:val="00B67750"/>
    <w:rsid w:val="00B678BE"/>
    <w:rsid w:val="00B67AE8"/>
    <w:rsid w:val="00B702E2"/>
    <w:rsid w:val="00B70FC4"/>
    <w:rsid w:val="00B7114F"/>
    <w:rsid w:val="00B71929"/>
    <w:rsid w:val="00B728F3"/>
    <w:rsid w:val="00B72D6F"/>
    <w:rsid w:val="00B7330D"/>
    <w:rsid w:val="00B73A6A"/>
    <w:rsid w:val="00B73E5F"/>
    <w:rsid w:val="00B740F9"/>
    <w:rsid w:val="00B74242"/>
    <w:rsid w:val="00B74805"/>
    <w:rsid w:val="00B74E87"/>
    <w:rsid w:val="00B74F2E"/>
    <w:rsid w:val="00B751F6"/>
    <w:rsid w:val="00B75813"/>
    <w:rsid w:val="00B76327"/>
    <w:rsid w:val="00B763A2"/>
    <w:rsid w:val="00B804CC"/>
    <w:rsid w:val="00B80762"/>
    <w:rsid w:val="00B816F7"/>
    <w:rsid w:val="00B81780"/>
    <w:rsid w:val="00B81AF7"/>
    <w:rsid w:val="00B81C57"/>
    <w:rsid w:val="00B81D91"/>
    <w:rsid w:val="00B81E2D"/>
    <w:rsid w:val="00B81E96"/>
    <w:rsid w:val="00B8241B"/>
    <w:rsid w:val="00B824EB"/>
    <w:rsid w:val="00B82598"/>
    <w:rsid w:val="00B830E3"/>
    <w:rsid w:val="00B830F3"/>
    <w:rsid w:val="00B83691"/>
    <w:rsid w:val="00B83E40"/>
    <w:rsid w:val="00B840D9"/>
    <w:rsid w:val="00B851CF"/>
    <w:rsid w:val="00B85275"/>
    <w:rsid w:val="00B85565"/>
    <w:rsid w:val="00B8580D"/>
    <w:rsid w:val="00B85977"/>
    <w:rsid w:val="00B85DBC"/>
    <w:rsid w:val="00B85E47"/>
    <w:rsid w:val="00B8660C"/>
    <w:rsid w:val="00B86868"/>
    <w:rsid w:val="00B869A2"/>
    <w:rsid w:val="00B901BE"/>
    <w:rsid w:val="00B90574"/>
    <w:rsid w:val="00B90588"/>
    <w:rsid w:val="00B9065A"/>
    <w:rsid w:val="00B91744"/>
    <w:rsid w:val="00B91CA6"/>
    <w:rsid w:val="00B91DA7"/>
    <w:rsid w:val="00B92274"/>
    <w:rsid w:val="00B923C5"/>
    <w:rsid w:val="00B9264E"/>
    <w:rsid w:val="00B93BA8"/>
    <w:rsid w:val="00B93EC9"/>
    <w:rsid w:val="00B940BB"/>
    <w:rsid w:val="00B9429C"/>
    <w:rsid w:val="00B94EB3"/>
    <w:rsid w:val="00B95186"/>
    <w:rsid w:val="00B95430"/>
    <w:rsid w:val="00B95AAE"/>
    <w:rsid w:val="00B95AE1"/>
    <w:rsid w:val="00B95C90"/>
    <w:rsid w:val="00B95DC1"/>
    <w:rsid w:val="00B9608F"/>
    <w:rsid w:val="00B963F8"/>
    <w:rsid w:val="00B96534"/>
    <w:rsid w:val="00B96AAE"/>
    <w:rsid w:val="00B96AE3"/>
    <w:rsid w:val="00B974C2"/>
    <w:rsid w:val="00B97B0B"/>
    <w:rsid w:val="00B97BF5"/>
    <w:rsid w:val="00BA0705"/>
    <w:rsid w:val="00BA08A8"/>
    <w:rsid w:val="00BA0EED"/>
    <w:rsid w:val="00BA16CC"/>
    <w:rsid w:val="00BA1A80"/>
    <w:rsid w:val="00BA1C84"/>
    <w:rsid w:val="00BA2E86"/>
    <w:rsid w:val="00BA2F31"/>
    <w:rsid w:val="00BA3ACE"/>
    <w:rsid w:val="00BA3B79"/>
    <w:rsid w:val="00BA4353"/>
    <w:rsid w:val="00BA4497"/>
    <w:rsid w:val="00BA45AD"/>
    <w:rsid w:val="00BA4627"/>
    <w:rsid w:val="00BA5274"/>
    <w:rsid w:val="00BA53AA"/>
    <w:rsid w:val="00BA54CB"/>
    <w:rsid w:val="00BA62D5"/>
    <w:rsid w:val="00BA6949"/>
    <w:rsid w:val="00BA6EF4"/>
    <w:rsid w:val="00BB09FE"/>
    <w:rsid w:val="00BB0CDA"/>
    <w:rsid w:val="00BB0E59"/>
    <w:rsid w:val="00BB133D"/>
    <w:rsid w:val="00BB288B"/>
    <w:rsid w:val="00BB2B46"/>
    <w:rsid w:val="00BB364E"/>
    <w:rsid w:val="00BB393B"/>
    <w:rsid w:val="00BB488F"/>
    <w:rsid w:val="00BB4B13"/>
    <w:rsid w:val="00BB5380"/>
    <w:rsid w:val="00BB5BFC"/>
    <w:rsid w:val="00BB654B"/>
    <w:rsid w:val="00BB7D77"/>
    <w:rsid w:val="00BC021D"/>
    <w:rsid w:val="00BC04AD"/>
    <w:rsid w:val="00BC102A"/>
    <w:rsid w:val="00BC1043"/>
    <w:rsid w:val="00BC184F"/>
    <w:rsid w:val="00BC1E05"/>
    <w:rsid w:val="00BC2CA8"/>
    <w:rsid w:val="00BC2E08"/>
    <w:rsid w:val="00BC320E"/>
    <w:rsid w:val="00BC3724"/>
    <w:rsid w:val="00BC3AA6"/>
    <w:rsid w:val="00BC4C77"/>
    <w:rsid w:val="00BC4E26"/>
    <w:rsid w:val="00BC4E88"/>
    <w:rsid w:val="00BC54F0"/>
    <w:rsid w:val="00BC5C0C"/>
    <w:rsid w:val="00BC5DA6"/>
    <w:rsid w:val="00BC5E8B"/>
    <w:rsid w:val="00BC628C"/>
    <w:rsid w:val="00BC65FA"/>
    <w:rsid w:val="00BC76A3"/>
    <w:rsid w:val="00BC7832"/>
    <w:rsid w:val="00BC7933"/>
    <w:rsid w:val="00BC7A43"/>
    <w:rsid w:val="00BD097A"/>
    <w:rsid w:val="00BD15E1"/>
    <w:rsid w:val="00BD193C"/>
    <w:rsid w:val="00BD1AD7"/>
    <w:rsid w:val="00BD1BEC"/>
    <w:rsid w:val="00BD2DE7"/>
    <w:rsid w:val="00BD2E68"/>
    <w:rsid w:val="00BD397F"/>
    <w:rsid w:val="00BD3F8F"/>
    <w:rsid w:val="00BD4973"/>
    <w:rsid w:val="00BD4BCA"/>
    <w:rsid w:val="00BD571D"/>
    <w:rsid w:val="00BD58A1"/>
    <w:rsid w:val="00BD5D6F"/>
    <w:rsid w:val="00BD5ECE"/>
    <w:rsid w:val="00BD6280"/>
    <w:rsid w:val="00BD7314"/>
    <w:rsid w:val="00BD731E"/>
    <w:rsid w:val="00BD7A71"/>
    <w:rsid w:val="00BD7B68"/>
    <w:rsid w:val="00BD7CCD"/>
    <w:rsid w:val="00BE0127"/>
    <w:rsid w:val="00BE126D"/>
    <w:rsid w:val="00BE2401"/>
    <w:rsid w:val="00BE2513"/>
    <w:rsid w:val="00BE285A"/>
    <w:rsid w:val="00BE2C0A"/>
    <w:rsid w:val="00BE30F8"/>
    <w:rsid w:val="00BE361D"/>
    <w:rsid w:val="00BE3CA5"/>
    <w:rsid w:val="00BE4074"/>
    <w:rsid w:val="00BE417A"/>
    <w:rsid w:val="00BE4349"/>
    <w:rsid w:val="00BE4C08"/>
    <w:rsid w:val="00BE4C44"/>
    <w:rsid w:val="00BE4C6F"/>
    <w:rsid w:val="00BE51BF"/>
    <w:rsid w:val="00BE6F1D"/>
    <w:rsid w:val="00BF0033"/>
    <w:rsid w:val="00BF08F1"/>
    <w:rsid w:val="00BF0905"/>
    <w:rsid w:val="00BF0A99"/>
    <w:rsid w:val="00BF10CE"/>
    <w:rsid w:val="00BF1DED"/>
    <w:rsid w:val="00BF1E28"/>
    <w:rsid w:val="00BF24C4"/>
    <w:rsid w:val="00BF2660"/>
    <w:rsid w:val="00BF2B99"/>
    <w:rsid w:val="00BF332D"/>
    <w:rsid w:val="00BF345F"/>
    <w:rsid w:val="00BF35C4"/>
    <w:rsid w:val="00BF406A"/>
    <w:rsid w:val="00BF40C4"/>
    <w:rsid w:val="00BF4520"/>
    <w:rsid w:val="00BF550E"/>
    <w:rsid w:val="00BF58D1"/>
    <w:rsid w:val="00BF5D17"/>
    <w:rsid w:val="00BF5D88"/>
    <w:rsid w:val="00BF5E3C"/>
    <w:rsid w:val="00BF64D4"/>
    <w:rsid w:val="00BF6557"/>
    <w:rsid w:val="00BF65DD"/>
    <w:rsid w:val="00BF66A3"/>
    <w:rsid w:val="00BF66AA"/>
    <w:rsid w:val="00BF698A"/>
    <w:rsid w:val="00BF69E1"/>
    <w:rsid w:val="00BF6AE0"/>
    <w:rsid w:val="00BF6BED"/>
    <w:rsid w:val="00BF72AE"/>
    <w:rsid w:val="00BF7A08"/>
    <w:rsid w:val="00BF7B3D"/>
    <w:rsid w:val="00BF7D1E"/>
    <w:rsid w:val="00BF7E0E"/>
    <w:rsid w:val="00C00657"/>
    <w:rsid w:val="00C00801"/>
    <w:rsid w:val="00C0095C"/>
    <w:rsid w:val="00C00EE7"/>
    <w:rsid w:val="00C014E2"/>
    <w:rsid w:val="00C02717"/>
    <w:rsid w:val="00C03B53"/>
    <w:rsid w:val="00C03CF9"/>
    <w:rsid w:val="00C03D6C"/>
    <w:rsid w:val="00C03D99"/>
    <w:rsid w:val="00C03FA4"/>
    <w:rsid w:val="00C0462C"/>
    <w:rsid w:val="00C0496E"/>
    <w:rsid w:val="00C04C5C"/>
    <w:rsid w:val="00C04F76"/>
    <w:rsid w:val="00C0505F"/>
    <w:rsid w:val="00C051C0"/>
    <w:rsid w:val="00C05565"/>
    <w:rsid w:val="00C058A2"/>
    <w:rsid w:val="00C05C96"/>
    <w:rsid w:val="00C05D99"/>
    <w:rsid w:val="00C05F05"/>
    <w:rsid w:val="00C06C29"/>
    <w:rsid w:val="00C06C4E"/>
    <w:rsid w:val="00C06CD5"/>
    <w:rsid w:val="00C07388"/>
    <w:rsid w:val="00C07E7A"/>
    <w:rsid w:val="00C1103E"/>
    <w:rsid w:val="00C120FE"/>
    <w:rsid w:val="00C12480"/>
    <w:rsid w:val="00C12588"/>
    <w:rsid w:val="00C1274C"/>
    <w:rsid w:val="00C12DEF"/>
    <w:rsid w:val="00C12E36"/>
    <w:rsid w:val="00C12E93"/>
    <w:rsid w:val="00C133DF"/>
    <w:rsid w:val="00C13C87"/>
    <w:rsid w:val="00C14366"/>
    <w:rsid w:val="00C14A40"/>
    <w:rsid w:val="00C14B10"/>
    <w:rsid w:val="00C14D10"/>
    <w:rsid w:val="00C16102"/>
    <w:rsid w:val="00C163F9"/>
    <w:rsid w:val="00C165D4"/>
    <w:rsid w:val="00C16E27"/>
    <w:rsid w:val="00C17664"/>
    <w:rsid w:val="00C20354"/>
    <w:rsid w:val="00C20770"/>
    <w:rsid w:val="00C20AF3"/>
    <w:rsid w:val="00C210AE"/>
    <w:rsid w:val="00C214F8"/>
    <w:rsid w:val="00C21DF1"/>
    <w:rsid w:val="00C2223D"/>
    <w:rsid w:val="00C22E1D"/>
    <w:rsid w:val="00C23989"/>
    <w:rsid w:val="00C241D4"/>
    <w:rsid w:val="00C241ED"/>
    <w:rsid w:val="00C24494"/>
    <w:rsid w:val="00C24C6B"/>
    <w:rsid w:val="00C25038"/>
    <w:rsid w:val="00C253E1"/>
    <w:rsid w:val="00C2602E"/>
    <w:rsid w:val="00C264D0"/>
    <w:rsid w:val="00C26AAC"/>
    <w:rsid w:val="00C2744F"/>
    <w:rsid w:val="00C27802"/>
    <w:rsid w:val="00C27CB7"/>
    <w:rsid w:val="00C27FEF"/>
    <w:rsid w:val="00C300FA"/>
    <w:rsid w:val="00C30587"/>
    <w:rsid w:val="00C308A4"/>
    <w:rsid w:val="00C30B30"/>
    <w:rsid w:val="00C30E9A"/>
    <w:rsid w:val="00C310AB"/>
    <w:rsid w:val="00C31139"/>
    <w:rsid w:val="00C31146"/>
    <w:rsid w:val="00C3118B"/>
    <w:rsid w:val="00C31ED4"/>
    <w:rsid w:val="00C31EE2"/>
    <w:rsid w:val="00C31F21"/>
    <w:rsid w:val="00C3270D"/>
    <w:rsid w:val="00C32EFC"/>
    <w:rsid w:val="00C33C8F"/>
    <w:rsid w:val="00C33FA8"/>
    <w:rsid w:val="00C34172"/>
    <w:rsid w:val="00C35192"/>
    <w:rsid w:val="00C35926"/>
    <w:rsid w:val="00C3630A"/>
    <w:rsid w:val="00C36802"/>
    <w:rsid w:val="00C369FD"/>
    <w:rsid w:val="00C36A58"/>
    <w:rsid w:val="00C3779C"/>
    <w:rsid w:val="00C4028B"/>
    <w:rsid w:val="00C402DB"/>
    <w:rsid w:val="00C40AC6"/>
    <w:rsid w:val="00C419AD"/>
    <w:rsid w:val="00C42077"/>
    <w:rsid w:val="00C4212B"/>
    <w:rsid w:val="00C4291E"/>
    <w:rsid w:val="00C42BB1"/>
    <w:rsid w:val="00C42F7B"/>
    <w:rsid w:val="00C43006"/>
    <w:rsid w:val="00C43567"/>
    <w:rsid w:val="00C43895"/>
    <w:rsid w:val="00C4402A"/>
    <w:rsid w:val="00C44AC8"/>
    <w:rsid w:val="00C44E2A"/>
    <w:rsid w:val="00C45000"/>
    <w:rsid w:val="00C45B39"/>
    <w:rsid w:val="00C45B8B"/>
    <w:rsid w:val="00C45E0C"/>
    <w:rsid w:val="00C463EC"/>
    <w:rsid w:val="00C4653D"/>
    <w:rsid w:val="00C5014C"/>
    <w:rsid w:val="00C50351"/>
    <w:rsid w:val="00C505F1"/>
    <w:rsid w:val="00C507E6"/>
    <w:rsid w:val="00C50E0F"/>
    <w:rsid w:val="00C50FC6"/>
    <w:rsid w:val="00C51038"/>
    <w:rsid w:val="00C51619"/>
    <w:rsid w:val="00C5162E"/>
    <w:rsid w:val="00C51A68"/>
    <w:rsid w:val="00C51AC4"/>
    <w:rsid w:val="00C52ECB"/>
    <w:rsid w:val="00C537F2"/>
    <w:rsid w:val="00C538DA"/>
    <w:rsid w:val="00C54535"/>
    <w:rsid w:val="00C54ADD"/>
    <w:rsid w:val="00C55631"/>
    <w:rsid w:val="00C55E1A"/>
    <w:rsid w:val="00C55FD6"/>
    <w:rsid w:val="00C568D0"/>
    <w:rsid w:val="00C56D67"/>
    <w:rsid w:val="00C570BA"/>
    <w:rsid w:val="00C602FB"/>
    <w:rsid w:val="00C60B29"/>
    <w:rsid w:val="00C61C57"/>
    <w:rsid w:val="00C61E45"/>
    <w:rsid w:val="00C621AD"/>
    <w:rsid w:val="00C624A6"/>
    <w:rsid w:val="00C62715"/>
    <w:rsid w:val="00C630C5"/>
    <w:rsid w:val="00C631AB"/>
    <w:rsid w:val="00C631B5"/>
    <w:rsid w:val="00C638AE"/>
    <w:rsid w:val="00C63919"/>
    <w:rsid w:val="00C63C7C"/>
    <w:rsid w:val="00C643B6"/>
    <w:rsid w:val="00C643EF"/>
    <w:rsid w:val="00C6455A"/>
    <w:rsid w:val="00C646E0"/>
    <w:rsid w:val="00C64769"/>
    <w:rsid w:val="00C64B64"/>
    <w:rsid w:val="00C65212"/>
    <w:rsid w:val="00C654AD"/>
    <w:rsid w:val="00C663AA"/>
    <w:rsid w:val="00C66546"/>
    <w:rsid w:val="00C66D26"/>
    <w:rsid w:val="00C66D7A"/>
    <w:rsid w:val="00C67282"/>
    <w:rsid w:val="00C6767B"/>
    <w:rsid w:val="00C677F3"/>
    <w:rsid w:val="00C67D8B"/>
    <w:rsid w:val="00C67E97"/>
    <w:rsid w:val="00C70002"/>
    <w:rsid w:val="00C70358"/>
    <w:rsid w:val="00C70569"/>
    <w:rsid w:val="00C70F94"/>
    <w:rsid w:val="00C71455"/>
    <w:rsid w:val="00C71914"/>
    <w:rsid w:val="00C71BC0"/>
    <w:rsid w:val="00C7268D"/>
    <w:rsid w:val="00C72FB8"/>
    <w:rsid w:val="00C732DF"/>
    <w:rsid w:val="00C73546"/>
    <w:rsid w:val="00C737FE"/>
    <w:rsid w:val="00C741A5"/>
    <w:rsid w:val="00C751F8"/>
    <w:rsid w:val="00C75C5C"/>
    <w:rsid w:val="00C75F4B"/>
    <w:rsid w:val="00C76119"/>
    <w:rsid w:val="00C76197"/>
    <w:rsid w:val="00C7669E"/>
    <w:rsid w:val="00C76968"/>
    <w:rsid w:val="00C76DE4"/>
    <w:rsid w:val="00C76F4D"/>
    <w:rsid w:val="00C77085"/>
    <w:rsid w:val="00C771E2"/>
    <w:rsid w:val="00C7720A"/>
    <w:rsid w:val="00C7723C"/>
    <w:rsid w:val="00C772C8"/>
    <w:rsid w:val="00C775F9"/>
    <w:rsid w:val="00C77A3E"/>
    <w:rsid w:val="00C80050"/>
    <w:rsid w:val="00C80ACB"/>
    <w:rsid w:val="00C81290"/>
    <w:rsid w:val="00C8193B"/>
    <w:rsid w:val="00C820F0"/>
    <w:rsid w:val="00C8220B"/>
    <w:rsid w:val="00C82F83"/>
    <w:rsid w:val="00C83230"/>
    <w:rsid w:val="00C84D02"/>
    <w:rsid w:val="00C8545D"/>
    <w:rsid w:val="00C8580C"/>
    <w:rsid w:val="00C858B4"/>
    <w:rsid w:val="00C85B7D"/>
    <w:rsid w:val="00C85FB5"/>
    <w:rsid w:val="00C8690B"/>
    <w:rsid w:val="00C86DA8"/>
    <w:rsid w:val="00C87158"/>
    <w:rsid w:val="00C877CE"/>
    <w:rsid w:val="00C878B9"/>
    <w:rsid w:val="00C878D1"/>
    <w:rsid w:val="00C903C9"/>
    <w:rsid w:val="00C90738"/>
    <w:rsid w:val="00C90A12"/>
    <w:rsid w:val="00C90C40"/>
    <w:rsid w:val="00C90DB2"/>
    <w:rsid w:val="00C90FCB"/>
    <w:rsid w:val="00C9154E"/>
    <w:rsid w:val="00C916C8"/>
    <w:rsid w:val="00C91895"/>
    <w:rsid w:val="00C92155"/>
    <w:rsid w:val="00C92283"/>
    <w:rsid w:val="00C924B2"/>
    <w:rsid w:val="00C92531"/>
    <w:rsid w:val="00C9257F"/>
    <w:rsid w:val="00C92A54"/>
    <w:rsid w:val="00C92C27"/>
    <w:rsid w:val="00C92FBF"/>
    <w:rsid w:val="00C93C55"/>
    <w:rsid w:val="00C9459F"/>
    <w:rsid w:val="00C94A40"/>
    <w:rsid w:val="00C94B7F"/>
    <w:rsid w:val="00C94DB3"/>
    <w:rsid w:val="00C957EE"/>
    <w:rsid w:val="00C959BA"/>
    <w:rsid w:val="00C95B54"/>
    <w:rsid w:val="00C9675E"/>
    <w:rsid w:val="00C977AB"/>
    <w:rsid w:val="00C97E14"/>
    <w:rsid w:val="00CA04C7"/>
    <w:rsid w:val="00CA0727"/>
    <w:rsid w:val="00CA1315"/>
    <w:rsid w:val="00CA2759"/>
    <w:rsid w:val="00CA27D2"/>
    <w:rsid w:val="00CA2DE4"/>
    <w:rsid w:val="00CA3054"/>
    <w:rsid w:val="00CA35AE"/>
    <w:rsid w:val="00CA3706"/>
    <w:rsid w:val="00CA3972"/>
    <w:rsid w:val="00CA3E3F"/>
    <w:rsid w:val="00CA49CB"/>
    <w:rsid w:val="00CA4B07"/>
    <w:rsid w:val="00CA54E9"/>
    <w:rsid w:val="00CA5544"/>
    <w:rsid w:val="00CA5A26"/>
    <w:rsid w:val="00CA6371"/>
    <w:rsid w:val="00CA6E8E"/>
    <w:rsid w:val="00CA6F5E"/>
    <w:rsid w:val="00CA705D"/>
    <w:rsid w:val="00CA7A30"/>
    <w:rsid w:val="00CB08B3"/>
    <w:rsid w:val="00CB0E77"/>
    <w:rsid w:val="00CB10D5"/>
    <w:rsid w:val="00CB1813"/>
    <w:rsid w:val="00CB1DE2"/>
    <w:rsid w:val="00CB31D0"/>
    <w:rsid w:val="00CB3DB9"/>
    <w:rsid w:val="00CB3FA1"/>
    <w:rsid w:val="00CB4052"/>
    <w:rsid w:val="00CB4864"/>
    <w:rsid w:val="00CB4B4C"/>
    <w:rsid w:val="00CB4B65"/>
    <w:rsid w:val="00CB4B87"/>
    <w:rsid w:val="00CB4E0F"/>
    <w:rsid w:val="00CB514B"/>
    <w:rsid w:val="00CB5215"/>
    <w:rsid w:val="00CB5FAB"/>
    <w:rsid w:val="00CB678C"/>
    <w:rsid w:val="00CB680A"/>
    <w:rsid w:val="00CB6CFF"/>
    <w:rsid w:val="00CB70C0"/>
    <w:rsid w:val="00CB71A8"/>
    <w:rsid w:val="00CB731F"/>
    <w:rsid w:val="00CB7B7A"/>
    <w:rsid w:val="00CB7F25"/>
    <w:rsid w:val="00CC01BE"/>
    <w:rsid w:val="00CC06BB"/>
    <w:rsid w:val="00CC0701"/>
    <w:rsid w:val="00CC08CF"/>
    <w:rsid w:val="00CC0EB6"/>
    <w:rsid w:val="00CC108F"/>
    <w:rsid w:val="00CC1268"/>
    <w:rsid w:val="00CC1A81"/>
    <w:rsid w:val="00CC1F5C"/>
    <w:rsid w:val="00CC2325"/>
    <w:rsid w:val="00CC2D5C"/>
    <w:rsid w:val="00CC3711"/>
    <w:rsid w:val="00CC3FF5"/>
    <w:rsid w:val="00CC4A5A"/>
    <w:rsid w:val="00CC4E55"/>
    <w:rsid w:val="00CC5418"/>
    <w:rsid w:val="00CC5700"/>
    <w:rsid w:val="00CC5EFF"/>
    <w:rsid w:val="00CC6232"/>
    <w:rsid w:val="00CC706E"/>
    <w:rsid w:val="00CC72F7"/>
    <w:rsid w:val="00CC7303"/>
    <w:rsid w:val="00CC76BB"/>
    <w:rsid w:val="00CC76F6"/>
    <w:rsid w:val="00CC7B3F"/>
    <w:rsid w:val="00CD0701"/>
    <w:rsid w:val="00CD0760"/>
    <w:rsid w:val="00CD1260"/>
    <w:rsid w:val="00CD12C6"/>
    <w:rsid w:val="00CD1669"/>
    <w:rsid w:val="00CD1CD9"/>
    <w:rsid w:val="00CD27D2"/>
    <w:rsid w:val="00CD2B68"/>
    <w:rsid w:val="00CD2E30"/>
    <w:rsid w:val="00CD2FFE"/>
    <w:rsid w:val="00CD349C"/>
    <w:rsid w:val="00CD39C2"/>
    <w:rsid w:val="00CD40DF"/>
    <w:rsid w:val="00CD425B"/>
    <w:rsid w:val="00CD46EF"/>
    <w:rsid w:val="00CD496D"/>
    <w:rsid w:val="00CD4E1D"/>
    <w:rsid w:val="00CD4EF9"/>
    <w:rsid w:val="00CD4F3F"/>
    <w:rsid w:val="00CD52EE"/>
    <w:rsid w:val="00CD530E"/>
    <w:rsid w:val="00CD5498"/>
    <w:rsid w:val="00CD6857"/>
    <w:rsid w:val="00CD69A4"/>
    <w:rsid w:val="00CD7086"/>
    <w:rsid w:val="00CD72A2"/>
    <w:rsid w:val="00CD737C"/>
    <w:rsid w:val="00CD789E"/>
    <w:rsid w:val="00CD7B71"/>
    <w:rsid w:val="00CE0142"/>
    <w:rsid w:val="00CE024E"/>
    <w:rsid w:val="00CE0A2D"/>
    <w:rsid w:val="00CE141C"/>
    <w:rsid w:val="00CE1808"/>
    <w:rsid w:val="00CE24FE"/>
    <w:rsid w:val="00CE29E4"/>
    <w:rsid w:val="00CE2CDD"/>
    <w:rsid w:val="00CE3145"/>
    <w:rsid w:val="00CE351B"/>
    <w:rsid w:val="00CE3BF2"/>
    <w:rsid w:val="00CE3E19"/>
    <w:rsid w:val="00CE3ED0"/>
    <w:rsid w:val="00CE4208"/>
    <w:rsid w:val="00CE47E5"/>
    <w:rsid w:val="00CE4890"/>
    <w:rsid w:val="00CE4D90"/>
    <w:rsid w:val="00CE5255"/>
    <w:rsid w:val="00CE6A77"/>
    <w:rsid w:val="00CE7582"/>
    <w:rsid w:val="00CE7836"/>
    <w:rsid w:val="00CE7F46"/>
    <w:rsid w:val="00CF0136"/>
    <w:rsid w:val="00CF05B1"/>
    <w:rsid w:val="00CF090E"/>
    <w:rsid w:val="00CF1212"/>
    <w:rsid w:val="00CF148D"/>
    <w:rsid w:val="00CF2873"/>
    <w:rsid w:val="00CF2A21"/>
    <w:rsid w:val="00CF2E22"/>
    <w:rsid w:val="00CF2ED7"/>
    <w:rsid w:val="00CF388A"/>
    <w:rsid w:val="00CF4447"/>
    <w:rsid w:val="00CF4E4B"/>
    <w:rsid w:val="00CF5BC6"/>
    <w:rsid w:val="00CF5DE0"/>
    <w:rsid w:val="00CF6240"/>
    <w:rsid w:val="00CF793E"/>
    <w:rsid w:val="00CF7A1B"/>
    <w:rsid w:val="00CF7FC4"/>
    <w:rsid w:val="00D006FE"/>
    <w:rsid w:val="00D00901"/>
    <w:rsid w:val="00D0090C"/>
    <w:rsid w:val="00D00CCF"/>
    <w:rsid w:val="00D0109F"/>
    <w:rsid w:val="00D01239"/>
    <w:rsid w:val="00D01865"/>
    <w:rsid w:val="00D01934"/>
    <w:rsid w:val="00D01DF8"/>
    <w:rsid w:val="00D01F38"/>
    <w:rsid w:val="00D035DF"/>
    <w:rsid w:val="00D03A20"/>
    <w:rsid w:val="00D03CAE"/>
    <w:rsid w:val="00D04086"/>
    <w:rsid w:val="00D04FB5"/>
    <w:rsid w:val="00D04FD4"/>
    <w:rsid w:val="00D05C01"/>
    <w:rsid w:val="00D05D71"/>
    <w:rsid w:val="00D0628C"/>
    <w:rsid w:val="00D06493"/>
    <w:rsid w:val="00D06A20"/>
    <w:rsid w:val="00D06D58"/>
    <w:rsid w:val="00D070ED"/>
    <w:rsid w:val="00D07D75"/>
    <w:rsid w:val="00D07E55"/>
    <w:rsid w:val="00D07F4B"/>
    <w:rsid w:val="00D07FDF"/>
    <w:rsid w:val="00D1043E"/>
    <w:rsid w:val="00D104EF"/>
    <w:rsid w:val="00D1194E"/>
    <w:rsid w:val="00D12F8E"/>
    <w:rsid w:val="00D131CF"/>
    <w:rsid w:val="00D14D9C"/>
    <w:rsid w:val="00D158C6"/>
    <w:rsid w:val="00D15B5B"/>
    <w:rsid w:val="00D15C06"/>
    <w:rsid w:val="00D15E41"/>
    <w:rsid w:val="00D161F4"/>
    <w:rsid w:val="00D166C9"/>
    <w:rsid w:val="00D1695A"/>
    <w:rsid w:val="00D16981"/>
    <w:rsid w:val="00D16D2A"/>
    <w:rsid w:val="00D1747A"/>
    <w:rsid w:val="00D17E61"/>
    <w:rsid w:val="00D202C5"/>
    <w:rsid w:val="00D20AD1"/>
    <w:rsid w:val="00D21551"/>
    <w:rsid w:val="00D215D2"/>
    <w:rsid w:val="00D221BF"/>
    <w:rsid w:val="00D22239"/>
    <w:rsid w:val="00D22613"/>
    <w:rsid w:val="00D22775"/>
    <w:rsid w:val="00D22BFB"/>
    <w:rsid w:val="00D22DE4"/>
    <w:rsid w:val="00D22FEC"/>
    <w:rsid w:val="00D2334E"/>
    <w:rsid w:val="00D23F02"/>
    <w:rsid w:val="00D2448C"/>
    <w:rsid w:val="00D244B9"/>
    <w:rsid w:val="00D24649"/>
    <w:rsid w:val="00D24B79"/>
    <w:rsid w:val="00D25B0A"/>
    <w:rsid w:val="00D25EED"/>
    <w:rsid w:val="00D25EF0"/>
    <w:rsid w:val="00D26217"/>
    <w:rsid w:val="00D262BC"/>
    <w:rsid w:val="00D2647E"/>
    <w:rsid w:val="00D26C9D"/>
    <w:rsid w:val="00D26E5C"/>
    <w:rsid w:val="00D26FC8"/>
    <w:rsid w:val="00D2723A"/>
    <w:rsid w:val="00D27907"/>
    <w:rsid w:val="00D27CCC"/>
    <w:rsid w:val="00D27E20"/>
    <w:rsid w:val="00D27EA1"/>
    <w:rsid w:val="00D27EAA"/>
    <w:rsid w:val="00D3009A"/>
    <w:rsid w:val="00D30541"/>
    <w:rsid w:val="00D30725"/>
    <w:rsid w:val="00D30F9F"/>
    <w:rsid w:val="00D30FE4"/>
    <w:rsid w:val="00D3125D"/>
    <w:rsid w:val="00D312B1"/>
    <w:rsid w:val="00D3195E"/>
    <w:rsid w:val="00D3245B"/>
    <w:rsid w:val="00D32582"/>
    <w:rsid w:val="00D32629"/>
    <w:rsid w:val="00D32874"/>
    <w:rsid w:val="00D32AEE"/>
    <w:rsid w:val="00D33731"/>
    <w:rsid w:val="00D34020"/>
    <w:rsid w:val="00D35D65"/>
    <w:rsid w:val="00D36390"/>
    <w:rsid w:val="00D36589"/>
    <w:rsid w:val="00D36781"/>
    <w:rsid w:val="00D369E8"/>
    <w:rsid w:val="00D37395"/>
    <w:rsid w:val="00D37B3A"/>
    <w:rsid w:val="00D400FE"/>
    <w:rsid w:val="00D401D1"/>
    <w:rsid w:val="00D40AB3"/>
    <w:rsid w:val="00D41093"/>
    <w:rsid w:val="00D410E9"/>
    <w:rsid w:val="00D41250"/>
    <w:rsid w:val="00D412B1"/>
    <w:rsid w:val="00D412DC"/>
    <w:rsid w:val="00D4212A"/>
    <w:rsid w:val="00D4217A"/>
    <w:rsid w:val="00D42248"/>
    <w:rsid w:val="00D42905"/>
    <w:rsid w:val="00D42A62"/>
    <w:rsid w:val="00D431DC"/>
    <w:rsid w:val="00D45162"/>
    <w:rsid w:val="00D46E55"/>
    <w:rsid w:val="00D46EAC"/>
    <w:rsid w:val="00D47BDD"/>
    <w:rsid w:val="00D47D51"/>
    <w:rsid w:val="00D47E82"/>
    <w:rsid w:val="00D47F26"/>
    <w:rsid w:val="00D50004"/>
    <w:rsid w:val="00D50440"/>
    <w:rsid w:val="00D505E8"/>
    <w:rsid w:val="00D514FD"/>
    <w:rsid w:val="00D51CC2"/>
    <w:rsid w:val="00D51DC9"/>
    <w:rsid w:val="00D51FCE"/>
    <w:rsid w:val="00D5258C"/>
    <w:rsid w:val="00D526D7"/>
    <w:rsid w:val="00D531BF"/>
    <w:rsid w:val="00D53838"/>
    <w:rsid w:val="00D539C0"/>
    <w:rsid w:val="00D5427C"/>
    <w:rsid w:val="00D5469D"/>
    <w:rsid w:val="00D54AC6"/>
    <w:rsid w:val="00D54B4F"/>
    <w:rsid w:val="00D54EB9"/>
    <w:rsid w:val="00D55A09"/>
    <w:rsid w:val="00D55ADB"/>
    <w:rsid w:val="00D56E43"/>
    <w:rsid w:val="00D57CA1"/>
    <w:rsid w:val="00D57F96"/>
    <w:rsid w:val="00D607AA"/>
    <w:rsid w:val="00D60B22"/>
    <w:rsid w:val="00D61E67"/>
    <w:rsid w:val="00D61E9F"/>
    <w:rsid w:val="00D61F61"/>
    <w:rsid w:val="00D62CFD"/>
    <w:rsid w:val="00D63A3A"/>
    <w:rsid w:val="00D63D73"/>
    <w:rsid w:val="00D63EFC"/>
    <w:rsid w:val="00D63F2A"/>
    <w:rsid w:val="00D63FB1"/>
    <w:rsid w:val="00D64478"/>
    <w:rsid w:val="00D64FDF"/>
    <w:rsid w:val="00D657FE"/>
    <w:rsid w:val="00D65851"/>
    <w:rsid w:val="00D65C2D"/>
    <w:rsid w:val="00D6606E"/>
    <w:rsid w:val="00D66341"/>
    <w:rsid w:val="00D6651D"/>
    <w:rsid w:val="00D66655"/>
    <w:rsid w:val="00D66B4B"/>
    <w:rsid w:val="00D6778D"/>
    <w:rsid w:val="00D67C22"/>
    <w:rsid w:val="00D705D0"/>
    <w:rsid w:val="00D7138C"/>
    <w:rsid w:val="00D71AA7"/>
    <w:rsid w:val="00D71BB0"/>
    <w:rsid w:val="00D72281"/>
    <w:rsid w:val="00D72386"/>
    <w:rsid w:val="00D72627"/>
    <w:rsid w:val="00D72BC4"/>
    <w:rsid w:val="00D72F91"/>
    <w:rsid w:val="00D73212"/>
    <w:rsid w:val="00D73277"/>
    <w:rsid w:val="00D73565"/>
    <w:rsid w:val="00D73E86"/>
    <w:rsid w:val="00D74337"/>
    <w:rsid w:val="00D74609"/>
    <w:rsid w:val="00D74C8C"/>
    <w:rsid w:val="00D74F47"/>
    <w:rsid w:val="00D750F0"/>
    <w:rsid w:val="00D7513D"/>
    <w:rsid w:val="00D75728"/>
    <w:rsid w:val="00D75925"/>
    <w:rsid w:val="00D75B29"/>
    <w:rsid w:val="00D75D8D"/>
    <w:rsid w:val="00D75EC0"/>
    <w:rsid w:val="00D76090"/>
    <w:rsid w:val="00D76281"/>
    <w:rsid w:val="00D7637B"/>
    <w:rsid w:val="00D76636"/>
    <w:rsid w:val="00D76777"/>
    <w:rsid w:val="00D77653"/>
    <w:rsid w:val="00D77BA2"/>
    <w:rsid w:val="00D8041C"/>
    <w:rsid w:val="00D804B9"/>
    <w:rsid w:val="00D80876"/>
    <w:rsid w:val="00D80C58"/>
    <w:rsid w:val="00D8120C"/>
    <w:rsid w:val="00D81A65"/>
    <w:rsid w:val="00D81D3F"/>
    <w:rsid w:val="00D82022"/>
    <w:rsid w:val="00D82104"/>
    <w:rsid w:val="00D821A4"/>
    <w:rsid w:val="00D82637"/>
    <w:rsid w:val="00D82E15"/>
    <w:rsid w:val="00D834A6"/>
    <w:rsid w:val="00D83AF0"/>
    <w:rsid w:val="00D83C0C"/>
    <w:rsid w:val="00D83DE3"/>
    <w:rsid w:val="00D84494"/>
    <w:rsid w:val="00D84E0C"/>
    <w:rsid w:val="00D84FCA"/>
    <w:rsid w:val="00D85079"/>
    <w:rsid w:val="00D851CE"/>
    <w:rsid w:val="00D85784"/>
    <w:rsid w:val="00D85B6E"/>
    <w:rsid w:val="00D85DAF"/>
    <w:rsid w:val="00D86DB1"/>
    <w:rsid w:val="00D87990"/>
    <w:rsid w:val="00D87B22"/>
    <w:rsid w:val="00D9081D"/>
    <w:rsid w:val="00D91482"/>
    <w:rsid w:val="00D93016"/>
    <w:rsid w:val="00D93575"/>
    <w:rsid w:val="00D94019"/>
    <w:rsid w:val="00D9477A"/>
    <w:rsid w:val="00D94B94"/>
    <w:rsid w:val="00D94D0D"/>
    <w:rsid w:val="00D95561"/>
    <w:rsid w:val="00D95A67"/>
    <w:rsid w:val="00D96210"/>
    <w:rsid w:val="00D96586"/>
    <w:rsid w:val="00D96840"/>
    <w:rsid w:val="00D96888"/>
    <w:rsid w:val="00D96C1C"/>
    <w:rsid w:val="00D96F80"/>
    <w:rsid w:val="00D96FCE"/>
    <w:rsid w:val="00D9714B"/>
    <w:rsid w:val="00D97857"/>
    <w:rsid w:val="00DA0B2E"/>
    <w:rsid w:val="00DA1CFA"/>
    <w:rsid w:val="00DA1DB6"/>
    <w:rsid w:val="00DA1E90"/>
    <w:rsid w:val="00DA27DC"/>
    <w:rsid w:val="00DA28EA"/>
    <w:rsid w:val="00DA2C1D"/>
    <w:rsid w:val="00DA3394"/>
    <w:rsid w:val="00DA35D8"/>
    <w:rsid w:val="00DA3C8A"/>
    <w:rsid w:val="00DA4A4A"/>
    <w:rsid w:val="00DA5F73"/>
    <w:rsid w:val="00DA783D"/>
    <w:rsid w:val="00DA7DD9"/>
    <w:rsid w:val="00DA7FC5"/>
    <w:rsid w:val="00DB1E57"/>
    <w:rsid w:val="00DB27A4"/>
    <w:rsid w:val="00DB27D0"/>
    <w:rsid w:val="00DB32A9"/>
    <w:rsid w:val="00DB35F0"/>
    <w:rsid w:val="00DB373A"/>
    <w:rsid w:val="00DB39B5"/>
    <w:rsid w:val="00DB3FDD"/>
    <w:rsid w:val="00DB4B87"/>
    <w:rsid w:val="00DB4C37"/>
    <w:rsid w:val="00DB4D86"/>
    <w:rsid w:val="00DB5125"/>
    <w:rsid w:val="00DB561B"/>
    <w:rsid w:val="00DB56A7"/>
    <w:rsid w:val="00DB5821"/>
    <w:rsid w:val="00DB5B09"/>
    <w:rsid w:val="00DB5CAA"/>
    <w:rsid w:val="00DB62C3"/>
    <w:rsid w:val="00DB62D9"/>
    <w:rsid w:val="00DB649E"/>
    <w:rsid w:val="00DB66BC"/>
    <w:rsid w:val="00DB66EE"/>
    <w:rsid w:val="00DB7402"/>
    <w:rsid w:val="00DB7802"/>
    <w:rsid w:val="00DB7871"/>
    <w:rsid w:val="00DB7C52"/>
    <w:rsid w:val="00DC0875"/>
    <w:rsid w:val="00DC0CC4"/>
    <w:rsid w:val="00DC0EEE"/>
    <w:rsid w:val="00DC0F38"/>
    <w:rsid w:val="00DC1249"/>
    <w:rsid w:val="00DC12CF"/>
    <w:rsid w:val="00DC2308"/>
    <w:rsid w:val="00DC2A9D"/>
    <w:rsid w:val="00DC2EC2"/>
    <w:rsid w:val="00DC308C"/>
    <w:rsid w:val="00DC31EF"/>
    <w:rsid w:val="00DC4AC0"/>
    <w:rsid w:val="00DC4CA8"/>
    <w:rsid w:val="00DC54A6"/>
    <w:rsid w:val="00DC5862"/>
    <w:rsid w:val="00DC5B7C"/>
    <w:rsid w:val="00DC5EB9"/>
    <w:rsid w:val="00DC611C"/>
    <w:rsid w:val="00DC6293"/>
    <w:rsid w:val="00DC6385"/>
    <w:rsid w:val="00DC65AE"/>
    <w:rsid w:val="00DC6E6D"/>
    <w:rsid w:val="00DC768E"/>
    <w:rsid w:val="00DC7873"/>
    <w:rsid w:val="00DC7D1E"/>
    <w:rsid w:val="00DC7E87"/>
    <w:rsid w:val="00DD0EA7"/>
    <w:rsid w:val="00DD13F2"/>
    <w:rsid w:val="00DD1EB2"/>
    <w:rsid w:val="00DD213F"/>
    <w:rsid w:val="00DD2222"/>
    <w:rsid w:val="00DD268B"/>
    <w:rsid w:val="00DD2B24"/>
    <w:rsid w:val="00DD305D"/>
    <w:rsid w:val="00DD3C01"/>
    <w:rsid w:val="00DD3D25"/>
    <w:rsid w:val="00DD4F6B"/>
    <w:rsid w:val="00DD5016"/>
    <w:rsid w:val="00DD5317"/>
    <w:rsid w:val="00DD532E"/>
    <w:rsid w:val="00DD5351"/>
    <w:rsid w:val="00DD545C"/>
    <w:rsid w:val="00DD5CC6"/>
    <w:rsid w:val="00DD651C"/>
    <w:rsid w:val="00DD6AEE"/>
    <w:rsid w:val="00DD749D"/>
    <w:rsid w:val="00DD7CF0"/>
    <w:rsid w:val="00DD7E47"/>
    <w:rsid w:val="00DE08D0"/>
    <w:rsid w:val="00DE0A4E"/>
    <w:rsid w:val="00DE1422"/>
    <w:rsid w:val="00DE15F1"/>
    <w:rsid w:val="00DE1A22"/>
    <w:rsid w:val="00DE1BCA"/>
    <w:rsid w:val="00DE20E2"/>
    <w:rsid w:val="00DE28CD"/>
    <w:rsid w:val="00DE2ADA"/>
    <w:rsid w:val="00DE3F5D"/>
    <w:rsid w:val="00DE3F94"/>
    <w:rsid w:val="00DE4CAD"/>
    <w:rsid w:val="00DE4E07"/>
    <w:rsid w:val="00DE4F81"/>
    <w:rsid w:val="00DE554B"/>
    <w:rsid w:val="00DE558F"/>
    <w:rsid w:val="00DE595F"/>
    <w:rsid w:val="00DE62C8"/>
    <w:rsid w:val="00DE6649"/>
    <w:rsid w:val="00DE69AC"/>
    <w:rsid w:val="00DE6E5F"/>
    <w:rsid w:val="00DE739B"/>
    <w:rsid w:val="00DE7DF2"/>
    <w:rsid w:val="00DF040B"/>
    <w:rsid w:val="00DF0962"/>
    <w:rsid w:val="00DF09EF"/>
    <w:rsid w:val="00DF0C84"/>
    <w:rsid w:val="00DF0EB2"/>
    <w:rsid w:val="00DF1658"/>
    <w:rsid w:val="00DF178C"/>
    <w:rsid w:val="00DF1F40"/>
    <w:rsid w:val="00DF20AE"/>
    <w:rsid w:val="00DF3980"/>
    <w:rsid w:val="00DF3A08"/>
    <w:rsid w:val="00DF3CC2"/>
    <w:rsid w:val="00DF43E4"/>
    <w:rsid w:val="00DF492B"/>
    <w:rsid w:val="00DF4A57"/>
    <w:rsid w:val="00DF4AAA"/>
    <w:rsid w:val="00DF5799"/>
    <w:rsid w:val="00DF58FF"/>
    <w:rsid w:val="00DF5AE1"/>
    <w:rsid w:val="00DF5B4E"/>
    <w:rsid w:val="00DF5C26"/>
    <w:rsid w:val="00DF6868"/>
    <w:rsid w:val="00DF68D8"/>
    <w:rsid w:val="00DF6A56"/>
    <w:rsid w:val="00DF6B19"/>
    <w:rsid w:val="00DF6FD2"/>
    <w:rsid w:val="00DF70D9"/>
    <w:rsid w:val="00DF722C"/>
    <w:rsid w:val="00DF7E13"/>
    <w:rsid w:val="00DF7FA3"/>
    <w:rsid w:val="00E0029A"/>
    <w:rsid w:val="00E00D7D"/>
    <w:rsid w:val="00E00E09"/>
    <w:rsid w:val="00E0138C"/>
    <w:rsid w:val="00E01409"/>
    <w:rsid w:val="00E01D87"/>
    <w:rsid w:val="00E023E7"/>
    <w:rsid w:val="00E02A1C"/>
    <w:rsid w:val="00E02C8E"/>
    <w:rsid w:val="00E038D6"/>
    <w:rsid w:val="00E0392D"/>
    <w:rsid w:val="00E03C4D"/>
    <w:rsid w:val="00E03D3B"/>
    <w:rsid w:val="00E03EAF"/>
    <w:rsid w:val="00E04122"/>
    <w:rsid w:val="00E0451E"/>
    <w:rsid w:val="00E04521"/>
    <w:rsid w:val="00E04B1D"/>
    <w:rsid w:val="00E05261"/>
    <w:rsid w:val="00E05A2A"/>
    <w:rsid w:val="00E05AF6"/>
    <w:rsid w:val="00E05E9F"/>
    <w:rsid w:val="00E0645D"/>
    <w:rsid w:val="00E06AB2"/>
    <w:rsid w:val="00E0745E"/>
    <w:rsid w:val="00E07A22"/>
    <w:rsid w:val="00E07FB0"/>
    <w:rsid w:val="00E10474"/>
    <w:rsid w:val="00E107ED"/>
    <w:rsid w:val="00E10B4C"/>
    <w:rsid w:val="00E11253"/>
    <w:rsid w:val="00E123BC"/>
    <w:rsid w:val="00E12471"/>
    <w:rsid w:val="00E12946"/>
    <w:rsid w:val="00E12B93"/>
    <w:rsid w:val="00E131B0"/>
    <w:rsid w:val="00E13912"/>
    <w:rsid w:val="00E13E09"/>
    <w:rsid w:val="00E13F11"/>
    <w:rsid w:val="00E1414D"/>
    <w:rsid w:val="00E145B7"/>
    <w:rsid w:val="00E14735"/>
    <w:rsid w:val="00E1493E"/>
    <w:rsid w:val="00E14ACD"/>
    <w:rsid w:val="00E14BAE"/>
    <w:rsid w:val="00E14E3E"/>
    <w:rsid w:val="00E14EFC"/>
    <w:rsid w:val="00E14FC3"/>
    <w:rsid w:val="00E15380"/>
    <w:rsid w:val="00E15BF1"/>
    <w:rsid w:val="00E15FE2"/>
    <w:rsid w:val="00E16033"/>
    <w:rsid w:val="00E160DB"/>
    <w:rsid w:val="00E16620"/>
    <w:rsid w:val="00E16B21"/>
    <w:rsid w:val="00E1701E"/>
    <w:rsid w:val="00E17933"/>
    <w:rsid w:val="00E20188"/>
    <w:rsid w:val="00E2085B"/>
    <w:rsid w:val="00E208DD"/>
    <w:rsid w:val="00E20ADA"/>
    <w:rsid w:val="00E21044"/>
    <w:rsid w:val="00E21552"/>
    <w:rsid w:val="00E215FD"/>
    <w:rsid w:val="00E216A3"/>
    <w:rsid w:val="00E217E4"/>
    <w:rsid w:val="00E21902"/>
    <w:rsid w:val="00E224DB"/>
    <w:rsid w:val="00E232D3"/>
    <w:rsid w:val="00E23375"/>
    <w:rsid w:val="00E23B48"/>
    <w:rsid w:val="00E23B8D"/>
    <w:rsid w:val="00E23C73"/>
    <w:rsid w:val="00E240B7"/>
    <w:rsid w:val="00E24252"/>
    <w:rsid w:val="00E24822"/>
    <w:rsid w:val="00E24AEF"/>
    <w:rsid w:val="00E2518D"/>
    <w:rsid w:val="00E252AC"/>
    <w:rsid w:val="00E253C5"/>
    <w:rsid w:val="00E255E1"/>
    <w:rsid w:val="00E256DA"/>
    <w:rsid w:val="00E25ED1"/>
    <w:rsid w:val="00E26AC9"/>
    <w:rsid w:val="00E276AB"/>
    <w:rsid w:val="00E278B8"/>
    <w:rsid w:val="00E27970"/>
    <w:rsid w:val="00E3040E"/>
    <w:rsid w:val="00E30874"/>
    <w:rsid w:val="00E30FE8"/>
    <w:rsid w:val="00E31432"/>
    <w:rsid w:val="00E31511"/>
    <w:rsid w:val="00E31BE7"/>
    <w:rsid w:val="00E3362F"/>
    <w:rsid w:val="00E33BA3"/>
    <w:rsid w:val="00E33FD3"/>
    <w:rsid w:val="00E34138"/>
    <w:rsid w:val="00E34BB1"/>
    <w:rsid w:val="00E34FB7"/>
    <w:rsid w:val="00E35D55"/>
    <w:rsid w:val="00E36AC9"/>
    <w:rsid w:val="00E402BA"/>
    <w:rsid w:val="00E40378"/>
    <w:rsid w:val="00E40449"/>
    <w:rsid w:val="00E4085B"/>
    <w:rsid w:val="00E409D4"/>
    <w:rsid w:val="00E40AA2"/>
    <w:rsid w:val="00E416BF"/>
    <w:rsid w:val="00E41BD6"/>
    <w:rsid w:val="00E41C40"/>
    <w:rsid w:val="00E41CBE"/>
    <w:rsid w:val="00E41D6E"/>
    <w:rsid w:val="00E4222A"/>
    <w:rsid w:val="00E42841"/>
    <w:rsid w:val="00E42860"/>
    <w:rsid w:val="00E42F59"/>
    <w:rsid w:val="00E43A60"/>
    <w:rsid w:val="00E43C2B"/>
    <w:rsid w:val="00E43DA5"/>
    <w:rsid w:val="00E441FB"/>
    <w:rsid w:val="00E44A9C"/>
    <w:rsid w:val="00E456C9"/>
    <w:rsid w:val="00E45926"/>
    <w:rsid w:val="00E45B93"/>
    <w:rsid w:val="00E46204"/>
    <w:rsid w:val="00E46514"/>
    <w:rsid w:val="00E468E5"/>
    <w:rsid w:val="00E47880"/>
    <w:rsid w:val="00E479EF"/>
    <w:rsid w:val="00E503E5"/>
    <w:rsid w:val="00E50792"/>
    <w:rsid w:val="00E512C8"/>
    <w:rsid w:val="00E51655"/>
    <w:rsid w:val="00E51E0C"/>
    <w:rsid w:val="00E5282A"/>
    <w:rsid w:val="00E5466F"/>
    <w:rsid w:val="00E54949"/>
    <w:rsid w:val="00E54B68"/>
    <w:rsid w:val="00E54C5A"/>
    <w:rsid w:val="00E54D83"/>
    <w:rsid w:val="00E550BE"/>
    <w:rsid w:val="00E55282"/>
    <w:rsid w:val="00E55580"/>
    <w:rsid w:val="00E55B2F"/>
    <w:rsid w:val="00E55E4B"/>
    <w:rsid w:val="00E56DC6"/>
    <w:rsid w:val="00E5751A"/>
    <w:rsid w:val="00E577BF"/>
    <w:rsid w:val="00E57824"/>
    <w:rsid w:val="00E57D8F"/>
    <w:rsid w:val="00E6074C"/>
    <w:rsid w:val="00E6088F"/>
    <w:rsid w:val="00E61027"/>
    <w:rsid w:val="00E61198"/>
    <w:rsid w:val="00E61D15"/>
    <w:rsid w:val="00E620FC"/>
    <w:rsid w:val="00E62253"/>
    <w:rsid w:val="00E62F61"/>
    <w:rsid w:val="00E634C0"/>
    <w:rsid w:val="00E635A1"/>
    <w:rsid w:val="00E64CAC"/>
    <w:rsid w:val="00E64DF2"/>
    <w:rsid w:val="00E6519F"/>
    <w:rsid w:val="00E65444"/>
    <w:rsid w:val="00E66416"/>
    <w:rsid w:val="00E66B4A"/>
    <w:rsid w:val="00E67488"/>
    <w:rsid w:val="00E67F78"/>
    <w:rsid w:val="00E70DB6"/>
    <w:rsid w:val="00E7195C"/>
    <w:rsid w:val="00E71A42"/>
    <w:rsid w:val="00E71C8D"/>
    <w:rsid w:val="00E71F23"/>
    <w:rsid w:val="00E72336"/>
    <w:rsid w:val="00E72B71"/>
    <w:rsid w:val="00E72CBF"/>
    <w:rsid w:val="00E72FAE"/>
    <w:rsid w:val="00E73478"/>
    <w:rsid w:val="00E73EC7"/>
    <w:rsid w:val="00E74E81"/>
    <w:rsid w:val="00E75477"/>
    <w:rsid w:val="00E75A11"/>
    <w:rsid w:val="00E75A8E"/>
    <w:rsid w:val="00E75FDA"/>
    <w:rsid w:val="00E76B1A"/>
    <w:rsid w:val="00E77EFE"/>
    <w:rsid w:val="00E80472"/>
    <w:rsid w:val="00E82B84"/>
    <w:rsid w:val="00E82D21"/>
    <w:rsid w:val="00E82F43"/>
    <w:rsid w:val="00E8311A"/>
    <w:rsid w:val="00E832BF"/>
    <w:rsid w:val="00E835DB"/>
    <w:rsid w:val="00E83F3B"/>
    <w:rsid w:val="00E83FA6"/>
    <w:rsid w:val="00E8410B"/>
    <w:rsid w:val="00E84D5C"/>
    <w:rsid w:val="00E857F0"/>
    <w:rsid w:val="00E85EB8"/>
    <w:rsid w:val="00E8600E"/>
    <w:rsid w:val="00E86438"/>
    <w:rsid w:val="00E86CBC"/>
    <w:rsid w:val="00E87017"/>
    <w:rsid w:val="00E870F2"/>
    <w:rsid w:val="00E87254"/>
    <w:rsid w:val="00E87267"/>
    <w:rsid w:val="00E873A5"/>
    <w:rsid w:val="00E87AA4"/>
    <w:rsid w:val="00E9010B"/>
    <w:rsid w:val="00E90365"/>
    <w:rsid w:val="00E9047D"/>
    <w:rsid w:val="00E917A6"/>
    <w:rsid w:val="00E917D2"/>
    <w:rsid w:val="00E9180C"/>
    <w:rsid w:val="00E91FDA"/>
    <w:rsid w:val="00E9296B"/>
    <w:rsid w:val="00E92AE5"/>
    <w:rsid w:val="00E93C23"/>
    <w:rsid w:val="00E941E2"/>
    <w:rsid w:val="00E945D6"/>
    <w:rsid w:val="00E94688"/>
    <w:rsid w:val="00E950C8"/>
    <w:rsid w:val="00E95592"/>
    <w:rsid w:val="00E956C3"/>
    <w:rsid w:val="00E959C6"/>
    <w:rsid w:val="00E95B63"/>
    <w:rsid w:val="00E95B96"/>
    <w:rsid w:val="00E95CAB"/>
    <w:rsid w:val="00E95ECC"/>
    <w:rsid w:val="00E9626B"/>
    <w:rsid w:val="00E964B9"/>
    <w:rsid w:val="00E969C5"/>
    <w:rsid w:val="00E96CDD"/>
    <w:rsid w:val="00E96F78"/>
    <w:rsid w:val="00E9764E"/>
    <w:rsid w:val="00EA0BC7"/>
    <w:rsid w:val="00EA1861"/>
    <w:rsid w:val="00EA208B"/>
    <w:rsid w:val="00EA28AD"/>
    <w:rsid w:val="00EA348B"/>
    <w:rsid w:val="00EA374C"/>
    <w:rsid w:val="00EA4309"/>
    <w:rsid w:val="00EA4602"/>
    <w:rsid w:val="00EA4FFE"/>
    <w:rsid w:val="00EA5714"/>
    <w:rsid w:val="00EA5BAF"/>
    <w:rsid w:val="00EA5E12"/>
    <w:rsid w:val="00EA666C"/>
    <w:rsid w:val="00EA6C7B"/>
    <w:rsid w:val="00EA6F17"/>
    <w:rsid w:val="00EA74AC"/>
    <w:rsid w:val="00EA751C"/>
    <w:rsid w:val="00EA76E8"/>
    <w:rsid w:val="00EB0559"/>
    <w:rsid w:val="00EB16E9"/>
    <w:rsid w:val="00EB17DE"/>
    <w:rsid w:val="00EB198C"/>
    <w:rsid w:val="00EB2259"/>
    <w:rsid w:val="00EB2BCB"/>
    <w:rsid w:val="00EB2BF5"/>
    <w:rsid w:val="00EB32C1"/>
    <w:rsid w:val="00EB3AA7"/>
    <w:rsid w:val="00EB4024"/>
    <w:rsid w:val="00EB4802"/>
    <w:rsid w:val="00EB5065"/>
    <w:rsid w:val="00EB5286"/>
    <w:rsid w:val="00EB61EE"/>
    <w:rsid w:val="00EB61F6"/>
    <w:rsid w:val="00EB62F8"/>
    <w:rsid w:val="00EB6675"/>
    <w:rsid w:val="00EB757E"/>
    <w:rsid w:val="00EB79C2"/>
    <w:rsid w:val="00EB7B8D"/>
    <w:rsid w:val="00EC03A5"/>
    <w:rsid w:val="00EC07C7"/>
    <w:rsid w:val="00EC099F"/>
    <w:rsid w:val="00EC0E30"/>
    <w:rsid w:val="00EC14E9"/>
    <w:rsid w:val="00EC1A51"/>
    <w:rsid w:val="00EC1B49"/>
    <w:rsid w:val="00EC1B5B"/>
    <w:rsid w:val="00EC1EC9"/>
    <w:rsid w:val="00EC2040"/>
    <w:rsid w:val="00EC212A"/>
    <w:rsid w:val="00EC2365"/>
    <w:rsid w:val="00EC23BC"/>
    <w:rsid w:val="00EC249A"/>
    <w:rsid w:val="00EC31BB"/>
    <w:rsid w:val="00EC3D93"/>
    <w:rsid w:val="00EC408A"/>
    <w:rsid w:val="00EC47D9"/>
    <w:rsid w:val="00EC48D9"/>
    <w:rsid w:val="00EC4917"/>
    <w:rsid w:val="00EC49B0"/>
    <w:rsid w:val="00EC4A38"/>
    <w:rsid w:val="00EC4AA3"/>
    <w:rsid w:val="00EC4C06"/>
    <w:rsid w:val="00EC556B"/>
    <w:rsid w:val="00EC5570"/>
    <w:rsid w:val="00EC5580"/>
    <w:rsid w:val="00EC582B"/>
    <w:rsid w:val="00EC5920"/>
    <w:rsid w:val="00EC5D27"/>
    <w:rsid w:val="00EC5DF8"/>
    <w:rsid w:val="00EC6779"/>
    <w:rsid w:val="00EC67A7"/>
    <w:rsid w:val="00EC7904"/>
    <w:rsid w:val="00EC7983"/>
    <w:rsid w:val="00EC7AF5"/>
    <w:rsid w:val="00ED00FF"/>
    <w:rsid w:val="00ED18D1"/>
    <w:rsid w:val="00ED220C"/>
    <w:rsid w:val="00ED24BE"/>
    <w:rsid w:val="00ED26DC"/>
    <w:rsid w:val="00ED301C"/>
    <w:rsid w:val="00ED3558"/>
    <w:rsid w:val="00ED3D3F"/>
    <w:rsid w:val="00ED4778"/>
    <w:rsid w:val="00ED50E0"/>
    <w:rsid w:val="00ED5F11"/>
    <w:rsid w:val="00ED651F"/>
    <w:rsid w:val="00ED67E6"/>
    <w:rsid w:val="00ED6907"/>
    <w:rsid w:val="00ED72E3"/>
    <w:rsid w:val="00ED73F5"/>
    <w:rsid w:val="00ED75E4"/>
    <w:rsid w:val="00ED76DB"/>
    <w:rsid w:val="00ED79D3"/>
    <w:rsid w:val="00ED7E13"/>
    <w:rsid w:val="00EE004E"/>
    <w:rsid w:val="00EE06D2"/>
    <w:rsid w:val="00EE0817"/>
    <w:rsid w:val="00EE0E3A"/>
    <w:rsid w:val="00EE139C"/>
    <w:rsid w:val="00EE1A89"/>
    <w:rsid w:val="00EE2024"/>
    <w:rsid w:val="00EE22FD"/>
    <w:rsid w:val="00EE2495"/>
    <w:rsid w:val="00EE270E"/>
    <w:rsid w:val="00EE2CB3"/>
    <w:rsid w:val="00EE3B6C"/>
    <w:rsid w:val="00EE3FF8"/>
    <w:rsid w:val="00EE4000"/>
    <w:rsid w:val="00EE4303"/>
    <w:rsid w:val="00EE4601"/>
    <w:rsid w:val="00EE4A70"/>
    <w:rsid w:val="00EE4E26"/>
    <w:rsid w:val="00EE4FCE"/>
    <w:rsid w:val="00EE5B13"/>
    <w:rsid w:val="00EE7435"/>
    <w:rsid w:val="00EE784B"/>
    <w:rsid w:val="00EF0198"/>
    <w:rsid w:val="00EF0355"/>
    <w:rsid w:val="00EF0444"/>
    <w:rsid w:val="00EF0C81"/>
    <w:rsid w:val="00EF133A"/>
    <w:rsid w:val="00EF14DB"/>
    <w:rsid w:val="00EF1ABD"/>
    <w:rsid w:val="00EF2292"/>
    <w:rsid w:val="00EF2513"/>
    <w:rsid w:val="00EF27C2"/>
    <w:rsid w:val="00EF2F35"/>
    <w:rsid w:val="00EF3229"/>
    <w:rsid w:val="00EF343D"/>
    <w:rsid w:val="00EF385C"/>
    <w:rsid w:val="00EF409F"/>
    <w:rsid w:val="00EF4D50"/>
    <w:rsid w:val="00EF4DDD"/>
    <w:rsid w:val="00EF57DB"/>
    <w:rsid w:val="00EF5B18"/>
    <w:rsid w:val="00EF607B"/>
    <w:rsid w:val="00EF6223"/>
    <w:rsid w:val="00EF65E1"/>
    <w:rsid w:val="00EF69B1"/>
    <w:rsid w:val="00EF6FDC"/>
    <w:rsid w:val="00EF74A7"/>
    <w:rsid w:val="00EF7842"/>
    <w:rsid w:val="00EF7A34"/>
    <w:rsid w:val="00EF7B4C"/>
    <w:rsid w:val="00F00012"/>
    <w:rsid w:val="00F0005D"/>
    <w:rsid w:val="00F00464"/>
    <w:rsid w:val="00F004C2"/>
    <w:rsid w:val="00F007AE"/>
    <w:rsid w:val="00F01C03"/>
    <w:rsid w:val="00F02040"/>
    <w:rsid w:val="00F020B3"/>
    <w:rsid w:val="00F02F51"/>
    <w:rsid w:val="00F0300B"/>
    <w:rsid w:val="00F03CA7"/>
    <w:rsid w:val="00F03D1F"/>
    <w:rsid w:val="00F040A1"/>
    <w:rsid w:val="00F04DEE"/>
    <w:rsid w:val="00F052D9"/>
    <w:rsid w:val="00F055D9"/>
    <w:rsid w:val="00F05617"/>
    <w:rsid w:val="00F0567E"/>
    <w:rsid w:val="00F057DE"/>
    <w:rsid w:val="00F05884"/>
    <w:rsid w:val="00F06604"/>
    <w:rsid w:val="00F06DF3"/>
    <w:rsid w:val="00F070F5"/>
    <w:rsid w:val="00F07740"/>
    <w:rsid w:val="00F077A1"/>
    <w:rsid w:val="00F077BE"/>
    <w:rsid w:val="00F077D4"/>
    <w:rsid w:val="00F077F7"/>
    <w:rsid w:val="00F078A7"/>
    <w:rsid w:val="00F0790E"/>
    <w:rsid w:val="00F10019"/>
    <w:rsid w:val="00F103AC"/>
    <w:rsid w:val="00F104B6"/>
    <w:rsid w:val="00F10F3B"/>
    <w:rsid w:val="00F1142F"/>
    <w:rsid w:val="00F1164D"/>
    <w:rsid w:val="00F12358"/>
    <w:rsid w:val="00F127A8"/>
    <w:rsid w:val="00F12828"/>
    <w:rsid w:val="00F138E9"/>
    <w:rsid w:val="00F138F5"/>
    <w:rsid w:val="00F13AB4"/>
    <w:rsid w:val="00F144CA"/>
    <w:rsid w:val="00F150A1"/>
    <w:rsid w:val="00F15BF2"/>
    <w:rsid w:val="00F15D8C"/>
    <w:rsid w:val="00F15E53"/>
    <w:rsid w:val="00F162E9"/>
    <w:rsid w:val="00F167D9"/>
    <w:rsid w:val="00F16B47"/>
    <w:rsid w:val="00F16DC4"/>
    <w:rsid w:val="00F17B77"/>
    <w:rsid w:val="00F17B95"/>
    <w:rsid w:val="00F2114A"/>
    <w:rsid w:val="00F21E11"/>
    <w:rsid w:val="00F21F43"/>
    <w:rsid w:val="00F221A9"/>
    <w:rsid w:val="00F226B6"/>
    <w:rsid w:val="00F2280C"/>
    <w:rsid w:val="00F22A07"/>
    <w:rsid w:val="00F22E00"/>
    <w:rsid w:val="00F233C4"/>
    <w:rsid w:val="00F237DD"/>
    <w:rsid w:val="00F238E6"/>
    <w:rsid w:val="00F24536"/>
    <w:rsid w:val="00F2603C"/>
    <w:rsid w:val="00F264CA"/>
    <w:rsid w:val="00F2696A"/>
    <w:rsid w:val="00F2710C"/>
    <w:rsid w:val="00F27426"/>
    <w:rsid w:val="00F27CE4"/>
    <w:rsid w:val="00F31549"/>
    <w:rsid w:val="00F31A1D"/>
    <w:rsid w:val="00F3263B"/>
    <w:rsid w:val="00F327BA"/>
    <w:rsid w:val="00F32F7A"/>
    <w:rsid w:val="00F333C0"/>
    <w:rsid w:val="00F3382E"/>
    <w:rsid w:val="00F3456C"/>
    <w:rsid w:val="00F34FF6"/>
    <w:rsid w:val="00F35800"/>
    <w:rsid w:val="00F359C3"/>
    <w:rsid w:val="00F359CE"/>
    <w:rsid w:val="00F35D0D"/>
    <w:rsid w:val="00F35D78"/>
    <w:rsid w:val="00F35EA1"/>
    <w:rsid w:val="00F360CA"/>
    <w:rsid w:val="00F3711E"/>
    <w:rsid w:val="00F37271"/>
    <w:rsid w:val="00F37D64"/>
    <w:rsid w:val="00F37D85"/>
    <w:rsid w:val="00F4111E"/>
    <w:rsid w:val="00F41EB7"/>
    <w:rsid w:val="00F42347"/>
    <w:rsid w:val="00F424A3"/>
    <w:rsid w:val="00F43833"/>
    <w:rsid w:val="00F4466A"/>
    <w:rsid w:val="00F44755"/>
    <w:rsid w:val="00F453DE"/>
    <w:rsid w:val="00F45404"/>
    <w:rsid w:val="00F459B3"/>
    <w:rsid w:val="00F46030"/>
    <w:rsid w:val="00F460D6"/>
    <w:rsid w:val="00F46198"/>
    <w:rsid w:val="00F46539"/>
    <w:rsid w:val="00F47420"/>
    <w:rsid w:val="00F474B6"/>
    <w:rsid w:val="00F5040F"/>
    <w:rsid w:val="00F5054E"/>
    <w:rsid w:val="00F5109B"/>
    <w:rsid w:val="00F5119A"/>
    <w:rsid w:val="00F51764"/>
    <w:rsid w:val="00F517A1"/>
    <w:rsid w:val="00F51CFF"/>
    <w:rsid w:val="00F52175"/>
    <w:rsid w:val="00F52C21"/>
    <w:rsid w:val="00F53B0D"/>
    <w:rsid w:val="00F553B6"/>
    <w:rsid w:val="00F5568E"/>
    <w:rsid w:val="00F557BA"/>
    <w:rsid w:val="00F56725"/>
    <w:rsid w:val="00F56A29"/>
    <w:rsid w:val="00F57035"/>
    <w:rsid w:val="00F57323"/>
    <w:rsid w:val="00F575D3"/>
    <w:rsid w:val="00F57A72"/>
    <w:rsid w:val="00F57CA7"/>
    <w:rsid w:val="00F57CB9"/>
    <w:rsid w:val="00F60651"/>
    <w:rsid w:val="00F6079C"/>
    <w:rsid w:val="00F60A38"/>
    <w:rsid w:val="00F60B99"/>
    <w:rsid w:val="00F60D5D"/>
    <w:rsid w:val="00F6146E"/>
    <w:rsid w:val="00F615BC"/>
    <w:rsid w:val="00F62827"/>
    <w:rsid w:val="00F62A04"/>
    <w:rsid w:val="00F634A4"/>
    <w:rsid w:val="00F636A6"/>
    <w:rsid w:val="00F63C39"/>
    <w:rsid w:val="00F645DB"/>
    <w:rsid w:val="00F64A8C"/>
    <w:rsid w:val="00F65503"/>
    <w:rsid w:val="00F65979"/>
    <w:rsid w:val="00F669D0"/>
    <w:rsid w:val="00F700AE"/>
    <w:rsid w:val="00F7064D"/>
    <w:rsid w:val="00F709DD"/>
    <w:rsid w:val="00F70B96"/>
    <w:rsid w:val="00F70D0B"/>
    <w:rsid w:val="00F70E5E"/>
    <w:rsid w:val="00F71C5E"/>
    <w:rsid w:val="00F71E48"/>
    <w:rsid w:val="00F723B0"/>
    <w:rsid w:val="00F72467"/>
    <w:rsid w:val="00F729A6"/>
    <w:rsid w:val="00F72B27"/>
    <w:rsid w:val="00F72C23"/>
    <w:rsid w:val="00F73037"/>
    <w:rsid w:val="00F73474"/>
    <w:rsid w:val="00F73928"/>
    <w:rsid w:val="00F73B30"/>
    <w:rsid w:val="00F73BBF"/>
    <w:rsid w:val="00F73F4E"/>
    <w:rsid w:val="00F7411E"/>
    <w:rsid w:val="00F7471C"/>
    <w:rsid w:val="00F74804"/>
    <w:rsid w:val="00F74C3B"/>
    <w:rsid w:val="00F7528C"/>
    <w:rsid w:val="00F752CC"/>
    <w:rsid w:val="00F75D91"/>
    <w:rsid w:val="00F761EF"/>
    <w:rsid w:val="00F77032"/>
    <w:rsid w:val="00F776E4"/>
    <w:rsid w:val="00F7771E"/>
    <w:rsid w:val="00F77871"/>
    <w:rsid w:val="00F779E0"/>
    <w:rsid w:val="00F77C02"/>
    <w:rsid w:val="00F77EAA"/>
    <w:rsid w:val="00F8066B"/>
    <w:rsid w:val="00F80712"/>
    <w:rsid w:val="00F81A73"/>
    <w:rsid w:val="00F81CFC"/>
    <w:rsid w:val="00F827EB"/>
    <w:rsid w:val="00F82918"/>
    <w:rsid w:val="00F82A5A"/>
    <w:rsid w:val="00F82C68"/>
    <w:rsid w:val="00F83627"/>
    <w:rsid w:val="00F837ED"/>
    <w:rsid w:val="00F8388C"/>
    <w:rsid w:val="00F83941"/>
    <w:rsid w:val="00F83974"/>
    <w:rsid w:val="00F83A46"/>
    <w:rsid w:val="00F83E1F"/>
    <w:rsid w:val="00F846BD"/>
    <w:rsid w:val="00F84874"/>
    <w:rsid w:val="00F8492E"/>
    <w:rsid w:val="00F84AF2"/>
    <w:rsid w:val="00F84C47"/>
    <w:rsid w:val="00F84EAC"/>
    <w:rsid w:val="00F8505F"/>
    <w:rsid w:val="00F86333"/>
    <w:rsid w:val="00F8771F"/>
    <w:rsid w:val="00F87756"/>
    <w:rsid w:val="00F87B09"/>
    <w:rsid w:val="00F90418"/>
    <w:rsid w:val="00F909A3"/>
    <w:rsid w:val="00F90BDA"/>
    <w:rsid w:val="00F91317"/>
    <w:rsid w:val="00F9154A"/>
    <w:rsid w:val="00F91697"/>
    <w:rsid w:val="00F916B6"/>
    <w:rsid w:val="00F91CC8"/>
    <w:rsid w:val="00F91E80"/>
    <w:rsid w:val="00F91F1A"/>
    <w:rsid w:val="00F92006"/>
    <w:rsid w:val="00F920FA"/>
    <w:rsid w:val="00F92447"/>
    <w:rsid w:val="00F930D2"/>
    <w:rsid w:val="00F93BD4"/>
    <w:rsid w:val="00F93C45"/>
    <w:rsid w:val="00F94391"/>
    <w:rsid w:val="00F94625"/>
    <w:rsid w:val="00F94687"/>
    <w:rsid w:val="00F94885"/>
    <w:rsid w:val="00F94BC5"/>
    <w:rsid w:val="00F94DCB"/>
    <w:rsid w:val="00F94E6A"/>
    <w:rsid w:val="00F95F90"/>
    <w:rsid w:val="00F96212"/>
    <w:rsid w:val="00F96572"/>
    <w:rsid w:val="00F97289"/>
    <w:rsid w:val="00F973F2"/>
    <w:rsid w:val="00F974E6"/>
    <w:rsid w:val="00F97AED"/>
    <w:rsid w:val="00F97B66"/>
    <w:rsid w:val="00F97E38"/>
    <w:rsid w:val="00FA0611"/>
    <w:rsid w:val="00FA0DA9"/>
    <w:rsid w:val="00FA115C"/>
    <w:rsid w:val="00FA13BF"/>
    <w:rsid w:val="00FA1746"/>
    <w:rsid w:val="00FA17DB"/>
    <w:rsid w:val="00FA2137"/>
    <w:rsid w:val="00FA287C"/>
    <w:rsid w:val="00FA3088"/>
    <w:rsid w:val="00FA3713"/>
    <w:rsid w:val="00FA3CD5"/>
    <w:rsid w:val="00FA3FD5"/>
    <w:rsid w:val="00FA460C"/>
    <w:rsid w:val="00FA46CE"/>
    <w:rsid w:val="00FA4902"/>
    <w:rsid w:val="00FA50F5"/>
    <w:rsid w:val="00FA5139"/>
    <w:rsid w:val="00FA5A8B"/>
    <w:rsid w:val="00FA681A"/>
    <w:rsid w:val="00FA6B85"/>
    <w:rsid w:val="00FA6CED"/>
    <w:rsid w:val="00FA6D94"/>
    <w:rsid w:val="00FA6D9D"/>
    <w:rsid w:val="00FA6F5E"/>
    <w:rsid w:val="00FA7879"/>
    <w:rsid w:val="00FA7885"/>
    <w:rsid w:val="00FA798C"/>
    <w:rsid w:val="00FA7A08"/>
    <w:rsid w:val="00FA7AE1"/>
    <w:rsid w:val="00FB0418"/>
    <w:rsid w:val="00FB045D"/>
    <w:rsid w:val="00FB0B0D"/>
    <w:rsid w:val="00FB0DE0"/>
    <w:rsid w:val="00FB18BE"/>
    <w:rsid w:val="00FB1B53"/>
    <w:rsid w:val="00FB2DFE"/>
    <w:rsid w:val="00FB326F"/>
    <w:rsid w:val="00FB33B2"/>
    <w:rsid w:val="00FB4303"/>
    <w:rsid w:val="00FB5667"/>
    <w:rsid w:val="00FB5A58"/>
    <w:rsid w:val="00FB5B07"/>
    <w:rsid w:val="00FB5DBC"/>
    <w:rsid w:val="00FB6B11"/>
    <w:rsid w:val="00FB705B"/>
    <w:rsid w:val="00FB7364"/>
    <w:rsid w:val="00FC0115"/>
    <w:rsid w:val="00FC077F"/>
    <w:rsid w:val="00FC0BEF"/>
    <w:rsid w:val="00FC0F1C"/>
    <w:rsid w:val="00FC15D8"/>
    <w:rsid w:val="00FC178D"/>
    <w:rsid w:val="00FC1A89"/>
    <w:rsid w:val="00FC1C3D"/>
    <w:rsid w:val="00FC1F6E"/>
    <w:rsid w:val="00FC25AD"/>
    <w:rsid w:val="00FC25DD"/>
    <w:rsid w:val="00FC278F"/>
    <w:rsid w:val="00FC2E76"/>
    <w:rsid w:val="00FC3A15"/>
    <w:rsid w:val="00FC448A"/>
    <w:rsid w:val="00FC47F9"/>
    <w:rsid w:val="00FC4B65"/>
    <w:rsid w:val="00FC4F23"/>
    <w:rsid w:val="00FC5383"/>
    <w:rsid w:val="00FC66BD"/>
    <w:rsid w:val="00FC671B"/>
    <w:rsid w:val="00FC6A85"/>
    <w:rsid w:val="00FC6EA2"/>
    <w:rsid w:val="00FC7156"/>
    <w:rsid w:val="00FC722E"/>
    <w:rsid w:val="00FC7876"/>
    <w:rsid w:val="00FD0462"/>
    <w:rsid w:val="00FD051F"/>
    <w:rsid w:val="00FD0F85"/>
    <w:rsid w:val="00FD112D"/>
    <w:rsid w:val="00FD13B1"/>
    <w:rsid w:val="00FD13B6"/>
    <w:rsid w:val="00FD16B4"/>
    <w:rsid w:val="00FD1A3B"/>
    <w:rsid w:val="00FD22FD"/>
    <w:rsid w:val="00FD2B73"/>
    <w:rsid w:val="00FD2C23"/>
    <w:rsid w:val="00FD31B3"/>
    <w:rsid w:val="00FD34BF"/>
    <w:rsid w:val="00FD386E"/>
    <w:rsid w:val="00FD399C"/>
    <w:rsid w:val="00FD4237"/>
    <w:rsid w:val="00FD4558"/>
    <w:rsid w:val="00FD4620"/>
    <w:rsid w:val="00FD4852"/>
    <w:rsid w:val="00FD4CC7"/>
    <w:rsid w:val="00FD4E0B"/>
    <w:rsid w:val="00FD5C7A"/>
    <w:rsid w:val="00FD5FD8"/>
    <w:rsid w:val="00FD60FE"/>
    <w:rsid w:val="00FE068D"/>
    <w:rsid w:val="00FE0C56"/>
    <w:rsid w:val="00FE140D"/>
    <w:rsid w:val="00FE1605"/>
    <w:rsid w:val="00FE1E3A"/>
    <w:rsid w:val="00FE260C"/>
    <w:rsid w:val="00FE2646"/>
    <w:rsid w:val="00FE2770"/>
    <w:rsid w:val="00FE2929"/>
    <w:rsid w:val="00FE3114"/>
    <w:rsid w:val="00FE3AAB"/>
    <w:rsid w:val="00FE3E17"/>
    <w:rsid w:val="00FE3E36"/>
    <w:rsid w:val="00FE3E43"/>
    <w:rsid w:val="00FE49AD"/>
    <w:rsid w:val="00FE4E4D"/>
    <w:rsid w:val="00FE5908"/>
    <w:rsid w:val="00FE61B5"/>
    <w:rsid w:val="00FE7028"/>
    <w:rsid w:val="00FE7B77"/>
    <w:rsid w:val="00FF024B"/>
    <w:rsid w:val="00FF0256"/>
    <w:rsid w:val="00FF09DE"/>
    <w:rsid w:val="00FF108A"/>
    <w:rsid w:val="00FF14C0"/>
    <w:rsid w:val="00FF1783"/>
    <w:rsid w:val="00FF19E4"/>
    <w:rsid w:val="00FF1F0A"/>
    <w:rsid w:val="00FF27EC"/>
    <w:rsid w:val="00FF2AA9"/>
    <w:rsid w:val="00FF2D6E"/>
    <w:rsid w:val="00FF40EE"/>
    <w:rsid w:val="00FF41D6"/>
    <w:rsid w:val="00FF4CC0"/>
    <w:rsid w:val="00FF4EC5"/>
    <w:rsid w:val="00FF523F"/>
    <w:rsid w:val="00FF55BB"/>
    <w:rsid w:val="00FF589A"/>
    <w:rsid w:val="00FF6192"/>
    <w:rsid w:val="00FF6844"/>
    <w:rsid w:val="00FF7285"/>
    <w:rsid w:val="00FF7F5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413438"/>
  <w15:chartTrackingRefBased/>
  <w15:docId w15:val="{1AAD784E-C4A2-47AF-905E-37BDCFE95C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MS Mincho"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B103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E7E0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91CA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B103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B103E"/>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1B103E"/>
    <w:rPr>
      <w:rFonts w:asciiTheme="majorHAnsi" w:eastAsiaTheme="majorEastAsia" w:hAnsiTheme="majorHAnsi" w:cstheme="majorBidi"/>
      <w:color w:val="2F5496" w:themeColor="accent1" w:themeShade="BF"/>
      <w:sz w:val="32"/>
      <w:szCs w:val="32"/>
    </w:rPr>
  </w:style>
  <w:style w:type="paragraph" w:styleId="BalloonText">
    <w:name w:val="Balloon Text"/>
    <w:basedOn w:val="Normal"/>
    <w:link w:val="BalloonTextChar"/>
    <w:uiPriority w:val="99"/>
    <w:semiHidden/>
    <w:unhideWhenUsed/>
    <w:rsid w:val="00CA4B0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A4B07"/>
    <w:rPr>
      <w:rFonts w:ascii="Segoe UI" w:hAnsi="Segoe UI" w:cs="Segoe UI"/>
      <w:sz w:val="18"/>
      <w:szCs w:val="18"/>
    </w:rPr>
  </w:style>
  <w:style w:type="paragraph" w:styleId="ListParagraph">
    <w:name w:val="List Paragraph"/>
    <w:basedOn w:val="Normal"/>
    <w:uiPriority w:val="34"/>
    <w:qFormat/>
    <w:rsid w:val="00C9257F"/>
    <w:pPr>
      <w:ind w:left="720"/>
      <w:contextualSpacing/>
    </w:pPr>
  </w:style>
  <w:style w:type="character" w:customStyle="1" w:styleId="Heading2Char">
    <w:name w:val="Heading 2 Char"/>
    <w:basedOn w:val="DefaultParagraphFont"/>
    <w:link w:val="Heading2"/>
    <w:uiPriority w:val="9"/>
    <w:rsid w:val="004E7E08"/>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B91CA6"/>
    <w:rPr>
      <w:rFonts w:asciiTheme="majorHAnsi" w:eastAsiaTheme="majorEastAsia" w:hAnsiTheme="majorHAnsi" w:cstheme="majorBidi"/>
      <w:color w:val="1F3763" w:themeColor="accent1" w:themeShade="7F"/>
      <w:sz w:val="24"/>
      <w:szCs w:val="24"/>
    </w:rPr>
  </w:style>
  <w:style w:type="table" w:styleId="TableGrid">
    <w:name w:val="Table Grid"/>
    <w:basedOn w:val="TableNormal"/>
    <w:uiPriority w:val="39"/>
    <w:rsid w:val="00B91C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E9180C"/>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unhideWhenUsed/>
    <w:rsid w:val="00E945D6"/>
    <w:rPr>
      <w:sz w:val="16"/>
      <w:szCs w:val="16"/>
    </w:rPr>
  </w:style>
  <w:style w:type="paragraph" w:styleId="CommentText">
    <w:name w:val="annotation text"/>
    <w:basedOn w:val="Normal"/>
    <w:link w:val="CommentTextChar"/>
    <w:uiPriority w:val="99"/>
    <w:semiHidden/>
    <w:unhideWhenUsed/>
    <w:rsid w:val="00E945D6"/>
    <w:pPr>
      <w:spacing w:line="240" w:lineRule="auto"/>
    </w:pPr>
    <w:rPr>
      <w:sz w:val="20"/>
      <w:szCs w:val="20"/>
    </w:rPr>
  </w:style>
  <w:style w:type="character" w:customStyle="1" w:styleId="CommentTextChar">
    <w:name w:val="Comment Text Char"/>
    <w:basedOn w:val="DefaultParagraphFont"/>
    <w:link w:val="CommentText"/>
    <w:uiPriority w:val="99"/>
    <w:semiHidden/>
    <w:rsid w:val="00E945D6"/>
    <w:rPr>
      <w:sz w:val="20"/>
      <w:szCs w:val="20"/>
    </w:rPr>
  </w:style>
  <w:style w:type="paragraph" w:styleId="CommentSubject">
    <w:name w:val="annotation subject"/>
    <w:basedOn w:val="CommentText"/>
    <w:next w:val="CommentText"/>
    <w:link w:val="CommentSubjectChar"/>
    <w:uiPriority w:val="99"/>
    <w:semiHidden/>
    <w:unhideWhenUsed/>
    <w:rsid w:val="008466B1"/>
    <w:rPr>
      <w:b/>
      <w:bCs/>
    </w:rPr>
  </w:style>
  <w:style w:type="character" w:customStyle="1" w:styleId="CommentSubjectChar">
    <w:name w:val="Comment Subject Char"/>
    <w:basedOn w:val="CommentTextChar"/>
    <w:link w:val="CommentSubject"/>
    <w:uiPriority w:val="99"/>
    <w:semiHidden/>
    <w:rsid w:val="008466B1"/>
    <w:rPr>
      <w:b/>
      <w:bCs/>
      <w:sz w:val="20"/>
      <w:szCs w:val="20"/>
    </w:rPr>
  </w:style>
  <w:style w:type="character" w:styleId="Hyperlink">
    <w:name w:val="Hyperlink"/>
    <w:basedOn w:val="DefaultParagraphFont"/>
    <w:uiPriority w:val="99"/>
    <w:unhideWhenUsed/>
    <w:rsid w:val="004E65CB"/>
    <w:rPr>
      <w:color w:val="0563C1" w:themeColor="hyperlink"/>
      <w:u w:val="single"/>
    </w:rPr>
  </w:style>
  <w:style w:type="character" w:customStyle="1" w:styleId="UnresolvedMention1">
    <w:name w:val="Unresolved Mention1"/>
    <w:basedOn w:val="DefaultParagraphFont"/>
    <w:uiPriority w:val="99"/>
    <w:semiHidden/>
    <w:unhideWhenUsed/>
    <w:rsid w:val="004E65CB"/>
    <w:rPr>
      <w:color w:val="605E5C"/>
      <w:shd w:val="clear" w:color="auto" w:fill="E1DFDD"/>
    </w:rPr>
  </w:style>
  <w:style w:type="character" w:styleId="LineNumber">
    <w:name w:val="line number"/>
    <w:basedOn w:val="DefaultParagraphFont"/>
    <w:uiPriority w:val="99"/>
    <w:semiHidden/>
    <w:unhideWhenUsed/>
    <w:rsid w:val="00F459B3"/>
  </w:style>
  <w:style w:type="character" w:styleId="UnresolvedMention">
    <w:name w:val="Unresolved Mention"/>
    <w:basedOn w:val="DefaultParagraphFont"/>
    <w:uiPriority w:val="99"/>
    <w:semiHidden/>
    <w:unhideWhenUsed/>
    <w:rsid w:val="0088379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2919428">
      <w:bodyDiv w:val="1"/>
      <w:marLeft w:val="0"/>
      <w:marRight w:val="0"/>
      <w:marTop w:val="0"/>
      <w:marBottom w:val="0"/>
      <w:divBdr>
        <w:top w:val="none" w:sz="0" w:space="0" w:color="auto"/>
        <w:left w:val="none" w:sz="0" w:space="0" w:color="auto"/>
        <w:bottom w:val="none" w:sz="0" w:space="0" w:color="auto"/>
        <w:right w:val="none" w:sz="0" w:space="0" w:color="auto"/>
      </w:divBdr>
    </w:div>
    <w:div w:id="1557857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4.tiff"/><Relationship Id="rId26" Type="http://schemas.openxmlformats.org/officeDocument/2006/relationships/image" Target="media/image12.tiff"/><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image" Target="media/image1.tiff"/><Relationship Id="rId17" Type="http://schemas.openxmlformats.org/officeDocument/2006/relationships/hyperlink" Target="https://doi.org/10.15468/dl.nxy2cp" TargetMode="External"/><Relationship Id="rId25" Type="http://schemas.openxmlformats.org/officeDocument/2006/relationships/image" Target="media/image11.tiff"/><Relationship Id="rId2" Type="http://schemas.openxmlformats.org/officeDocument/2006/relationships/customXml" Target="../customXml/item2.xml"/><Relationship Id="rId16" Type="http://schemas.openxmlformats.org/officeDocument/2006/relationships/hyperlink" Target="https://doi.org/10.15468/dl.o97owq" TargetMode="External"/><Relationship Id="rId20" Type="http://schemas.openxmlformats.org/officeDocument/2006/relationships/image" Target="media/image6.sv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acv@furb.br" TargetMode="External"/><Relationship Id="rId24" Type="http://schemas.openxmlformats.org/officeDocument/2006/relationships/image" Target="media/image10.tiff"/><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doi.org/10.15468/dl.0l64p1" TargetMode="External"/><Relationship Id="rId23" Type="http://schemas.openxmlformats.org/officeDocument/2006/relationships/image" Target="media/image9.tiff"/><Relationship Id="rId28" Type="http://schemas.openxmlformats.org/officeDocument/2006/relationships/image" Target="media/image14.jpeg"/><Relationship Id="rId10" Type="http://schemas.openxmlformats.org/officeDocument/2006/relationships/hyperlink" Target="mailto:dlingner@furb.br" TargetMode="External"/><Relationship Id="rId19" Type="http://schemas.openxmlformats.org/officeDocument/2006/relationships/image" Target="media/image5.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hyperlink" Target="mailto:o.j.wilson@reading.ac.uk" TargetMode="External"/><Relationship Id="rId14" Type="http://schemas.openxmlformats.org/officeDocument/2006/relationships/image" Target="media/image3.svg"/><Relationship Id="rId22" Type="http://schemas.openxmlformats.org/officeDocument/2006/relationships/image" Target="media/image8.svg"/><Relationship Id="rId27" Type="http://schemas.openxmlformats.org/officeDocument/2006/relationships/image" Target="media/image13.tiff"/><Relationship Id="rId30"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3828CC8F99F4647B866DC080C333B74" ma:contentTypeVersion="13" ma:contentTypeDescription="Create a new document." ma:contentTypeScope="" ma:versionID="18915cc7a3d8de2f829c3f1230e9a2e5">
  <xsd:schema xmlns:xsd="http://www.w3.org/2001/XMLSchema" xmlns:xs="http://www.w3.org/2001/XMLSchema" xmlns:p="http://schemas.microsoft.com/office/2006/metadata/properties" xmlns:ns3="e47909c1-e75f-4d38-bbf1-d1b3047f3d70" xmlns:ns4="7d9f1007-3b47-499e-9ce6-4159275f3fb0" targetNamespace="http://schemas.microsoft.com/office/2006/metadata/properties" ma:root="true" ma:fieldsID="73cf50786b1127fc21c0274186f4d44a" ns3:_="" ns4:_="">
    <xsd:import namespace="e47909c1-e75f-4d38-bbf1-d1b3047f3d70"/>
    <xsd:import namespace="7d9f1007-3b47-499e-9ce6-4159275f3fb0"/>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EventHashCode" minOccurs="0"/>
                <xsd:element ref="ns4:MediaServiceGenerationTime" minOccurs="0"/>
                <xsd:element ref="ns4:MediaServiceLocatio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7909c1-e75f-4d38-bbf1-d1b3047f3d70"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d9f1007-3b47-499e-9ce6-4159275f3fb0"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F3B4EE9-EA9B-41CF-BEE8-5F37634A37F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47909c1-e75f-4d38-bbf1-d1b3047f3d70"/>
    <ds:schemaRef ds:uri="7d9f1007-3b47-499e-9ce6-4159275f3f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7EA2223-03AE-4D2F-B86B-CC796B68813C}">
  <ds:schemaRefs>
    <ds:schemaRef ds:uri="http://schemas.openxmlformats.org/officeDocument/2006/bibliography"/>
  </ds:schemaRefs>
</ds:datastoreItem>
</file>

<file path=customXml/itemProps3.xml><?xml version="1.0" encoding="utf-8"?>
<ds:datastoreItem xmlns:ds="http://schemas.openxmlformats.org/officeDocument/2006/customXml" ds:itemID="{6A8BCDA6-102D-44F1-8818-BA49B2DD27D0}">
  <ds:schemaRefs>
    <ds:schemaRef ds:uri="http://schemas.microsoft.com/sharepoint/v3/contenttype/forms"/>
  </ds:schemaRefs>
</ds:datastoreItem>
</file>

<file path=customXml/itemProps4.xml><?xml version="1.0" encoding="utf-8"?>
<ds:datastoreItem xmlns:ds="http://schemas.openxmlformats.org/officeDocument/2006/customXml" ds:itemID="{6DE30F90-909B-4E67-A333-80A2156A7A8F}">
  <ds:schemaRefs>
    <ds:schemaRef ds:uri="http://purl.org/dc/terms/"/>
    <ds:schemaRef ds:uri="http://purl.org/dc/dcmitype/"/>
    <ds:schemaRef ds:uri="http://www.w3.org/XML/1998/namespace"/>
    <ds:schemaRef ds:uri="http://purl.org/dc/elements/1.1/"/>
    <ds:schemaRef ds:uri="e47909c1-e75f-4d38-bbf1-d1b3047f3d70"/>
    <ds:schemaRef ds:uri="http://schemas.microsoft.com/office/2006/documentManagement/types"/>
    <ds:schemaRef ds:uri="http://schemas.microsoft.com/office/infopath/2007/PartnerControls"/>
    <ds:schemaRef ds:uri="http://schemas.microsoft.com/office/2006/metadata/properties"/>
    <ds:schemaRef ds:uri="http://schemas.openxmlformats.org/package/2006/metadata/core-properties"/>
    <ds:schemaRef ds:uri="7d9f1007-3b47-499e-9ce6-4159275f3fb0"/>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58</Pages>
  <Words>188064</Words>
  <Characters>1071965</Characters>
  <Application>Microsoft Office Word</Application>
  <DocSecurity>0</DocSecurity>
  <Lines>8933</Lines>
  <Paragraphs>2515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1257514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Oliver Wilson</dc:creator>
  <cp:keywords/>
  <dc:description/>
  <cp:lastModifiedBy>Oliver Wilson</cp:lastModifiedBy>
  <cp:revision>2</cp:revision>
  <cp:lastPrinted>2021-05-25T15:11:00Z</cp:lastPrinted>
  <dcterms:created xsi:type="dcterms:W3CDTF">2021-05-25T15:14:00Z</dcterms:created>
  <dcterms:modified xsi:type="dcterms:W3CDTF">2021-05-25T15:14:00Z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http://www.zotero.org/styles/american-sociological-association</vt:lpwstr>
  </property>
  <property fmtid="{D5CDD505-2E9C-101B-9397-08002B2CF9AE}" pid="3" name="Mendeley Recent Style Name 0_1">
    <vt:lpwstr>American Sociological Association 6th edition</vt:lpwstr>
  </property>
  <property fmtid="{D5CDD505-2E9C-101B-9397-08002B2CF9AE}" pid="4" name="Mendeley Recent Style Id 1_1">
    <vt:lpwstr>http://www.zotero.org/styles/chicago-author-date</vt:lpwstr>
  </property>
  <property fmtid="{D5CDD505-2E9C-101B-9397-08002B2CF9AE}" pid="5" name="Mendeley Recent Style Name 1_1">
    <vt:lpwstr>Chicago Manual of Style 17th edition (author-date)</vt:lpwstr>
  </property>
  <property fmtid="{D5CDD505-2E9C-101B-9397-08002B2CF9AE}" pid="6" name="Mendeley Recent Style Id 2_1">
    <vt:lpwstr>http://www.zotero.org/styles/harvard-cite-them-right</vt:lpwstr>
  </property>
  <property fmtid="{D5CDD505-2E9C-101B-9397-08002B2CF9AE}" pid="7" name="Mendeley Recent Style Name 2_1">
    <vt:lpwstr>Cite Them Right 10th edition - Harvard</vt:lpwstr>
  </property>
  <property fmtid="{D5CDD505-2E9C-101B-9397-08002B2CF9AE}" pid="8" name="Mendeley Recent Style Id 3_1">
    <vt:lpwstr>http://www.zotero.org/styles/global-change-biology</vt:lpwstr>
  </property>
  <property fmtid="{D5CDD505-2E9C-101B-9397-08002B2CF9AE}" pid="9" name="Mendeley Recent Style Name 3_1">
    <vt:lpwstr>Global Change Biology</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http://www.zotero.org/styles/journal-of-biogeography</vt:lpwstr>
  </property>
  <property fmtid="{D5CDD505-2E9C-101B-9397-08002B2CF9AE}" pid="13" name="Mendeley Recent Style Name 5_1">
    <vt:lpwstr>Journal of Biogeography</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http://www.zotero.org/styles/quaternary-science-reviews</vt:lpwstr>
  </property>
  <property fmtid="{D5CDD505-2E9C-101B-9397-08002B2CF9AE}" pid="21" name="Mendeley Recent Style Name 9_1">
    <vt:lpwstr>Quaternary Science Reviews</vt:lpwstr>
  </property>
  <property fmtid="{D5CDD505-2E9C-101B-9397-08002B2CF9AE}" pid="22" name="Mendeley Document_1">
    <vt:lpwstr>True</vt:lpwstr>
  </property>
  <property fmtid="{D5CDD505-2E9C-101B-9397-08002B2CF9AE}" pid="23" name="Mendeley Unique User Id_1">
    <vt:lpwstr>49970096-b2af-3f79-a658-997794cd126f</vt:lpwstr>
  </property>
  <property fmtid="{D5CDD505-2E9C-101B-9397-08002B2CF9AE}" pid="24" name="Mendeley Citation Style_1">
    <vt:lpwstr>http://www.zotero.org/styles/quaternary-science-reviews</vt:lpwstr>
  </property>
  <property fmtid="{D5CDD505-2E9C-101B-9397-08002B2CF9AE}" pid="25" name="ContentTypeId">
    <vt:lpwstr>0x01010053828CC8F99F4647B866DC080C333B74</vt:lpwstr>
  </property>
</Properties>
</file>