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AD380" w14:textId="0844F166" w:rsidR="00BA24FF" w:rsidRDefault="00BA24FF" w:rsidP="004615E6">
      <w:pPr>
        <w:spacing w:line="480" w:lineRule="auto"/>
        <w:contextualSpacing/>
      </w:pPr>
    </w:p>
    <w:p w14:paraId="7AD4CFA0" w14:textId="032BF275" w:rsidR="006A0141" w:rsidRPr="00E21C80" w:rsidRDefault="006A0141" w:rsidP="006A0141">
      <w:pPr>
        <w:spacing w:line="480" w:lineRule="auto"/>
        <w:contextualSpacing/>
        <w:jc w:val="center"/>
        <w:rPr>
          <w:b/>
          <w:bCs/>
        </w:rPr>
      </w:pPr>
      <w:r w:rsidRPr="00E21C80">
        <w:rPr>
          <w:b/>
          <w:bCs/>
        </w:rPr>
        <w:t xml:space="preserve">Psychological Value Theory: </w:t>
      </w:r>
      <w:r w:rsidR="004114DA">
        <w:rPr>
          <w:b/>
          <w:bCs/>
        </w:rPr>
        <w:t>A computational cognitive model of</w:t>
      </w:r>
      <w:r w:rsidRPr="00E21C80">
        <w:rPr>
          <w:b/>
          <w:bCs/>
        </w:rPr>
        <w:t xml:space="preserve"> </w:t>
      </w:r>
      <w:r w:rsidR="00581E11">
        <w:rPr>
          <w:b/>
          <w:bCs/>
        </w:rPr>
        <w:t>c</w:t>
      </w:r>
      <w:r w:rsidR="00581E11" w:rsidRPr="00E21C80">
        <w:rPr>
          <w:b/>
          <w:bCs/>
        </w:rPr>
        <w:t xml:space="preserve">haritable </w:t>
      </w:r>
      <w:r w:rsidR="00581E11">
        <w:rPr>
          <w:b/>
          <w:bCs/>
        </w:rPr>
        <w:t>g</w:t>
      </w:r>
      <w:r w:rsidR="00581E11" w:rsidRPr="00E21C80">
        <w:rPr>
          <w:b/>
          <w:bCs/>
        </w:rPr>
        <w:t>iving</w:t>
      </w:r>
    </w:p>
    <w:p w14:paraId="512E24EF" w14:textId="77777777" w:rsidR="006A0141" w:rsidRDefault="006A0141" w:rsidP="006A0141">
      <w:pPr>
        <w:spacing w:line="480" w:lineRule="auto"/>
        <w:contextualSpacing/>
        <w:jc w:val="center"/>
        <w:outlineLvl w:val="0"/>
      </w:pPr>
      <w:r>
        <w:t>Dale J Cohen</w:t>
      </w:r>
      <w:r w:rsidRPr="00E21C80">
        <w:rPr>
          <w:vertAlign w:val="superscript"/>
        </w:rPr>
        <w:t>1</w:t>
      </w:r>
    </w:p>
    <w:p w14:paraId="724BCFBF" w14:textId="77777777" w:rsidR="006A0141" w:rsidRDefault="006A0141" w:rsidP="006A0141">
      <w:pPr>
        <w:spacing w:line="480" w:lineRule="auto"/>
        <w:contextualSpacing/>
        <w:jc w:val="center"/>
        <w:outlineLvl w:val="0"/>
      </w:pPr>
      <w:r>
        <w:t>Monica K Campbell</w:t>
      </w:r>
      <w:r w:rsidRPr="00E21C80">
        <w:rPr>
          <w:vertAlign w:val="superscript"/>
        </w:rPr>
        <w:t>1</w:t>
      </w:r>
    </w:p>
    <w:p w14:paraId="616DB3F1" w14:textId="77777777" w:rsidR="006A0141" w:rsidRPr="009761FC" w:rsidRDefault="006A0141" w:rsidP="006A0141">
      <w:pPr>
        <w:spacing w:line="480" w:lineRule="auto"/>
        <w:contextualSpacing/>
        <w:jc w:val="center"/>
        <w:outlineLvl w:val="0"/>
        <w:rPr>
          <w:vertAlign w:val="superscript"/>
        </w:rPr>
      </w:pPr>
      <w:r>
        <w:t>Philip T Quinlan</w:t>
      </w:r>
      <w:r w:rsidRPr="00E21C80">
        <w:rPr>
          <w:vertAlign w:val="superscript"/>
        </w:rPr>
        <w:t>2</w:t>
      </w:r>
    </w:p>
    <w:p w14:paraId="489D1192" w14:textId="77777777" w:rsidR="006A0141" w:rsidRPr="001E4885" w:rsidRDefault="006A0141" w:rsidP="006A0141">
      <w:pPr>
        <w:spacing w:line="480" w:lineRule="auto"/>
        <w:jc w:val="center"/>
      </w:pPr>
      <w:r w:rsidRPr="001E4885">
        <w:rPr>
          <w:vertAlign w:val="superscript"/>
        </w:rPr>
        <w:t>1</w:t>
      </w:r>
      <w:r w:rsidRPr="001E4885">
        <w:t>Department of Psychology, The University of North Carolina Wilmington, Wilmington, NC</w:t>
      </w:r>
    </w:p>
    <w:p w14:paraId="056B5DBA" w14:textId="23D8C0C9" w:rsidR="009E6192" w:rsidRPr="001E4885" w:rsidRDefault="006A0141" w:rsidP="009E6192">
      <w:pPr>
        <w:spacing w:line="480" w:lineRule="auto"/>
        <w:jc w:val="center"/>
      </w:pPr>
      <w:r w:rsidRPr="001E4885">
        <w:rPr>
          <w:vertAlign w:val="superscript"/>
        </w:rPr>
        <w:t>2</w:t>
      </w:r>
      <w:r w:rsidRPr="001E4885">
        <w:t>Department of Psychology, The University of York, York, UK.</w:t>
      </w:r>
    </w:p>
    <w:p w14:paraId="68C08408" w14:textId="6FE5A127" w:rsidR="009E6192" w:rsidRPr="00A93BDC" w:rsidRDefault="006A0141" w:rsidP="006A0141">
      <w:pPr>
        <w:spacing w:line="480" w:lineRule="auto"/>
      </w:pPr>
      <w:r w:rsidRPr="001E4885">
        <w:t xml:space="preserve">Word Count: </w:t>
      </w:r>
      <w:r w:rsidR="0020333A">
        <w:t>19,700</w:t>
      </w:r>
    </w:p>
    <w:p w14:paraId="10B88777" w14:textId="77777777" w:rsidR="006A0141" w:rsidRPr="001E4885" w:rsidRDefault="006A0141" w:rsidP="006A0141">
      <w:pPr>
        <w:spacing w:line="480" w:lineRule="auto"/>
        <w:jc w:val="center"/>
        <w:rPr>
          <w:b/>
        </w:rPr>
      </w:pPr>
      <w:r w:rsidRPr="001E4885">
        <w:rPr>
          <w:b/>
        </w:rPr>
        <w:t>Author Note</w:t>
      </w:r>
    </w:p>
    <w:p w14:paraId="123198CE" w14:textId="4DECDE36" w:rsidR="006A0141" w:rsidRPr="009761FC" w:rsidRDefault="006A0141" w:rsidP="006A0141">
      <w:pPr>
        <w:keepNext/>
        <w:spacing w:line="480" w:lineRule="auto"/>
        <w:ind w:firstLine="720"/>
        <w:outlineLvl w:val="0"/>
        <w:rPr>
          <w:bCs/>
        </w:rPr>
      </w:pPr>
      <w:r>
        <w:t>All</w:t>
      </w:r>
      <w:r w:rsidRPr="001E4885">
        <w:t xml:space="preserve"> authors contributed equally to the work. Correspondence concerning this article should be addressed to Dale J. Cohen, Department of Psychology, University of North Carolina Wilmington, 601 South College Road, Wilmington, NC 28403-5612. E-mail: </w:t>
      </w:r>
      <w:hyperlink r:id="rId8" w:history="1">
        <w:r w:rsidRPr="00946990">
          <w:rPr>
            <w:rStyle w:val="Hyperlink"/>
          </w:rPr>
          <w:t>cohend@uncw.edu</w:t>
        </w:r>
      </w:hyperlink>
      <w:r>
        <w:t xml:space="preserve">. </w:t>
      </w:r>
      <w:r w:rsidRPr="00C974E0">
        <w:t>Dale J. Cohen</w:t>
      </w:r>
      <w:r>
        <w:t xml:space="preserve"> and Monica K Campbell,</w:t>
      </w:r>
      <w:r w:rsidRPr="00C974E0">
        <w:t xml:space="preserve"> </w:t>
      </w:r>
      <w:r w:rsidRPr="00EE7C77">
        <w:t>Department of Psychology, University of North Carolina Wilmington.</w:t>
      </w:r>
      <w:r w:rsidRPr="00C974E0">
        <w:t xml:space="preserve"> </w:t>
      </w:r>
      <w:r w:rsidRPr="007100E9">
        <w:t>Philip Quinlan</w:t>
      </w:r>
      <w:r>
        <w:t xml:space="preserve">, </w:t>
      </w:r>
      <w:r w:rsidRPr="007100E9">
        <w:t xml:space="preserve">Department of Psychology at the University of York UK. </w:t>
      </w:r>
      <w:r w:rsidRPr="00EE7C77">
        <w:t>We thank the members of the Cohen Cognition and Perception Laboratory for their assistance and support. The current work received no funding. There are no real or potential conflicts of interest that may impact the current research.</w:t>
      </w:r>
      <w:r>
        <w:t xml:space="preserve"> </w:t>
      </w:r>
      <w:r w:rsidR="00391EB2">
        <w:rPr>
          <w:bCs/>
        </w:rPr>
        <w:t>Experiments 1-4</w:t>
      </w:r>
      <w:r w:rsidRPr="00EE7C77">
        <w:rPr>
          <w:bCs/>
        </w:rPr>
        <w:t xml:space="preserve"> were approved by the UNCW IRB, protocol# 16-0210.</w:t>
      </w:r>
      <w:r>
        <w:rPr>
          <w:bCs/>
        </w:rPr>
        <w:t xml:space="preserve"> </w:t>
      </w:r>
      <w:r w:rsidR="00391EB2">
        <w:rPr>
          <w:bCs/>
        </w:rPr>
        <w:t xml:space="preserve">Experiment 5 was approved by the </w:t>
      </w:r>
      <w:r w:rsidR="00391EB2" w:rsidRPr="00391EB2">
        <w:rPr>
          <w:bCs/>
        </w:rPr>
        <w:t>Ethics Committee of the Department of Psychology, University of York IRB, #2242</w:t>
      </w:r>
      <w:r w:rsidR="00391EB2">
        <w:rPr>
          <w:bCs/>
        </w:rPr>
        <w:t xml:space="preserve">. </w:t>
      </w:r>
      <w:r w:rsidRPr="00130070">
        <w:rPr>
          <w:bCs/>
        </w:rPr>
        <w:t>The data and R code for the analysis of Experiment</w:t>
      </w:r>
      <w:r>
        <w:rPr>
          <w:bCs/>
        </w:rPr>
        <w:t>s</w:t>
      </w:r>
      <w:r w:rsidRPr="00130070">
        <w:rPr>
          <w:bCs/>
        </w:rPr>
        <w:t xml:space="preserve"> </w:t>
      </w:r>
      <w:r>
        <w:rPr>
          <w:bCs/>
        </w:rPr>
        <w:t>1-</w:t>
      </w:r>
      <w:r w:rsidR="00391EB2">
        <w:rPr>
          <w:bCs/>
        </w:rPr>
        <w:t xml:space="preserve"> 5</w:t>
      </w:r>
      <w:r w:rsidRPr="00130070">
        <w:rPr>
          <w:bCs/>
        </w:rPr>
        <w:t xml:space="preserve"> can be downloaded at:</w:t>
      </w:r>
      <w:r w:rsidRPr="00130070">
        <w:rPr>
          <w:bCs/>
        </w:rPr>
        <w:br/>
      </w:r>
      <w:hyperlink r:id="rId9" w:history="1">
        <w:r w:rsidRPr="00130070">
          <w:rPr>
            <w:rStyle w:val="Hyperlink"/>
            <w:bCs/>
          </w:rPr>
          <w:t>https://github.com/ccpluncw/ccpl_data_PVTcharity2021.git</w:t>
        </w:r>
      </w:hyperlink>
      <w:r>
        <w:rPr>
          <w:bCs/>
        </w:rPr>
        <w:t xml:space="preserve">. </w:t>
      </w:r>
      <w:r w:rsidRPr="00130070">
        <w:rPr>
          <w:bCs/>
        </w:rPr>
        <w:t xml:space="preserve">The experimental presentation code is proprietary and is not open sourced. </w:t>
      </w:r>
      <w:r w:rsidR="00A84F5B">
        <w:rPr>
          <w:bCs/>
        </w:rPr>
        <w:t>Only Experiment 5 was</w:t>
      </w:r>
      <w:r w:rsidRPr="00130070">
        <w:rPr>
          <w:bCs/>
        </w:rPr>
        <w:t xml:space="preserve"> pre-registered.</w:t>
      </w:r>
    </w:p>
    <w:p w14:paraId="0F1A4AC4" w14:textId="77777777" w:rsidR="002C3BB1" w:rsidRPr="00C06677" w:rsidRDefault="002C3BB1">
      <w:pPr>
        <w:rPr>
          <w:b/>
        </w:rPr>
      </w:pPr>
      <w:r w:rsidRPr="00C06677">
        <w:rPr>
          <w:b/>
        </w:rPr>
        <w:br w:type="page"/>
      </w:r>
    </w:p>
    <w:p w14:paraId="54816FAC" w14:textId="6EAD72CE" w:rsidR="00730AC5" w:rsidRPr="00C06677" w:rsidRDefault="005B5A9D" w:rsidP="00DD1A53">
      <w:pPr>
        <w:spacing w:line="480" w:lineRule="auto"/>
        <w:contextualSpacing/>
        <w:jc w:val="center"/>
        <w:rPr>
          <w:bCs/>
        </w:rPr>
      </w:pPr>
      <w:r w:rsidRPr="00C06677">
        <w:rPr>
          <w:bCs/>
        </w:rPr>
        <w:lastRenderedPageBreak/>
        <w:t>ABSTRACT</w:t>
      </w:r>
    </w:p>
    <w:p w14:paraId="59B165EA" w14:textId="23F433B8" w:rsidR="003379E3" w:rsidRDefault="003379E3" w:rsidP="003379E3">
      <w:pPr>
        <w:spacing w:line="480" w:lineRule="auto"/>
      </w:pPr>
      <w:r>
        <w:t xml:space="preserve">Charitable giving </w:t>
      </w:r>
      <w:r w:rsidR="005A7D90">
        <w:t xml:space="preserve">involves </w:t>
      </w:r>
      <w:r>
        <w:t xml:space="preserve">a </w:t>
      </w:r>
      <w:r w:rsidRPr="00C06677">
        <w:t xml:space="preserve">complex economic </w:t>
      </w:r>
      <w:r>
        <w:t>and social decision because the giver expends resources for goods or services they will never receive. Although psychologists have identified numerous factors that influence charitable giving, there currently exists no unifying computational model of charitable choice.  Here, we submit one such model, based within the strictures of Psychological Value Theory</w:t>
      </w:r>
      <w:r w:rsidR="002C282A">
        <w:t xml:space="preserve"> (PVT)</w:t>
      </w:r>
      <w:r>
        <w:t xml:space="preserve">. </w:t>
      </w:r>
      <w:r w:rsidRPr="00C06677">
        <w:t xml:space="preserve">In </w:t>
      </w:r>
      <w:r>
        <w:t>four</w:t>
      </w:r>
      <w:r w:rsidRPr="00C06677">
        <w:t xml:space="preserve"> experiments, we assess whether charitable giving is driven by the perceived Psychological Value of the </w:t>
      </w:r>
      <w:r>
        <w:t>recipient</w:t>
      </w:r>
      <w:r w:rsidRPr="00C06677">
        <w:t xml:space="preserve">.  Across all </w:t>
      </w:r>
      <w:r>
        <w:t>four</w:t>
      </w:r>
      <w:r w:rsidRPr="00C06677">
        <w:t xml:space="preserve"> experiments, we simultaneously predict response choice and response time with high accuracy. </w:t>
      </w:r>
      <w:r w:rsidR="00EF6C38">
        <w:t xml:space="preserve">In a fifth experiment, we show that PVT predicts charitable giving more accurately than an account based on competence and warmth. </w:t>
      </w:r>
      <w:r>
        <w:t xml:space="preserve">PVT accurately predicts </w:t>
      </w:r>
      <w:r w:rsidR="002C282A">
        <w:t xml:space="preserve">which charity a respondent will choose to donate to and separately, </w:t>
      </w:r>
      <w:r>
        <w:t>whether a respondent will choose to donate</w:t>
      </w:r>
      <w:r w:rsidR="002C282A">
        <w:t xml:space="preserve"> at all</w:t>
      </w:r>
      <w:r>
        <w:t>. PVT models the cognitive processes underlying charitable donations</w:t>
      </w:r>
      <w:r w:rsidR="002C282A">
        <w:t xml:space="preserve"> and it</w:t>
      </w:r>
      <w:r>
        <w:t xml:space="preserve"> provides a computational framework for integrat</w:t>
      </w:r>
      <w:r w:rsidR="002C282A">
        <w:t>ing</w:t>
      </w:r>
      <w:r>
        <w:t xml:space="preserve"> known influences on charitable giving.  For example, we show that </w:t>
      </w:r>
      <w:r w:rsidRPr="00C06677">
        <w:t xml:space="preserve">in-group </w:t>
      </w:r>
      <w:r w:rsidR="002C282A">
        <w:t>preference</w:t>
      </w:r>
      <w:r w:rsidRPr="00C06677">
        <w:t xml:space="preserve"> </w:t>
      </w:r>
      <w:r>
        <w:t xml:space="preserve">influences charitable giving by </w:t>
      </w:r>
      <w:r w:rsidRPr="00C06677">
        <w:t>chang</w:t>
      </w:r>
      <w:r>
        <w:t>ing</w:t>
      </w:r>
      <w:r w:rsidRPr="00C06677">
        <w:t xml:space="preserve"> the Psychological Values of the options, rather than</w:t>
      </w:r>
      <w:r w:rsidR="00D2485F">
        <w:t xml:space="preserve"> by bringing about</w:t>
      </w:r>
      <w:r w:rsidRPr="00C06677">
        <w:t xml:space="preserve"> a </w:t>
      </w:r>
      <w:r w:rsidR="00B03316">
        <w:t xml:space="preserve">response </w:t>
      </w:r>
      <w:r w:rsidRPr="00C06677">
        <w:t xml:space="preserve">bias toward the in-group. </w:t>
      </w:r>
    </w:p>
    <w:p w14:paraId="1C5928EE" w14:textId="44CB2139" w:rsidR="005B5A9D" w:rsidRPr="00C06677" w:rsidRDefault="005B5A9D" w:rsidP="005B5A9D">
      <w:pPr>
        <w:contextualSpacing/>
        <w:jc w:val="center"/>
        <w:rPr>
          <w:bCs/>
        </w:rPr>
      </w:pPr>
    </w:p>
    <w:p w14:paraId="6C1D58A7" w14:textId="750655DE" w:rsidR="007501C2" w:rsidRPr="00C06677" w:rsidRDefault="00E404FF" w:rsidP="00ED6CF8">
      <w:pPr>
        <w:rPr>
          <w:bCs/>
        </w:rPr>
      </w:pPr>
      <w:r w:rsidRPr="00C06677">
        <w:rPr>
          <w:bCs/>
        </w:rPr>
        <w:t>Keywords</w:t>
      </w:r>
    </w:p>
    <w:p w14:paraId="0F191EF6" w14:textId="51C579D7" w:rsidR="00E404FF" w:rsidRPr="00C06677" w:rsidRDefault="00E404FF" w:rsidP="00ED6CF8">
      <w:pPr>
        <w:rPr>
          <w:bCs/>
        </w:rPr>
      </w:pPr>
    </w:p>
    <w:p w14:paraId="1FE008F8" w14:textId="1315A40C" w:rsidR="00E404FF" w:rsidRPr="00C06677" w:rsidRDefault="000C3E91" w:rsidP="00ED6CF8">
      <w:pPr>
        <w:rPr>
          <w:bCs/>
        </w:rPr>
      </w:pPr>
      <w:r w:rsidRPr="00C06677">
        <w:rPr>
          <w:bCs/>
        </w:rPr>
        <w:t>Charity</w:t>
      </w:r>
      <w:r w:rsidR="00E404FF" w:rsidRPr="00C06677">
        <w:rPr>
          <w:bCs/>
        </w:rPr>
        <w:t xml:space="preserve">; Psychological Values Theory; </w:t>
      </w:r>
      <w:r w:rsidRPr="00C06677">
        <w:rPr>
          <w:bCs/>
        </w:rPr>
        <w:t>I</w:t>
      </w:r>
      <w:r w:rsidR="00E404FF" w:rsidRPr="00C06677">
        <w:rPr>
          <w:bCs/>
        </w:rPr>
        <w:t>n-</w:t>
      </w:r>
      <w:r w:rsidRPr="00C06677">
        <w:rPr>
          <w:bCs/>
        </w:rPr>
        <w:t>G</w:t>
      </w:r>
      <w:r w:rsidR="00E404FF" w:rsidRPr="00C06677">
        <w:rPr>
          <w:bCs/>
        </w:rPr>
        <w:t xml:space="preserve">roup </w:t>
      </w:r>
      <w:r w:rsidRPr="00C06677">
        <w:rPr>
          <w:bCs/>
        </w:rPr>
        <w:t>B</w:t>
      </w:r>
      <w:r w:rsidR="00E404FF" w:rsidRPr="00C06677">
        <w:rPr>
          <w:bCs/>
        </w:rPr>
        <w:t>ias</w:t>
      </w:r>
      <w:r w:rsidRPr="00C06677">
        <w:rPr>
          <w:bCs/>
        </w:rPr>
        <w:t xml:space="preserve">; Utility Theory; </w:t>
      </w:r>
      <w:r w:rsidR="00E60F24">
        <w:rPr>
          <w:bCs/>
        </w:rPr>
        <w:t>Stereotype Content Model</w:t>
      </w:r>
    </w:p>
    <w:p w14:paraId="0358B37B" w14:textId="7CEA38D1" w:rsidR="00E404FF" w:rsidRPr="00C06677" w:rsidRDefault="00E404FF" w:rsidP="00ED6CF8">
      <w:pPr>
        <w:rPr>
          <w:bCs/>
        </w:rPr>
      </w:pPr>
    </w:p>
    <w:p w14:paraId="4092A08A" w14:textId="5425964A" w:rsidR="00E404FF" w:rsidRPr="00C06677" w:rsidRDefault="00E404FF">
      <w:pPr>
        <w:rPr>
          <w:bCs/>
        </w:rPr>
      </w:pPr>
      <w:r w:rsidRPr="00C06677">
        <w:rPr>
          <w:bCs/>
        </w:rPr>
        <w:br w:type="page"/>
      </w:r>
    </w:p>
    <w:p w14:paraId="41036BA6" w14:textId="77777777" w:rsidR="00E404FF" w:rsidRPr="00C06677" w:rsidRDefault="00E404FF" w:rsidP="00ED6CF8">
      <w:pPr>
        <w:rPr>
          <w:bCs/>
        </w:rPr>
      </w:pPr>
    </w:p>
    <w:p w14:paraId="6E1EEB8E" w14:textId="1832F400" w:rsidR="007501C2" w:rsidRPr="00C06677" w:rsidRDefault="007501C2">
      <w:pPr>
        <w:rPr>
          <w:bCs/>
        </w:rPr>
      </w:pPr>
    </w:p>
    <w:p w14:paraId="63D9150A" w14:textId="77777777" w:rsidR="00E404FF" w:rsidRPr="00C06677" w:rsidRDefault="00E404FF">
      <w:pPr>
        <w:rPr>
          <w:bCs/>
        </w:rPr>
      </w:pPr>
    </w:p>
    <w:p w14:paraId="3F33AFF7" w14:textId="2E43899F" w:rsidR="007A7C3F" w:rsidRPr="003F27CA" w:rsidRDefault="007A7C3F" w:rsidP="006A15BE">
      <w:pPr>
        <w:spacing w:line="480" w:lineRule="auto"/>
        <w:jc w:val="center"/>
        <w:rPr>
          <w:b/>
          <w:bCs/>
        </w:rPr>
      </w:pPr>
      <w:r w:rsidRPr="003F27CA">
        <w:rPr>
          <w:b/>
          <w:bCs/>
        </w:rPr>
        <w:t xml:space="preserve">Psychological Value Theory: </w:t>
      </w:r>
      <w:r w:rsidR="005E53BB" w:rsidRPr="003F27CA">
        <w:rPr>
          <w:b/>
          <w:bCs/>
        </w:rPr>
        <w:t>A computational cognitive model of charitable giving</w:t>
      </w:r>
    </w:p>
    <w:p w14:paraId="2AA2CF39" w14:textId="3D2CA9E3" w:rsidR="00D34148" w:rsidRPr="00C06677" w:rsidRDefault="00D34148" w:rsidP="00085CA8">
      <w:pPr>
        <w:spacing w:line="480" w:lineRule="auto"/>
        <w:contextualSpacing/>
      </w:pPr>
      <w:r w:rsidRPr="00C06677">
        <w:tab/>
        <w:t>M</w:t>
      </w:r>
      <w:r w:rsidR="00027B3C" w:rsidRPr="00C06677">
        <w:t>aking a c</w:t>
      </w:r>
      <w:r w:rsidR="00792B30" w:rsidRPr="00C06677">
        <w:t>haritable donation</w:t>
      </w:r>
      <w:r w:rsidR="00027B3C" w:rsidRPr="00C06677">
        <w:t xml:space="preserve"> is</w:t>
      </w:r>
      <w:r w:rsidR="00792B30" w:rsidRPr="00C06677">
        <w:t xml:space="preserve"> </w:t>
      </w:r>
      <w:r w:rsidR="00B0453D" w:rsidRPr="00C06677">
        <w:t xml:space="preserve">predicated on </w:t>
      </w:r>
      <w:r w:rsidR="00792B30" w:rsidRPr="00C06677">
        <w:t xml:space="preserve">complex </w:t>
      </w:r>
      <w:r w:rsidR="00BE4F98" w:rsidRPr="00C06677">
        <w:t xml:space="preserve">economic </w:t>
      </w:r>
      <w:r w:rsidR="00E21C3F">
        <w:t xml:space="preserve">and social </w:t>
      </w:r>
      <w:r w:rsidR="00BE4F98" w:rsidRPr="00C06677">
        <w:t>decisions</w:t>
      </w:r>
      <w:r w:rsidR="00792B30" w:rsidRPr="00C06677">
        <w:t xml:space="preserve"> because, unlike consumer purchases, the giver </w:t>
      </w:r>
      <w:r w:rsidR="007406B5" w:rsidRPr="00C06677">
        <w:t>does not a</w:t>
      </w:r>
      <w:r w:rsidR="00792B30" w:rsidRPr="00C06677">
        <w:t xml:space="preserve">ppear to </w:t>
      </w:r>
      <w:r w:rsidR="00052974" w:rsidRPr="00C06677">
        <w:t>accrue</w:t>
      </w:r>
      <w:r w:rsidR="00792B30" w:rsidRPr="00C06677">
        <w:t xml:space="preserve"> </w:t>
      </w:r>
      <w:r w:rsidR="00052974" w:rsidRPr="00C06677">
        <w:t>any</w:t>
      </w:r>
      <w:r w:rsidR="00A15B9F" w:rsidRPr="00C06677">
        <w:t xml:space="preserve"> </w:t>
      </w:r>
      <w:r w:rsidR="00025D2C" w:rsidRPr="00C06677">
        <w:t xml:space="preserve">financial </w:t>
      </w:r>
      <w:r w:rsidR="00792B30" w:rsidRPr="00C06677">
        <w:t xml:space="preserve">benefit from the </w:t>
      </w:r>
      <w:r w:rsidR="007406B5" w:rsidRPr="00C06677">
        <w:t>act of giving</w:t>
      </w:r>
      <w:r w:rsidR="00792B30" w:rsidRPr="00C06677">
        <w:t>.  A</w:t>
      </w:r>
      <w:r w:rsidR="00B0453D" w:rsidRPr="00C06677">
        <w:t xml:space="preserve"> variety of factors have been called upon to explain </w:t>
      </w:r>
      <w:r w:rsidR="006A33A4" w:rsidRPr="00C06677">
        <w:t>charitable giving</w:t>
      </w:r>
      <w:r w:rsidR="00027B3C" w:rsidRPr="00C06677">
        <w:t xml:space="preserve"> in ways that sit</w:t>
      </w:r>
      <w:r w:rsidR="008D6E74" w:rsidRPr="00C06677">
        <w:t xml:space="preserve"> uneasily</w:t>
      </w:r>
      <w:r w:rsidR="00027B3C" w:rsidRPr="00C06677">
        <w:t xml:space="preserve"> with standard economic theorizing</w:t>
      </w:r>
      <w:r w:rsidR="00B0453D" w:rsidRPr="00C06677">
        <w:t xml:space="preserve">. </w:t>
      </w:r>
      <w:r w:rsidR="006A33A4" w:rsidRPr="00C06677">
        <w:t xml:space="preserve">For instance, people may derive satisfaction from their giving (Andreon, </w:t>
      </w:r>
      <w:r w:rsidR="006A33A4" w:rsidRPr="00C06677">
        <w:fldChar w:fldCharType="begin"/>
      </w:r>
      <w:r w:rsidR="0019503B">
        <w:instrText xml:space="preserve"> ADDIN EN.CITE &lt;EndNote&gt;&lt;Cite&gt;&lt;Author&gt;Andreoni&lt;/Author&gt;&lt;Year&gt;1990&lt;/Year&gt;&lt;RecNum&gt;2395&lt;/RecNum&gt;&lt;DisplayText&gt;1990&lt;/DisplayText&gt;&lt;record&gt;&lt;rec-number&gt;2395&lt;/rec-number&gt;&lt;foreign-keys&gt;&lt;key app="EN" db-id="w0tztzf0h2dft0eaewxxtpr4exwxf90s525w" timestamp="1659025439" guid="fd396e49-bd95-429f-9ef7-6dea4cbe349d"&gt;2395&lt;/key&gt;&lt;/foreign-keys&gt;&lt;ref-type name="Journal Article"&gt;17&lt;/ref-type&gt;&lt;contributors&gt;&lt;authors&gt;&lt;author&gt;Andreoni, J&lt;/author&gt;&lt;/authors&gt;&lt;/contributors&gt;&lt;titles&gt;&lt;title&gt;Impure altruism and donations to public goods: a theory of warm-glow giving&lt;/title&gt;&lt;secondary-title&gt;The Economic Journal&lt;/secondary-title&gt;&lt;/titles&gt;&lt;periodical&gt;&lt;full-title&gt;The Economic Journal&lt;/full-title&gt;&lt;/periodical&gt;&lt;pages&gt;464–477&lt;/pages&gt;&lt;volume&gt;100&lt;/volume&gt;&lt;dates&gt;&lt;year&gt;1990&lt;/year&gt;&lt;/dates&gt;&lt;urls&gt;&lt;/urls&gt;&lt;electronic-resource-num&gt;https://doi.org/10.2307/2234133&lt;/electronic-resource-num&gt;&lt;/record&gt;&lt;/Cite&gt;&lt;/EndNote&gt;</w:instrText>
      </w:r>
      <w:r w:rsidR="006A33A4" w:rsidRPr="00C06677">
        <w:fldChar w:fldCharType="separate"/>
      </w:r>
      <w:r w:rsidR="006A33A4" w:rsidRPr="00C06677">
        <w:rPr>
          <w:noProof/>
        </w:rPr>
        <w:t>1990</w:t>
      </w:r>
      <w:r w:rsidR="006A33A4" w:rsidRPr="00C06677">
        <w:fldChar w:fldCharType="end"/>
      </w:r>
      <w:r w:rsidR="006A33A4" w:rsidRPr="00C06677">
        <w:t xml:space="preserve">), they may feel they are ‘making a difference’ (Duncan, 2004), they may feel morally obliged (Sugden, </w:t>
      </w:r>
      <w:r w:rsidR="006A33A4" w:rsidRPr="00C06677">
        <w:fldChar w:fldCharType="begin"/>
      </w:r>
      <w:r w:rsidR="0019503B">
        <w:instrText xml:space="preserve"> ADDIN EN.CITE &lt;EndNote&gt;&lt;Cite&gt;&lt;Author&gt;Sugden&lt;/Author&gt;&lt;Year&gt;1984&lt;/Year&gt;&lt;RecNum&gt;2396&lt;/RecNum&gt;&lt;DisplayText&gt;1984&lt;/DisplayText&gt;&lt;record&gt;&lt;rec-number&gt;2396&lt;/rec-number&gt;&lt;foreign-keys&gt;&lt;key app="EN" db-id="w0tztzf0h2dft0eaewxxtpr4exwxf90s525w" timestamp="1659025439" guid="c711effb-052f-4205-aa84-03867cd7c9e4"&gt;2396&lt;/key&gt;&lt;/foreign-keys&gt;&lt;ref-type name="Journal Article"&gt;17&lt;/ref-type&gt;&lt;contributors&gt;&lt;authors&gt;&lt;author&gt;Sugden, R&lt;/author&gt;&lt;/authors&gt;&lt;/contributors&gt;&lt;titles&gt;&lt;title&gt;Reciprocity: the supply of public goods through voluntary contributions&lt;/title&gt;&lt;secondary-title&gt;The Economic Journal&lt;/secondary-title&gt;&lt;/titles&gt;&lt;periodical&gt;&lt;full-title&gt;The Economic Journal&lt;/full-title&gt;&lt;/periodical&gt;&lt;pages&gt;772-787&lt;/pages&gt;&lt;volume&gt;94&lt;/volume&gt;&lt;dates&gt;&lt;year&gt;1984&lt;/year&gt;&lt;/dates&gt;&lt;urls&gt;&lt;/urls&gt;&lt;electronic-resource-num&gt;https://doi.org/10.2307/2232294&lt;/electronic-resource-num&gt;&lt;/record&gt;&lt;/Cite&gt;&lt;/EndNote&gt;</w:instrText>
      </w:r>
      <w:r w:rsidR="006A33A4" w:rsidRPr="00C06677">
        <w:fldChar w:fldCharType="separate"/>
      </w:r>
      <w:r w:rsidR="006A33A4" w:rsidRPr="00C06677">
        <w:rPr>
          <w:noProof/>
        </w:rPr>
        <w:t>1984</w:t>
      </w:r>
      <w:r w:rsidR="006A33A4" w:rsidRPr="00C06677">
        <w:fldChar w:fldCharType="end"/>
      </w:r>
      <w:r w:rsidR="006A33A4" w:rsidRPr="00C06677">
        <w:t xml:space="preserve">), they may receive public approbation (Gazer &amp; Konrad, </w:t>
      </w:r>
      <w:r w:rsidR="006A33A4" w:rsidRPr="00C06677">
        <w:fldChar w:fldCharType="begin"/>
      </w:r>
      <w:r w:rsidR="0019503B">
        <w:instrText xml:space="preserve"> ADDIN EN.CITE &lt;EndNote&gt;&lt;Cite&gt;&lt;Author&gt;Glazer&lt;/Author&gt;&lt;Year&gt;1996&lt;/Year&gt;&lt;RecNum&gt;2397&lt;/RecNum&gt;&lt;DisplayText&gt;1996&lt;/DisplayText&gt;&lt;record&gt;&lt;rec-number&gt;2397&lt;/rec-number&gt;&lt;foreign-keys&gt;&lt;key app="EN" db-id="w0tztzf0h2dft0eaewxxtpr4exwxf90s525w" timestamp="1659025439" guid="c3ce8dd7-05ee-4a52-8726-3d5c7fb2964f"&gt;2397&lt;/key&gt;&lt;/foreign-keys&gt;&lt;ref-type name="Journal Article"&gt;17&lt;/ref-type&gt;&lt;contributors&gt;&lt;authors&gt;&lt;author&gt;Glazer, A&lt;/author&gt;&lt;author&gt;Konrad, K.A&lt;/author&gt;&lt;/authors&gt;&lt;/contributors&gt;&lt;titles&gt;&lt;title&gt;A signaling explanation for charity&lt;/title&gt;&lt;secondary-title&gt;American Economic Review&lt;/secondary-title&gt;&lt;/titles&gt;&lt;periodical&gt;&lt;full-title&gt;American Economic Review&lt;/full-title&gt;&lt;abbr-1&gt;Am. Econ. Rev.&lt;/abbr-1&gt;&lt;abbr-2&gt;Am Econ Rev&lt;/abbr-2&gt;&lt;/periodical&gt;&lt;pages&gt;1019-1028&lt;/pages&gt;&lt;volume&gt;86&lt;/volume&gt;&lt;dates&gt;&lt;year&gt;1996&lt;/year&gt;&lt;/dates&gt;&lt;urls&gt;&lt;/urls&gt;&lt;electronic-resource-num&gt;https://www.jstor.org/stable/2118317&lt;/electronic-resource-num&gt;&lt;/record&gt;&lt;/Cite&gt;&lt;/EndNote&gt;</w:instrText>
      </w:r>
      <w:r w:rsidR="006A33A4" w:rsidRPr="00C06677">
        <w:fldChar w:fldCharType="separate"/>
      </w:r>
      <w:r w:rsidR="006A33A4" w:rsidRPr="00C06677">
        <w:rPr>
          <w:noProof/>
        </w:rPr>
        <w:t>1996</w:t>
      </w:r>
      <w:r w:rsidR="006A33A4" w:rsidRPr="00C06677">
        <w:fldChar w:fldCharType="end"/>
      </w:r>
      <w:r w:rsidR="006A33A4" w:rsidRPr="00C06677">
        <w:t xml:space="preserve">) or they may </w:t>
      </w:r>
      <w:r w:rsidR="009A5319">
        <w:t>simply be</w:t>
      </w:r>
      <w:r w:rsidR="006A33A4" w:rsidRPr="00C06677">
        <w:t xml:space="preserve"> </w:t>
      </w:r>
      <w:r w:rsidR="009A5319" w:rsidRPr="00C06677">
        <w:t>altruis</w:t>
      </w:r>
      <w:r w:rsidR="009A5319">
        <w:t>tic</w:t>
      </w:r>
      <w:r w:rsidR="009A5319" w:rsidRPr="00C06677">
        <w:t xml:space="preserve"> </w:t>
      </w:r>
      <w:r w:rsidR="006A33A4" w:rsidRPr="00C06677">
        <w:t xml:space="preserve">(Echazu &amp; Nocetti, </w:t>
      </w:r>
      <w:r w:rsidR="006A33A4" w:rsidRPr="00C06677">
        <w:fldChar w:fldCharType="begin"/>
      </w:r>
      <w:r w:rsidR="0019503B">
        <w:instrText xml:space="preserve"> ADDIN EN.CITE &lt;EndNote&gt;&lt;Cite&gt;&lt;Author&gt;Echazu&lt;/Author&gt;&lt;Year&gt;2015&lt;/Year&gt;&lt;RecNum&gt;2394&lt;/RecNum&gt;&lt;DisplayText&gt;2015&lt;/DisplayText&gt;&lt;record&gt;&lt;rec-number&gt;2394&lt;/rec-number&gt;&lt;foreign-keys&gt;&lt;key app="EN" db-id="w0tztzf0h2dft0eaewxxtpr4exwxf90s525w" timestamp="1659025439" guid="9f0b396d-8e1a-4518-8e2e-960c182a64e2"&gt;2394&lt;/key&gt;&lt;/foreign-keys&gt;&lt;ref-type name="Journal Article"&gt;17&lt;/ref-type&gt;&lt;contributors&gt;&lt;authors&gt;&lt;author&gt;Echazu, L&lt;/author&gt;&lt;author&gt;Nocetti, D&lt;/author&gt;&lt;/authors&gt;&lt;/contributors&gt;&lt;titles&gt;&lt;title&gt;Charitable giving: Altruism has no limits&lt;/title&gt;&lt;secondary-title&gt;Journal of Public Economics&lt;/secondary-title&gt;&lt;/titles&gt;&lt;periodical&gt;&lt;full-title&gt;Journal of Public Economics&lt;/full-title&gt;&lt;/periodical&gt;&lt;pages&gt;46-53&lt;/pages&gt;&lt;volume&gt;125&lt;/volume&gt;&lt;dates&gt;&lt;year&gt;2015&lt;/year&gt;&lt;/dates&gt;&lt;urls&gt;&lt;/urls&gt;&lt;electronic-resource-num&gt;https://doi.org/10.1016/j.jpubeco.2015.03.002&lt;/electronic-resource-num&gt;&lt;/record&gt;&lt;/Cite&gt;&lt;/EndNote&gt;</w:instrText>
      </w:r>
      <w:r w:rsidR="006A33A4" w:rsidRPr="00C06677">
        <w:fldChar w:fldCharType="separate"/>
      </w:r>
      <w:r w:rsidR="006A33A4" w:rsidRPr="00C06677">
        <w:rPr>
          <w:noProof/>
        </w:rPr>
        <w:t>2015</w:t>
      </w:r>
      <w:r w:rsidR="006A33A4" w:rsidRPr="00C06677">
        <w:fldChar w:fldCharType="end"/>
      </w:r>
      <w:r w:rsidR="006A33A4" w:rsidRPr="00C06677">
        <w:t>).</w:t>
      </w:r>
      <w:r w:rsidR="00375120" w:rsidRPr="00C06677">
        <w:t xml:space="preserve"> Here we adopt a different approach</w:t>
      </w:r>
      <w:r w:rsidR="00C520A3">
        <w:t>,</w:t>
      </w:r>
      <w:r w:rsidR="00375120" w:rsidRPr="00C06677">
        <w:t xml:space="preserve"> </w:t>
      </w:r>
      <w:r w:rsidR="00C734DA" w:rsidRPr="00C06677">
        <w:t>w</w:t>
      </w:r>
      <w:r w:rsidR="003C0187" w:rsidRPr="00C06677">
        <w:t xml:space="preserve">e </w:t>
      </w:r>
      <w:r w:rsidR="00D130EF" w:rsidRPr="00C06677">
        <w:t>explain gift</w:t>
      </w:r>
      <w:r w:rsidR="00E404FF" w:rsidRPr="00C06677">
        <w:t>-</w:t>
      </w:r>
      <w:r w:rsidR="00D130EF" w:rsidRPr="00C06677">
        <w:t xml:space="preserve">giving in terms of </w:t>
      </w:r>
      <w:r w:rsidR="00D86982" w:rsidRPr="00C7013B">
        <w:rPr>
          <w:i/>
          <w:iCs/>
        </w:rPr>
        <w:t>Psychological Value Theory</w:t>
      </w:r>
      <w:r w:rsidR="003F787C">
        <w:t xml:space="preserve"> (PVT)</w:t>
      </w:r>
      <w:r w:rsidR="00C520A3">
        <w:t>. This theory</w:t>
      </w:r>
      <w:r w:rsidR="00D130EF" w:rsidRPr="00C06677">
        <w:t xml:space="preserve"> was originally de</w:t>
      </w:r>
      <w:r w:rsidR="00E404FF" w:rsidRPr="00C06677">
        <w:t>veloped</w:t>
      </w:r>
      <w:r w:rsidR="00D130EF" w:rsidRPr="00C06677">
        <w:t xml:space="preserve"> to account </w:t>
      </w:r>
      <w:r w:rsidR="00E21C3F">
        <w:t>for</w:t>
      </w:r>
      <w:r w:rsidR="00E21C3F" w:rsidRPr="00C06677">
        <w:t xml:space="preserve"> </w:t>
      </w:r>
      <w:r w:rsidR="00D130EF" w:rsidRPr="00C06677">
        <w:t>judgments made in sacrificial moral dilemmas (Cohen &amp; Ahn, 2016)</w:t>
      </w:r>
      <w:r w:rsidR="00C520A3">
        <w:t xml:space="preserve"> and one of its key</w:t>
      </w:r>
      <w:r w:rsidR="00E404FF" w:rsidRPr="00C06677">
        <w:t xml:space="preserve"> assumption</w:t>
      </w:r>
      <w:r w:rsidR="00C520A3">
        <w:t>s</w:t>
      </w:r>
      <w:r w:rsidR="00025D2C" w:rsidRPr="00C06677">
        <w:t xml:space="preserve"> is that </w:t>
      </w:r>
      <w:r w:rsidR="00085CA8" w:rsidRPr="00C06677">
        <w:t xml:space="preserve">individuals </w:t>
      </w:r>
      <w:r w:rsidRPr="00C06677">
        <w:t xml:space="preserve">perceive the value of others and </w:t>
      </w:r>
      <w:r w:rsidR="00025D2C" w:rsidRPr="00C06677">
        <w:t xml:space="preserve">that </w:t>
      </w:r>
      <w:r w:rsidRPr="00C06677">
        <w:t xml:space="preserve">perceived </w:t>
      </w:r>
      <w:r w:rsidR="00025D2C" w:rsidRPr="00C06677">
        <w:t xml:space="preserve">value drives choice.  </w:t>
      </w:r>
      <w:r w:rsidR="00375120" w:rsidRPr="00C06677">
        <w:t xml:space="preserve">We aim to show the generality of the account by </w:t>
      </w:r>
      <w:r w:rsidR="00C734DA" w:rsidRPr="00C06677">
        <w:t>explain</w:t>
      </w:r>
      <w:r w:rsidR="00E404FF" w:rsidRPr="00C06677">
        <w:t>ing</w:t>
      </w:r>
      <w:r w:rsidR="00C734DA" w:rsidRPr="00C06677">
        <w:t xml:space="preserve"> how </w:t>
      </w:r>
      <w:r w:rsidR="00394E1E" w:rsidRPr="00C06677">
        <w:t>individuals</w:t>
      </w:r>
      <w:r w:rsidR="00025D2C" w:rsidRPr="00C06677">
        <w:t xml:space="preserve"> </w:t>
      </w:r>
      <w:r w:rsidR="00C734DA" w:rsidRPr="00C06677">
        <w:t xml:space="preserve">make </w:t>
      </w:r>
      <w:r w:rsidR="009A5319">
        <w:t xml:space="preserve">charitable </w:t>
      </w:r>
      <w:r w:rsidR="00C734DA" w:rsidRPr="00C06677">
        <w:t xml:space="preserve">decisions. The efficacy of the account is </w:t>
      </w:r>
      <w:r w:rsidR="003C0187" w:rsidRPr="00C06677">
        <w:t xml:space="preserve">explored in terms of how well </w:t>
      </w:r>
      <w:r w:rsidR="00E21C3F">
        <w:t xml:space="preserve">the </w:t>
      </w:r>
      <w:r w:rsidR="00025D2C" w:rsidRPr="00C06677">
        <w:t xml:space="preserve">computational </w:t>
      </w:r>
      <w:r w:rsidR="003C0187" w:rsidRPr="00C06677">
        <w:t>model that embod</w:t>
      </w:r>
      <w:r w:rsidR="00E404FF" w:rsidRPr="00C06677">
        <w:t>ies</w:t>
      </w:r>
      <w:r w:rsidR="003C0187" w:rsidRPr="00C06677">
        <w:t xml:space="preserve"> the theory can explain </w:t>
      </w:r>
      <w:r w:rsidR="00C734DA" w:rsidRPr="00C06677">
        <w:t>such decisions.</w:t>
      </w:r>
      <w:r w:rsidR="003C0187" w:rsidRPr="00C06677">
        <w:t xml:space="preserve"> </w:t>
      </w:r>
    </w:p>
    <w:p w14:paraId="4C9BEFE0" w14:textId="344B04EA" w:rsidR="00375120" w:rsidRPr="00C06677" w:rsidRDefault="00D17EE2" w:rsidP="00375120">
      <w:pPr>
        <w:spacing w:line="480" w:lineRule="auto"/>
        <w:ind w:firstLine="720"/>
        <w:contextualSpacing/>
      </w:pPr>
      <w:r w:rsidRPr="00C06677">
        <w:t>We begi</w:t>
      </w:r>
      <w:r w:rsidR="009762D9" w:rsidRPr="00C06677">
        <w:t>n</w:t>
      </w:r>
      <w:r w:rsidRPr="00C06677">
        <w:t xml:space="preserve"> by </w:t>
      </w:r>
      <w:r w:rsidR="009762D9" w:rsidRPr="00C06677">
        <w:t xml:space="preserve">framing </w:t>
      </w:r>
      <w:r w:rsidRPr="00C06677">
        <w:t xml:space="preserve">the current work in terms of </w:t>
      </w:r>
      <w:r w:rsidR="00F50E0C" w:rsidRPr="00C06677">
        <w:t>more traditional accounts of economic decision</w:t>
      </w:r>
      <w:r w:rsidRPr="00C06677">
        <w:t>-</w:t>
      </w:r>
      <w:r w:rsidR="00F50E0C" w:rsidRPr="00C06677">
        <w:t xml:space="preserve">making and therefore we </w:t>
      </w:r>
      <w:r w:rsidRPr="00C06677">
        <w:t>start with a discussion of</w:t>
      </w:r>
      <w:r w:rsidR="00F50E0C" w:rsidRPr="00C06677">
        <w:t xml:space="preserve"> </w:t>
      </w:r>
      <w:r w:rsidR="00375120" w:rsidRPr="00C06677">
        <w:t>standard Utility theory (e.g., Ba</w:t>
      </w:r>
      <w:r w:rsidR="002F7D59" w:rsidRPr="00C06677">
        <w:t>r</w:t>
      </w:r>
      <w:r w:rsidR="00375120" w:rsidRPr="00C06677">
        <w:t xml:space="preserve">beris, </w:t>
      </w:r>
      <w:r w:rsidR="00F10A12" w:rsidRPr="00C06677">
        <w:fldChar w:fldCharType="begin"/>
      </w:r>
      <w:r w:rsidR="0019503B">
        <w:instrText xml:space="preserve"> ADDIN EN.CITE &lt;EndNote&gt;&lt;Cite&gt;&lt;Author&gt;Barberis&lt;/Author&gt;&lt;Year&gt;2013&lt;/Year&gt;&lt;RecNum&gt;2541&lt;/RecNum&gt;&lt;DisplayText&gt;2013&lt;/DisplayText&gt;&lt;record&gt;&lt;rec-number&gt;2541&lt;/rec-number&gt;&lt;foreign-keys&gt;&lt;key app="EN" db-id="w0tztzf0h2dft0eaewxxtpr4exwxf90s525w" timestamp="1659025443" guid="48b448b7-a58f-41eb-bf09-985619c320ec"&gt;2541&lt;/key&gt;&lt;/foreign-keys&gt;&lt;ref-type name="Journal Article"&gt;17&lt;/ref-type&gt;&lt;contributors&gt;&lt;authors&gt;&lt;author&gt;Barberis, N. C&lt;/author&gt;&lt;/authors&gt;&lt;/contributors&gt;&lt;titles&gt;&lt;title&gt;Thirty years of prospect theory in economics: A review and assessment&lt;/title&gt;&lt;secondary-title&gt;Journal of Economic Perspectives&lt;/secondary-title&gt;&lt;/titles&gt;&lt;periodical&gt;&lt;full-title&gt;Journal of Economic Perspectives&lt;/full-title&gt;&lt;abbr-1&gt;J. Econ. Perspect.&lt;/abbr-1&gt;&lt;abbr-2&gt;J Econ Perspect&lt;/abbr-2&gt;&lt;/periodical&gt;&lt;pages&gt;173-96&lt;/pages&gt;&lt;volume&gt;27&lt;/volume&gt;&lt;dates&gt;&lt;year&gt;2013&lt;/year&gt;&lt;/dates&gt;&lt;urls&gt;&lt;/urls&gt;&lt;electronic-resource-num&gt;https://doi.org/10.1257/jep.27.1.173&lt;/electronic-resource-num&gt;&lt;/record&gt;&lt;/Cite&gt;&lt;/EndNote&gt;</w:instrText>
      </w:r>
      <w:r w:rsidR="00F10A12" w:rsidRPr="00C06677">
        <w:fldChar w:fldCharType="separate"/>
      </w:r>
      <w:r w:rsidR="00F10A12" w:rsidRPr="00C06677">
        <w:rPr>
          <w:noProof/>
        </w:rPr>
        <w:t>2013</w:t>
      </w:r>
      <w:r w:rsidR="00F10A12" w:rsidRPr="00C06677">
        <w:fldChar w:fldCharType="end"/>
      </w:r>
      <w:r w:rsidR="00F10A12" w:rsidRPr="00C06677">
        <w:t xml:space="preserve">; </w:t>
      </w:r>
      <w:r w:rsidR="00375120" w:rsidRPr="00C06677">
        <w:t xml:space="preserve">Smith, </w:t>
      </w:r>
      <w:r w:rsidR="00375120" w:rsidRPr="00C06677">
        <w:fldChar w:fldCharType="begin"/>
      </w:r>
      <w:r w:rsidR="0019503B">
        <w:instrText xml:space="preserve"> ADDIN EN.CITE &lt;EndNote&gt;&lt;Cite&gt;&lt;Author&gt;Smith&lt;/Author&gt;&lt;Year&gt;1989&lt;/Year&gt;&lt;RecNum&gt;2605&lt;/RecNum&gt;&lt;DisplayText&gt;1989&lt;/DisplayText&gt;&lt;record&gt;&lt;rec-number&gt;2605&lt;/rec-number&gt;&lt;foreign-keys&gt;&lt;key app="EN" db-id="w0tztzf0h2dft0eaewxxtpr4exwxf90s525w" timestamp="1659025445" guid="556c6f6b-89b9-4023-9427-4cf37427b3df"&gt;2605&lt;/key&gt;&lt;/foreign-keys&gt;&lt;ref-type name="Journal Article"&gt;17&lt;/ref-type&gt;&lt;contributors&gt;&lt;authors&gt;&lt;author&gt;Smith, V.L&lt;/author&gt;&lt;/authors&gt;&lt;/contributors&gt;&lt;titles&gt;&lt;title&gt;Theory, experiment and economics&lt;/title&gt;&lt;secondary-title&gt;Journal of Economic Perspectives&lt;/secondary-title&gt;&lt;/titles&gt;&lt;periodical&gt;&lt;full-title&gt;Journal of Economic Perspectives&lt;/full-title&gt;&lt;abbr-1&gt;J. Econ. Perspect.&lt;/abbr-1&gt;&lt;abbr-2&gt;J Econ Perspect&lt;/abbr-2&gt;&lt;/periodical&gt;&lt;pages&gt;151-169&lt;/pages&gt;&lt;volume&gt;3&lt;/volume&gt;&lt;dates&gt;&lt;year&gt;1989&lt;/year&gt;&lt;/dates&gt;&lt;urls&gt;&lt;/urls&gt;&lt;/record&gt;&lt;/Cite&gt;&lt;/EndNote&gt;</w:instrText>
      </w:r>
      <w:r w:rsidR="00375120" w:rsidRPr="00C06677">
        <w:fldChar w:fldCharType="separate"/>
      </w:r>
      <w:r w:rsidR="00375120" w:rsidRPr="00C06677">
        <w:rPr>
          <w:noProof/>
        </w:rPr>
        <w:t>1989</w:t>
      </w:r>
      <w:r w:rsidR="00375120" w:rsidRPr="00C06677">
        <w:fldChar w:fldCharType="end"/>
      </w:r>
      <w:r w:rsidR="00375120" w:rsidRPr="00C06677">
        <w:t>; Stigler,</w:t>
      </w:r>
      <w:r w:rsidR="006E64EA" w:rsidRPr="00C06677">
        <w:t xml:space="preserve"> </w:t>
      </w:r>
      <w:r w:rsidR="006E64EA" w:rsidRPr="00C06677">
        <w:fldChar w:fldCharType="begin"/>
      </w:r>
      <w:r w:rsidR="0019503B">
        <w:instrText xml:space="preserve"> ADDIN EN.CITE &lt;EndNote&gt;&lt;Cite&gt;&lt;Author&gt;Stigler&lt;/Author&gt;&lt;Year&gt;1950&lt;/Year&gt;&lt;RecNum&gt;2591&lt;/RecNum&gt;&lt;DisplayText&gt;1950&lt;/DisplayText&gt;&lt;record&gt;&lt;rec-number&gt;2591&lt;/rec-number&gt;&lt;foreign-keys&gt;&lt;key app="EN" db-id="w0tztzf0h2dft0eaewxxtpr4exwxf90s525w" timestamp="1659025445" guid="f5188ea9-f287-4582-986f-f99f918ceaf4"&gt;2591&lt;/key&gt;&lt;/foreign-keys&gt;&lt;ref-type name="Journal Article"&gt;17&lt;/ref-type&gt;&lt;contributors&gt;&lt;authors&gt;&lt;author&gt;Stigler, G.J&lt;/author&gt;&lt;/authors&gt;&lt;/contributors&gt;&lt;titles&gt;&lt;title&gt;The development of utility theory. I.&lt;/title&gt;&lt;secondary-title&gt;Journal of Political Economy&lt;/secondary-title&gt;&lt;/titles&gt;&lt;periodical&gt;&lt;full-title&gt;Journal of Political Economy&lt;/full-title&gt;&lt;/periodical&gt;&lt;pages&gt;307-327&lt;/pages&gt;&lt;volume&gt;58&lt;/volume&gt;&lt;dates&gt;&lt;year&gt;1950&lt;/year&gt;&lt;/dates&gt;&lt;urls&gt;&lt;/urls&gt;&lt;/record&gt;&lt;/Cite&gt;&lt;/EndNote&gt;</w:instrText>
      </w:r>
      <w:r w:rsidR="006E64EA" w:rsidRPr="00C06677">
        <w:fldChar w:fldCharType="separate"/>
      </w:r>
      <w:r w:rsidR="006E64EA" w:rsidRPr="00C06677">
        <w:rPr>
          <w:noProof/>
        </w:rPr>
        <w:t>1950</w:t>
      </w:r>
      <w:r w:rsidR="006E64EA" w:rsidRPr="00C06677">
        <w:fldChar w:fldCharType="end"/>
      </w:r>
      <w:r w:rsidR="00375120" w:rsidRPr="00C06677">
        <w:t>).</w:t>
      </w:r>
      <w:r w:rsidR="00C520A3">
        <w:t xml:space="preserve"> We then go onto </w:t>
      </w:r>
      <w:r w:rsidR="003F787C">
        <w:t>discuss alternative ideas couched in terms of PVT.</w:t>
      </w:r>
    </w:p>
    <w:p w14:paraId="54BB0160" w14:textId="017BD3C2" w:rsidR="00444DA4" w:rsidRPr="00C06677" w:rsidRDefault="00303D00" w:rsidP="00085CA8">
      <w:pPr>
        <w:keepNext/>
        <w:spacing w:line="480" w:lineRule="auto"/>
        <w:contextualSpacing/>
        <w:rPr>
          <w:b/>
          <w:bCs/>
        </w:rPr>
      </w:pPr>
      <w:r w:rsidRPr="00C06677">
        <w:rPr>
          <w:b/>
          <w:bCs/>
        </w:rPr>
        <w:t>Preferential choice and standard Utility theory</w:t>
      </w:r>
    </w:p>
    <w:p w14:paraId="1F3A0A8A" w14:textId="43DA16A9" w:rsidR="00D941E5" w:rsidRPr="00C06677" w:rsidRDefault="009A363A" w:rsidP="00D941E5">
      <w:pPr>
        <w:spacing w:line="480" w:lineRule="auto"/>
        <w:ind w:firstLine="720"/>
      </w:pPr>
      <w:r w:rsidRPr="00C06677">
        <w:t xml:space="preserve">Charitable </w:t>
      </w:r>
      <w:r w:rsidR="00F77390" w:rsidRPr="00C06677">
        <w:t>givin</w:t>
      </w:r>
      <w:r w:rsidR="0013022D" w:rsidRPr="00C06677">
        <w:t>g</w:t>
      </w:r>
      <w:r w:rsidR="003144F3" w:rsidRPr="00C06677">
        <w:t xml:space="preserve"> </w:t>
      </w:r>
      <w:r w:rsidRPr="00C06677">
        <w:t xml:space="preserve">decisions are a type of preferential choice. A preferential choice is any decision in which there is no objectively correct answer. Utility Theory assumes that a latent </w:t>
      </w:r>
      <w:r w:rsidRPr="00C06677">
        <w:lastRenderedPageBreak/>
        <w:t>construct, termed</w:t>
      </w:r>
      <w:r w:rsidR="002C5278">
        <w:t xml:space="preserve"> a</w:t>
      </w:r>
      <w:r w:rsidRPr="00C06677">
        <w:t xml:space="preserve"> </w:t>
      </w:r>
      <w:r w:rsidR="00293620">
        <w:rPr>
          <w:i/>
          <w:iCs/>
        </w:rPr>
        <w:t>util</w:t>
      </w:r>
      <w:r w:rsidRPr="00C06677">
        <w:t>, d</w:t>
      </w:r>
      <w:r w:rsidR="009762D9" w:rsidRPr="00C06677">
        <w:t>etermines</w:t>
      </w:r>
      <w:r w:rsidRPr="00C06677">
        <w:t xml:space="preserve"> preferential choice (</w:t>
      </w:r>
      <w:r w:rsidR="004A6797" w:rsidRPr="00C06677">
        <w:t xml:space="preserve">see </w:t>
      </w:r>
      <w:r w:rsidRPr="00C06677">
        <w:t xml:space="preserve">e.g., Barberis, </w:t>
      </w:r>
      <w:r w:rsidR="00F10A12" w:rsidRPr="00C06677">
        <w:fldChar w:fldCharType="begin"/>
      </w:r>
      <w:r w:rsidR="0019503B">
        <w:instrText xml:space="preserve"> ADDIN EN.CITE &lt;EndNote&gt;&lt;Cite&gt;&lt;Author&gt;Barberis&lt;/Author&gt;&lt;Year&gt;2013&lt;/Year&gt;&lt;RecNum&gt;2541&lt;/RecNum&gt;&lt;DisplayText&gt;2013&lt;/DisplayText&gt;&lt;record&gt;&lt;rec-number&gt;2541&lt;/rec-number&gt;&lt;foreign-keys&gt;&lt;key app="EN" db-id="w0tztzf0h2dft0eaewxxtpr4exwxf90s525w" timestamp="1659025443" guid="48b448b7-a58f-41eb-bf09-985619c320ec"&gt;2541&lt;/key&gt;&lt;/foreign-keys&gt;&lt;ref-type name="Journal Article"&gt;17&lt;/ref-type&gt;&lt;contributors&gt;&lt;authors&gt;&lt;author&gt;Barberis, N. C&lt;/author&gt;&lt;/authors&gt;&lt;/contributors&gt;&lt;titles&gt;&lt;title&gt;Thirty years of prospect theory in economics: A review and assessment&lt;/title&gt;&lt;secondary-title&gt;Journal of Economic Perspectives&lt;/secondary-title&gt;&lt;/titles&gt;&lt;periodical&gt;&lt;full-title&gt;Journal of Economic Perspectives&lt;/full-title&gt;&lt;abbr-1&gt;J. Econ. Perspect.&lt;/abbr-1&gt;&lt;abbr-2&gt;J Econ Perspect&lt;/abbr-2&gt;&lt;/periodical&gt;&lt;pages&gt;173-96&lt;/pages&gt;&lt;volume&gt;27&lt;/volume&gt;&lt;dates&gt;&lt;year&gt;2013&lt;/year&gt;&lt;/dates&gt;&lt;urls&gt;&lt;/urls&gt;&lt;electronic-resource-num&gt;https://doi.org/10.1257/jep.27.1.173&lt;/electronic-resource-num&gt;&lt;/record&gt;&lt;/Cite&gt;&lt;/EndNote&gt;</w:instrText>
      </w:r>
      <w:r w:rsidR="00F10A12" w:rsidRPr="00C06677">
        <w:fldChar w:fldCharType="separate"/>
      </w:r>
      <w:r w:rsidR="00F10A12" w:rsidRPr="00C06677">
        <w:rPr>
          <w:noProof/>
        </w:rPr>
        <w:t>2013</w:t>
      </w:r>
      <w:r w:rsidR="00F10A12" w:rsidRPr="00C06677">
        <w:fldChar w:fldCharType="end"/>
      </w:r>
      <w:r w:rsidRPr="00C06677">
        <w:t xml:space="preserve">; Smith, 1989; Stigler, 1950). Utility Theory equates preferential choice and </w:t>
      </w:r>
      <w:r w:rsidR="00293620">
        <w:t>util</w:t>
      </w:r>
      <w:r w:rsidR="00293620" w:rsidRPr="00C06677">
        <w:t xml:space="preserve"> </w:t>
      </w:r>
      <w:r w:rsidR="00293620">
        <w:t xml:space="preserve">(e.g., </w:t>
      </w:r>
      <w:r w:rsidR="00293620" w:rsidRPr="002D6464">
        <w:rPr>
          <w:i/>
          <w:iCs/>
        </w:rPr>
        <w:t>value</w:t>
      </w:r>
      <w:r w:rsidR="00293620">
        <w:t xml:space="preserve">) </w:t>
      </w:r>
      <w:r w:rsidRPr="00C06677">
        <w:t xml:space="preserve">by </w:t>
      </w:r>
      <w:r w:rsidR="00692F83" w:rsidRPr="00C06677">
        <w:t xml:space="preserve">assuming that the </w:t>
      </w:r>
      <w:r w:rsidR="00293620">
        <w:t xml:space="preserve">consequence of the </w:t>
      </w:r>
      <w:r w:rsidR="00692F83" w:rsidRPr="00C06677">
        <w:t xml:space="preserve">chosen option has a higher </w:t>
      </w:r>
      <w:r w:rsidR="00293620">
        <w:t>utility</w:t>
      </w:r>
      <w:r w:rsidR="00293620" w:rsidRPr="00C06677">
        <w:t xml:space="preserve"> </w:t>
      </w:r>
      <w:r w:rsidR="00692F83" w:rsidRPr="00C06677">
        <w:t xml:space="preserve">than </w:t>
      </w:r>
      <w:r w:rsidR="00293620">
        <w:t xml:space="preserve">the consequence of </w:t>
      </w:r>
      <w:r w:rsidR="00A347CD" w:rsidRPr="00C06677">
        <w:t>any of the alternative</w:t>
      </w:r>
      <w:r w:rsidR="007530E6" w:rsidRPr="00C06677">
        <w:t>,</w:t>
      </w:r>
      <w:r w:rsidR="00692F83" w:rsidRPr="00C06677">
        <w:t xml:space="preserve"> rejected option</w:t>
      </w:r>
      <w:r w:rsidR="00A347CD" w:rsidRPr="00C06677">
        <w:t>s</w:t>
      </w:r>
      <w:r w:rsidR="00692F83" w:rsidRPr="00C06677">
        <w:t xml:space="preserve">. </w:t>
      </w:r>
      <w:r w:rsidR="00D941E5" w:rsidRPr="00C06677">
        <w:t xml:space="preserve">This formulation is logically consistent as long as the </w:t>
      </w:r>
      <w:r w:rsidR="00293620">
        <w:t xml:space="preserve">consequences of the </w:t>
      </w:r>
      <w:r w:rsidR="00D941E5" w:rsidRPr="00C06677">
        <w:t xml:space="preserve">options are believed to </w:t>
      </w:r>
      <w:r w:rsidR="001F5A42" w:rsidRPr="00C06677">
        <w:t>provide a benefit to</w:t>
      </w:r>
      <w:r w:rsidR="00D941E5" w:rsidRPr="00C06677">
        <w:t xml:space="preserve"> the </w:t>
      </w:r>
      <w:r w:rsidR="003B02F2" w:rsidRPr="00C06677">
        <w:t>decision maker</w:t>
      </w:r>
      <w:r w:rsidR="00D941E5" w:rsidRPr="00C06677">
        <w:t xml:space="preserve">.  </w:t>
      </w:r>
    </w:p>
    <w:p w14:paraId="03212590" w14:textId="507696C3" w:rsidR="00787F90" w:rsidRDefault="005A3C2A" w:rsidP="00F705DD">
      <w:pPr>
        <w:spacing w:line="480" w:lineRule="auto"/>
        <w:ind w:firstLine="720"/>
        <w:contextualSpacing/>
      </w:pPr>
      <w:r w:rsidRPr="00C06677">
        <w:t xml:space="preserve">In giving </w:t>
      </w:r>
      <w:r w:rsidR="00916DAC" w:rsidRPr="00C06677">
        <w:t>to</w:t>
      </w:r>
      <w:r w:rsidR="00276278" w:rsidRPr="00C06677">
        <w:t xml:space="preserve"> </w:t>
      </w:r>
      <w:r w:rsidR="001F5A42" w:rsidRPr="00C06677">
        <w:t>c</w:t>
      </w:r>
      <w:r w:rsidR="00276278" w:rsidRPr="00C06677">
        <w:t>harity</w:t>
      </w:r>
      <w:r w:rsidR="00916DAC" w:rsidRPr="00C06677">
        <w:t xml:space="preserve">, the </w:t>
      </w:r>
      <w:r w:rsidRPr="00C06677">
        <w:t>giver</w:t>
      </w:r>
      <w:r w:rsidR="00916DAC" w:rsidRPr="00C06677">
        <w:t xml:space="preserve"> </w:t>
      </w:r>
      <w:r w:rsidR="007530E6" w:rsidRPr="00C06677">
        <w:t>chooses</w:t>
      </w:r>
      <w:r w:rsidR="00916DAC" w:rsidRPr="00C06677">
        <w:t xml:space="preserve"> to </w:t>
      </w:r>
      <w:r w:rsidRPr="00C06677">
        <w:t>provide</w:t>
      </w:r>
      <w:r w:rsidR="00916DAC" w:rsidRPr="00C06677">
        <w:t xml:space="preserve"> </w:t>
      </w:r>
      <w:r w:rsidR="007530E6" w:rsidRPr="00C06677">
        <w:t>an</w:t>
      </w:r>
      <w:r w:rsidR="00916DAC" w:rsidRPr="00C06677">
        <w:t xml:space="preserve"> amount of money</w:t>
      </w:r>
      <w:r w:rsidR="00276278" w:rsidRPr="00C06677">
        <w:t xml:space="preserve"> for an economic good or service that </w:t>
      </w:r>
      <w:r w:rsidR="00916DAC" w:rsidRPr="00C06677">
        <w:t>they</w:t>
      </w:r>
      <w:r w:rsidR="00276278" w:rsidRPr="00C06677">
        <w:t xml:space="preserve"> </w:t>
      </w:r>
      <w:r w:rsidR="004F6212" w:rsidRPr="00C06677">
        <w:t>will</w:t>
      </w:r>
      <w:r w:rsidR="00276278" w:rsidRPr="00C06677">
        <w:t xml:space="preserve"> likely never receive. As such, c</w:t>
      </w:r>
      <w:r w:rsidR="00FE460B" w:rsidRPr="00C06677">
        <w:t xml:space="preserve">haritable giving exemplifies a unique </w:t>
      </w:r>
      <w:r w:rsidR="00D34148" w:rsidRPr="00C06677">
        <w:t xml:space="preserve">challenge </w:t>
      </w:r>
      <w:r w:rsidR="00FE460B" w:rsidRPr="00C06677">
        <w:t xml:space="preserve">for Utility Theory: </w:t>
      </w:r>
      <w:r w:rsidR="00D941E5" w:rsidRPr="00C06677">
        <w:t xml:space="preserve">the </w:t>
      </w:r>
      <w:r w:rsidR="004F6212" w:rsidRPr="00C06677">
        <w:t xml:space="preserve">chosen option (i.e., </w:t>
      </w:r>
      <w:r w:rsidR="003B02F2" w:rsidRPr="00C06677">
        <w:t xml:space="preserve">to </w:t>
      </w:r>
      <w:r w:rsidR="00675D12" w:rsidRPr="00C06677">
        <w:t>“</w:t>
      </w:r>
      <w:r w:rsidR="00276278" w:rsidRPr="00C06677">
        <w:t>give</w:t>
      </w:r>
      <w:r w:rsidR="00675D12" w:rsidRPr="00C06677">
        <w:t>”</w:t>
      </w:r>
      <w:r w:rsidR="004F6212" w:rsidRPr="00C06677">
        <w:t>)</w:t>
      </w:r>
      <w:r w:rsidR="00675D12" w:rsidRPr="00C06677">
        <w:t xml:space="preserve"> </w:t>
      </w:r>
      <w:r w:rsidR="00D941E5" w:rsidRPr="00C06677">
        <w:t>appear</w:t>
      </w:r>
      <w:r w:rsidR="00675D12" w:rsidRPr="00C06677">
        <w:t>s</w:t>
      </w:r>
      <w:r w:rsidR="00D941E5" w:rsidRPr="00C06677">
        <w:t xml:space="preserve"> not to contain </w:t>
      </w:r>
      <w:r w:rsidR="007530E6" w:rsidRPr="00C06677">
        <w:t xml:space="preserve">any </w:t>
      </w:r>
      <w:r w:rsidR="00D941E5" w:rsidRPr="00C06677">
        <w:t xml:space="preserve">direct </w:t>
      </w:r>
      <w:r w:rsidR="004F6212" w:rsidRPr="00C06677">
        <w:t>benefit (e.g., “</w:t>
      </w:r>
      <w:r w:rsidR="00293620">
        <w:t>utility</w:t>
      </w:r>
      <w:r w:rsidR="004F6212" w:rsidRPr="00C06677">
        <w:t>”)</w:t>
      </w:r>
      <w:r w:rsidR="00D941E5" w:rsidRPr="00C06677">
        <w:t xml:space="preserve"> to the giver</w:t>
      </w:r>
      <w:r w:rsidR="001F5A42" w:rsidRPr="00C06677">
        <w:t xml:space="preserve"> (e.g., Watson, </w:t>
      </w:r>
      <w:r w:rsidR="00361FEB" w:rsidRPr="00C06677">
        <w:fldChar w:fldCharType="begin"/>
      </w:r>
      <w:r w:rsidR="0019503B">
        <w:instrText xml:space="preserve"> ADDIN EN.CITE &lt;EndNote&gt;&lt;Cite&gt;&lt;Author&gt;Watson&lt;/Author&gt;&lt;Year&gt;2015&lt;/Year&gt;&lt;RecNum&gt;2521&lt;/RecNum&gt;&lt;DisplayText&gt;2015&lt;/DisplayText&gt;&lt;record&gt;&lt;rec-number&gt;2521&lt;/rec-number&gt;&lt;foreign-keys&gt;&lt;key app="EN" db-id="w0tztzf0h2dft0eaewxxtpr4exwxf90s525w" timestamp="1659025443" guid="0bbf78d0-f64f-4ade-be62-373aafde4a1a"&gt;2521&lt;/key&gt;&lt;/foreign-keys&gt;&lt;ref-type name="Journal Article"&gt;17&lt;/ref-type&gt;&lt;contributors&gt;&lt;authors&gt;&lt;author&gt;Watson, M. V. S&lt;/author&gt;&lt;/authors&gt;&lt;/contributors&gt;&lt;titles&gt;&lt;title&gt;Mueller and Mises: Integrating the gift and “final distribution” with Praxeology&lt;/title&gt;&lt;secondary-title&gt;The Quarterly Journal of Austrian Economics&lt;/secondary-title&gt;&lt;/titles&gt;&lt;periodical&gt;&lt;full-title&gt;The Quarterly Journal of Austrian Economics&lt;/full-title&gt;&lt;/periodical&gt;&lt;pages&gt;173-202&lt;/pages&gt;&lt;volume&gt;18&lt;/volume&gt;&lt;dates&gt;&lt;year&gt;2015&lt;/year&gt;&lt;/dates&gt;&lt;urls&gt;&lt;/urls&gt;&lt;/record&gt;&lt;/Cite&gt;&lt;/EndNote&gt;</w:instrText>
      </w:r>
      <w:r w:rsidR="00361FEB" w:rsidRPr="00C06677">
        <w:fldChar w:fldCharType="separate"/>
      </w:r>
      <w:r w:rsidR="00361FEB" w:rsidRPr="00C06677">
        <w:rPr>
          <w:noProof/>
        </w:rPr>
        <w:t>2015</w:t>
      </w:r>
      <w:r w:rsidR="00361FEB" w:rsidRPr="00C06677">
        <w:fldChar w:fldCharType="end"/>
      </w:r>
      <w:r w:rsidR="001F5A42" w:rsidRPr="00C06677">
        <w:t>).</w:t>
      </w:r>
      <w:r w:rsidR="00276278" w:rsidRPr="00C06677">
        <w:t xml:space="preserve"> Therefore,</w:t>
      </w:r>
      <w:r w:rsidR="00D941E5" w:rsidRPr="00C06677">
        <w:t xml:space="preserve"> </w:t>
      </w:r>
      <w:r w:rsidR="00C12D6A" w:rsidRPr="00C06677">
        <w:t>U</w:t>
      </w:r>
      <w:r w:rsidR="00D941E5" w:rsidRPr="00C06677">
        <w:t>tility theorist</w:t>
      </w:r>
      <w:r w:rsidR="00F50E0C" w:rsidRPr="00C06677">
        <w:t>s</w:t>
      </w:r>
      <w:r w:rsidR="00D941E5" w:rsidRPr="00C06677">
        <w:t xml:space="preserve"> propose </w:t>
      </w:r>
      <w:r w:rsidR="00675D12" w:rsidRPr="00C06677">
        <w:t xml:space="preserve">either </w:t>
      </w:r>
      <w:r w:rsidR="00D941E5" w:rsidRPr="00C06677">
        <w:t xml:space="preserve">that </w:t>
      </w:r>
      <w:r w:rsidR="00675D12" w:rsidRPr="00C06677">
        <w:t xml:space="preserve">the individual forgoes benefit </w:t>
      </w:r>
      <w:r w:rsidR="00276278" w:rsidRPr="00C06677">
        <w:t xml:space="preserve">altogether </w:t>
      </w:r>
      <w:r w:rsidR="00675D12" w:rsidRPr="00C06677">
        <w:t>through pure altruism (</w:t>
      </w:r>
      <w:r w:rsidR="00EC7B8A" w:rsidRPr="00C06677">
        <w:t xml:space="preserve">Andreoni &amp; Miller, </w:t>
      </w:r>
      <w:r w:rsidR="00EC7B8A" w:rsidRPr="00C06677">
        <w:fldChar w:fldCharType="begin"/>
      </w:r>
      <w:r w:rsidR="0019503B">
        <w:instrText xml:space="preserve"> ADDIN EN.CITE &lt;EndNote&gt;&lt;Cite&gt;&lt;Author&gt;Andreoni&lt;/Author&gt;&lt;Year&gt;2002&lt;/Year&gt;&lt;RecNum&gt;2593&lt;/RecNum&gt;&lt;DisplayText&gt;2002&lt;/DisplayText&gt;&lt;record&gt;&lt;rec-number&gt;2593&lt;/rec-number&gt;&lt;foreign-keys&gt;&lt;key app="EN" db-id="w0tztzf0h2dft0eaewxxtpr4exwxf90s525w" timestamp="1659025445" guid="fa78f106-3eef-4805-b0ec-02bd37ab5ad4"&gt;2593&lt;/key&gt;&lt;/foreign-keys&gt;&lt;ref-type name="Journal Article"&gt;17&lt;/ref-type&gt;&lt;contributors&gt;&lt;authors&gt;&lt;author&gt;Andreoni, J.&lt;/author&gt;&lt;author&gt;Miller, J. H&lt;/author&gt;&lt;/authors&gt;&lt;/contributors&gt;&lt;titles&gt;&lt;title&gt;Giving according to GARP: an experimental test of the consistency of preferences for altruism.&lt;/title&gt;&lt;secondary-title&gt;Econometrica&lt;/secondary-title&gt;&lt;/titles&gt;&lt;periodical&gt;&lt;full-title&gt;Econometrica&lt;/full-title&gt;&lt;/periodical&gt;&lt;pages&gt;737-753&lt;/pages&gt;&lt;volume&gt;70&lt;/volume&gt;&lt;dates&gt;&lt;year&gt;2002&lt;/year&gt;&lt;/dates&gt;&lt;urls&gt;&lt;/urls&gt;&lt;electronic-resource-num&gt;http://dx.doi.org/10.1111/1468-0262.00302&lt;/electronic-resource-num&gt;&lt;/record&gt;&lt;/Cite&gt;&lt;/EndNote&gt;</w:instrText>
      </w:r>
      <w:r w:rsidR="00EC7B8A" w:rsidRPr="00C06677">
        <w:fldChar w:fldCharType="separate"/>
      </w:r>
      <w:r w:rsidR="00EC7B8A" w:rsidRPr="00C06677">
        <w:rPr>
          <w:noProof/>
        </w:rPr>
        <w:t>2002</w:t>
      </w:r>
      <w:r w:rsidR="00EC7B8A" w:rsidRPr="00C06677">
        <w:fldChar w:fldCharType="end"/>
      </w:r>
      <w:r w:rsidR="00675D12" w:rsidRPr="00C06677">
        <w:t xml:space="preserve">) or </w:t>
      </w:r>
      <w:r w:rsidR="00D941E5" w:rsidRPr="00C06677">
        <w:t>the “</w:t>
      </w:r>
      <w:r w:rsidR="00BB1BD0">
        <w:t>utility</w:t>
      </w:r>
      <w:r w:rsidR="00D941E5" w:rsidRPr="00C06677">
        <w:t xml:space="preserve">” obtained arises </w:t>
      </w:r>
      <w:r w:rsidR="00D941E5" w:rsidRPr="00C06677">
        <w:rPr>
          <w:i/>
          <w:iCs/>
        </w:rPr>
        <w:t>within</w:t>
      </w:r>
      <w:r w:rsidR="00D941E5" w:rsidRPr="00C06677">
        <w:t xml:space="preserve"> the individual from the </w:t>
      </w:r>
      <w:r w:rsidR="00D941E5" w:rsidRPr="00C06677">
        <w:rPr>
          <w:i/>
          <w:iCs/>
        </w:rPr>
        <w:t xml:space="preserve">act </w:t>
      </w:r>
      <w:r w:rsidR="00D941E5" w:rsidRPr="00C06677">
        <w:t>of giving itself</w:t>
      </w:r>
      <w:r w:rsidR="00675D12" w:rsidRPr="00C06677">
        <w:t xml:space="preserve"> </w:t>
      </w:r>
      <w:r w:rsidR="00D34148" w:rsidRPr="00C06677">
        <w:t>(rather than the good</w:t>
      </w:r>
      <w:r w:rsidR="004C16F1" w:rsidRPr="00C06677">
        <w:t xml:space="preserve">s </w:t>
      </w:r>
      <w:r w:rsidR="00D34148" w:rsidRPr="00C06677">
        <w:t xml:space="preserve">received) </w:t>
      </w:r>
      <w:r w:rsidR="00675D12" w:rsidRPr="00C06677">
        <w:t>through impure altruism (</w:t>
      </w:r>
      <w:r w:rsidR="00662F36" w:rsidRPr="00C06677">
        <w:t xml:space="preserve">e.g., </w:t>
      </w:r>
      <w:r w:rsidR="004C16F1" w:rsidRPr="00C06677">
        <w:t xml:space="preserve">a </w:t>
      </w:r>
      <w:r w:rsidR="00662F36" w:rsidRPr="00C06677">
        <w:t xml:space="preserve">warm glow; </w:t>
      </w:r>
      <w:r w:rsidR="00227980" w:rsidRPr="00C06677">
        <w:t xml:space="preserve">Andreoni, Harbaugh, &amp; Vesterlund, </w:t>
      </w:r>
      <w:r w:rsidR="00B5748D" w:rsidRPr="00C06677">
        <w:fldChar w:fldCharType="begin"/>
      </w:r>
      <w:r w:rsidR="0019503B">
        <w:instrText xml:space="preserve"> ADDIN EN.CITE &lt;EndNote&gt;&lt;Cite&gt;&lt;Author&gt;Andreoni&lt;/Author&gt;&lt;Year&gt;2010&lt;/Year&gt;&lt;RecNum&gt;2399&lt;/RecNum&gt;&lt;DisplayText&gt;2010&lt;/DisplayText&gt;&lt;record&gt;&lt;rec-number&gt;2399&lt;/rec-number&gt;&lt;foreign-keys&gt;&lt;key app="EN" db-id="w0tztzf0h2dft0eaewxxtpr4exwxf90s525w" timestamp="1659025439" guid="612afe9a-d42b-4e28-85b2-f4f87f42c21d"&gt;2399&lt;/key&gt;&lt;/foreign-keys&gt;&lt;ref-type name="Book Section"&gt;5&lt;/ref-type&gt;&lt;contributors&gt;&lt;authors&gt;&lt;author&gt;Andreoni, J.&lt;/author&gt;&lt;author&gt;Harbaugh, W. T&lt;/author&gt;&lt;author&gt;Vesterlund, L.&lt;/author&gt;&lt;/authors&gt;&lt;/contributors&gt;&lt;titles&gt;&lt;title&gt;Altruism in experiments&lt;/title&gt;&lt;secondary-title&gt;Behavioural and experimental economics&lt;/secondary-title&gt;&lt;/titles&gt;&lt;pages&gt;6-13&lt;/pages&gt;&lt;dates&gt;&lt;year&gt;2010&lt;/year&gt;&lt;/dates&gt;&lt;pub-location&gt;London, UK&lt;/pub-location&gt;&lt;publisher&gt;Palgrave Macmillan&lt;/publisher&gt;&lt;urls&gt;&lt;/urls&gt;&lt;/record&gt;&lt;/Cite&gt;&lt;/EndNote&gt;</w:instrText>
      </w:r>
      <w:r w:rsidR="00B5748D" w:rsidRPr="00C06677">
        <w:fldChar w:fldCharType="separate"/>
      </w:r>
      <w:r w:rsidR="00B5748D" w:rsidRPr="00C06677">
        <w:rPr>
          <w:noProof/>
        </w:rPr>
        <w:t>2010</w:t>
      </w:r>
      <w:r w:rsidR="00B5748D" w:rsidRPr="00C06677">
        <w:fldChar w:fldCharType="end"/>
      </w:r>
      <w:r w:rsidR="00EB1CF5" w:rsidRPr="00C06677">
        <w:t>)</w:t>
      </w:r>
      <w:r w:rsidR="00227980" w:rsidRPr="00C06677">
        <w:t>.</w:t>
      </w:r>
      <w:r w:rsidR="008D44A1" w:rsidRPr="00C06677">
        <w:t xml:space="preserve"> </w:t>
      </w:r>
      <w:r w:rsidR="002A425A">
        <w:t xml:space="preserve"> </w:t>
      </w:r>
    </w:p>
    <w:p w14:paraId="74980F12" w14:textId="3DA9D05B" w:rsidR="00203369" w:rsidRDefault="00793118" w:rsidP="00070CDE">
      <w:pPr>
        <w:spacing w:line="480" w:lineRule="auto"/>
        <w:ind w:firstLine="720"/>
        <w:contextualSpacing/>
      </w:pPr>
      <w:r>
        <w:t xml:space="preserve">Whereas pure altruism requires, by definition, the giver receive no benefit from the interaction, impure altruism produces a “private” benefit to the giver. </w:t>
      </w:r>
      <w:r w:rsidR="00EF6C38">
        <w:t xml:space="preserve">Although </w:t>
      </w:r>
      <w:r w:rsidR="002B5075">
        <w:t>there is only one form of true altruism, there are</w:t>
      </w:r>
      <w:r w:rsidR="007F17F2">
        <w:t xml:space="preserve"> various forms of impure altruism.  </w:t>
      </w:r>
      <w:r>
        <w:t>K</w:t>
      </w:r>
      <w:r w:rsidR="00942D59">
        <w:t>ha</w:t>
      </w:r>
      <w:r w:rsidR="004C1F5A">
        <w:t>lil (</w:t>
      </w:r>
      <w:r w:rsidR="004723DB">
        <w:fldChar w:fldCharType="begin"/>
      </w:r>
      <w:r w:rsidR="0019503B">
        <w:instrText xml:space="preserve"> ADDIN EN.CITE &lt;EndNote&gt;&lt;Cite&gt;&lt;Author&gt;Khalil&lt;/Author&gt;&lt;Year&gt;2004&lt;/Year&gt;&lt;RecNum&gt;2676&lt;/RecNum&gt;&lt;DisplayText&gt;2004&lt;/DisplayText&gt;&lt;record&gt;&lt;rec-number&gt;2676&lt;/rec-number&gt;&lt;foreign-keys&gt;&lt;key app="EN" db-id="w0tztzf0h2dft0eaewxxtpr4exwxf90s525w" timestamp="1660039769" guid="cc0c8594-5018-4489-854a-39bfa73c06cd"&gt;2676&lt;/key&gt;&lt;/foreign-keys&gt;&lt;ref-type name="Journal Article"&gt;17&lt;/ref-type&gt;&lt;contributors&gt;&lt;authors&gt;&lt;author&gt;Khalil, E. L&lt;/author&gt;&lt;/authors&gt;&lt;/contributors&gt;&lt;titles&gt;&lt;title&gt;What is altruism?&lt;/title&gt;&lt;secondary-title&gt;Journal of Economic Psychology&lt;/secondary-title&gt;&lt;/titles&gt;&lt;periodical&gt;&lt;full-title&gt;Journal of Economic Psychology&lt;/full-title&gt;&lt;abbr-1&gt;J. Econ. Psychol.&lt;/abbr-1&gt;&lt;/periodical&gt;&lt;pages&gt;97-123&lt;/pages&gt;&lt;volume&gt;25&lt;/volume&gt;&lt;dates&gt;&lt;year&gt;2004&lt;/year&gt;&lt;/dates&gt;&lt;urls&gt;&lt;/urls&gt;&lt;electronic-resource-num&gt;https://doi.org/10.1016/S0167-4870(03)00075-8&lt;/electronic-resource-num&gt;&lt;/record&gt;&lt;/Cite&gt;&lt;/EndNote&gt;</w:instrText>
      </w:r>
      <w:r w:rsidR="004723DB">
        <w:fldChar w:fldCharType="separate"/>
      </w:r>
      <w:r w:rsidR="004723DB">
        <w:rPr>
          <w:noProof/>
        </w:rPr>
        <w:t>2004</w:t>
      </w:r>
      <w:r w:rsidR="004723DB">
        <w:fldChar w:fldCharType="end"/>
      </w:r>
      <w:r w:rsidR="004723DB">
        <w:t xml:space="preserve">) </w:t>
      </w:r>
      <w:r w:rsidR="004C1F5A">
        <w:t>categorizes impure altruism into three rationalistic types (</w:t>
      </w:r>
      <w:r w:rsidR="004C1F5A" w:rsidRPr="004C1F5A">
        <w:t>egoistic,</w:t>
      </w:r>
      <w:r w:rsidR="004C1F5A">
        <w:t xml:space="preserve"> </w:t>
      </w:r>
      <w:r w:rsidR="007F17F2" w:rsidRPr="004C1F5A">
        <w:t>egocentric,</w:t>
      </w:r>
      <w:r w:rsidR="007F17F2">
        <w:t xml:space="preserve"> </w:t>
      </w:r>
      <w:r w:rsidR="007F17F2" w:rsidRPr="004C1F5A">
        <w:t>and</w:t>
      </w:r>
      <w:r w:rsidR="004C1F5A" w:rsidRPr="004C1F5A">
        <w:t xml:space="preserve"> altercentric</w:t>
      </w:r>
      <w:r w:rsidR="004C1F5A">
        <w:t xml:space="preserve">) and three normative types (Kantian, </w:t>
      </w:r>
      <w:r w:rsidR="004C1F5A" w:rsidRPr="004C1F5A">
        <w:t>socialization/culturalization</w:t>
      </w:r>
      <w:r w:rsidR="004C1F5A">
        <w:t xml:space="preserve">, and warm-glow).  </w:t>
      </w:r>
      <w:r w:rsidR="00D06C55">
        <w:t xml:space="preserve">The rationalistic types describe various ways in which giving produces a benefit in relation to that given. </w:t>
      </w:r>
      <w:r w:rsidR="007F17F2">
        <w:t>T</w:t>
      </w:r>
      <w:r w:rsidR="00D06C55">
        <w:t xml:space="preserve">he egoistic altruist will give because </w:t>
      </w:r>
      <w:r w:rsidR="007F17F2">
        <w:t xml:space="preserve">contributing to a cooperative environment will maximize </w:t>
      </w:r>
      <w:r w:rsidR="00DA3BB3">
        <w:t>the giver’s</w:t>
      </w:r>
      <w:r w:rsidR="007F17F2">
        <w:t xml:space="preserve"> </w:t>
      </w:r>
      <w:r w:rsidR="00DA3BB3">
        <w:t xml:space="preserve">future </w:t>
      </w:r>
      <w:r w:rsidR="007F17F2">
        <w:t xml:space="preserve">expected utility. The </w:t>
      </w:r>
      <w:r w:rsidR="007F17F2" w:rsidRPr="004C1F5A">
        <w:t>egocentric</w:t>
      </w:r>
      <w:r w:rsidR="007F17F2">
        <w:t xml:space="preserve"> altruist will give because they derive vicarious pleasure from the receiver’s pleasure.</w:t>
      </w:r>
      <w:r w:rsidR="007F17F2" w:rsidRPr="007F17F2">
        <w:t xml:space="preserve"> </w:t>
      </w:r>
      <w:r w:rsidR="007F17F2">
        <w:t xml:space="preserve">The </w:t>
      </w:r>
      <w:r w:rsidR="007F17F2" w:rsidRPr="004C1F5A">
        <w:t>altercentric</w:t>
      </w:r>
      <w:r w:rsidR="007F17F2">
        <w:t xml:space="preserve"> altruist will give because they </w:t>
      </w:r>
      <w:r w:rsidR="00B55E27">
        <w:t>have a “moral gene” that allows them to “adopt” the receiver’s utility</w:t>
      </w:r>
      <w:r w:rsidR="007F17F2">
        <w:t>.</w:t>
      </w:r>
      <w:r w:rsidR="00B55E27">
        <w:t xml:space="preserve">  </w:t>
      </w:r>
      <w:r w:rsidR="00203369">
        <w:t xml:space="preserve">The normative types of impure altruism are </w:t>
      </w:r>
      <w:r w:rsidR="00203369">
        <w:lastRenderedPageBreak/>
        <w:t xml:space="preserve">aimed at explaining giving independent of the degree of benefit received by the giver. The Kantian altruist gives because they experience a “moral utility” </w:t>
      </w:r>
      <w:r w:rsidR="00BE6678">
        <w:t xml:space="preserve">(independent of the “pleasure utility”) and there is moral utility in giving.  The </w:t>
      </w:r>
      <w:r w:rsidR="00BE6678" w:rsidRPr="004C1F5A">
        <w:t>socialization/culturalization</w:t>
      </w:r>
      <w:r w:rsidR="00203369">
        <w:t xml:space="preserve"> </w:t>
      </w:r>
      <w:r w:rsidR="00BE6678">
        <w:t xml:space="preserve">altruist gives to gain approval, etc., from one’s peers. The “warm glow” altruist gives because giving feels good.   </w:t>
      </w:r>
    </w:p>
    <w:p w14:paraId="129AC90F" w14:textId="4027EA34" w:rsidR="003E7427" w:rsidRDefault="00070CDE" w:rsidP="00070CDE">
      <w:pPr>
        <w:spacing w:line="480" w:lineRule="auto"/>
        <w:ind w:firstLine="720"/>
        <w:contextualSpacing/>
      </w:pPr>
      <w:r>
        <w:t>K</w:t>
      </w:r>
      <w:r w:rsidR="00942D59">
        <w:t>ha</w:t>
      </w:r>
      <w:r>
        <w:t>lil (</w:t>
      </w:r>
      <w:r w:rsidR="00345E96">
        <w:fldChar w:fldCharType="begin"/>
      </w:r>
      <w:r w:rsidR="00345E96">
        <w:instrText xml:space="preserve"> ADDIN EN.CITE &lt;EndNote&gt;&lt;Cite&gt;&lt;Author&gt;Khalil&lt;/Author&gt;&lt;Year&gt;2004&lt;/Year&gt;&lt;RecNum&gt;2676&lt;/RecNum&gt;&lt;DisplayText&gt;2004&lt;/DisplayText&gt;&lt;record&gt;&lt;rec-number&gt;2676&lt;/rec-number&gt;&lt;foreign-keys&gt;&lt;key app="EN" db-id="w0tztzf0h2dft0eaewxxtpr4exwxf90s525w" timestamp="1660039769" guid="cc0c8594-5018-4489-854a-39bfa73c06cd"&gt;2676&lt;/key&gt;&lt;/foreign-keys&gt;&lt;ref-type name="Journal Article"&gt;17&lt;/ref-type&gt;&lt;contributors&gt;&lt;authors&gt;&lt;author&gt;Khalil, E. L&lt;/author&gt;&lt;/authors&gt;&lt;/contributors&gt;&lt;titles&gt;&lt;title&gt;What is altruism?&lt;/title&gt;&lt;secondary-title&gt;Journal of Economic Psychology&lt;/secondary-title&gt;&lt;/titles&gt;&lt;periodical&gt;&lt;full-title&gt;Journal of Economic Psychology&lt;/full-title&gt;&lt;abbr-1&gt;J. Econ. Psychol.&lt;/abbr-1&gt;&lt;/periodical&gt;&lt;pages&gt;97-123&lt;/pages&gt;&lt;volume&gt;25&lt;/volume&gt;&lt;dates&gt;&lt;year&gt;2004&lt;/year&gt;&lt;/dates&gt;&lt;urls&gt;&lt;/urls&gt;&lt;electronic-resource-num&gt;https://doi.org/10.1016/S0167-4870(03)00075-8&lt;/electronic-resource-num&gt;&lt;/record&gt;&lt;/Cite&gt;&lt;/EndNote&gt;</w:instrText>
      </w:r>
      <w:r w:rsidR="00345E96">
        <w:fldChar w:fldCharType="separate"/>
      </w:r>
      <w:r w:rsidR="00345E96">
        <w:rPr>
          <w:noProof/>
        </w:rPr>
        <w:t>2004</w:t>
      </w:r>
      <w:r w:rsidR="00345E96">
        <w:fldChar w:fldCharType="end"/>
      </w:r>
      <w:r>
        <w:t xml:space="preserve">) </w:t>
      </w:r>
      <w:r w:rsidR="00A411E6">
        <w:t>explains why each</w:t>
      </w:r>
      <w:r>
        <w:t xml:space="preserve"> form of impure altruism cannot </w:t>
      </w:r>
      <w:r w:rsidR="00EE30EE">
        <w:t xml:space="preserve">account for </w:t>
      </w:r>
      <w:r w:rsidR="00993139">
        <w:t>why people expend resources for goods or services they will never receive (</w:t>
      </w:r>
      <w:r w:rsidR="00F211B9">
        <w:t xml:space="preserve">as in the case of </w:t>
      </w:r>
      <w:r w:rsidR="00A411E6">
        <w:t xml:space="preserve">charitable giving </w:t>
      </w:r>
      <w:r>
        <w:t>behavior</w:t>
      </w:r>
      <w:r w:rsidR="00993139">
        <w:t>)</w:t>
      </w:r>
      <w:r w:rsidR="00A411E6">
        <w:t>. For example, several forms of impure altruism do not explain why the giver gives, rather than enjoy</w:t>
      </w:r>
      <w:r w:rsidR="00EE30EE">
        <w:t>s</w:t>
      </w:r>
      <w:r w:rsidR="00A411E6">
        <w:t xml:space="preserve"> the benefit of a free ride.  Others have difficulty explaining why </w:t>
      </w:r>
      <w:r w:rsidR="00F211B9">
        <w:t xml:space="preserve">the </w:t>
      </w:r>
      <w:r w:rsidR="00A411E6">
        <w:t>giver give</w:t>
      </w:r>
      <w:r w:rsidR="009555F1">
        <w:t>s</w:t>
      </w:r>
      <w:r w:rsidR="00A411E6">
        <w:t xml:space="preserve"> to one charity over another.  </w:t>
      </w:r>
      <w:r w:rsidR="00FD613D">
        <w:t>Still others are so vague as to be almost uninformative (e.g., the moral gene</w:t>
      </w:r>
      <w:r w:rsidR="002F2ADC">
        <w:t xml:space="preserve"> hypothesis</w:t>
      </w:r>
      <w:r w:rsidR="00FD613D">
        <w:t>).</w:t>
      </w:r>
      <w:r w:rsidR="00E82AFE">
        <w:t xml:space="preserve"> </w:t>
      </w:r>
      <w:r w:rsidR="00993139">
        <w:t>K</w:t>
      </w:r>
      <w:r w:rsidR="00942D59">
        <w:t>ha</w:t>
      </w:r>
      <w:r w:rsidR="00993139">
        <w:t xml:space="preserve">lil </w:t>
      </w:r>
      <w:r w:rsidR="004C6C24">
        <w:t>(</w:t>
      </w:r>
      <w:r w:rsidR="00345E96">
        <w:fldChar w:fldCharType="begin"/>
      </w:r>
      <w:r w:rsidR="00345E96">
        <w:instrText xml:space="preserve"> ADDIN EN.CITE &lt;EndNote&gt;&lt;Cite&gt;&lt;Author&gt;Khalil&lt;/Author&gt;&lt;Year&gt;2004&lt;/Year&gt;&lt;RecNum&gt;2676&lt;/RecNum&gt;&lt;DisplayText&gt;2004&lt;/DisplayText&gt;&lt;record&gt;&lt;rec-number&gt;2676&lt;/rec-number&gt;&lt;foreign-keys&gt;&lt;key app="EN" db-id="w0tztzf0h2dft0eaewxxtpr4exwxf90s525w" timestamp="1660039769" guid="cc0c8594-5018-4489-854a-39bfa73c06cd"&gt;2676&lt;/key&gt;&lt;/foreign-keys&gt;&lt;ref-type name="Journal Article"&gt;17&lt;/ref-type&gt;&lt;contributors&gt;&lt;authors&gt;&lt;author&gt;Khalil, E. L&lt;/author&gt;&lt;/authors&gt;&lt;/contributors&gt;&lt;titles&gt;&lt;title&gt;What is altruism?&lt;/title&gt;&lt;secondary-title&gt;Journal of Economic Psychology&lt;/secondary-title&gt;&lt;/titles&gt;&lt;periodical&gt;&lt;full-title&gt;Journal of Economic Psychology&lt;/full-title&gt;&lt;abbr-1&gt;J. Econ. Psychol.&lt;/abbr-1&gt;&lt;/periodical&gt;&lt;pages&gt;97-123&lt;/pages&gt;&lt;volume&gt;25&lt;/volume&gt;&lt;dates&gt;&lt;year&gt;2004&lt;/year&gt;&lt;/dates&gt;&lt;urls&gt;&lt;/urls&gt;&lt;electronic-resource-num&gt;https://doi.org/10.1016/S0167-4870(03)00075-8&lt;/electronic-resource-num&gt;&lt;/record&gt;&lt;/Cite&gt;&lt;/EndNote&gt;</w:instrText>
      </w:r>
      <w:r w:rsidR="00345E96">
        <w:fldChar w:fldCharType="separate"/>
      </w:r>
      <w:r w:rsidR="00345E96">
        <w:rPr>
          <w:noProof/>
        </w:rPr>
        <w:t>2004</w:t>
      </w:r>
      <w:r w:rsidR="00345E96">
        <w:fldChar w:fldCharType="end"/>
      </w:r>
      <w:r w:rsidR="004C6C24">
        <w:t xml:space="preserve">) </w:t>
      </w:r>
      <w:r w:rsidR="00993139">
        <w:t>concludes by stating, “</w:t>
      </w:r>
      <w:r w:rsidR="00993139" w:rsidRPr="00993139">
        <w:t>The challenge ahead is to construct an alternative theory</w:t>
      </w:r>
      <w:r w:rsidR="004C6C24">
        <w:t xml:space="preserve">” (p. 119). </w:t>
      </w:r>
      <w:r w:rsidR="00993139">
        <w:t xml:space="preserve"> </w:t>
      </w:r>
    </w:p>
    <w:p w14:paraId="47EBEE97" w14:textId="318CF43D" w:rsidR="005762BF" w:rsidRDefault="00F211B9" w:rsidP="005762BF">
      <w:pPr>
        <w:spacing w:line="480" w:lineRule="auto"/>
        <w:ind w:firstLine="720"/>
        <w:contextualSpacing/>
      </w:pPr>
      <w:r>
        <w:t>There are various</w:t>
      </w:r>
      <w:r w:rsidR="00AF0D64">
        <w:t xml:space="preserve"> features of the giver, receiver, and the environment</w:t>
      </w:r>
      <w:r w:rsidR="004D1434">
        <w:t xml:space="preserve"> that</w:t>
      </w:r>
      <w:r>
        <w:t xml:space="preserve"> psychologists have established as </w:t>
      </w:r>
      <w:r w:rsidR="004D1434">
        <w:t>influenc</w:t>
      </w:r>
      <w:r>
        <w:t>ing</w:t>
      </w:r>
      <w:r w:rsidR="004D1434">
        <w:t xml:space="preserve"> charitable giving.  For example, p</w:t>
      </w:r>
      <w:r w:rsidR="004D1434" w:rsidRPr="004D1434">
        <w:t>eople are more willing to donate money when they are happy at the time of donation (</w:t>
      </w:r>
      <w:r w:rsidR="00780F93">
        <w:t xml:space="preserve">Niesta </w:t>
      </w:r>
      <w:r w:rsidR="004D1434" w:rsidRPr="004D1434">
        <w:t xml:space="preserve">Kayser et al., </w:t>
      </w:r>
      <w:r w:rsidR="00780F93">
        <w:fldChar w:fldCharType="begin"/>
      </w:r>
      <w:r w:rsidR="0019503B">
        <w:instrText xml:space="preserve"> ADDIN EN.CITE &lt;EndNote&gt;&lt;Cite&gt;&lt;Author&gt;Niesta Kayser&lt;/Author&gt;&lt;Year&gt;2010&lt;/Year&gt;&lt;RecNum&gt;2683&lt;/RecNum&gt;&lt;DisplayText&gt;2010&lt;/DisplayText&gt;&lt;record&gt;&lt;rec-number&gt;2683&lt;/rec-number&gt;&lt;foreign-keys&gt;&lt;key app="EN" db-id="w0tztzf0h2dft0eaewxxtpr4exwxf90s525w" timestamp="1660121074" guid="0816e13d-772d-411f-b81a-be00fa71519e"&gt;2683&lt;/key&gt;&lt;/foreign-keys&gt;&lt;ref-type name="Journal Article"&gt;17&lt;/ref-type&gt;&lt;contributors&gt;&lt;authors&gt;&lt;author&gt;Niesta Kayser, D&lt;/author&gt;&lt;author&gt;Greitemeyer, T&lt;/author&gt;&lt;author&gt;Fischer, P&lt;/author&gt;&lt;author&gt;Frey, D&lt;/author&gt;&lt;/authors&gt;&lt;/contributors&gt;&lt;titles&gt;&lt;title&gt;Why mood affects help giving, but not moral courage: Comparing two types of prosocial behaviour&lt;/title&gt;&lt;secondary-title&gt;European Journal of Social Psychology&lt;/secondary-title&gt;&lt;/titles&gt;&lt;periodical&gt;&lt;full-title&gt;European Journal of Social Psychology&lt;/full-title&gt;&lt;abbr-1&gt;Eur. J. Soc. Psychol.&lt;/abbr-1&gt;&lt;/periodical&gt;&lt;pages&gt;1136-1157&lt;/pages&gt;&lt;volume&gt;40&lt;/volume&gt;&lt;dates&gt;&lt;year&gt;2010&lt;/year&gt;&lt;/dates&gt;&lt;urls&gt;&lt;/urls&gt;&lt;electronic-resource-num&gt;http://dx.doi.org/10.1002/ejsp.717&lt;/electronic-resource-num&gt;&lt;/record&gt;&lt;/Cite&gt;&lt;/EndNote&gt;</w:instrText>
      </w:r>
      <w:r w:rsidR="00780F93">
        <w:fldChar w:fldCharType="separate"/>
      </w:r>
      <w:r w:rsidR="00780F93">
        <w:rPr>
          <w:noProof/>
        </w:rPr>
        <w:t>2010</w:t>
      </w:r>
      <w:r w:rsidR="00780F93">
        <w:fldChar w:fldCharType="end"/>
      </w:r>
      <w:r w:rsidR="004D1434" w:rsidRPr="004D1434">
        <w:t>)</w:t>
      </w:r>
      <w:r w:rsidR="004D1434">
        <w:t xml:space="preserve"> or</w:t>
      </w:r>
      <w:r w:rsidR="004D1434" w:rsidRPr="004D1434">
        <w:t xml:space="preserve"> if they are primed to access their emotions when asked to donate (Dickert, </w:t>
      </w:r>
      <w:r w:rsidR="00187A0B">
        <w:t>et al.</w:t>
      </w:r>
      <w:r w:rsidR="004D1434" w:rsidRPr="004D1434">
        <w:t xml:space="preserve">, </w:t>
      </w:r>
      <w:r w:rsidR="00780F93">
        <w:fldChar w:fldCharType="begin"/>
      </w:r>
      <w:r w:rsidR="0019503B">
        <w:instrText xml:space="preserve"> ADDIN EN.CITE &lt;EndNote&gt;&lt;Cite&gt;&lt;Author&gt;Dickert&lt;/Author&gt;&lt;Year&gt;2011&lt;/Year&gt;&lt;RecNum&gt;2684&lt;/RecNum&gt;&lt;DisplayText&gt;2011&lt;/DisplayText&gt;&lt;record&gt;&lt;rec-number&gt;2684&lt;/rec-number&gt;&lt;foreign-keys&gt;&lt;key app="EN" db-id="w0tztzf0h2dft0eaewxxtpr4exwxf90s525w" timestamp="1660121276" guid="5e946537-a18e-4f2d-a66a-f4d42c6db97c"&gt;2684&lt;/key&gt;&lt;/foreign-keys&gt;&lt;ref-type name="Journal Article"&gt;17&lt;/ref-type&gt;&lt;contributors&gt;&lt;authors&gt;&lt;author&gt;Dickert, S&lt;/author&gt;&lt;author&gt;Sagara, N&lt;/author&gt;&lt;author&gt;Slovic, P.&lt;/author&gt;&lt;/authors&gt;&lt;/contributors&gt;&lt;titles&gt;&lt;title&gt;Affective motivations to help others: A two‐stage model of donation decisions&lt;/title&gt;&lt;secondary-title&gt;Journal of Behavioral Decision Making&lt;/secondary-title&gt;&lt;/titles&gt;&lt;periodical&gt;&lt;full-title&gt;Journal of Behavioral Decision Making&lt;/full-title&gt;&lt;/periodical&gt;&lt;pages&gt;361-376&lt;/pages&gt;&lt;volume&gt;24&lt;/volume&gt;&lt;dates&gt;&lt;year&gt;2011&lt;/year&gt;&lt;/dates&gt;&lt;urls&gt;&lt;/urls&gt;&lt;electronic-resource-num&gt;http://dx.doi.org/10.1002/bdm.697&lt;/electronic-resource-num&gt;&lt;/record&gt;&lt;/Cite&gt;&lt;/EndNote&gt;</w:instrText>
      </w:r>
      <w:r w:rsidR="00780F93">
        <w:fldChar w:fldCharType="separate"/>
      </w:r>
      <w:r w:rsidR="00780F93">
        <w:rPr>
          <w:noProof/>
        </w:rPr>
        <w:t>2011</w:t>
      </w:r>
      <w:r w:rsidR="00780F93">
        <w:fldChar w:fldCharType="end"/>
      </w:r>
      <w:r w:rsidR="004D1434">
        <w:t>). Similarly, p</w:t>
      </w:r>
      <w:r w:rsidR="004D1434" w:rsidRPr="004D1434">
        <w:t>eople are more willing to donate</w:t>
      </w:r>
      <w:r w:rsidR="004D1434">
        <w:t xml:space="preserve"> if the receivers are </w:t>
      </w:r>
      <w:r w:rsidR="004D1434" w:rsidRPr="004D1434">
        <w:t>identified victims rather than statistical victims (Jenni &amp; Loewenstein,</w:t>
      </w:r>
      <w:r w:rsidR="00683A51">
        <w:t xml:space="preserve"> </w:t>
      </w:r>
      <w:r w:rsidR="00683A51">
        <w:fldChar w:fldCharType="begin"/>
      </w:r>
      <w:r w:rsidR="0019503B">
        <w:instrText xml:space="preserve"> ADDIN EN.CITE &lt;EndNote&gt;&lt;Cite&gt;&lt;Author&gt;Jenni&lt;/Author&gt;&lt;Year&gt;1997&lt;/Year&gt;&lt;RecNum&gt;2376&lt;/RecNum&gt;&lt;DisplayText&gt;1997&lt;/DisplayText&gt;&lt;record&gt;&lt;rec-number&gt;2376&lt;/rec-number&gt;&lt;foreign-keys&gt;&lt;key app="EN" db-id="w0tztzf0h2dft0eaewxxtpr4exwxf90s525w" timestamp="1659025439" guid="f6d35989-21d3-484d-97fc-f9dbc3613c09"&gt;2376&lt;/key&gt;&lt;/foreign-keys&gt;&lt;ref-type name="Journal Article"&gt;17&lt;/ref-type&gt;&lt;contributors&gt;&lt;authors&gt;&lt;author&gt;Jenni, K&lt;/author&gt;&lt;author&gt;Loewenstein, G&lt;/author&gt;&lt;/authors&gt;&lt;/contributors&gt;&lt;titles&gt;&lt;title&gt;Explaining the identifiable victim effect&lt;/title&gt;&lt;secondary-title&gt;Journal of Risk and uncertainty&lt;/secondary-title&gt;&lt;/titles&gt;&lt;periodical&gt;&lt;full-title&gt;Journal of Risk and uncertainty&lt;/full-title&gt;&lt;/periodical&gt;&lt;pages&gt;235-257&lt;/pages&gt;&lt;volume&gt;14&lt;/volume&gt;&lt;dates&gt;&lt;year&gt;1997&lt;/year&gt;&lt;/dates&gt;&lt;urls&gt;&lt;/urls&gt;&lt;electronic-resource-num&gt;https://doi.org/10.1023/A:1007740225484&lt;/electronic-resource-num&gt;&lt;/record&gt;&lt;/Cite&gt;&lt;/EndNote&gt;</w:instrText>
      </w:r>
      <w:r w:rsidR="00683A51">
        <w:fldChar w:fldCharType="separate"/>
      </w:r>
      <w:r w:rsidR="00683A51">
        <w:rPr>
          <w:noProof/>
        </w:rPr>
        <w:t>1997</w:t>
      </w:r>
      <w:r w:rsidR="00683A51">
        <w:fldChar w:fldCharType="end"/>
      </w:r>
      <w:r w:rsidR="004D1434" w:rsidRPr="004D1434">
        <w:t xml:space="preserve">; Small &amp; Loewenstein, </w:t>
      </w:r>
      <w:r w:rsidR="00E93E8A">
        <w:fldChar w:fldCharType="begin"/>
      </w:r>
      <w:r w:rsidR="0019503B">
        <w:instrText xml:space="preserve"> ADDIN EN.CITE &lt;EndNote&gt;&lt;Cite&gt;&lt;Author&gt;Small&lt;/Author&gt;&lt;Year&gt;2003&lt;/Year&gt;&lt;RecNum&gt;2686&lt;/RecNum&gt;&lt;DisplayText&gt;2003&lt;/DisplayText&gt;&lt;record&gt;&lt;rec-number&gt;2686&lt;/rec-number&gt;&lt;foreign-keys&gt;&lt;key app="EN" db-id="w0tztzf0h2dft0eaewxxtpr4exwxf90s525w" timestamp="1660121622" guid="382194bd-c457-4563-a083-f64fc5bae9d3"&gt;2686&lt;/key&gt;&lt;/foreign-keys&gt;&lt;ref-type name="Journal Article"&gt;17&lt;/ref-type&gt;&lt;contributors&gt;&lt;authors&gt;&lt;author&gt;Small, D. A&lt;/author&gt;&lt;author&gt;Loewenstein, G&lt;/author&gt;&lt;/authors&gt;&lt;/contributors&gt;&lt;titles&gt;&lt;title&gt;Helping a victim or helping the victim: Altruism and identifiability&lt;/title&gt;&lt;secondary-title&gt;Jourrnal of Risk and uncertainty&lt;/secondary-title&gt;&lt;/titles&gt;&lt;pages&gt;5-16&lt;/pages&gt;&lt;volume&gt;26&lt;/volume&gt;&lt;dates&gt;&lt;year&gt;2003&lt;/year&gt;&lt;/dates&gt;&lt;urls&gt;&lt;/urls&gt;&lt;electronic-resource-num&gt;http://dx.doi.org/0.1023/A:1022299422219&lt;/electronic-resource-num&gt;&lt;/record&gt;&lt;/Cite&gt;&lt;/EndNote&gt;</w:instrText>
      </w:r>
      <w:r w:rsidR="00E93E8A">
        <w:fldChar w:fldCharType="separate"/>
      </w:r>
      <w:r w:rsidR="00E93E8A">
        <w:rPr>
          <w:noProof/>
        </w:rPr>
        <w:t>2003</w:t>
      </w:r>
      <w:r w:rsidR="00E93E8A">
        <w:fldChar w:fldCharType="end"/>
      </w:r>
      <w:r w:rsidR="004D1434" w:rsidRPr="004D1434">
        <w:t>)</w:t>
      </w:r>
      <w:r w:rsidR="004D1434">
        <w:t xml:space="preserve">, </w:t>
      </w:r>
      <w:r w:rsidR="004D1434" w:rsidRPr="004D1434">
        <w:t>members of their in-group (</w:t>
      </w:r>
      <w:r w:rsidR="000837F6" w:rsidRPr="004D1434">
        <w:t xml:space="preserve">Billig &amp; Tajfel, </w:t>
      </w:r>
      <w:r w:rsidR="00E93E8A">
        <w:fldChar w:fldCharType="begin"/>
      </w:r>
      <w:r w:rsidR="0019503B">
        <w:instrText xml:space="preserve"> ADDIN EN.CITE &lt;EndNote&gt;&lt;Cite&gt;&lt;Author&gt;Billig&lt;/Author&gt;&lt;Year&gt;1973&lt;/Year&gt;&lt;RecNum&gt;2378&lt;/RecNum&gt;&lt;DisplayText&gt;1973&lt;/DisplayText&gt;&lt;record&gt;&lt;rec-number&gt;2378&lt;/rec-number&gt;&lt;foreign-keys&gt;&lt;key app="EN" db-id="w0tztzf0h2dft0eaewxxtpr4exwxf90s525w" timestamp="1659025439" guid="cd7e0ab7-3a99-4dd7-ad85-57f6ecac2eaa"&gt;2378&lt;/key&gt;&lt;/foreign-keys&gt;&lt;ref-type name="Journal Article"&gt;17&lt;/ref-type&gt;&lt;contributors&gt;&lt;authors&gt;&lt;author&gt;Billig, M&lt;/author&gt;&lt;author&gt;Tajfel, H&lt;/author&gt;&lt;/authors&gt;&lt;/contributors&gt;&lt;titles&gt;&lt;title&gt;Social categorization and similarity in intergroup behaviour&lt;/title&gt;&lt;secondary-title&gt;European Journal of Social Psychology&lt;/secondary-title&gt;&lt;/titles&gt;&lt;periodical&gt;&lt;full-title&gt;European Journal of Social Psychology&lt;/full-title&gt;&lt;abbr-1&gt;Eur. J. Soc. Psychol.&lt;/abbr-1&gt;&lt;/periodical&gt;&lt;pages&gt;27-52&lt;/pages&gt;&lt;volume&gt;3&lt;/volume&gt;&lt;dates&gt;&lt;year&gt;1973&lt;/year&gt;&lt;/dates&gt;&lt;urls&gt;&lt;/urls&gt;&lt;electronic-resource-num&gt;https://doi.org/10.1002/ejsp.2420030103&lt;/electronic-resource-num&gt;&lt;/record&gt;&lt;/Cite&gt;&lt;/EndNote&gt;</w:instrText>
      </w:r>
      <w:r w:rsidR="00E93E8A">
        <w:fldChar w:fldCharType="separate"/>
      </w:r>
      <w:r w:rsidR="00E93E8A">
        <w:rPr>
          <w:noProof/>
        </w:rPr>
        <w:t>1973</w:t>
      </w:r>
      <w:r w:rsidR="00E93E8A">
        <w:fldChar w:fldCharType="end"/>
      </w:r>
      <w:r w:rsidR="000837F6" w:rsidRPr="004D1434">
        <w:t xml:space="preserve">; Furnham, </w:t>
      </w:r>
      <w:r w:rsidR="00FB7C0F">
        <w:fldChar w:fldCharType="begin"/>
      </w:r>
      <w:r w:rsidR="0019503B">
        <w:instrText xml:space="preserve"> ADDIN EN.CITE &lt;EndNote&gt;&lt;Cite&gt;&lt;Author&gt;Furnham&lt;/Author&gt;&lt;Year&gt;1996&lt;/Year&gt;&lt;RecNum&gt;2687&lt;/RecNum&gt;&lt;DisplayText&gt;1996&lt;/DisplayText&gt;&lt;record&gt;&lt;rec-number&gt;2687&lt;/rec-number&gt;&lt;foreign-keys&gt;&lt;key app="EN" db-id="w0tztzf0h2dft0eaewxxtpr4exwxf90s525w" timestamp="1660122201" guid="1920436a-eb24-4ec6-8862-121da3121468"&gt;2687&lt;/key&gt;&lt;/foreign-keys&gt;&lt;ref-type name="Journal Article"&gt;17&lt;/ref-type&gt;&lt;contributors&gt;&lt;authors&gt;&lt;author&gt;Furnham, A&lt;/author&gt;&lt;/authors&gt;&lt;/contributors&gt;&lt;titles&gt;&lt;title&gt;Factors relating to the allocation of medical resources&lt;/title&gt;&lt;secondary-title&gt;Journal of Social Behavior and Personality&lt;/secondary-title&gt;&lt;/titles&gt;&lt;periodical&gt;&lt;full-title&gt;Journal of Social Behavior and Personality&lt;/full-title&gt;&lt;/periodical&gt;&lt;pages&gt;615-624&lt;/pages&gt;&lt;volume&gt;11&lt;/volume&gt;&lt;dates&gt;&lt;year&gt;1996&lt;/year&gt;&lt;/dates&gt;&lt;urls&gt;&lt;/urls&gt;&lt;/record&gt;&lt;/Cite&gt;&lt;Cite&gt;&lt;Author&gt;Furnham&lt;/Author&gt;&lt;Year&gt;1996&lt;/Year&gt;&lt;RecNum&gt;2687&lt;/RecNum&gt;&lt;record&gt;&lt;rec-number&gt;2687&lt;/rec-number&gt;&lt;foreign-keys&gt;&lt;key app="EN" db-id="w0tztzf0h2dft0eaewxxtpr4exwxf90s525w" timestamp="1660122201" guid="1920436a-eb24-4ec6-8862-121da3121468"&gt;2687&lt;/key&gt;&lt;/foreign-keys&gt;&lt;ref-type name="Journal Article"&gt;17&lt;/ref-type&gt;&lt;contributors&gt;&lt;authors&gt;&lt;author&gt;Furnham, A&lt;/author&gt;&lt;/authors&gt;&lt;/contributors&gt;&lt;titles&gt;&lt;title&gt;Factors relating to the allocation of medical resources&lt;/title&gt;&lt;secondary-title&gt;Journal of Social Behavior and Personality&lt;/secondary-title&gt;&lt;/titles&gt;&lt;periodical&gt;&lt;full-title&gt;Journal of Social Behavior and Personality&lt;/full-title&gt;&lt;/periodical&gt;&lt;pages&gt;615-624&lt;/pages&gt;&lt;volume&gt;11&lt;/volume&gt;&lt;dates&gt;&lt;year&gt;1996&lt;/year&gt;&lt;/dates&gt;&lt;urls&gt;&lt;/urls&gt;&lt;/record&gt;&lt;/Cite&gt;&lt;/EndNote&gt;</w:instrText>
      </w:r>
      <w:r w:rsidR="00FB7C0F">
        <w:fldChar w:fldCharType="separate"/>
      </w:r>
      <w:r w:rsidR="00FB7C0F">
        <w:rPr>
          <w:noProof/>
        </w:rPr>
        <w:t>1996</w:t>
      </w:r>
      <w:r w:rsidR="00FB7C0F">
        <w:fldChar w:fldCharType="end"/>
      </w:r>
      <w:r w:rsidR="000837F6" w:rsidRPr="004D1434">
        <w:t xml:space="preserve">; Furnham, </w:t>
      </w:r>
      <w:r w:rsidR="000837F6">
        <w:t>et al.</w:t>
      </w:r>
      <w:r w:rsidR="000837F6" w:rsidRPr="004D1434">
        <w:t xml:space="preserve">, </w:t>
      </w:r>
      <w:r w:rsidR="00FB7C0F">
        <w:fldChar w:fldCharType="begin"/>
      </w:r>
      <w:r w:rsidR="0019503B">
        <w:instrText xml:space="preserve"> ADDIN EN.CITE &lt;EndNote&gt;&lt;Cite&gt;&lt;Author&gt;Furnham&lt;/Author&gt;&lt;Year&gt;2000&lt;/Year&gt;&lt;RecNum&gt;2384&lt;/RecNum&gt;&lt;DisplayText&gt;2000&lt;/DisplayText&gt;&lt;record&gt;&lt;rec-number&gt;2384&lt;/rec-number&gt;&lt;foreign-keys&gt;&lt;key app="EN" db-id="w0tztzf0h2dft0eaewxxtpr4exwxf90s525w" timestamp="1659025439" guid="51671f94-543d-495a-9f2f-9925ce7a1594"&gt;2384&lt;/key&gt;&lt;/foreign-keys&gt;&lt;ref-type name="Journal Article"&gt;17&lt;/ref-type&gt;&lt;contributors&gt;&lt;authors&gt;&lt;author&gt;Furnham, A&lt;/author&gt;&lt;author&gt;Simmons, K&lt;/author&gt;&lt;author&gt;McClelland, A&lt;/author&gt;&lt;/authors&gt;&lt;/contributors&gt;&lt;titles&gt;&lt;title&gt;Decisions concerning the allocation of scarce medical resources.&lt;/title&gt;&lt;secondary-title&gt;Journal of Social Behavior and Personality&lt;/secondary-title&gt;&lt;/titles&gt;&lt;periodical&gt;&lt;full-title&gt;Journal of Social Behavior and Personality&lt;/full-title&gt;&lt;/periodical&gt;&lt;pages&gt;185-200&lt;/pages&gt;&lt;dates&gt;&lt;year&gt;2000&lt;/year&gt;&lt;/dates&gt;&lt;urls&gt;&lt;/urls&gt;&lt;/record&gt;&lt;/Cite&gt;&lt;/EndNote&gt;</w:instrText>
      </w:r>
      <w:r w:rsidR="00FB7C0F">
        <w:fldChar w:fldCharType="separate"/>
      </w:r>
      <w:r w:rsidR="00FB7C0F">
        <w:rPr>
          <w:noProof/>
        </w:rPr>
        <w:t>2000</w:t>
      </w:r>
      <w:r w:rsidR="00FB7C0F">
        <w:fldChar w:fldCharType="end"/>
      </w:r>
      <w:r w:rsidR="000837F6" w:rsidRPr="004D1434">
        <w:t xml:space="preserve">; Levine et al., </w:t>
      </w:r>
      <w:r w:rsidR="00FB7C0F">
        <w:fldChar w:fldCharType="begin"/>
      </w:r>
      <w:r w:rsidR="0019503B">
        <w:instrText xml:space="preserve"> ADDIN EN.CITE &lt;EndNote&gt;&lt;Cite&gt;&lt;Author&gt;Levine&lt;/Author&gt;&lt;Year&gt;2005&lt;/Year&gt;&lt;RecNum&gt;2526&lt;/RecNum&gt;&lt;DisplayText&gt;2005&lt;/DisplayText&gt;&lt;record&gt;&lt;rec-number&gt;2526&lt;/rec-number&gt;&lt;foreign-keys&gt;&lt;key app="EN" db-id="w0tztzf0h2dft0eaewxxtpr4exwxf90s525w" timestamp="1659025443" guid="1507cdfc-90af-4fd1-8fce-9092a3320713"&gt;2526&lt;/key&gt;&lt;/foreign-keys&gt;&lt;ref-type name="Journal Article"&gt;17&lt;/ref-type&gt;&lt;contributors&gt;&lt;authors&gt;&lt;author&gt;Levine, M.&lt;/author&gt;&lt;author&gt;Prosser, A&lt;/author&gt;&lt;author&gt;Evans, D&lt;/author&gt;&lt;author&gt;Reicher, S&lt;/author&gt;&lt;/authors&gt;&lt;/contributors&gt;&lt;titles&gt;&lt;title&gt;Identity and Emergency Intervention: How Social Group Membership and Inclusiveness of Group Boundaries Shape Helping Behavior&lt;/title&gt;&lt;secondary-title&gt;Personality &amp;amp; Social Psychology Bulletin&lt;/secondary-title&gt;&lt;/titles&gt;&lt;periodical&gt;&lt;full-title&gt;Personality and Social Psychology Bulletin&lt;/full-title&gt;&lt;abbr-1&gt;Pers. Soc. Psychol. Bull.&lt;/abbr-1&gt;&lt;abbr-2&gt;Pers Soc Psychol Bull&lt;/abbr-2&gt;&lt;abbr-3&gt;Personality &amp;amp; Social Psychology Bulletin&lt;/abbr-3&gt;&lt;/periodical&gt;&lt;pages&gt;443-453&lt;/pages&gt;&lt;volume&gt;31&lt;/volume&gt;&lt;dates&gt;&lt;year&gt;2005&lt;/year&gt;&lt;/dates&gt;&lt;urls&gt;&lt;/urls&gt;&lt;electronic-resource-num&gt;https://journals.sagepub.com/doi/pdf/10.1177/0146167204271651&lt;/electronic-resource-num&gt;&lt;/record&gt;&lt;/Cite&gt;&lt;/EndNote&gt;</w:instrText>
      </w:r>
      <w:r w:rsidR="00FB7C0F">
        <w:fldChar w:fldCharType="separate"/>
      </w:r>
      <w:r w:rsidR="00FB7C0F">
        <w:rPr>
          <w:noProof/>
        </w:rPr>
        <w:t>2005</w:t>
      </w:r>
      <w:r w:rsidR="00FB7C0F">
        <w:fldChar w:fldCharType="end"/>
      </w:r>
      <w:r w:rsidR="000837F6" w:rsidRPr="004D1434">
        <w:t xml:space="preserve">; Reed &amp; Aquino, </w:t>
      </w:r>
      <w:r w:rsidR="003D23D4">
        <w:fldChar w:fldCharType="begin"/>
      </w:r>
      <w:r w:rsidR="0019503B">
        <w:instrText xml:space="preserve"> ADDIN EN.CITE &lt;EndNote&gt;&lt;Cite&gt;&lt;Author&gt;Reed II&lt;/Author&gt;&lt;Year&gt;2003&lt;/Year&gt;&lt;RecNum&gt;2381&lt;/RecNum&gt;&lt;DisplayText&gt;2003&lt;/DisplayText&gt;&lt;record&gt;&lt;rec-number&gt;2381&lt;/rec-number&gt;&lt;foreign-keys&gt;&lt;key app="EN" db-id="w0tztzf0h2dft0eaewxxtpr4exwxf90s525w" timestamp="1659025439" guid="60093d9c-8594-4362-afbb-e94de1a8262f"&gt;2381&lt;/key&gt;&lt;/foreign-keys&gt;&lt;ref-type name="Journal Article"&gt;17&lt;/ref-type&gt;&lt;contributors&gt;&lt;authors&gt;&lt;author&gt;Reed II, A&lt;/author&gt;&lt;author&gt;Aquino, K. F&lt;/author&gt;&lt;/authors&gt;&lt;/contributors&gt;&lt;titles&gt;&lt;title&gt;Moral identity and the expanding circle of moral regard toward out-groups&lt;/title&gt;&lt;secondary-title&gt;Journal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1270-1286&lt;/pages&gt;&lt;volume&gt;84&lt;/volume&gt;&lt;dates&gt;&lt;year&gt;2003&lt;/year&gt;&lt;/dates&gt;&lt;urls&gt;&lt;/urls&gt;&lt;electronic-resource-num&gt;http://dx.doi.org/10.1037/0022-3514.84.6.1270&lt;/electronic-resource-num&gt;&lt;/record&gt;&lt;/Cite&gt;&lt;/EndNote&gt;</w:instrText>
      </w:r>
      <w:r w:rsidR="003D23D4">
        <w:fldChar w:fldCharType="separate"/>
      </w:r>
      <w:r w:rsidR="003D23D4">
        <w:rPr>
          <w:noProof/>
        </w:rPr>
        <w:t>2003</w:t>
      </w:r>
      <w:r w:rsidR="003D23D4">
        <w:fldChar w:fldCharType="end"/>
      </w:r>
      <w:r w:rsidR="000837F6" w:rsidRPr="004D1434">
        <w:t xml:space="preserve">; Simon, </w:t>
      </w:r>
      <w:r w:rsidR="000837F6">
        <w:t>et al.</w:t>
      </w:r>
      <w:r w:rsidR="000837F6" w:rsidRPr="004D1434">
        <w:t xml:space="preserve">, </w:t>
      </w:r>
      <w:r w:rsidR="003D23D4">
        <w:fldChar w:fldCharType="begin">
          <w:fldData xml:space="preserve">PEVuZE5vdGU+PENpdGU+PEF1dGhvcj5TaW1vbjwvQXV0aG9yPjxZZWFyPjIwMDA8L1llYXI+PFJl
Y051bT4yNjAyPC9SZWNOdW0+PERpc3BsYXlUZXh0PjIwMDA8L0Rpc3BsYXlUZXh0PjxyZWNvcmQ+
PHJlYy1udW1iZXI+MjYwMjwvcmVjLW51bWJlcj48Zm9yZWlnbi1rZXlzPjxrZXkgYXBwPSJFTiIg
ZGItaWQ9IncwdHp0emYwaDJkZnQwZWFld3h4dHByNGV4d3hmOTBzNTI1dyIgdGltZXN0YW1wPSIx
NjU5MDI1NDQ1IiBndWlkPSIzNjFlYmNmZi0xMzE5LTQ0M2UtYjhhZi1iYzE0OTFjYTg5MDgiPjI2
MDI8L2tleT48L2ZvcmVpZ24ta2V5cz48cmVmLXR5cGUgbmFtZT0iSm91cm5hbCBBcnRpY2xlIj4x
NzwvcmVmLXR5cGU+PGNvbnRyaWJ1dG9ycz48YXV0aG9ycz48YXV0aG9yPlNpbW9uLCBCPC9hdXRo
b3I+PGF1dGhvcj5TdMO8cm1lciwgUzwvYXV0aG9yPjxhdXRob3I+U3RlZmZlbnMsIEs8L2F1dGhv
cj48L2F1dGhvcnM+PC9jb250cmlidXRvcnM+PHRpdGxlcz48dGl0bGU+SGVscGluZyBpbmRpdmlk
dWFscyBvciBncm91cCBtZW1iZXJzPyBUaGUgcm9sZSBvZiBpbmRpdmlkdWFsIGFuZCBjb2xsZWN0
aXZlIGlkZW50aWZpY2F0aW9uIGluIEFJRFMgdm9sdW50ZWVyaXNtPC90aXRsZT48c2Vjb25kYXJ5
LXRpdGxlPlBlcnNvbmFsaXR5ICZhbXA7IFNvY2lhbCBQc3ljaG9sb2d5IEJ1bGxldGluPC9zZWNv
bmRhcnktdGl0bGU+PC90aXRsZXM+PHBlcmlvZGljYWw+PGZ1bGwtdGl0bGU+UGVyc29uYWxpdHkg
YW5kIFNvY2lhbCBQc3ljaG9sb2d5IEJ1bGxldGluPC9mdWxsLXRpdGxlPjxhYmJyLTE+UGVycy4g
U29jLiBQc3ljaG9sLiBCdWxsLjwvYWJici0xPjxhYmJyLTI+UGVycyBTb2MgUHN5Y2hvbCBCdWxs
PC9hYmJyLTI+PGFiYnItMz5QZXJzb25hbGl0eSAmYW1wOyBTb2NpYWwgUHN5Y2hvbG9neSBCdWxs
ZXRpbjwvYWJici0zPjwvcGVyaW9kaWNhbD48cGFnZXM+NS0xNjwvcGFnZXM+PHZvbHVtZT4yNjwv
dm9sdW1lPjxkYXRlcz48eWVhcj4yMDAwPC95ZWFyPjwvZGF0ZXM+PHVybHM+PC91cmxzPjxlbGVj
dHJvbmljLXJlc291cmNlLW51bT5odHRwOi8vZHguZG9pLm9yZy8xMC4xMTc3LzAxNDYxNjcyMDAy
NjYwMDg8L2VsZWN0cm9uaWMtcmVzb3VyY2UtbnVtPjwvcmVjb3JkPjwvQ2l0ZT48Q2l0ZT48QXV0
aG9yPlNpbW9uPC9BdXRob3I+PFllYXI+MjAwMDwvWWVhcj48UmVjTnVtPjI2MDI8L1JlY051bT48
cmVjb3JkPjxyZWMtbnVtYmVyPjI2MDI8L3JlYy1udW1iZXI+PGZvcmVpZ24ta2V5cz48a2V5IGFw
cD0iRU4iIGRiLWlkPSJ3MHR6dHpmMGgyZGZ0MGVhZXd4eHRwcjRleHd4ZjkwczUyNXciIHRpbWVz
dGFtcD0iMTY1OTAyNTQ0NSIgZ3VpZD0iMzYxZWJjZmYtMTMxOS00NDNlLWI4YWYtYmMxNDkxY2E4
OTA4Ij4yNjAyPC9rZXk+PC9mb3JlaWduLWtleXM+PHJlZi10eXBlIG5hbWU9IkpvdXJuYWwgQXJ0
aWNsZSI+MTc8L3JlZi10eXBlPjxjb250cmlidXRvcnM+PGF1dGhvcnM+PGF1dGhvcj5TaW1vbiwg
QjwvYXV0aG9yPjxhdXRob3I+U3TDvHJtZXIsIFM8L2F1dGhvcj48YXV0aG9yPlN0ZWZmZW5zLCBL
PC9hdXRob3I+PC9hdXRob3JzPjwvY29udHJpYnV0b3JzPjx0aXRsZXM+PHRpdGxlPkhlbHBpbmcg
aW5kaXZpZHVhbHMgb3IgZ3JvdXAgbWVtYmVycz8gVGhlIHJvbGUgb2YgaW5kaXZpZHVhbCBhbmQg
Y29sbGVjdGl2ZSBpZGVudGlmaWNhdGlvbiBpbiBBSURTIHZvbHVudGVlcmlzbTwvdGl0bGU+PHNl
Y29uZGFyeS10aXRsZT5QZXJzb25hbGl0eSAmYW1wOyBTb2NpYWwgUHN5Y2hvbG9neSBCdWxsZXRp
bjwvc2Vjb25kYXJ5LXRpdGxlPjwvdGl0bGVzPjxwZXJpb2RpY2FsPjxmdWxsLXRpdGxlPlBlcnNv
bmFsaXR5IGFuZCBTb2NpYWwgUHN5Y2hvbG9neSBCdWxsZXRpbjwvZnVsbC10aXRsZT48YWJici0x
PlBlcnMuIFNvYy4gUHN5Y2hvbC4gQnVsbC48L2FiYnItMT48YWJici0yPlBlcnMgU29jIFBzeWNo
b2wgQnVsbDwvYWJici0yPjxhYmJyLTM+UGVyc29uYWxpdHkgJmFtcDsgU29jaWFsIFBzeWNob2xv
Z3kgQnVsbGV0aW48L2FiYnItMz48L3BlcmlvZGljYWw+PHBhZ2VzPjUtMTY8L3BhZ2VzPjx2b2x1
bWU+MjY8L3ZvbHVtZT48ZGF0ZXM+PHllYXI+MjAwMDwveWVhcj48L2RhdGVzPjx1cmxzPjwvdXJs
cz48ZWxlY3Ryb25pYy1yZXNvdXJjZS1udW0+aHR0cDovL2R4LmRvaS5vcmcvMTAuMTE3Ny8wMTQ2
MTY3MjAwMjY2MDA4PC9lbGVjdHJvbmljLXJlc291cmNlLW51bT48L3JlY29yZD48L0NpdGU+PC9F
bmROb3RlPn==
</w:fldData>
        </w:fldChar>
      </w:r>
      <w:r w:rsidR="0019503B">
        <w:instrText xml:space="preserve"> ADDIN EN.CITE </w:instrText>
      </w:r>
      <w:r w:rsidR="0019503B">
        <w:fldChar w:fldCharType="begin">
          <w:fldData xml:space="preserve">PEVuZE5vdGU+PENpdGU+PEF1dGhvcj5TaW1vbjwvQXV0aG9yPjxZZWFyPjIwMDA8L1llYXI+PFJl
Y051bT4yNjAyPC9SZWNOdW0+PERpc3BsYXlUZXh0PjIwMDA8L0Rpc3BsYXlUZXh0PjxyZWNvcmQ+
PHJlYy1udW1iZXI+MjYwMjwvcmVjLW51bWJlcj48Zm9yZWlnbi1rZXlzPjxrZXkgYXBwPSJFTiIg
ZGItaWQ9IncwdHp0emYwaDJkZnQwZWFld3h4dHByNGV4d3hmOTBzNTI1dyIgdGltZXN0YW1wPSIx
NjU5MDI1NDQ1IiBndWlkPSIzNjFlYmNmZi0xMzE5LTQ0M2UtYjhhZi1iYzE0OTFjYTg5MDgiPjI2
MDI8L2tleT48L2ZvcmVpZ24ta2V5cz48cmVmLXR5cGUgbmFtZT0iSm91cm5hbCBBcnRpY2xlIj4x
NzwvcmVmLXR5cGU+PGNvbnRyaWJ1dG9ycz48YXV0aG9ycz48YXV0aG9yPlNpbW9uLCBCPC9hdXRo
b3I+PGF1dGhvcj5TdMO8cm1lciwgUzwvYXV0aG9yPjxhdXRob3I+U3RlZmZlbnMsIEs8L2F1dGhv
cj48L2F1dGhvcnM+PC9jb250cmlidXRvcnM+PHRpdGxlcz48dGl0bGU+SGVscGluZyBpbmRpdmlk
dWFscyBvciBncm91cCBtZW1iZXJzPyBUaGUgcm9sZSBvZiBpbmRpdmlkdWFsIGFuZCBjb2xsZWN0
aXZlIGlkZW50aWZpY2F0aW9uIGluIEFJRFMgdm9sdW50ZWVyaXNtPC90aXRsZT48c2Vjb25kYXJ5
LXRpdGxlPlBlcnNvbmFsaXR5ICZhbXA7IFNvY2lhbCBQc3ljaG9sb2d5IEJ1bGxldGluPC9zZWNv
bmRhcnktdGl0bGU+PC90aXRsZXM+PHBlcmlvZGljYWw+PGZ1bGwtdGl0bGU+UGVyc29uYWxpdHkg
YW5kIFNvY2lhbCBQc3ljaG9sb2d5IEJ1bGxldGluPC9mdWxsLXRpdGxlPjxhYmJyLTE+UGVycy4g
U29jLiBQc3ljaG9sLiBCdWxsLjwvYWJici0xPjxhYmJyLTI+UGVycyBTb2MgUHN5Y2hvbCBCdWxs
PC9hYmJyLTI+PGFiYnItMz5QZXJzb25hbGl0eSAmYW1wOyBTb2NpYWwgUHN5Y2hvbG9neSBCdWxs
ZXRpbjwvYWJici0zPjwvcGVyaW9kaWNhbD48cGFnZXM+NS0xNjwvcGFnZXM+PHZvbHVtZT4yNjwv
dm9sdW1lPjxkYXRlcz48eWVhcj4yMDAwPC95ZWFyPjwvZGF0ZXM+PHVybHM+PC91cmxzPjxlbGVj
dHJvbmljLXJlc291cmNlLW51bT5odHRwOi8vZHguZG9pLm9yZy8xMC4xMTc3LzAxNDYxNjcyMDAy
NjYwMDg8L2VsZWN0cm9uaWMtcmVzb3VyY2UtbnVtPjwvcmVjb3JkPjwvQ2l0ZT48Q2l0ZT48QXV0
aG9yPlNpbW9uPC9BdXRob3I+PFllYXI+MjAwMDwvWWVhcj48UmVjTnVtPjI2MDI8L1JlY051bT48
cmVjb3JkPjxyZWMtbnVtYmVyPjI2MDI8L3JlYy1udW1iZXI+PGZvcmVpZ24ta2V5cz48a2V5IGFw
cD0iRU4iIGRiLWlkPSJ3MHR6dHpmMGgyZGZ0MGVhZXd4eHRwcjRleHd4ZjkwczUyNXciIHRpbWVz
dGFtcD0iMTY1OTAyNTQ0NSIgZ3VpZD0iMzYxZWJjZmYtMTMxOS00NDNlLWI4YWYtYmMxNDkxY2E4
OTA4Ij4yNjAyPC9rZXk+PC9mb3JlaWduLWtleXM+PHJlZi10eXBlIG5hbWU9IkpvdXJuYWwgQXJ0
aWNsZSI+MTc8L3JlZi10eXBlPjxjb250cmlidXRvcnM+PGF1dGhvcnM+PGF1dGhvcj5TaW1vbiwg
QjwvYXV0aG9yPjxhdXRob3I+U3TDvHJtZXIsIFM8L2F1dGhvcj48YXV0aG9yPlN0ZWZmZW5zLCBL
PC9hdXRob3I+PC9hdXRob3JzPjwvY29udHJpYnV0b3JzPjx0aXRsZXM+PHRpdGxlPkhlbHBpbmcg
aW5kaXZpZHVhbHMgb3IgZ3JvdXAgbWVtYmVycz8gVGhlIHJvbGUgb2YgaW5kaXZpZHVhbCBhbmQg
Y29sbGVjdGl2ZSBpZGVudGlmaWNhdGlvbiBpbiBBSURTIHZvbHVudGVlcmlzbTwvdGl0bGU+PHNl
Y29uZGFyeS10aXRsZT5QZXJzb25hbGl0eSAmYW1wOyBTb2NpYWwgUHN5Y2hvbG9neSBCdWxsZXRp
bjwvc2Vjb25kYXJ5LXRpdGxlPjwvdGl0bGVzPjxwZXJpb2RpY2FsPjxmdWxsLXRpdGxlPlBlcnNv
bmFsaXR5IGFuZCBTb2NpYWwgUHN5Y2hvbG9neSBCdWxsZXRpbjwvZnVsbC10aXRsZT48YWJici0x
PlBlcnMuIFNvYy4gUHN5Y2hvbC4gQnVsbC48L2FiYnItMT48YWJici0yPlBlcnMgU29jIFBzeWNo
b2wgQnVsbDwvYWJici0yPjxhYmJyLTM+UGVyc29uYWxpdHkgJmFtcDsgU29jaWFsIFBzeWNob2xv
Z3kgQnVsbGV0aW48L2FiYnItMz48L3BlcmlvZGljYWw+PHBhZ2VzPjUtMTY8L3BhZ2VzPjx2b2x1
bWU+MjY8L3ZvbHVtZT48ZGF0ZXM+PHllYXI+MjAwMDwveWVhcj48L2RhdGVzPjx1cmxzPjwvdXJs
cz48ZWxlY3Ryb25pYy1yZXNvdXJjZS1udW0+aHR0cDovL2R4LmRvaS5vcmcvMTAuMTE3Ny8wMTQ2
MTY3MjAwMjY2MDA4PC9lbGVjdHJvbmljLXJlc291cmNlLW51bT48L3JlY29yZD48L0NpdGU+PC9F
bmROb3RlPn==
</w:fldData>
        </w:fldChar>
      </w:r>
      <w:r w:rsidR="0019503B">
        <w:instrText xml:space="preserve"> ADDIN EN.CITE.DATA </w:instrText>
      </w:r>
      <w:r w:rsidR="0019503B">
        <w:fldChar w:fldCharType="end"/>
      </w:r>
      <w:r w:rsidR="003D23D4">
        <w:fldChar w:fldCharType="separate"/>
      </w:r>
      <w:r w:rsidR="003D23D4">
        <w:rPr>
          <w:noProof/>
        </w:rPr>
        <w:t>2000</w:t>
      </w:r>
      <w:r w:rsidR="003D23D4">
        <w:fldChar w:fldCharType="end"/>
      </w:r>
      <w:r w:rsidR="000837F6">
        <w:t xml:space="preserve">; </w:t>
      </w:r>
      <w:r w:rsidR="004D1434" w:rsidRPr="004D1434">
        <w:t>Tajfel,</w:t>
      </w:r>
      <w:r w:rsidR="003D23D4">
        <w:t xml:space="preserve"> </w:t>
      </w:r>
      <w:r w:rsidR="003D23D4">
        <w:fldChar w:fldCharType="begin"/>
      </w:r>
      <w:r w:rsidR="0019503B">
        <w:instrText xml:space="preserve"> ADDIN EN.CITE &lt;EndNote&gt;&lt;Cite&gt;&lt;Author&gt;Tajfel&lt;/Author&gt;&lt;Year&gt;1970&lt;/Year&gt;&lt;RecNum&gt;2379&lt;/RecNum&gt;&lt;DisplayText&gt;1970&lt;/DisplayText&gt;&lt;record&gt;&lt;rec-number&gt;2379&lt;/rec-number&gt;&lt;foreign-keys&gt;&lt;key app="EN" db-id="w0tztzf0h2dft0eaewxxtpr4exwxf90s525w" timestamp="1659025439" guid="dc6eb7d9-8ee7-48fa-9553-bd52793d53d8"&gt;2379&lt;/key&gt;&lt;/foreign-keys&gt;&lt;ref-type name="Journal Article"&gt;17&lt;/ref-type&gt;&lt;contributors&gt;&lt;authors&gt;&lt;author&gt;Tajfel, H&lt;/author&gt;&lt;/authors&gt;&lt;/contributors&gt;&lt;titles&gt;&lt;title&gt;Experiments in intergroup discrimination&lt;/title&gt;&lt;secondary-title&gt;Scientific American&lt;/secondary-title&gt;&lt;/titles&gt;&lt;periodical&gt;&lt;full-title&gt;Scientific American&lt;/full-title&gt;&lt;abbr-1&gt;Sci. Am.&lt;/abbr-1&gt;&lt;abbr-2&gt;Sci Am&lt;/abbr-2&gt;&lt;/periodical&gt;&lt;pages&gt;96-103&lt;/pages&gt;&lt;volume&gt;223&lt;/volume&gt;&lt;dates&gt;&lt;year&gt;1970&lt;/year&gt;&lt;/dates&gt;&lt;urls&gt;&lt;/urls&gt;&lt;electronic-resource-num&gt;https://www.jstor.org/stable/10.2307/24927662&lt;/electronic-resource-num&gt;&lt;/record&gt;&lt;/Cite&gt;&lt;/EndNote&gt;</w:instrText>
      </w:r>
      <w:r w:rsidR="003D23D4">
        <w:fldChar w:fldCharType="separate"/>
      </w:r>
      <w:r w:rsidR="003D23D4">
        <w:rPr>
          <w:noProof/>
        </w:rPr>
        <w:t>1970</w:t>
      </w:r>
      <w:r w:rsidR="003D23D4">
        <w:fldChar w:fldCharType="end"/>
      </w:r>
      <w:r w:rsidR="004D1434" w:rsidRPr="004D1434">
        <w:t xml:space="preserve">; Tajfel et al., </w:t>
      </w:r>
      <w:r w:rsidR="003D23D4">
        <w:fldChar w:fldCharType="begin"/>
      </w:r>
      <w:r w:rsidR="0019503B">
        <w:instrText xml:space="preserve"> ADDIN EN.CITE &lt;EndNote&gt;&lt;Cite&gt;&lt;Author&gt;Tajfel&lt;/Author&gt;&lt;Year&gt;1971&lt;/Year&gt;&lt;RecNum&gt;2380&lt;/RecNum&gt;&lt;DisplayText&gt;1971&lt;/DisplayText&gt;&lt;record&gt;&lt;rec-number&gt;2380&lt;/rec-number&gt;&lt;foreign-keys&gt;&lt;key app="EN" db-id="w0tztzf0h2dft0eaewxxtpr4exwxf90s525w" timestamp="1659025439" guid="b3efe44c-b37e-43c5-8ae5-4fbafd44d7b3"&gt;2380&lt;/key&gt;&lt;/foreign-keys&gt;&lt;ref-type name="Journal Article"&gt;17&lt;/ref-type&gt;&lt;contributors&gt;&lt;authors&gt;&lt;author&gt;Tajfel, H&lt;/author&gt;&lt;author&gt;Billig, M&lt;/author&gt;&lt;author&gt;Bundy, R. P&lt;/author&gt;&lt;author&gt;Flament, C&lt;/author&gt;&lt;/authors&gt;&lt;/contributors&gt;&lt;titles&gt;&lt;title&gt;Social categorization and intergroup behaviour&lt;/title&gt;&lt;secondary-title&gt;European Journal of Social Psychology&lt;/secondary-title&gt;&lt;/titles&gt;&lt;periodical&gt;&lt;full-title&gt;European Journal of Social Psychology&lt;/full-title&gt;&lt;abbr-1&gt;Eur. J. Soc. Psychol.&lt;/abbr-1&gt;&lt;/periodical&gt;&lt;pages&gt;149-178&lt;/pages&gt;&lt;volume&gt;1&lt;/volume&gt;&lt;dates&gt;&lt;year&gt;1971&lt;/year&gt;&lt;/dates&gt;&lt;urls&gt;&lt;/urls&gt;&lt;electronic-resource-num&gt;http://dx.doi.org/10.1002/ejsp.2420010202&lt;/electronic-resource-num&gt;&lt;/record&gt;&lt;/Cite&gt;&lt;/EndNote&gt;</w:instrText>
      </w:r>
      <w:r w:rsidR="003D23D4">
        <w:fldChar w:fldCharType="separate"/>
      </w:r>
      <w:r w:rsidR="003D23D4">
        <w:rPr>
          <w:noProof/>
        </w:rPr>
        <w:t>1971</w:t>
      </w:r>
      <w:r w:rsidR="003D23D4">
        <w:fldChar w:fldCharType="end"/>
      </w:r>
      <w:r w:rsidR="004D1434" w:rsidRPr="004D1434">
        <w:t xml:space="preserve">), people who are victims of </w:t>
      </w:r>
      <w:r w:rsidR="004D1434">
        <w:t>a similar</w:t>
      </w:r>
      <w:r w:rsidR="004D1434" w:rsidRPr="004D1434">
        <w:t xml:space="preserve"> misfortune (Small &amp; Simonsohn, </w:t>
      </w:r>
      <w:r w:rsidR="00AA5939">
        <w:fldChar w:fldCharType="begin"/>
      </w:r>
      <w:r w:rsidR="0019503B">
        <w:instrText xml:space="preserve"> ADDIN EN.CITE &lt;EndNote&gt;&lt;Cite&gt;&lt;Author&gt;Small&lt;/Author&gt;&lt;Year&gt;2008&lt;/Year&gt;&lt;RecNum&gt;2688&lt;/RecNum&gt;&lt;DisplayText&gt;2008&lt;/DisplayText&gt;&lt;record&gt;&lt;rec-number&gt;2688&lt;/rec-number&gt;&lt;foreign-keys&gt;&lt;key app="EN" db-id="w0tztzf0h2dft0eaewxxtpr4exwxf90s525w" timestamp="1660122703" guid="e2b3ff37-d35c-4b96-8d2d-ba229cc0c0f6"&gt;2688&lt;/key&gt;&lt;/foreign-keys&gt;&lt;ref-type name="Journal Article"&gt;17&lt;/ref-type&gt;&lt;contributors&gt;&lt;authors&gt;&lt;author&gt;Small, D. A&lt;/author&gt;&lt;author&gt;Simonsohn, U.&lt;/author&gt;&lt;/authors&gt;&lt;/contributors&gt;&lt;titles&gt;&lt;title&gt;Friends of victims: Personal experience and prosocial behavior&lt;/title&gt;&lt;secondary-title&gt;Journal of Consumer Research&lt;/secondary-title&gt;&lt;/titles&gt;&lt;periodical&gt;&lt;full-title&gt;Journal of Consumer Research&lt;/full-title&gt;&lt;/periodical&gt;&lt;pages&gt;532-542&lt;/pages&gt;&lt;volume&gt;35&lt;/volume&gt;&lt;dates&gt;&lt;year&gt;2008&lt;/year&gt;&lt;/dates&gt;&lt;urls&gt;&lt;/urls&gt;&lt;electronic-resource-num&gt;https://doi.org/10.1086/527268&lt;/electronic-resource-num&gt;&lt;/record&gt;&lt;/Cite&gt;&lt;/EndNote&gt;</w:instrText>
      </w:r>
      <w:r w:rsidR="00AA5939">
        <w:fldChar w:fldCharType="separate"/>
      </w:r>
      <w:r w:rsidR="00AA5939">
        <w:rPr>
          <w:noProof/>
        </w:rPr>
        <w:t>2008</w:t>
      </w:r>
      <w:r w:rsidR="00AA5939">
        <w:fldChar w:fldCharType="end"/>
      </w:r>
      <w:r w:rsidR="004D1434" w:rsidRPr="004D1434">
        <w:t xml:space="preserve">), and victims of tragedies out of their control (Zagefka et al., </w:t>
      </w:r>
      <w:r w:rsidR="000F548A">
        <w:fldChar w:fldCharType="begin"/>
      </w:r>
      <w:r w:rsidR="0019503B">
        <w:instrText xml:space="preserve"> ADDIN EN.CITE &lt;EndNote&gt;&lt;Cite&gt;&lt;Author&gt;Zagefka&lt;/Author&gt;&lt;Year&gt;2011&lt;/Year&gt;&lt;RecNum&gt;2377&lt;/RecNum&gt;&lt;DisplayText&gt;2011&lt;/DisplayText&gt;&lt;record&gt;&lt;rec-number&gt;2377&lt;/rec-number&gt;&lt;foreign-keys&gt;&lt;key app="EN" db-id="w0tztzf0h2dft0eaewxxtpr4exwxf90s525w" timestamp="1659025439" guid="aaef3770-7706-4920-bb05-d315c3b41c1e"&gt;2377&lt;/key&gt;&lt;/foreign-keys&gt;&lt;ref-type name="Journal Article"&gt;17&lt;/ref-type&gt;&lt;contributors&gt;&lt;authors&gt;&lt;author&gt;Zagefka, H&lt;/author&gt;&lt;author&gt;Noor, M&lt;/author&gt;&lt;author&gt;Brown, R.&lt;/author&gt;&lt;author&gt;de Moura, G. R&lt;/author&gt;&lt;author&gt;Hopthrow, T&lt;/author&gt;&lt;/authors&gt;&lt;/contributors&gt;&lt;titles&gt;&lt;title&gt;Donating to disaster victims: Responses to natural and humanly caused events&lt;/title&gt;&lt;secondary-title&gt;European Journal of Social Psychology&lt;/secondary-title&gt;&lt;/titles&gt;&lt;periodical&gt;&lt;full-title&gt;European Journal of Social Psychology&lt;/full-title&gt;&lt;abbr-1&gt;Eur. J. Soc. Psychol.&lt;/abbr-1&gt;&lt;/periodical&gt;&lt;pages&gt;353-363&lt;/pages&gt;&lt;volume&gt;41&lt;/volume&gt;&lt;dates&gt;&lt;year&gt;2011&lt;/year&gt;&lt;/dates&gt;&lt;urls&gt;&lt;/urls&gt;&lt;electronic-resource-num&gt;http://dx.doi.org/10.1002/ejsp.781&lt;/electronic-resource-num&gt;&lt;/record&gt;&lt;/Cite&gt;&lt;/EndNote&gt;</w:instrText>
      </w:r>
      <w:r w:rsidR="000F548A">
        <w:fldChar w:fldCharType="separate"/>
      </w:r>
      <w:r w:rsidR="000F548A">
        <w:rPr>
          <w:noProof/>
        </w:rPr>
        <w:t>2011</w:t>
      </w:r>
      <w:r w:rsidR="000F548A">
        <w:fldChar w:fldCharType="end"/>
      </w:r>
      <w:r w:rsidR="004D1434" w:rsidRPr="004D1434">
        <w:t xml:space="preserve">). Bekkers </w:t>
      </w:r>
      <w:r w:rsidR="004D1434">
        <w:t xml:space="preserve">and </w:t>
      </w:r>
      <w:r w:rsidR="004D1434" w:rsidRPr="004D1434">
        <w:t>Wiepking</w:t>
      </w:r>
      <w:r w:rsidR="004D1434">
        <w:t xml:space="preserve"> (</w:t>
      </w:r>
      <w:r w:rsidR="000F548A">
        <w:fldChar w:fldCharType="begin"/>
      </w:r>
      <w:r w:rsidR="0019503B">
        <w:instrText xml:space="preserve"> ADDIN EN.CITE &lt;EndNote&gt;&lt;Cite&gt;&lt;Author&gt;Bekkers&lt;/Author&gt;&lt;Year&gt;2011&lt;/Year&gt;&lt;RecNum&gt;2682&lt;/RecNum&gt;&lt;DisplayText&gt;2011&lt;/DisplayText&gt;&lt;record&gt;&lt;rec-number&gt;2682&lt;/rec-number&gt;&lt;foreign-keys&gt;&lt;key app="EN" db-id="w0tztzf0h2dft0eaewxxtpr4exwxf90s525w" timestamp="1660053335" guid="90027578-ec9d-4aae-a1c7-a8a21d47d5db"&gt;2682&lt;/key&gt;&lt;/foreign-keys&gt;&lt;ref-type name="Journal Article"&gt;17&lt;/ref-type&gt;&lt;contributors&gt;&lt;authors&gt;&lt;author&gt;Bekkers, R&lt;/author&gt;&lt;author&gt;Weipking, P&lt;/author&gt;&lt;/authors&gt;&lt;/contributors&gt;&lt;titles&gt;&lt;title&gt;A literature review of empirical studies of philanthropy: Eight mechanisms that drive charitable giving&lt;/title&gt;&lt;secondary-title&gt;Nonprofit and Voluntary Sector Quarterly&lt;/secondary-title&gt;&lt;/titles&gt;&lt;pages&gt;924-973&lt;/pages&gt;&lt;volume&gt;40&lt;/volume&gt;&lt;dates&gt;&lt;year&gt;2011&lt;/year&gt;&lt;/dates&gt;&lt;urls&gt;&lt;/urls&gt;&lt;electronic-resource-num&gt;http://dx.doi.org/10.1 177/0899764010380927&lt;/electronic-resource-num&gt;&lt;/record&gt;&lt;/Cite&gt;&lt;/EndNote&gt;</w:instrText>
      </w:r>
      <w:r w:rsidR="000F548A">
        <w:fldChar w:fldCharType="separate"/>
      </w:r>
      <w:r w:rsidR="000F548A">
        <w:rPr>
          <w:noProof/>
        </w:rPr>
        <w:t>2011</w:t>
      </w:r>
      <w:r w:rsidR="000F548A">
        <w:fldChar w:fldCharType="end"/>
      </w:r>
      <w:r w:rsidR="004D1434">
        <w:t xml:space="preserve">) </w:t>
      </w:r>
      <w:r w:rsidR="004F3F1D">
        <w:t xml:space="preserve">provide an excellent meta-analysis </w:t>
      </w:r>
      <w:r w:rsidR="006F4411">
        <w:t xml:space="preserve">of over 500 papers </w:t>
      </w:r>
      <w:r w:rsidR="004F3F1D">
        <w:t xml:space="preserve">in which they organize the various </w:t>
      </w:r>
      <w:r w:rsidR="00D9315F">
        <w:t>features</w:t>
      </w:r>
      <w:r w:rsidR="004F3F1D">
        <w:t xml:space="preserve"> that influence giving into eight factors</w:t>
      </w:r>
      <w:r w:rsidR="004D1434">
        <w:t xml:space="preserve">: </w:t>
      </w:r>
      <w:r w:rsidR="00E975CA">
        <w:t>the giver</w:t>
      </w:r>
      <w:r w:rsidR="00D9315F">
        <w:t>’</w:t>
      </w:r>
      <w:r w:rsidR="00E975CA">
        <w:t xml:space="preserve">s </w:t>
      </w:r>
      <w:r w:rsidR="00E975CA" w:rsidRPr="00E975CA">
        <w:t xml:space="preserve">awareness of </w:t>
      </w:r>
      <w:r w:rsidR="00E975CA">
        <w:t xml:space="preserve">the receiver’s </w:t>
      </w:r>
      <w:r w:rsidR="00E975CA" w:rsidRPr="00E975CA">
        <w:t xml:space="preserve">need; </w:t>
      </w:r>
      <w:r w:rsidR="00E975CA">
        <w:t xml:space="preserve">being </w:t>
      </w:r>
      <w:r w:rsidR="00E975CA" w:rsidRPr="00E975CA">
        <w:t>solicitat</w:t>
      </w:r>
      <w:r w:rsidR="00E975CA">
        <w:t>ed for the donation</w:t>
      </w:r>
      <w:r w:rsidR="00E975CA" w:rsidRPr="00E975CA">
        <w:t xml:space="preserve">; </w:t>
      </w:r>
      <w:r w:rsidR="00E975CA">
        <w:t xml:space="preserve">various </w:t>
      </w:r>
      <w:r w:rsidR="00E975CA" w:rsidRPr="00E975CA">
        <w:t xml:space="preserve">costs and </w:t>
      </w:r>
      <w:r w:rsidR="00E975CA" w:rsidRPr="00E975CA">
        <w:lastRenderedPageBreak/>
        <w:t>benefits</w:t>
      </w:r>
      <w:r w:rsidR="00E975CA">
        <w:t xml:space="preserve"> of the donation</w:t>
      </w:r>
      <w:r w:rsidR="004F3F1D">
        <w:t xml:space="preserve"> (similar to </w:t>
      </w:r>
      <w:r w:rsidR="00C82108">
        <w:t>Khalil</w:t>
      </w:r>
      <w:r w:rsidR="004F3F1D">
        <w:t>’s rational</w:t>
      </w:r>
      <w:r w:rsidR="007478E9">
        <w:t>istic</w:t>
      </w:r>
      <w:r w:rsidR="004F3F1D">
        <w:t xml:space="preserve"> altruis</w:t>
      </w:r>
      <w:r w:rsidR="007478E9">
        <w:t>m</w:t>
      </w:r>
      <w:r w:rsidR="004F3F1D">
        <w:t>)</w:t>
      </w:r>
      <w:r w:rsidR="00E975CA" w:rsidRPr="00E975CA">
        <w:t>; altruism</w:t>
      </w:r>
      <w:r w:rsidR="00E975CA">
        <w:t xml:space="preserve"> (</w:t>
      </w:r>
      <w:r w:rsidR="007478E9">
        <w:t>perhaps pure altruism</w:t>
      </w:r>
      <w:r w:rsidR="00E975CA">
        <w:t>)</w:t>
      </w:r>
      <w:r w:rsidR="00E975CA" w:rsidRPr="00E975CA">
        <w:t xml:space="preserve">; </w:t>
      </w:r>
      <w:r w:rsidR="00E975CA">
        <w:t xml:space="preserve">the </w:t>
      </w:r>
      <w:r w:rsidR="00E975CA" w:rsidRPr="00E975CA">
        <w:t>reputation</w:t>
      </w:r>
      <w:r w:rsidR="00E975CA">
        <w:t xml:space="preserve"> of the giver (</w:t>
      </w:r>
      <w:r w:rsidR="004F3F1D">
        <w:t>similar</w:t>
      </w:r>
      <w:r w:rsidR="00E975CA">
        <w:t xml:space="preserve"> to </w:t>
      </w:r>
      <w:r w:rsidR="00C82108">
        <w:t>Khalil</w:t>
      </w:r>
      <w:r w:rsidR="00E975CA">
        <w:t>’s “</w:t>
      </w:r>
      <w:r w:rsidR="00E975CA" w:rsidRPr="004C1F5A">
        <w:t>socialization/culturalization</w:t>
      </w:r>
      <w:r w:rsidR="00E975CA">
        <w:t>”)</w:t>
      </w:r>
      <w:r w:rsidR="00E975CA" w:rsidRPr="00E975CA">
        <w:t xml:space="preserve">; </w:t>
      </w:r>
      <w:r w:rsidR="00E975CA">
        <w:t xml:space="preserve">various </w:t>
      </w:r>
      <w:r w:rsidR="00E975CA" w:rsidRPr="00E975CA">
        <w:t>psychological benefits</w:t>
      </w:r>
      <w:r w:rsidR="004F3F1D">
        <w:t xml:space="preserve"> (</w:t>
      </w:r>
      <w:r w:rsidR="00E975CA">
        <w:t xml:space="preserve">including </w:t>
      </w:r>
      <w:r w:rsidR="00C82108">
        <w:t>Khalil</w:t>
      </w:r>
      <w:r w:rsidR="004F3F1D">
        <w:t xml:space="preserve">’s </w:t>
      </w:r>
      <w:r w:rsidR="00E975CA">
        <w:t>“warm-glow”</w:t>
      </w:r>
      <w:r w:rsidR="004F3F1D">
        <w:t>)</w:t>
      </w:r>
      <w:r w:rsidR="00E975CA" w:rsidRPr="00E975CA">
        <w:t xml:space="preserve">; </w:t>
      </w:r>
      <w:r w:rsidR="004F3F1D">
        <w:t xml:space="preserve">pro-social values (more specific </w:t>
      </w:r>
      <w:r w:rsidR="00D9315F">
        <w:t xml:space="preserve">variation of </w:t>
      </w:r>
      <w:r w:rsidR="00C82108">
        <w:t>Khalil</w:t>
      </w:r>
      <w:r w:rsidR="00D9315F">
        <w:t>’s Kantian altruism)</w:t>
      </w:r>
      <w:r w:rsidR="00E975CA" w:rsidRPr="00E975CA">
        <w:t xml:space="preserve">; </w:t>
      </w:r>
      <w:r w:rsidR="004F3F1D">
        <w:t xml:space="preserve">and the </w:t>
      </w:r>
      <w:r w:rsidR="00E975CA" w:rsidRPr="00E975CA">
        <w:t>efficacy</w:t>
      </w:r>
      <w:r w:rsidR="004F3F1D">
        <w:t xml:space="preserve"> of the charity</w:t>
      </w:r>
      <w:r w:rsidR="00E975CA">
        <w:t xml:space="preserve">. </w:t>
      </w:r>
      <w:r w:rsidR="00D9315F">
        <w:t xml:space="preserve">Understanding the features that influence charitable giving is important because they are evidentiary pieces that help identify the social and cognitive processes underlying charitable giving.  </w:t>
      </w:r>
      <w:r w:rsidR="00D21B5D">
        <w:t xml:space="preserve">In the absence of a cohesive model to place them, </w:t>
      </w:r>
      <w:r w:rsidR="00FF7A45">
        <w:t xml:space="preserve">however, </w:t>
      </w:r>
      <w:r w:rsidR="00D21B5D">
        <w:t>t</w:t>
      </w:r>
      <w:r w:rsidR="00D9315F">
        <w:t>hese pieces</w:t>
      </w:r>
      <w:r w:rsidR="005762BF">
        <w:t xml:space="preserve"> alone</w:t>
      </w:r>
      <w:r w:rsidR="00D21B5D">
        <w:t xml:space="preserve"> remain </w:t>
      </w:r>
      <w:r w:rsidR="00FF7A45">
        <w:t>difficult to interpret</w:t>
      </w:r>
      <w:r w:rsidR="005762BF">
        <w:t xml:space="preserve">.  Indeed, </w:t>
      </w:r>
      <w:r w:rsidR="005762BF" w:rsidRPr="004D1434">
        <w:t xml:space="preserve">Bekkers </w:t>
      </w:r>
      <w:r w:rsidR="005762BF">
        <w:t xml:space="preserve">and </w:t>
      </w:r>
      <w:r w:rsidR="005762BF" w:rsidRPr="004D1434">
        <w:t>Wiepking</w:t>
      </w:r>
      <w:r w:rsidR="005762BF">
        <w:t xml:space="preserve"> (</w:t>
      </w:r>
      <w:r w:rsidR="00C0634D">
        <w:fldChar w:fldCharType="begin"/>
      </w:r>
      <w:r w:rsidR="0019503B">
        <w:instrText xml:space="preserve"> ADDIN EN.CITE &lt;EndNote&gt;&lt;Cite&gt;&lt;Author&gt;Bekkers&lt;/Author&gt;&lt;Year&gt;2011&lt;/Year&gt;&lt;RecNum&gt;2682&lt;/RecNum&gt;&lt;DisplayText&gt;2011&lt;/DisplayText&gt;&lt;record&gt;&lt;rec-number&gt;2682&lt;/rec-number&gt;&lt;foreign-keys&gt;&lt;key app="EN" db-id="w0tztzf0h2dft0eaewxxtpr4exwxf90s525w" timestamp="1660053335" guid="90027578-ec9d-4aae-a1c7-a8a21d47d5db"&gt;2682&lt;/key&gt;&lt;/foreign-keys&gt;&lt;ref-type name="Journal Article"&gt;17&lt;/ref-type&gt;&lt;contributors&gt;&lt;authors&gt;&lt;author&gt;Bekkers, R&lt;/author&gt;&lt;author&gt;Weipking, P&lt;/author&gt;&lt;/authors&gt;&lt;/contributors&gt;&lt;titles&gt;&lt;title&gt;A literature review of empirical studies of philanthropy: Eight mechanisms that drive charitable giving&lt;/title&gt;&lt;secondary-title&gt;Nonprofit and Voluntary Sector Quarterly&lt;/secondary-title&gt;&lt;/titles&gt;&lt;pages&gt;924-973&lt;/pages&gt;&lt;volume&gt;40&lt;/volume&gt;&lt;dates&gt;&lt;year&gt;2011&lt;/year&gt;&lt;/dates&gt;&lt;urls&gt;&lt;/urls&gt;&lt;electronic-resource-num&gt;http://dx.doi.org/10.1 177/0899764010380927&lt;/electronic-resource-num&gt;&lt;/record&gt;&lt;/Cite&gt;&lt;/EndNote&gt;</w:instrText>
      </w:r>
      <w:r w:rsidR="00C0634D">
        <w:fldChar w:fldCharType="separate"/>
      </w:r>
      <w:r w:rsidR="00C0634D">
        <w:rPr>
          <w:noProof/>
        </w:rPr>
        <w:t>2011</w:t>
      </w:r>
      <w:r w:rsidR="00C0634D">
        <w:fldChar w:fldCharType="end"/>
      </w:r>
      <w:r w:rsidR="005762BF">
        <w:t>) state, “</w:t>
      </w:r>
      <w:r w:rsidR="005762BF" w:rsidRPr="005762BF">
        <w:t>The relative influence of each of the eight mechanisms</w:t>
      </w:r>
      <w:r w:rsidR="005762BF">
        <w:t xml:space="preserve"> … is unclear. …</w:t>
      </w:r>
      <w:r w:rsidR="005762BF" w:rsidRPr="005762BF">
        <w:t xml:space="preserve"> We think that identifying systematic patterns in the mix of the mechanisms and interactions among them are important tasks for future research.</w:t>
      </w:r>
      <w:r w:rsidR="005762BF">
        <w:t>” (p., 944).</w:t>
      </w:r>
    </w:p>
    <w:p w14:paraId="6D635D54" w14:textId="331B74B9" w:rsidR="006B5E0F" w:rsidRDefault="00E316EF" w:rsidP="00A671FE">
      <w:pPr>
        <w:spacing w:line="480" w:lineRule="auto"/>
        <w:ind w:firstLine="720"/>
        <w:contextualSpacing/>
      </w:pPr>
      <w:r>
        <w:t>Heeding</w:t>
      </w:r>
      <w:r w:rsidR="00D1788E">
        <w:t xml:space="preserve"> </w:t>
      </w:r>
      <w:r w:rsidR="00C0634D">
        <w:t xml:space="preserve">the calls made by </w:t>
      </w:r>
      <w:r w:rsidR="00C82108">
        <w:t>Khalil</w:t>
      </w:r>
      <w:r w:rsidR="00D1788E">
        <w:t xml:space="preserve"> (</w:t>
      </w:r>
      <w:r w:rsidR="00C0634D">
        <w:fldChar w:fldCharType="begin"/>
      </w:r>
      <w:r w:rsidR="0019503B">
        <w:instrText xml:space="preserve"> ADDIN EN.CITE &lt;EndNote&gt;&lt;Cite&gt;&lt;Author&gt;Khalil&lt;/Author&gt;&lt;Year&gt;2004&lt;/Year&gt;&lt;RecNum&gt;2676&lt;/RecNum&gt;&lt;DisplayText&gt;2004&lt;/DisplayText&gt;&lt;record&gt;&lt;rec-number&gt;2676&lt;/rec-number&gt;&lt;foreign-keys&gt;&lt;key app="EN" db-id="w0tztzf0h2dft0eaewxxtpr4exwxf90s525w" timestamp="1660039769" guid="cc0c8594-5018-4489-854a-39bfa73c06cd"&gt;2676&lt;/key&gt;&lt;/foreign-keys&gt;&lt;ref-type name="Journal Article"&gt;17&lt;/ref-type&gt;&lt;contributors&gt;&lt;authors&gt;&lt;author&gt;Khalil, E. L&lt;/author&gt;&lt;/authors&gt;&lt;/contributors&gt;&lt;titles&gt;&lt;title&gt;What is altruism?&lt;/title&gt;&lt;secondary-title&gt;Journal of Economic Psychology&lt;/secondary-title&gt;&lt;/titles&gt;&lt;periodical&gt;&lt;full-title&gt;Journal of Economic Psychology&lt;/full-title&gt;&lt;abbr-1&gt;J. Econ. Psychol.&lt;/abbr-1&gt;&lt;/periodical&gt;&lt;pages&gt;97-123&lt;/pages&gt;&lt;volume&gt;25&lt;/volume&gt;&lt;dates&gt;&lt;year&gt;2004&lt;/year&gt;&lt;/dates&gt;&lt;urls&gt;&lt;/urls&gt;&lt;electronic-resource-num&gt;https://doi.org/10.1016/S0167-4870(03)00075-8&lt;/electronic-resource-num&gt;&lt;/record&gt;&lt;/Cite&gt;&lt;/EndNote&gt;</w:instrText>
      </w:r>
      <w:r w:rsidR="00C0634D">
        <w:fldChar w:fldCharType="separate"/>
      </w:r>
      <w:r w:rsidR="00C0634D">
        <w:rPr>
          <w:noProof/>
        </w:rPr>
        <w:t>2004</w:t>
      </w:r>
      <w:r w:rsidR="00C0634D">
        <w:fldChar w:fldCharType="end"/>
      </w:r>
      <w:r w:rsidR="0051113F">
        <w:t>)</w:t>
      </w:r>
      <w:r w:rsidRPr="00E316EF">
        <w:t xml:space="preserve"> </w:t>
      </w:r>
      <w:r>
        <w:t xml:space="preserve">and </w:t>
      </w:r>
      <w:r w:rsidRPr="004D1434">
        <w:t xml:space="preserve">Bekkers </w:t>
      </w:r>
      <w:r>
        <w:t xml:space="preserve">and </w:t>
      </w:r>
      <w:r w:rsidRPr="004D1434">
        <w:t>Wiepking</w:t>
      </w:r>
      <w:r>
        <w:t xml:space="preserve"> (</w:t>
      </w:r>
      <w:r w:rsidR="00C0634D">
        <w:fldChar w:fldCharType="begin"/>
      </w:r>
      <w:r w:rsidR="0019503B">
        <w:instrText xml:space="preserve"> ADDIN EN.CITE &lt;EndNote&gt;&lt;Cite&gt;&lt;Author&gt;Bekkers&lt;/Author&gt;&lt;Year&gt;2011&lt;/Year&gt;&lt;RecNum&gt;2682&lt;/RecNum&gt;&lt;DisplayText&gt;2011&lt;/DisplayText&gt;&lt;record&gt;&lt;rec-number&gt;2682&lt;/rec-number&gt;&lt;foreign-keys&gt;&lt;key app="EN" db-id="w0tztzf0h2dft0eaewxxtpr4exwxf90s525w" timestamp="1660053335" guid="90027578-ec9d-4aae-a1c7-a8a21d47d5db"&gt;2682&lt;/key&gt;&lt;/foreign-keys&gt;&lt;ref-type name="Journal Article"&gt;17&lt;/ref-type&gt;&lt;contributors&gt;&lt;authors&gt;&lt;author&gt;Bekkers, R&lt;/author&gt;&lt;author&gt;Weipking, P&lt;/author&gt;&lt;/authors&gt;&lt;/contributors&gt;&lt;titles&gt;&lt;title&gt;A literature review of empirical studies of philanthropy: Eight mechanisms that drive charitable giving&lt;/title&gt;&lt;secondary-title&gt;Nonprofit and Voluntary Sector Quarterly&lt;/secondary-title&gt;&lt;/titles&gt;&lt;pages&gt;924-973&lt;/pages&gt;&lt;volume&gt;40&lt;/volume&gt;&lt;dates&gt;&lt;year&gt;2011&lt;/year&gt;&lt;/dates&gt;&lt;urls&gt;&lt;/urls&gt;&lt;electronic-resource-num&gt;http://dx.doi.org/10.1 177/0899764010380927&lt;/electronic-resource-num&gt;&lt;/record&gt;&lt;/Cite&gt;&lt;/EndNote&gt;</w:instrText>
      </w:r>
      <w:r w:rsidR="00C0634D">
        <w:fldChar w:fldCharType="separate"/>
      </w:r>
      <w:r w:rsidR="00C0634D">
        <w:rPr>
          <w:noProof/>
        </w:rPr>
        <w:t>2011</w:t>
      </w:r>
      <w:r w:rsidR="00C0634D">
        <w:fldChar w:fldCharType="end"/>
      </w:r>
      <w:r>
        <w:t xml:space="preserve">), </w:t>
      </w:r>
      <w:r w:rsidR="00F211B9">
        <w:t xml:space="preserve">here </w:t>
      </w:r>
      <w:r>
        <w:t xml:space="preserve">we submit </w:t>
      </w:r>
      <w:r w:rsidR="00D1788E">
        <w:t xml:space="preserve">a </w:t>
      </w:r>
      <w:r w:rsidR="0051113F">
        <w:t>computational cognitive</w:t>
      </w:r>
      <w:r w:rsidR="00D1788E">
        <w:t xml:space="preserve"> theory of charitable giving</w:t>
      </w:r>
      <w:r w:rsidR="006B5E0F">
        <w:t xml:space="preserve">. </w:t>
      </w:r>
      <w:r w:rsidR="0026796E">
        <w:t>Critically, this theory describes the decision process</w:t>
      </w:r>
      <w:r w:rsidR="00F211B9">
        <w:t xml:space="preserve"> underpinning charitable giving</w:t>
      </w:r>
      <w:r w:rsidR="0026796E">
        <w:t>, thus providing</w:t>
      </w:r>
      <w:r>
        <w:t xml:space="preserve"> </w:t>
      </w:r>
      <w:r w:rsidR="00D1788E">
        <w:t xml:space="preserve">a framework for </w:t>
      </w:r>
      <w:r w:rsidR="0051113F">
        <w:t>studying precise</w:t>
      </w:r>
      <w:r w:rsidR="006B5E0F">
        <w:t xml:space="preserve">ly how </w:t>
      </w:r>
      <w:r w:rsidR="0026796E">
        <w:t>different</w:t>
      </w:r>
      <w:r>
        <w:t xml:space="preserve"> </w:t>
      </w:r>
      <w:r w:rsidR="00D1788E">
        <w:t xml:space="preserve">factors </w:t>
      </w:r>
      <w:r w:rsidR="0026796E">
        <w:t xml:space="preserve">might influence that process.  </w:t>
      </w:r>
    </w:p>
    <w:p w14:paraId="506EDA57" w14:textId="22DBD520" w:rsidR="00524E51" w:rsidRPr="00C7013B" w:rsidRDefault="009555F1" w:rsidP="00C7013B">
      <w:pPr>
        <w:spacing w:line="480" w:lineRule="auto"/>
        <w:rPr>
          <w:b/>
          <w:bCs/>
        </w:rPr>
      </w:pPr>
      <w:r>
        <w:rPr>
          <w:b/>
          <w:bCs/>
        </w:rPr>
        <w:t>Psychological Value Theory</w:t>
      </w:r>
    </w:p>
    <w:p w14:paraId="5E4D5BA9" w14:textId="1D65D73B" w:rsidR="00831F1A" w:rsidRDefault="00831F1A" w:rsidP="00831F1A">
      <w:pPr>
        <w:spacing w:line="480" w:lineRule="auto"/>
        <w:ind w:firstLine="720"/>
      </w:pPr>
      <w:r w:rsidRPr="00C06677">
        <w:t xml:space="preserve">Generally speaking, with economic transactions, the purchaser of goods is the receiver of those goods, and consequently, derives direct benefit from them.  </w:t>
      </w:r>
      <w:r>
        <w:t xml:space="preserve">These benefits, however, are not necessarily the object itself.  For example, the </w:t>
      </w:r>
      <w:r w:rsidR="00E64C20">
        <w:t xml:space="preserve">primary </w:t>
      </w:r>
      <w:r>
        <w:t xml:space="preserve">benefit of purchasing a car is not the car itself. Rather, it is a function of a constellation of often psychological factors like convenience and comfort of travel, social status, potential resale value, etc. Without these factors, the car is simply an object of curiosity. Similarly, </w:t>
      </w:r>
      <w:r w:rsidRPr="00C06677">
        <w:t xml:space="preserve">the purchaser can derive benefit from goods that they purchase, but do not themselves then possess.  For example, when a parent purchases food for their child, the parent receives many direct benefits of that purchase (e.g., the </w:t>
      </w:r>
      <w:r w:rsidRPr="00C06677">
        <w:lastRenderedPageBreak/>
        <w:t xml:space="preserve">continued health and welfare of the child, a positive family dynamic, etc.) even though the food is consumed by their child.  Given that a parent does accrue benefits in such cases, purchasing food for one’s child is not considered as an act of charitable giving.  </w:t>
      </w:r>
    </w:p>
    <w:p w14:paraId="2D317C7A" w14:textId="6FB17EC0" w:rsidR="00831F1A" w:rsidRDefault="00831F1A" w:rsidP="00831F1A">
      <w:pPr>
        <w:spacing w:line="480" w:lineRule="auto"/>
        <w:ind w:firstLine="720"/>
      </w:pPr>
      <w:r>
        <w:t>C</w:t>
      </w:r>
      <w:r w:rsidRPr="00C06677">
        <w:t xml:space="preserve">onsideration of </w:t>
      </w:r>
      <w:r>
        <w:t>the parent/child case above</w:t>
      </w:r>
      <w:r w:rsidRPr="00C06677">
        <w:t xml:space="preserve"> gives rise to the following question:  When does an individual derive benefit from goods they purchase, but do not directly receive?  In addressing this question, our answer is based in terms of linking accrued benefits to the value that the purchaser attributes to the receiver.  That is, the more an individual (Person A) values another (Person B), the more benefit Person A will gain from donating to Person B.  As Person B’s value to Person A diminishes, so do the benefits accrued by Person A. </w:t>
      </w:r>
      <w:r>
        <w:t xml:space="preserve">Although one may ask for an itemized list of the benefits, we argue that such a list </w:t>
      </w:r>
      <w:r w:rsidR="003E0626">
        <w:t>answers</w:t>
      </w:r>
      <w:r>
        <w:t xml:space="preserve"> a different sort of question (e.g., what are the benefits of owning a car?). What is critical is that charitable giving is well predicted by the value of the receiver in the same way that consumer purchases are well predicted by the value of the goods. T</w:t>
      </w:r>
      <w:r w:rsidRPr="00C06677">
        <w:t>o test specific empirical predictions that follow from our person-centered, value-based account</w:t>
      </w:r>
      <w:r>
        <w:t xml:space="preserve">, </w:t>
      </w:r>
      <w:r w:rsidRPr="00C06677">
        <w:t>we call upon PVT</w:t>
      </w:r>
      <w:r>
        <w:t xml:space="preserve"> (for a detailed description, see Cohen et al.,</w:t>
      </w:r>
      <w:r w:rsidR="00C42417">
        <w:t xml:space="preserve"> </w:t>
      </w:r>
      <w:r w:rsidR="00C4241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C42417">
        <w:fldChar w:fldCharType="separate"/>
      </w:r>
      <w:r w:rsidR="00C42417">
        <w:rPr>
          <w:noProof/>
        </w:rPr>
        <w:t>2022</w:t>
      </w:r>
      <w:r w:rsidR="00C42417">
        <w:fldChar w:fldCharType="end"/>
      </w:r>
      <w:r>
        <w:t>)</w:t>
      </w:r>
      <w:r w:rsidRPr="00C06677">
        <w:t xml:space="preserve">.  </w:t>
      </w:r>
    </w:p>
    <w:p w14:paraId="49CCB101" w14:textId="4D0F3FA0" w:rsidR="008242AC" w:rsidRDefault="004C7EB9" w:rsidP="00401046">
      <w:pPr>
        <w:spacing w:line="480" w:lineRule="auto"/>
        <w:ind w:firstLine="720"/>
      </w:pPr>
      <w:r w:rsidRPr="00C06677">
        <w:t xml:space="preserve">PVT </w:t>
      </w:r>
      <w:r w:rsidR="00592B30" w:rsidRPr="00C06677">
        <w:t xml:space="preserve">defines </w:t>
      </w:r>
      <w:r w:rsidRPr="00C06677">
        <w:t xml:space="preserve">a theoretical construct termed </w:t>
      </w:r>
      <w:r w:rsidRPr="00C06677">
        <w:rPr>
          <w:i/>
          <w:iCs/>
        </w:rPr>
        <w:t>Psychological Value</w:t>
      </w:r>
      <w:r w:rsidRPr="00C06677">
        <w:t xml:space="preserve"> </w:t>
      </w:r>
      <w:r w:rsidR="00835A9C" w:rsidRPr="00C06677">
        <w:t>(</w:t>
      </w:r>
      <w:r w:rsidR="00835A9C" w:rsidRPr="00C06677">
        <w:sym w:font="Symbol" w:char="F059"/>
      </w:r>
      <w:r w:rsidR="00835A9C" w:rsidRPr="00C06677">
        <w:rPr>
          <w:vertAlign w:val="subscript"/>
        </w:rPr>
        <w:t>v</w:t>
      </w:r>
      <w:r w:rsidR="00835A9C" w:rsidRPr="00C06677">
        <w:t xml:space="preserve">) </w:t>
      </w:r>
      <w:r w:rsidR="001179B9" w:rsidRPr="00C06677">
        <w:t xml:space="preserve">as the </w:t>
      </w:r>
      <w:r w:rsidR="001179B9" w:rsidRPr="00C06677">
        <w:rPr>
          <w:i/>
          <w:iCs/>
        </w:rPr>
        <w:t>perceived</w:t>
      </w:r>
      <w:r w:rsidR="001179B9" w:rsidRPr="00C06677">
        <w:t xml:space="preserve"> personal worth of a given o</w:t>
      </w:r>
      <w:r w:rsidR="00346A46" w:rsidRPr="00C06677">
        <w:t>ption</w:t>
      </w:r>
      <w:r w:rsidR="0063242D" w:rsidRPr="00C06677">
        <w:t xml:space="preserve"> (i.e., its subjective value)</w:t>
      </w:r>
      <w:r w:rsidR="001179B9" w:rsidRPr="00C06677">
        <w:t xml:space="preserve">. </w:t>
      </w:r>
      <w:r w:rsidR="00D046B9" w:rsidRPr="00C06677">
        <w:t xml:space="preserve">Because Psychological Value is a perceptual event, </w:t>
      </w:r>
      <w:r w:rsidR="007576F1" w:rsidRPr="00C06677">
        <w:t>it is</w:t>
      </w:r>
      <w:r w:rsidR="00DB08BD" w:rsidRPr="00C06677">
        <w:t xml:space="preserve"> assume</w:t>
      </w:r>
      <w:r w:rsidR="007576F1" w:rsidRPr="00C06677">
        <w:t>d that</w:t>
      </w:r>
      <w:r w:rsidR="00DB08BD" w:rsidRPr="00C06677">
        <w:t xml:space="preserve"> its’ underlying representation is noisy (like all perceptions, e.g., Ashby &amp; Lee, </w:t>
      </w:r>
      <w:r w:rsidR="00DB08BD" w:rsidRPr="00C06677">
        <w:fldChar w:fldCharType="begin"/>
      </w:r>
      <w:r w:rsidR="0019503B">
        <w:instrText xml:space="preserve"> ADDIN EN.CITE &lt;EndNote&gt;&lt;Cite&gt;&lt;Author&gt;Ashby&lt;/Author&gt;&lt;Year&gt;1993&lt;/Year&gt;&lt;RecNum&gt;59&lt;/RecNum&gt;&lt;DisplayText&gt;1993&lt;/DisplayText&gt;&lt;record&gt;&lt;rec-number&gt;59&lt;/rec-number&gt;&lt;foreign-keys&gt;&lt;key app="EN" db-id="w0tztzf0h2dft0eaewxxtpr4exwxf90s525w" timestamp="1659025359" guid="bbe1f1c3-7a4d-4262-95e7-cccce2349394"&gt;59&lt;/key&gt;&lt;/foreign-keys&gt;&lt;ref-type name="Journal Article"&gt;17&lt;/ref-type&gt;&lt;contributors&gt;&lt;authors&gt;&lt;author&gt;Ashby, F. G.&lt;/author&gt;&lt;author&gt;Lee, W. W.&lt;/author&gt;&lt;/authors&gt;&lt;/contributors&gt;&lt;titles&gt;&lt;title&gt;Perceptual variability as a fundamental axiom of perceptual science&lt;/title&gt;&lt;secondary-title&gt;Advances in psychology&lt;/secondary-title&gt;&lt;short-title&gt;Perceptual variability as a fundamental axiom of perceptual science&lt;/short-title&gt;&lt;/titles&gt;&lt;periodical&gt;&lt;full-title&gt;Advances in psychology&lt;/full-title&gt;&lt;abbr-1&gt;Adv. Psychol.&lt;/abbr-1&gt;&lt;/periodical&gt;&lt;pages&gt;369-399&lt;/pages&gt;&lt;volume&gt;99&lt;/volume&gt;&lt;dates&gt;&lt;year&gt;1993&lt;/year&gt;&lt;/dates&gt;&lt;urls&gt;&lt;/urls&gt;&lt;electronic-resource-num&gt;http://dx.doi.org/10.1016/S0166-4115(08)62778-8&lt;/electronic-resource-num&gt;&lt;/record&gt;&lt;/Cite&gt;&lt;/EndNote&gt;</w:instrText>
      </w:r>
      <w:r w:rsidR="00DB08BD" w:rsidRPr="00C06677">
        <w:fldChar w:fldCharType="separate"/>
      </w:r>
      <w:r w:rsidR="00DB08BD" w:rsidRPr="00C06677">
        <w:rPr>
          <w:noProof/>
        </w:rPr>
        <w:t>1993</w:t>
      </w:r>
      <w:r w:rsidR="00DB08BD" w:rsidRPr="00C06677">
        <w:fldChar w:fldCharType="end"/>
      </w:r>
      <w:r w:rsidR="00DB08BD" w:rsidRPr="00C06677">
        <w:t>). Therefore</w:t>
      </w:r>
      <w:r w:rsidR="00D80FB7" w:rsidRPr="00C06677">
        <w:t>,</w:t>
      </w:r>
      <w:r w:rsidR="00DB08BD" w:rsidRPr="00C06677">
        <w:t xml:space="preserve"> </w:t>
      </w:r>
      <w:r w:rsidR="007576F1" w:rsidRPr="00C06677">
        <w:t xml:space="preserve">in </w:t>
      </w:r>
      <w:r w:rsidR="00DB08BD" w:rsidRPr="00C06677">
        <w:t>PVT</w:t>
      </w:r>
      <w:r w:rsidR="00592B30" w:rsidRPr="00C06677">
        <w:t>,</w:t>
      </w:r>
      <w:r w:rsidR="00DB08BD" w:rsidRPr="00C06677">
        <w:t xml:space="preserve"> Psychological Value</w:t>
      </w:r>
      <w:r w:rsidR="00D046B9" w:rsidRPr="00C06677">
        <w:t xml:space="preserve"> </w:t>
      </w:r>
      <w:r w:rsidR="007576F1" w:rsidRPr="00C06677">
        <w:t xml:space="preserve">is captured </w:t>
      </w:r>
      <w:r w:rsidR="00F43B89" w:rsidRPr="00C06677">
        <w:t xml:space="preserve">as </w:t>
      </w:r>
      <w:r w:rsidR="00D046B9" w:rsidRPr="00C06677">
        <w:t xml:space="preserve">a distribution of values, </w:t>
      </w:r>
      <w:r w:rsidR="00D046B9" w:rsidRPr="00C06677">
        <w:rPr>
          <w:i/>
          <w:iCs/>
        </w:rPr>
        <w:t>f</w:t>
      </w:r>
      <w:r w:rsidR="00D046B9" w:rsidRPr="00C06677">
        <w:t>(</w:t>
      </w:r>
      <w:r w:rsidR="00D046B9" w:rsidRPr="00C06677">
        <w:sym w:font="Symbol" w:char="F059"/>
      </w:r>
      <w:r w:rsidR="00D046B9" w:rsidRPr="00C06677">
        <w:rPr>
          <w:vertAlign w:val="subscript"/>
        </w:rPr>
        <w:t>v</w:t>
      </w:r>
      <w:r w:rsidR="00D046B9" w:rsidRPr="00C06677">
        <w:t>), rather than a single value</w:t>
      </w:r>
      <w:r w:rsidR="00DB08BD" w:rsidRPr="00C06677">
        <w:t>.</w:t>
      </w:r>
      <w:r w:rsidR="00D046B9" w:rsidRPr="00C06677">
        <w:t xml:space="preserve"> </w:t>
      </w:r>
      <w:r w:rsidR="0063242D" w:rsidRPr="00C06677">
        <w:t xml:space="preserve">Such an assumption accords with the similar notions of the representation of </w:t>
      </w:r>
      <w:r w:rsidR="00BF07AB" w:rsidRPr="00C06677">
        <w:t>sensory</w:t>
      </w:r>
      <w:r w:rsidR="0063242D" w:rsidRPr="00C06677">
        <w:t xml:space="preserve"> evidence in standard signal detection theory (</w:t>
      </w:r>
      <w:r w:rsidR="008410E6" w:rsidRPr="00C06677">
        <w:t>SDT</w:t>
      </w:r>
      <w:r w:rsidR="0071162E" w:rsidRPr="00C06677">
        <w:t xml:space="preserve"> see e.g., Macmillan &amp; Creelman, </w:t>
      </w:r>
      <w:r w:rsidR="0071162E" w:rsidRPr="00C06677">
        <w:fldChar w:fldCharType="begin"/>
      </w:r>
      <w:r w:rsidR="0019503B">
        <w:instrText xml:space="preserve"> ADDIN EN.CITE &lt;EndNote&gt;&lt;Cite&gt;&lt;Author&gt;Macmillan&lt;/Author&gt;&lt;Year&gt;2005&lt;/Year&gt;&lt;RecNum&gt;2504&lt;/RecNum&gt;&lt;DisplayText&gt;2005&lt;/DisplayText&gt;&lt;record&gt;&lt;rec-number&gt;2504&lt;/rec-number&gt;&lt;foreign-keys&gt;&lt;key app="EN" db-id="w0tztzf0h2dft0eaewxxtpr4exwxf90s525w" timestamp="1659025442" guid="b53dbf0b-3db9-48c6-9aec-525222e03d7c"&gt;2504&lt;/key&gt;&lt;/foreign-keys&gt;&lt;ref-type name="Book"&gt;6&lt;/ref-type&gt;&lt;contributors&gt;&lt;authors&gt;&lt;author&gt;Macmillan, N. A.&lt;/author&gt;&lt;author&gt;Creelman, C. D.&lt;/author&gt;&lt;/authors&gt;&lt;/contributors&gt;&lt;titles&gt;&lt;title&gt;Detection theory: A user&amp;apos;s guide&lt;/title&gt;&lt;short-title&gt;Detection theory: A user&amp;apos;s guide&lt;/short-title&gt;&lt;/titles&gt;&lt;edition&gt;2nd&lt;/edition&gt;&lt;dates&gt;&lt;year&gt;2005&lt;/year&gt;&lt;/dates&gt;&lt;pub-location&gt;New York, NY&lt;/pub-location&gt;&lt;publisher&gt;Lawrence Erlbaum Associates&lt;/publisher&gt;&lt;urls&gt;&lt;/urls&gt;&lt;/record&gt;&lt;/Cite&gt;&lt;/EndNote&gt;</w:instrText>
      </w:r>
      <w:r w:rsidR="0071162E" w:rsidRPr="00C06677">
        <w:fldChar w:fldCharType="separate"/>
      </w:r>
      <w:r w:rsidR="00F94901">
        <w:rPr>
          <w:noProof/>
        </w:rPr>
        <w:t>2005</w:t>
      </w:r>
      <w:r w:rsidR="0071162E" w:rsidRPr="00C06677">
        <w:fldChar w:fldCharType="end"/>
      </w:r>
      <w:r w:rsidR="0063242D" w:rsidRPr="00C06677">
        <w:t>)</w:t>
      </w:r>
      <w:r w:rsidR="008410E6" w:rsidRPr="00C06677">
        <w:t xml:space="preserve">. </w:t>
      </w:r>
      <w:r w:rsidR="00FF7A45" w:rsidRPr="00C06677">
        <w:t>Like</w:t>
      </w:r>
      <w:r w:rsidR="00F119DE" w:rsidRPr="00C06677">
        <w:t xml:space="preserve"> SDT, e</w:t>
      </w:r>
      <w:r w:rsidR="00913DA4" w:rsidRPr="00C06677">
        <w:t>ach o</w:t>
      </w:r>
      <w:r w:rsidR="00996A6E" w:rsidRPr="00C06677">
        <w:t>ption</w:t>
      </w:r>
      <w:r w:rsidR="00E871CD" w:rsidRPr="00C06677">
        <w:t xml:space="preserve"> in the choice</w:t>
      </w:r>
      <w:r w:rsidR="00913DA4" w:rsidRPr="00C06677">
        <w:t xml:space="preserve"> is mapped onto</w:t>
      </w:r>
      <w:r w:rsidR="00040D3B" w:rsidRPr="00C06677">
        <w:t xml:space="preserve"> its corresponding </w:t>
      </w:r>
      <w:r w:rsidR="00B54209" w:rsidRPr="00C06677">
        <w:t>distribution of</w:t>
      </w:r>
      <w:r w:rsidR="00913DA4" w:rsidRPr="00C06677">
        <w:t xml:space="preserve"> </w:t>
      </w:r>
      <w:r w:rsidR="00E82126" w:rsidRPr="00C06677">
        <w:t>Psychological Values</w:t>
      </w:r>
      <w:r w:rsidR="00913DA4" w:rsidRPr="00C06677">
        <w:t>.</w:t>
      </w:r>
      <w:r w:rsidR="00F70C5E" w:rsidRPr="00C06677">
        <w:t xml:space="preserve"> Critically</w:t>
      </w:r>
      <w:r w:rsidR="00F43B89" w:rsidRPr="00C06677">
        <w:t xml:space="preserve">, </w:t>
      </w:r>
      <w:r w:rsidR="007576F1" w:rsidRPr="00C06677">
        <w:t xml:space="preserve">given </w:t>
      </w:r>
      <w:r w:rsidR="00F43B89" w:rsidRPr="00C06677">
        <w:t xml:space="preserve">two options, the </w:t>
      </w:r>
      <w:r w:rsidR="00F43B89" w:rsidRPr="00C06677">
        <w:lastRenderedPageBreak/>
        <w:t>Psychological Value d</w:t>
      </w:r>
      <w:r w:rsidR="00F70C5E" w:rsidRPr="00C06677">
        <w:t>istributions</w:t>
      </w:r>
      <w:r w:rsidR="00F43B89" w:rsidRPr="00C06677">
        <w:t xml:space="preserve"> associated with the options</w:t>
      </w:r>
      <w:r w:rsidR="00F70C5E" w:rsidRPr="00C06677">
        <w:t xml:space="preserve"> are assumed to overlap</w:t>
      </w:r>
      <w:r w:rsidR="00F43B89" w:rsidRPr="00C06677">
        <w:t>.  Th</w:t>
      </w:r>
      <w:r w:rsidR="00F211B9">
        <w:t>e corresponding</w:t>
      </w:r>
      <w:r w:rsidR="00F43B89" w:rsidRPr="00C06677">
        <w:t xml:space="preserve"> overlapping region defines the Psychological Values that </w:t>
      </w:r>
      <w:r w:rsidR="007576F1" w:rsidRPr="00C06677">
        <w:t>accrue</w:t>
      </w:r>
      <w:r w:rsidR="00F43B89" w:rsidRPr="00C06677">
        <w:t xml:space="preserve"> from </w:t>
      </w:r>
      <w:r w:rsidR="00F43B89" w:rsidRPr="00C06677">
        <w:rPr>
          <w:i/>
          <w:iCs/>
        </w:rPr>
        <w:t>both</w:t>
      </w:r>
      <w:r w:rsidR="00F43B89" w:rsidRPr="00C06677">
        <w:t xml:space="preserve"> options</w:t>
      </w:r>
      <w:r w:rsidR="007576F1" w:rsidRPr="00C06677">
        <w:t xml:space="preserve"> such that</w:t>
      </w:r>
      <w:r w:rsidR="00F43B89" w:rsidRPr="00C06677">
        <w:t xml:space="preserve"> the amount of distributional overlap can be interpreted as a measure of the </w:t>
      </w:r>
      <w:r w:rsidR="00F43B89" w:rsidRPr="00C06677">
        <w:rPr>
          <w:i/>
          <w:iCs/>
        </w:rPr>
        <w:t>similarity</w:t>
      </w:r>
      <w:r w:rsidR="00F43B89" w:rsidRPr="00C06677">
        <w:t xml:space="preserve"> of Psychological Value of the two options</w:t>
      </w:r>
      <w:r w:rsidR="00F211B9">
        <w:t>:</w:t>
      </w:r>
      <w:r w:rsidR="00F43B89" w:rsidRPr="00C06677">
        <w:t xml:space="preserve"> The larger the overlapping region, the greater the similarity of Psychological Value of the two options</w:t>
      </w:r>
      <w:r w:rsidR="00F70C5E" w:rsidRPr="00C06677">
        <w:t xml:space="preserve">. </w:t>
      </w:r>
    </w:p>
    <w:p w14:paraId="41958105" w14:textId="3584B484" w:rsidR="0093798F" w:rsidRDefault="00295D11" w:rsidP="0093798F">
      <w:pPr>
        <w:spacing w:line="480" w:lineRule="auto"/>
        <w:ind w:firstLine="720"/>
      </w:pPr>
      <w:r>
        <w:t xml:space="preserve">It is important to clarify the difference between </w:t>
      </w:r>
      <w:r w:rsidR="00C96EC3">
        <w:t xml:space="preserve">Psychological Value </w:t>
      </w:r>
      <w:r>
        <w:t xml:space="preserve">and the concept of </w:t>
      </w:r>
      <w:r w:rsidR="00C96EC3">
        <w:t xml:space="preserve">a </w:t>
      </w:r>
      <w:r w:rsidR="00C96EC3" w:rsidRPr="00B94E8D">
        <w:rPr>
          <w:i/>
          <w:iCs/>
        </w:rPr>
        <w:t>util</w:t>
      </w:r>
      <w:r w:rsidR="00C96EC3">
        <w:t xml:space="preserve"> </w:t>
      </w:r>
      <w:r>
        <w:t>as discussed in standard economic theory</w:t>
      </w:r>
      <w:r w:rsidR="00C96EC3">
        <w:t xml:space="preserve">. Perhaps the most fundamental difference is that a util describes the utility of the </w:t>
      </w:r>
      <w:r w:rsidR="00C96EC3" w:rsidRPr="002D6464">
        <w:rPr>
          <w:i/>
          <w:iCs/>
        </w:rPr>
        <w:t>consequence</w:t>
      </w:r>
      <w:r w:rsidR="00C96EC3">
        <w:t xml:space="preserve"> of a choice, whereas Psychological Value is the perceived value of the </w:t>
      </w:r>
      <w:r w:rsidR="00C96EC3" w:rsidRPr="002D6464">
        <w:rPr>
          <w:i/>
          <w:iCs/>
        </w:rPr>
        <w:t>stimulus</w:t>
      </w:r>
      <w:r w:rsidR="00C96EC3">
        <w:t xml:space="preserve"> itself.  </w:t>
      </w:r>
      <w:r w:rsidR="00276807">
        <w:t>Because a util is a function of the consequence of the choice, as the magnitude of the consequences change (e.g., a question that involves sacrificing the life of another human vs a question that involves giving $10 to another person) the util will change a</w:t>
      </w:r>
      <w:r w:rsidR="00F211B9">
        <w:t>s</w:t>
      </w:r>
      <w:r w:rsidR="00276807">
        <w:t xml:space="preserve"> well. In contrast</w:t>
      </w:r>
      <w:r w:rsidR="00C96EC3">
        <w:t xml:space="preserve">, the Psychological Value of a stimulus should predict choices across a variety of </w:t>
      </w:r>
      <w:r w:rsidR="00F211B9">
        <w:t>case</w:t>
      </w:r>
      <w:r w:rsidR="00991B4F">
        <w:t xml:space="preserve">s, with a variety of consequences. </w:t>
      </w:r>
    </w:p>
    <w:p w14:paraId="6788FD62" w14:textId="276E40ED" w:rsidR="00C96EC3" w:rsidRDefault="002C0104">
      <w:pPr>
        <w:spacing w:line="480" w:lineRule="auto"/>
        <w:ind w:firstLine="720"/>
      </w:pPr>
      <w:r>
        <w:t>Additionally, whereas the util of an option is considered to vary across individuals (</w:t>
      </w:r>
      <w:r w:rsidR="00295D11">
        <w:t xml:space="preserve">Fishburn, </w:t>
      </w:r>
      <w:r w:rsidR="00295D11">
        <w:fldChar w:fldCharType="begin"/>
      </w:r>
      <w:r w:rsidR="0019503B">
        <w:instrText xml:space="preserve"> ADDIN EN.CITE &lt;EndNote&gt;&lt;Cite&gt;&lt;Author&gt;Fishburn&lt;/Author&gt;&lt;Year&gt;1981&lt;/Year&gt;&lt;RecNum&gt;2630&lt;/RecNum&gt;&lt;DisplayText&gt;1981&lt;/DisplayText&gt;&lt;record&gt;&lt;rec-number&gt;2630&lt;/rec-number&gt;&lt;foreign-keys&gt;&lt;key app="EN" db-id="w0tztzf0h2dft0eaewxxtpr4exwxf90s525w" timestamp="1659025446" guid="501ea9e3-3b74-4a30-b3bf-c1ca5916477c"&gt;2630&lt;/key&gt;&lt;/foreign-keys&gt;&lt;ref-type name="Journal Article"&gt;17&lt;/ref-type&gt;&lt;contributors&gt;&lt;authors&gt;&lt;author&gt;Fishburn, P.C&lt;/author&gt;&lt;/authors&gt;&lt;/contributors&gt;&lt;titles&gt;&lt;title&gt;Subjective expected utility: A review of normative theories&lt;/title&gt;&lt;secondary-title&gt;Theory and Decision&lt;/secondary-title&gt;&lt;/titles&gt;&lt;periodical&gt;&lt;full-title&gt;Theory and decision&lt;/full-title&gt;&lt;abbr-1&gt;Theor. Decis.&lt;/abbr-1&gt;&lt;/periodical&gt;&lt;pages&gt;139-199&lt;/pages&gt;&lt;volume&gt;13&lt;/volume&gt;&lt;dates&gt;&lt;year&gt;1981&lt;/year&gt;&lt;/dates&gt;&lt;urls&gt;&lt;/urls&gt;&lt;electronic-resource-num&gt;http://dx.doi.org/10.1007/BF00134215&lt;/electronic-resource-num&gt;&lt;/record&gt;&lt;/Cite&gt;&lt;/EndNote&gt;</w:instrText>
      </w:r>
      <w:r w:rsidR="00295D11">
        <w:fldChar w:fldCharType="separate"/>
      </w:r>
      <w:r w:rsidR="00295D11">
        <w:rPr>
          <w:noProof/>
        </w:rPr>
        <w:t>1981</w:t>
      </w:r>
      <w:r w:rsidR="00295D11">
        <w:fldChar w:fldCharType="end"/>
      </w:r>
      <w:r w:rsidR="00295D11">
        <w:t>)</w:t>
      </w:r>
      <w:r w:rsidR="0051722E">
        <w:t>,</w:t>
      </w:r>
      <w:r>
        <w:t xml:space="preserve"> the </w:t>
      </w:r>
      <w:r w:rsidR="002166D7">
        <w:t>perceived</w:t>
      </w:r>
      <w:r w:rsidR="00FD6C14">
        <w:t xml:space="preserve"> Psychological Value of a sti</w:t>
      </w:r>
      <w:r w:rsidR="00295D11">
        <w:t>m</w:t>
      </w:r>
      <w:r w:rsidR="00FD6C14">
        <w:t xml:space="preserve">ulus is hypothesized to </w:t>
      </w:r>
      <w:r w:rsidR="00A813BB">
        <w:t>be relatively consistent across individuals</w:t>
      </w:r>
      <w:r w:rsidR="00B161C0">
        <w:t xml:space="preserve"> (Cohen et al., </w:t>
      </w:r>
      <w:r w:rsidR="00C4241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C42417">
        <w:fldChar w:fldCharType="separate"/>
      </w:r>
      <w:r w:rsidR="00C42417">
        <w:rPr>
          <w:noProof/>
        </w:rPr>
        <w:t>2022</w:t>
      </w:r>
      <w:r w:rsidR="00C42417">
        <w:fldChar w:fldCharType="end"/>
      </w:r>
      <w:r w:rsidR="00B161C0">
        <w:t>)</w:t>
      </w:r>
      <w:r w:rsidR="00A813BB">
        <w:t xml:space="preserve">. For example, whereas I value my </w:t>
      </w:r>
      <w:r w:rsidR="00295D11">
        <w:t>own health</w:t>
      </w:r>
      <w:r w:rsidR="00A813BB">
        <w:t xml:space="preserve"> more than yours, and you value your </w:t>
      </w:r>
      <w:r w:rsidR="00295D11">
        <w:t>health</w:t>
      </w:r>
      <w:r w:rsidR="00A813BB">
        <w:t xml:space="preserve"> more than mine, we both value “</w:t>
      </w:r>
      <w:r w:rsidR="00295D11">
        <w:t>my</w:t>
      </w:r>
      <w:r w:rsidR="00A813BB">
        <w:t xml:space="preserve"> own </w:t>
      </w:r>
      <w:r w:rsidR="00295D11">
        <w:t>health</w:t>
      </w:r>
      <w:r w:rsidR="00A813BB">
        <w:t xml:space="preserve">” more than </w:t>
      </w:r>
      <w:r w:rsidR="00295D11">
        <w:t xml:space="preserve">that of </w:t>
      </w:r>
      <w:r w:rsidR="00A813BB">
        <w:t xml:space="preserve">others.  </w:t>
      </w:r>
      <w:r w:rsidR="00295D11">
        <w:t>Nonetheless, t</w:t>
      </w:r>
      <w:r w:rsidR="00A813BB">
        <w:t>he distribution of Psychological Values that represent “</w:t>
      </w:r>
      <w:r w:rsidR="00295D11">
        <w:t>my</w:t>
      </w:r>
      <w:r w:rsidR="00A813BB">
        <w:t xml:space="preserve"> own </w:t>
      </w:r>
      <w:r w:rsidR="00295D11">
        <w:t>health</w:t>
      </w:r>
      <w:r w:rsidR="00A813BB">
        <w:t xml:space="preserve">” should be relatively consistent across individuals. Although there may be </w:t>
      </w:r>
      <w:r w:rsidR="00BB173F">
        <w:t xml:space="preserve">some individuals whose distributions of Psychological Values </w:t>
      </w:r>
      <w:r w:rsidR="003D24ED">
        <w:t>for “</w:t>
      </w:r>
      <w:r w:rsidR="00295D11">
        <w:t>my</w:t>
      </w:r>
      <w:r w:rsidR="003D24ED">
        <w:t xml:space="preserve"> own h</w:t>
      </w:r>
      <w:r w:rsidR="00295D11">
        <w:t>ealth</w:t>
      </w:r>
      <w:r w:rsidR="003D24ED">
        <w:t xml:space="preserve">” </w:t>
      </w:r>
      <w:r w:rsidR="00BB173F">
        <w:t xml:space="preserve">differ significantly from the populations, those individuals would be rare </w:t>
      </w:r>
      <w:r w:rsidR="004F5B55">
        <w:t>and their deviation may interfere with their fitness</w:t>
      </w:r>
      <w:r w:rsidR="00617ADD">
        <w:t xml:space="preserve">. </w:t>
      </w:r>
    </w:p>
    <w:p w14:paraId="00568335" w14:textId="3F9E08B2" w:rsidR="00CA06FD" w:rsidRDefault="00A52C7E" w:rsidP="001969F7">
      <w:pPr>
        <w:spacing w:line="480" w:lineRule="auto"/>
        <w:ind w:firstLine="720"/>
      </w:pPr>
      <w:r>
        <w:lastRenderedPageBreak/>
        <w:t xml:space="preserve">Although Psychological Value is relatively constant across individuals, it is not immune to context effects.  Most context effects, however, are hypothesized to influence most individuals similarly.  </w:t>
      </w:r>
      <w:r w:rsidR="00CA06FD">
        <w:t xml:space="preserve">More formally Cohen and Ahn (2016) defined the </w:t>
      </w:r>
      <w:r w:rsidR="00143FD8">
        <w:t xml:space="preserve">Psychological Value </w:t>
      </w:r>
      <w:r w:rsidR="00CA06FD">
        <w:t>of an item (ψ</w:t>
      </w:r>
      <w:r w:rsidR="00CA06FD">
        <w:rPr>
          <w:i/>
          <w:vertAlign w:val="subscript"/>
        </w:rPr>
        <w:t>v</w:t>
      </w:r>
      <w:r w:rsidR="00CA06FD">
        <w:t>) as</w:t>
      </w:r>
    </w:p>
    <w:p w14:paraId="212ED62D" w14:textId="0F703AF4" w:rsidR="002D0E3A" w:rsidRDefault="00000000" w:rsidP="00426A19">
      <w:pPr>
        <w:spacing w:line="480" w:lineRule="auto"/>
        <w:jc w:val="right"/>
      </w:pPr>
      <m:oMath>
        <m:sSub>
          <m:sSubPr>
            <m:ctrlPr>
              <w:rPr>
                <w:rFonts w:ascii="Cambria Math" w:eastAsia="Cambria Math" w:hAnsi="Cambria Math" w:cs="Cambria Math"/>
              </w:rPr>
            </m:ctrlPr>
          </m:sSubPr>
          <m:e>
            <m:r>
              <w:rPr>
                <w:rFonts w:ascii="Cambria Math" w:hAnsi="Cambria Math"/>
              </w:rPr>
              <m:t>φ</m:t>
            </m:r>
          </m:e>
          <m:sub>
            <m:r>
              <w:rPr>
                <w:rFonts w:ascii="Cambria Math" w:eastAsia="Cambria Math" w:hAnsi="Cambria Math" w:cs="Cambria Math"/>
              </w:rPr>
              <m:t>v</m:t>
            </m:r>
          </m:sub>
        </m:sSub>
        <m:r>
          <w:rPr>
            <w:rFonts w:ascii="Cambria Math" w:eastAsia="Cambria Math" w:hAnsi="Cambria Math" w:cs="Cambria Math"/>
          </w:rPr>
          <m:t>=</m:t>
        </m:r>
        <m:nary>
          <m:naryPr>
            <m:chr m:val="∑"/>
            <m:limLoc m:val="undOvr"/>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i</m:t>
                </m:r>
              </m:sub>
            </m:sSub>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e>
        </m:nary>
      </m:oMath>
      <w:r w:rsidR="002D0E3A">
        <w:tab/>
      </w:r>
      <w:r w:rsidR="002D0E3A">
        <w:tab/>
      </w:r>
      <w:r w:rsidR="002D0E3A">
        <w:tab/>
      </w:r>
      <w:r w:rsidR="002D0E3A">
        <w:tab/>
      </w:r>
      <w:r w:rsidR="002D0E3A">
        <w:tab/>
        <w:t>(1)</w:t>
      </w:r>
    </w:p>
    <w:p w14:paraId="1E48B328" w14:textId="6AAFFB50" w:rsidR="00CA06FD" w:rsidRDefault="00CA06FD" w:rsidP="001969F7">
      <w:pPr>
        <w:spacing w:line="480" w:lineRule="auto"/>
        <w:rPr>
          <w:color w:val="000000"/>
        </w:rPr>
      </w:pPr>
      <w:r>
        <w:rPr>
          <w:color w:val="000000"/>
        </w:rPr>
        <w:t xml:space="preserve">Here </w:t>
      </w:r>
      <w:r w:rsidRPr="001969F7">
        <w:rPr>
          <w:i/>
          <w:iCs/>
          <w:color w:val="000000"/>
        </w:rPr>
        <w:t>P</w:t>
      </w:r>
      <w:r w:rsidRPr="001969F7">
        <w:rPr>
          <w:i/>
          <w:iCs/>
          <w:color w:val="000000"/>
          <w:vertAlign w:val="subscript"/>
        </w:rPr>
        <w:t>i</w:t>
      </w:r>
      <w:r>
        <w:rPr>
          <w:color w:val="000000"/>
        </w:rPr>
        <w:t xml:space="preserve"> refers to perceptible features of events associated with the item and C</w:t>
      </w:r>
      <w:r w:rsidRPr="001969F7">
        <w:rPr>
          <w:color w:val="000000"/>
          <w:vertAlign w:val="subscript"/>
        </w:rPr>
        <w:t>i</w:t>
      </w:r>
      <w:r>
        <w:rPr>
          <w:color w:val="000000"/>
        </w:rPr>
        <w:t xml:space="preserve"> can be construed as contextual weights associated with the item. In fleshing this out Cohen et al. (</w:t>
      </w:r>
      <w:r w:rsidR="00C42417">
        <w:rPr>
          <w:color w:val="000000"/>
        </w:rPr>
        <w:fldChar w:fldCharType="begin"/>
      </w:r>
      <w:r w:rsidR="00C42417">
        <w:rPr>
          <w:color w:val="000000"/>
        </w:rPr>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C42417">
        <w:rPr>
          <w:color w:val="000000"/>
        </w:rPr>
        <w:fldChar w:fldCharType="separate"/>
      </w:r>
      <w:r w:rsidR="00C42417">
        <w:rPr>
          <w:noProof/>
          <w:color w:val="000000"/>
        </w:rPr>
        <w:t>2022</w:t>
      </w:r>
      <w:r w:rsidR="00C42417">
        <w:rPr>
          <w:color w:val="000000"/>
        </w:rPr>
        <w:fldChar w:fldCharType="end"/>
      </w:r>
      <w:r w:rsidR="001324C6">
        <w:rPr>
          <w:color w:val="000000"/>
        </w:rPr>
        <w:t>)</w:t>
      </w:r>
      <w:r>
        <w:rPr>
          <w:color w:val="000000"/>
        </w:rPr>
        <w:t xml:space="preserve"> </w:t>
      </w:r>
      <w:r w:rsidR="00F7583B">
        <w:rPr>
          <w:color w:val="000000"/>
        </w:rPr>
        <w:t>noted that,</w:t>
      </w:r>
      <w:r>
        <w:rPr>
          <w:color w:val="000000"/>
        </w:rPr>
        <w:t xml:space="preserve"> “</w:t>
      </w:r>
      <w:r w:rsidR="00F7583B">
        <w:rPr>
          <w:color w:val="000000"/>
        </w:rPr>
        <w:t>The C</w:t>
      </w:r>
      <w:r w:rsidR="00F7583B" w:rsidRPr="001969F7">
        <w:rPr>
          <w:color w:val="000000"/>
          <w:vertAlign w:val="subscript"/>
        </w:rPr>
        <w:t>i</w:t>
      </w:r>
      <w:r w:rsidR="00F7583B">
        <w:rPr>
          <w:color w:val="000000"/>
        </w:rPr>
        <w:t xml:space="preserve"> can vary by situation. For example, </w:t>
      </w:r>
      <w:r>
        <w:rPr>
          <w:color w:val="000000"/>
        </w:rPr>
        <w:t xml:space="preserve">the contribution of the flavor of an apple to one’s Psychological Value of that apple may be great when the observer is nutritionally satisfied but may carry little weight when the observer is nutritionally deprived.” (p. 2017). In general terms it is to be accepted that </w:t>
      </w:r>
      <w:r w:rsidR="007B5426">
        <w:rPr>
          <w:color w:val="000000"/>
        </w:rPr>
        <w:t xml:space="preserve">an item’s </w:t>
      </w:r>
      <w:r w:rsidR="00C171FC">
        <w:rPr>
          <w:color w:val="000000"/>
        </w:rPr>
        <w:t>P</w:t>
      </w:r>
      <w:r w:rsidR="007B5426">
        <w:rPr>
          <w:color w:val="000000"/>
        </w:rPr>
        <w:t xml:space="preserve">sychological </w:t>
      </w:r>
      <w:r w:rsidR="00C171FC">
        <w:rPr>
          <w:color w:val="000000"/>
        </w:rPr>
        <w:t xml:space="preserve">Value </w:t>
      </w:r>
      <w:r w:rsidR="007B5426">
        <w:rPr>
          <w:color w:val="000000"/>
        </w:rPr>
        <w:t xml:space="preserve">will vary according to context </w:t>
      </w:r>
      <w:r w:rsidR="007C29E0">
        <w:rPr>
          <w:color w:val="000000"/>
        </w:rPr>
        <w:t xml:space="preserve">(such changes will be reflected in the corresponding contextual weights) </w:t>
      </w:r>
      <w:r w:rsidR="007B5426">
        <w:rPr>
          <w:color w:val="000000"/>
        </w:rPr>
        <w:t>and these are</w:t>
      </w:r>
      <w:r w:rsidR="007C29E0">
        <w:rPr>
          <w:color w:val="000000"/>
        </w:rPr>
        <w:t>, in turn,</w:t>
      </w:r>
      <w:r w:rsidR="007B5426">
        <w:rPr>
          <w:color w:val="000000"/>
        </w:rPr>
        <w:t xml:space="preserve"> reflected in the distribution of values associated with that item.</w:t>
      </w:r>
      <w:r w:rsidR="00367D49">
        <w:rPr>
          <w:color w:val="000000"/>
        </w:rPr>
        <w:t xml:space="preserve"> </w:t>
      </w:r>
    </w:p>
    <w:p w14:paraId="4238C8E6" w14:textId="77777777" w:rsidR="007B5426" w:rsidRPr="001969F7" w:rsidRDefault="007B5426" w:rsidP="00CA06FD">
      <w:pPr>
        <w:spacing w:line="480" w:lineRule="auto"/>
        <w:ind w:firstLine="720"/>
        <w:rPr>
          <w:color w:val="000000"/>
        </w:rPr>
      </w:pPr>
    </w:p>
    <w:p w14:paraId="0AA561C9" w14:textId="4C2DD9FD" w:rsidR="005863B5" w:rsidRPr="00C06677" w:rsidRDefault="005863B5" w:rsidP="005863B5">
      <w:pPr>
        <w:spacing w:line="480" w:lineRule="auto"/>
        <w:contextualSpacing/>
        <w:jc w:val="center"/>
      </w:pPr>
      <w:r w:rsidRPr="005863B5">
        <w:rPr>
          <w:noProof/>
        </w:rPr>
        <w:lastRenderedPageBreak/>
        <w:drawing>
          <wp:inline distT="0" distB="0" distL="0" distR="0" wp14:anchorId="26452459" wp14:editId="4590327D">
            <wp:extent cx="5469874" cy="6120882"/>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7283" cy="6140363"/>
                    </a:xfrm>
                    <a:prstGeom prst="rect">
                      <a:avLst/>
                    </a:prstGeom>
                  </pic:spPr>
                </pic:pic>
              </a:graphicData>
            </a:graphic>
          </wp:inline>
        </w:drawing>
      </w:r>
    </w:p>
    <w:p w14:paraId="05A501DD" w14:textId="232FF056" w:rsidR="005863B5" w:rsidRPr="00C06677" w:rsidRDefault="005863B5" w:rsidP="005863B5">
      <w:pPr>
        <w:contextualSpacing/>
      </w:pPr>
      <w:r w:rsidRPr="00C06677">
        <w:rPr>
          <w:b/>
          <w:bCs/>
          <w:iCs/>
        </w:rPr>
        <w:t xml:space="preserve">Figure 1. </w:t>
      </w:r>
      <w:r>
        <w:rPr>
          <w:b/>
          <w:bCs/>
        </w:rPr>
        <w:t>The Robust Random Walk</w:t>
      </w:r>
      <w:r w:rsidRPr="00C06677">
        <w:t>.</w:t>
      </w:r>
      <w:r>
        <w:t xml:space="preserve"> </w:t>
      </w:r>
      <w:r w:rsidR="002612E4">
        <w:t xml:space="preserve">The graphs illustrate the RRW decision model. </w:t>
      </w:r>
      <w:r>
        <w:t xml:space="preserve">The </w:t>
      </w:r>
      <w:r w:rsidRPr="001969F7">
        <w:rPr>
          <w:i/>
          <w:iCs/>
        </w:rPr>
        <w:t>y</w:t>
      </w:r>
      <w:r>
        <w:t xml:space="preserve">-axis represents the amount of evidence </w:t>
      </w:r>
      <w:r w:rsidR="00617ADD">
        <w:t xml:space="preserve">accumulated </w:t>
      </w:r>
      <w:r>
        <w:t xml:space="preserve">in favor of the HVO or the LVO. </w:t>
      </w:r>
      <w:r w:rsidR="002612E4">
        <w:t xml:space="preserve">The </w:t>
      </w:r>
      <w:r w:rsidR="002612E4" w:rsidRPr="001969F7">
        <w:rPr>
          <w:i/>
          <w:iCs/>
        </w:rPr>
        <w:t>x</w:t>
      </w:r>
      <w:r w:rsidR="002612E4">
        <w:t xml:space="preserve">-axis represents time. The horizontal dotted lines represent the thresholds for choosing the HVO or LVO, respectively.  The </w:t>
      </w:r>
      <w:r>
        <w:t xml:space="preserve">evidence begins to accumulate </w:t>
      </w:r>
      <w:r w:rsidR="002612E4">
        <w:t xml:space="preserve">at the </w:t>
      </w:r>
      <w:r w:rsidR="002612E4" w:rsidRPr="002D6464">
        <w:rPr>
          <w:i/>
          <w:iCs/>
        </w:rPr>
        <w:t>start point</w:t>
      </w:r>
      <w:r w:rsidR="002612E4">
        <w:t xml:space="preserve">. If the start point is </w:t>
      </w:r>
      <w:r>
        <w:t>equidistance between the two threshold</w:t>
      </w:r>
      <w:r w:rsidR="00617ADD">
        <w:t>s</w:t>
      </w:r>
      <w:r>
        <w:t xml:space="preserve">, </w:t>
      </w:r>
      <w:r w:rsidR="002612E4">
        <w:t xml:space="preserve">it is unbiased (as illustrated here, and indicated by the grey horizontal line). The top graph illustrates the case where the Psychological Value distribution of the options have a relatively large overlap.  Here, the evidence will accumulate slowly towards one of the two options.  It will tend towards the HVO threshold, but will frequently and erroneously cross the LVO threshold. The bottom graph illustrates the case where the Psychological Value distribution of the options have a relatively small overlap.  Here, the </w:t>
      </w:r>
      <w:r w:rsidR="002612E4">
        <w:lastRenderedPageBreak/>
        <w:t xml:space="preserve">evidence will accumulate quickly towards one of the two options.  It will cross the HVO threshold very often and only infrequently erroneously cross the LVO threshold.   </w:t>
      </w:r>
    </w:p>
    <w:p w14:paraId="3274B08E" w14:textId="77777777" w:rsidR="005863B5" w:rsidRDefault="005863B5" w:rsidP="002D6464">
      <w:pPr>
        <w:spacing w:line="480" w:lineRule="auto"/>
      </w:pPr>
    </w:p>
    <w:p w14:paraId="4E6C0E2F" w14:textId="14FC3332" w:rsidR="00526E5D" w:rsidRDefault="00526E5D" w:rsidP="00DE2477">
      <w:pPr>
        <w:spacing w:line="480" w:lineRule="auto"/>
        <w:ind w:firstLine="720"/>
        <w:contextualSpacing/>
      </w:pPr>
      <w:r w:rsidRPr="00C06677">
        <w:t>Under the assumption that Psychological Value is a perceptual event,</w:t>
      </w:r>
      <w:r w:rsidRPr="00C06677">
        <w:rPr>
          <w:u w:val="single"/>
        </w:rPr>
        <w:t xml:space="preserve"> </w:t>
      </w:r>
      <w:r w:rsidRPr="00C06677">
        <w:t xml:space="preserve">Cohen and colleagues (Cohen &amp; Ahn, 2016; Cohen et al., </w:t>
      </w:r>
      <w:r w:rsidRPr="00C0667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Pr="00C06677">
        <w:fldChar w:fldCharType="separate"/>
      </w:r>
      <w:r w:rsidR="00C42417">
        <w:rPr>
          <w:noProof/>
        </w:rPr>
        <w:t>2022</w:t>
      </w:r>
      <w:r w:rsidRPr="00C06677">
        <w:fldChar w:fldCharType="end"/>
      </w:r>
      <w:r w:rsidRPr="00C06677">
        <w:t xml:space="preserve">) measured </w:t>
      </w:r>
      <w:r w:rsidRPr="00C06677">
        <w:rPr>
          <w:i/>
          <w:iCs/>
        </w:rPr>
        <w:t>f</w:t>
      </w:r>
      <w:r w:rsidRPr="00C06677">
        <w:t>(</w:t>
      </w:r>
      <w:r w:rsidRPr="00C06677">
        <w:sym w:font="Symbol" w:char="F059"/>
      </w:r>
      <w:r w:rsidRPr="00C06677">
        <w:rPr>
          <w:vertAlign w:val="subscript"/>
        </w:rPr>
        <w:t>v</w:t>
      </w:r>
      <w:r w:rsidRPr="00C06677">
        <w:t xml:space="preserve">) </w:t>
      </w:r>
      <w:r>
        <w:t xml:space="preserve">independent of choice </w:t>
      </w:r>
      <w:r w:rsidRPr="00C06677">
        <w:t xml:space="preserve">using magnitude estimation (Stevens, </w:t>
      </w:r>
      <w:r w:rsidRPr="00C06677">
        <w:fldChar w:fldCharType="begin"/>
      </w:r>
      <w:r>
        <w:instrText xml:space="preserve"> ADDIN EN.CITE &lt;EndNote&gt;&lt;Cite&gt;&lt;Author&gt;Stevens&lt;/Author&gt;&lt;Year&gt;1956&lt;/Year&gt;&lt;RecNum&gt;1944&lt;/RecNum&gt;&lt;DisplayText&gt;1956&lt;/DisplayText&gt;&lt;record&gt;&lt;rec-number&gt;1944&lt;/rec-number&gt;&lt;foreign-keys&gt;&lt;key app="EN" db-id="w0tztzf0h2dft0eaewxxtpr4exwxf90s525w" timestamp="1659025422" guid="c883ec86-8381-4039-b802-981bfbe117a0"&gt;1944&lt;/key&gt;&lt;/foreign-keys&gt;&lt;ref-type name="Journal Article"&gt;17&lt;/ref-type&gt;&lt;contributors&gt;&lt;authors&gt;&lt;author&gt;Stevens, S. S.&lt;/author&gt;&lt;/authors&gt;&lt;/contributors&gt;&lt;titles&gt;&lt;title&gt;The direct estimation of sensory magnitudes-loudness&lt;/title&gt;&lt;secondary-title&gt;The American Journal of Psychology&lt;/secondary-title&gt;&lt;short-title&gt;The direct estimation of sensory magnitudes-loudness&lt;/short-title&gt;&lt;/titles&gt;&lt;periodical&gt;&lt;full-title&gt;The American Journal of Psychology&lt;/full-title&gt;&lt;abbr-1&gt;Am. J. Psychol.&lt;/abbr-1&gt;&lt;/periodical&gt;&lt;pages&gt;1-25&lt;/pages&gt;&lt;volume&gt;69&lt;/volume&gt;&lt;dates&gt;&lt;year&gt;1956&lt;/year&gt;&lt;/dates&gt;&lt;urls&gt;&lt;/urls&gt;&lt;electronic-resource-num&gt;http://www.jstor.org/stable/1418112&lt;/electronic-resource-num&gt;&lt;/record&gt;&lt;/Cite&gt;&lt;/EndNote&gt;</w:instrText>
      </w:r>
      <w:r w:rsidRPr="00C06677">
        <w:fldChar w:fldCharType="separate"/>
      </w:r>
      <w:r w:rsidRPr="00C06677">
        <w:rPr>
          <w:noProof/>
        </w:rPr>
        <w:t>1956</w:t>
      </w:r>
      <w:r w:rsidRPr="00C06677">
        <w:fldChar w:fldCharType="end"/>
      </w:r>
      <w:r w:rsidRPr="00C06677">
        <w:t xml:space="preserve">).  Magnitude estimation is a procedure designed </w:t>
      </w:r>
      <w:r>
        <w:t xml:space="preserve">and validated as a means to </w:t>
      </w:r>
      <w:r w:rsidRPr="00C06677">
        <w:t>measure</w:t>
      </w:r>
      <w:r>
        <w:t xml:space="preserve"> </w:t>
      </w:r>
      <w:r w:rsidRPr="00C06677">
        <w:t>more traditional perceptual events</w:t>
      </w:r>
      <w:r>
        <w:t xml:space="preserve"> (G</w:t>
      </w:r>
      <w:r w:rsidRPr="0057053B">
        <w:t xml:space="preserve">escheider, </w:t>
      </w:r>
      <w:r>
        <w:fldChar w:fldCharType="begin"/>
      </w:r>
      <w:r>
        <w:instrText xml:space="preserve"> ADDIN EN.CITE &lt;EndNote&gt;&lt;Cite&gt;&lt;Author&gt;Gescheider&lt;/Author&gt;&lt;Year&gt;1988&lt;/Year&gt;&lt;RecNum&gt;648&lt;/RecNum&gt;&lt;DisplayText&gt;1988&lt;/DisplayText&gt;&lt;record&gt;&lt;rec-number&gt;648&lt;/rec-number&gt;&lt;foreign-keys&gt;&lt;key app="EN" db-id="w0tztzf0h2dft0eaewxxtpr4exwxf90s525w" timestamp="1659025377" guid="2c56b858-f1ce-4b2c-a86a-62c41b966b11"&gt;648&lt;/key&gt;&lt;/foreign-keys&gt;&lt;ref-type name="Journal Article"&gt;17&lt;/ref-type&gt;&lt;contributors&gt;&lt;authors&gt;&lt;author&gt;Gescheider, G. A.&lt;/author&gt;&lt;/authors&gt;&lt;/contributors&gt;&lt;titles&gt;&lt;title&gt;Psychophysical scaling&lt;/title&gt;&lt;secondary-title&gt;Annual Review of Psychology&lt;/secondary-title&gt;&lt;short-title&gt;Psychophysical scaling&lt;/short-title&gt;&lt;/titles&gt;&lt;periodical&gt;&lt;full-title&gt;Annual Review of Psychology&lt;/full-title&gt;&lt;abbr-1&gt;Annu. Rev. Psychol.&lt;/abbr-1&gt;&lt;abbr-2&gt;Annu Rev Psychol&lt;/abbr-2&gt;&lt;/periodical&gt;&lt;pages&gt;169-200&lt;/pages&gt;&lt;volume&gt;39&lt;/volume&gt;&lt;dates&gt;&lt;year&gt;1988&lt;/year&gt;&lt;/dates&gt;&lt;urls&gt;&lt;/urls&gt;&lt;/record&gt;&lt;/Cite&gt;&lt;/EndNote&gt;</w:instrText>
      </w:r>
      <w:r>
        <w:fldChar w:fldCharType="separate"/>
      </w:r>
      <w:r>
        <w:rPr>
          <w:noProof/>
        </w:rPr>
        <w:t>1988</w:t>
      </w:r>
      <w:r>
        <w:fldChar w:fldCharType="end"/>
      </w:r>
      <w:r>
        <w:t xml:space="preserve">), </w:t>
      </w:r>
      <w:r w:rsidRPr="00C06677">
        <w:t>for example the perceived loudness of a tone</w:t>
      </w:r>
      <w:r>
        <w:t xml:space="preserve"> (e.g., </w:t>
      </w:r>
      <w:r w:rsidRPr="0057053B">
        <w:t xml:space="preserve">Marks, </w:t>
      </w:r>
      <w:r>
        <w:fldChar w:fldCharType="begin"/>
      </w:r>
      <w:r>
        <w:instrText xml:space="preserve"> ADDIN EN.CITE &lt;EndNote&gt;&lt;Cite&gt;&lt;Author&gt;Marks&lt;/Author&gt;&lt;Year&gt;1974&lt;/Year&gt;&lt;RecNum&gt;2675&lt;/RecNum&gt;&lt;DisplayText&gt;1974&lt;/DisplayText&gt;&lt;record&gt;&lt;rec-number&gt;2675&lt;/rec-number&gt;&lt;foreign-keys&gt;&lt;key app="EN" db-id="w0tztzf0h2dft0eaewxxtpr4exwxf90s525w" timestamp="1660039600" guid="61f2024f-affb-4528-9cd9-b09c1286d8c9"&gt;2675&lt;/key&gt;&lt;/foreign-keys&gt;&lt;ref-type name="Journal Article"&gt;17&lt;/ref-type&gt;&lt;contributors&gt;&lt;authors&gt;&lt;author&gt;Marks, L. E.&lt;/author&gt;&lt;/authors&gt;&lt;/contributors&gt;&lt;titles&gt;&lt;title&gt;On scales of sensation: Prolegomena to any future psychophysics that will be able to come forth as science&lt;/title&gt;&lt;secondary-title&gt;Perception &amp;amp; Psychophysics&lt;/secondary-title&gt;&lt;/titles&gt;&lt;periodical&gt;&lt;full-title&gt;Perception &amp;amp; Psychophysics&lt;/full-title&gt;&lt;abbr-1&gt;Percept. Psychophys.&lt;/abbr-1&gt;&lt;abbr-2&gt;Percept Psychophys&lt;/abbr-2&gt;&lt;abbr-3&gt;Perception &amp;amp; Psychophysics&lt;/abbr-3&gt;&lt;/periodical&gt;&lt;pages&gt;358-376&lt;/pages&gt;&lt;volume&gt;16&lt;/volume&gt;&lt;dates&gt;&lt;year&gt;1974&lt;/year&gt;&lt;/dates&gt;&lt;urls&gt;&lt;/urls&gt;&lt;electronic-resource-num&gt;https://doi.org/10.3758/BF03203956&lt;/electronic-resource-num&gt;&lt;/record&gt;&lt;/Cite&gt;&lt;/EndNote&gt;</w:instrText>
      </w:r>
      <w:r>
        <w:fldChar w:fldCharType="separate"/>
      </w:r>
      <w:r>
        <w:rPr>
          <w:noProof/>
        </w:rPr>
        <w:t>1974</w:t>
      </w:r>
      <w:r>
        <w:fldChar w:fldCharType="end"/>
      </w:r>
      <w:r>
        <w:t>)</w:t>
      </w:r>
      <w:r w:rsidRPr="00C06677">
        <w:t>. Magnitude estimation involves presenting the participants with a standard stimulus (e.g., a tone of a specific volume)</w:t>
      </w:r>
      <w:r>
        <w:t xml:space="preserve"> that</w:t>
      </w:r>
      <w:r w:rsidRPr="00C06677">
        <w:t xml:space="preserve"> is assigned a value by the researcher, for example 1000.  Then the participant is presented a series of probes (e.g., tones of different volumes), and for each probe, the participant is to assign a value that describes the perception of the probe in relation to the standard.  So, if the probe is twice as loud as the standard, the participant would assign a value of 2000.  At the time of its development, many researchers thought the procedure was not valid (</w:t>
      </w:r>
      <w:r>
        <w:t xml:space="preserve">as discussed by </w:t>
      </w:r>
      <w:r w:rsidRPr="00C06677">
        <w:t xml:space="preserve">Stevens,  </w:t>
      </w:r>
      <w:r w:rsidRPr="00C06677">
        <w:fldChar w:fldCharType="begin"/>
      </w:r>
      <w:r>
        <w:instrText xml:space="preserve"> ADDIN EN.CITE &lt;EndNote&gt;&lt;Cite&gt;&lt;Author&gt;Stevens&lt;/Author&gt;&lt;Year&gt;1956&lt;/Year&gt;&lt;RecNum&gt;1944&lt;/RecNum&gt;&lt;DisplayText&gt;1956&lt;/DisplayText&gt;&lt;record&gt;&lt;rec-number&gt;1944&lt;/rec-number&gt;&lt;foreign-keys&gt;&lt;key app="EN" db-id="w0tztzf0h2dft0eaewxxtpr4exwxf90s525w" timestamp="1659025422" guid="c883ec86-8381-4039-b802-981bfbe117a0"&gt;1944&lt;/key&gt;&lt;/foreign-keys&gt;&lt;ref-type name="Journal Article"&gt;17&lt;/ref-type&gt;&lt;contributors&gt;&lt;authors&gt;&lt;author&gt;Stevens, S. S.&lt;/author&gt;&lt;/authors&gt;&lt;/contributors&gt;&lt;titles&gt;&lt;title&gt;The direct estimation of sensory magnitudes-loudness&lt;/title&gt;&lt;secondary-title&gt;The American Journal of Psychology&lt;/secondary-title&gt;&lt;short-title&gt;The direct estimation of sensory magnitudes-loudness&lt;/short-title&gt;&lt;/titles&gt;&lt;periodical&gt;&lt;full-title&gt;The American Journal of Psychology&lt;/full-title&gt;&lt;abbr-1&gt;Am. J. Psychol.&lt;/abbr-1&gt;&lt;/periodical&gt;&lt;pages&gt;1-25&lt;/pages&gt;&lt;volume&gt;69&lt;/volume&gt;&lt;dates&gt;&lt;year&gt;1956&lt;/year&gt;&lt;/dates&gt;&lt;urls&gt;&lt;/urls&gt;&lt;electronic-resource-num&gt;http://www.jstor.org/stable/1418112&lt;/electronic-resource-num&gt;&lt;/record&gt;&lt;/Cite&gt;&lt;/EndNote&gt;</w:instrText>
      </w:r>
      <w:r w:rsidRPr="00C06677">
        <w:fldChar w:fldCharType="separate"/>
      </w:r>
      <w:r w:rsidRPr="00C06677">
        <w:rPr>
          <w:noProof/>
        </w:rPr>
        <w:t>1956</w:t>
      </w:r>
      <w:r w:rsidRPr="00C06677">
        <w:fldChar w:fldCharType="end"/>
      </w:r>
      <w:r w:rsidRPr="00C06677">
        <w:t xml:space="preserve">), but over time, the procedure has been shown to be both valid and reliable (Stevens, </w:t>
      </w:r>
      <w:r w:rsidR="00083EEF">
        <w:fldChar w:fldCharType="begin"/>
      </w:r>
      <w:r w:rsidR="00083EEF">
        <w:instrText xml:space="preserve"> ADDIN EN.CITE &lt;EndNote&gt;&lt;Cite&gt;&lt;Author&gt;Stevens&lt;/Author&gt;&lt;Year&gt;1975&lt;/Year&gt;&lt;RecNum&gt;2417&lt;/RecNum&gt;&lt;DisplayText&gt;1975&lt;/DisplayText&gt;&lt;record&gt;&lt;rec-number&gt;2417&lt;/rec-number&gt;&lt;foreign-keys&gt;&lt;key app="EN" db-id="w0tztzf0h2dft0eaewxxtpr4exwxf90s525w" timestamp="1659025440" guid="2f6d71bd-7fcc-4b3a-bce4-d411ee34ae65"&gt;2417&lt;/key&gt;&lt;/foreign-keys&gt;&lt;ref-type name="Book"&gt;6&lt;/ref-type&gt;&lt;contributors&gt;&lt;authors&gt;&lt;author&gt;Stevens, S. S.&lt;/author&gt;&lt;/authors&gt;&lt;/contributors&gt;&lt;titles&gt;&lt;title&gt;Psychophysics: Introduction to its Perceptual, Neural, and Social Prospects&lt;/title&gt;&lt;/titles&gt;&lt;dates&gt;&lt;year&gt;1975&lt;/year&gt;&lt;/dates&gt;&lt;pub-location&gt;New York&lt;/pub-location&gt;&lt;publisher&gt;Wiley&lt;/publisher&gt;&lt;urls&gt;&lt;/urls&gt;&lt;/record&gt;&lt;/Cite&gt;&lt;/EndNote&gt;</w:instrText>
      </w:r>
      <w:r w:rsidR="00083EEF">
        <w:fldChar w:fldCharType="separate"/>
      </w:r>
      <w:r w:rsidR="00083EEF">
        <w:rPr>
          <w:noProof/>
        </w:rPr>
        <w:t>1975</w:t>
      </w:r>
      <w:r w:rsidR="00083EEF">
        <w:fldChar w:fldCharType="end"/>
      </w:r>
      <w:r w:rsidRPr="00C06677">
        <w:t xml:space="preserve">). </w:t>
      </w:r>
      <w:r>
        <w:t xml:space="preserve"> </w:t>
      </w:r>
    </w:p>
    <w:p w14:paraId="2268FF69" w14:textId="77777777" w:rsidR="00526E5D" w:rsidRDefault="00526E5D" w:rsidP="00526E5D">
      <w:pPr>
        <w:spacing w:line="480" w:lineRule="auto"/>
        <w:ind w:firstLine="720"/>
        <w:contextualSpacing/>
      </w:pPr>
      <w:r w:rsidRPr="00C06677">
        <w:t xml:space="preserve">In addition to these representational considerations, PVT also describes the underlying cognitive processes that are entrained when participants make preferential judgments. </w:t>
      </w:r>
      <w:r>
        <w:t xml:space="preserve">PVT adopts the </w:t>
      </w:r>
      <w:r w:rsidRPr="004737EF">
        <w:t xml:space="preserve">decisional processes known as sequential sampling procedures (henceforth SSPs) (Busemeyer, Gluth, Rieskamp, &amp; Turner, </w:t>
      </w:r>
      <w:r w:rsidRPr="004737EF">
        <w:fldChar w:fldCharType="begin"/>
      </w:r>
      <w:r>
        <w:instrText xml:space="preserve"> ADDIN EN.CITE &lt;EndNote&gt;&lt;Cite&gt;&lt;Author&gt;Busemeyer&lt;/Author&gt;&lt;Year&gt;2019&lt;/Year&gt;&lt;RecNum&gt;2806&lt;/RecNum&gt;&lt;DisplayText&gt;2019&lt;/DisplayText&gt;&lt;record&gt;&lt;rec-number&gt;2806&lt;/rec-number&gt;&lt;foreign-keys&gt;&lt;key app="EN" db-id="w0tztzf0h2dft0eaewxxtpr4exwxf90s525w" timestamp="1689664809" guid="a66e2905-8de2-41d8-9301-fc45f1f112b3"&gt;2806&lt;/key&gt;&lt;/foreign-keys&gt;&lt;ref-type name="Journal Article"&gt;17&lt;/ref-type&gt;&lt;contributors&gt;&lt;authors&gt;&lt;author&gt;Busemeyer, J.R&lt;/author&gt;&lt;author&gt;Gluth, S&lt;/author&gt;&lt;author&gt;Rieskamp, J&lt;/author&gt;&lt;author&gt;Turner, B.M&lt;/author&gt;&lt;/authors&gt;&lt;/contributors&gt;&lt;titles&gt;&lt;title&gt;Cognitive and neural bases of multi-attribute, multi-alternative, value-based decisions&lt;/title&gt;&lt;secondary-title&gt;Trends in Cognitive Sciences&lt;/secondary-title&gt;&lt;/titles&gt;&lt;periodical&gt;&lt;full-title&gt;Trends in Cognitive Sciences&lt;/full-title&gt;&lt;abbr-1&gt;Trends Cognit. Sci.&lt;/abbr-1&gt;&lt;/periodical&gt;&lt;pages&gt;251-263&lt;/pages&gt;&lt;volume&gt;23&lt;/volume&gt;&lt;dates&gt;&lt;year&gt;2019&lt;/year&gt;&lt;/dates&gt;&lt;urls&gt;&lt;/urls&gt;&lt;electronic-resource-num&gt;https://doi.org/10.1016/j.tics.2018.12.003&lt;/electronic-resource-num&gt;&lt;/record&gt;&lt;/Cite&gt;&lt;/EndNote&gt;</w:instrText>
      </w:r>
      <w:r w:rsidRPr="004737EF">
        <w:fldChar w:fldCharType="separate"/>
      </w:r>
      <w:r w:rsidRPr="004737EF">
        <w:rPr>
          <w:noProof/>
        </w:rPr>
        <w:t>2019</w:t>
      </w:r>
      <w:r w:rsidRPr="004737EF">
        <w:fldChar w:fldCharType="end"/>
      </w:r>
      <w:r w:rsidRPr="004737EF">
        <w:t xml:space="preserve">; Krajbich, </w:t>
      </w:r>
      <w:r w:rsidRPr="004737EF">
        <w:fldChar w:fldCharType="begin"/>
      </w:r>
      <w:r w:rsidRPr="004737EF">
        <w:instrText xml:space="preserve"> ADDIN EN.CITE &lt;EndNote&gt;&lt;Cite&gt;&lt;Author&gt;Krajbich&lt;/Author&gt;&lt;Year&gt;2019&lt;/Year&gt;&lt;RecNum&gt;2337&lt;/RecNum&gt;&lt;DisplayText&gt;2019&lt;/DisplayText&gt;&lt;record&gt;&lt;rec-number&gt;2337&lt;/rec-number&gt;&lt;foreign-keys&gt;&lt;key app="EN" db-id="w0tztzf0h2dft0eaewxxtpr4exwxf90s525w" timestamp="1659025438" guid="99120785-68a3-4a51-8fb9-37efaee4a8b3"&gt;2337&lt;/key&gt;&lt;/foreign-keys&gt;&lt;ref-type name="Journal Article"&gt;17&lt;/ref-type&gt;&lt;contributors&gt;&lt;authors&gt;&lt;author&gt;Krajbich, I&lt;/author&gt;&lt;/authors&gt;&lt;/contributors&gt;&lt;titles&gt;&lt;title&gt;Accounting for attention in sequential sampling models of decision making&lt;/title&gt;&lt;secondary-title&gt;Current Opinion in Psychology&lt;/secondary-title&gt;&lt;/titles&gt;&lt;periodical&gt;&lt;full-title&gt;Current Opinion in Psychology&lt;/full-title&gt;&lt;abbr-1&gt;Curr. Opin. Psychol.&lt;/abbr-1&gt;&lt;/periodical&gt;&lt;pages&gt;6-11&lt;/pages&gt;&lt;volume&gt;29&lt;/volume&gt;&lt;dates&gt;&lt;year&gt;2019&lt;/year&gt;&lt;/dates&gt;&lt;urls&gt;&lt;/urls&gt;&lt;electronic-resource-num&gt;https://doi.org/10.1016/j.copsyc.2018.10.008&lt;/electronic-resource-num&gt;&lt;/record&gt;&lt;/Cite&gt;&lt;/EndNote&gt;</w:instrText>
      </w:r>
      <w:r w:rsidRPr="004737EF">
        <w:fldChar w:fldCharType="separate"/>
      </w:r>
      <w:r w:rsidRPr="004737EF">
        <w:rPr>
          <w:noProof/>
        </w:rPr>
        <w:t>2019</w:t>
      </w:r>
      <w:r w:rsidRPr="004737EF">
        <w:fldChar w:fldCharType="end"/>
      </w:r>
      <w:r w:rsidRPr="004737EF">
        <w:t xml:space="preserve">; Krajbich, Armel, &amp; Rangel, </w:t>
      </w:r>
      <w:r w:rsidRPr="004737EF">
        <w:fldChar w:fldCharType="begin"/>
      </w:r>
      <w:r w:rsidRPr="004737EF">
        <w:instrText xml:space="preserve"> ADDIN EN.CITE &lt;EndNote&gt;&lt;Cite&gt;&lt;Author&gt;Krajbich&lt;/Author&gt;&lt;Year&gt;2010&lt;/Year&gt;&lt;RecNum&gt;2338&lt;/RecNum&gt;&lt;DisplayText&gt;2010&lt;/DisplayText&gt;&lt;record&gt;&lt;rec-number&gt;2338&lt;/rec-number&gt;&lt;foreign-keys&gt;&lt;key app="EN" db-id="w0tztzf0h2dft0eaewxxtpr4exwxf90s525w" timestamp="1659025438" guid="d8f4bab6-2007-46ef-aafb-da8570d6491e"&gt;2338&lt;/key&gt;&lt;/foreign-keys&gt;&lt;ref-type name="Journal Article"&gt;17&lt;/ref-type&gt;&lt;contributors&gt;&lt;authors&gt;&lt;author&gt;Krajbich, I&lt;/author&gt;&lt;author&gt;Armel, C&lt;/author&gt;&lt;author&gt;Rangel, A.&lt;/author&gt;&lt;/authors&gt;&lt;/contributors&gt;&lt;titles&gt;&lt;title&gt;Visual fixations and the computation and comparison of value in simple choice&lt;/title&gt;&lt;secondary-title&gt;Nature Neuroscience&lt;/secondary-title&gt;&lt;/titles&gt;&lt;periodical&gt;&lt;full-title&gt;Nature Neuroscience&lt;/full-title&gt;&lt;abbr-1&gt;Nat. Neurosci.&lt;/abbr-1&gt;&lt;abbr-2&gt;Nat Neurosci&lt;/abbr-2&gt;&lt;/periodical&gt;&lt;pages&gt;1292&lt;/pages&gt;&lt;volume&gt;13&lt;/volume&gt;&lt;dates&gt;&lt;year&gt;2010&lt;/year&gt;&lt;/dates&gt;&lt;urls&gt;&lt;/urls&gt;&lt;electronic-resource-num&gt;https://doi.org/10.1038/nn.2635&lt;/electronic-resource-num&gt;&lt;/record&gt;&lt;/Cite&gt;&lt;/EndNote&gt;</w:instrText>
      </w:r>
      <w:r w:rsidRPr="004737EF">
        <w:fldChar w:fldCharType="separate"/>
      </w:r>
      <w:r w:rsidRPr="004737EF">
        <w:rPr>
          <w:noProof/>
        </w:rPr>
        <w:t>2010</w:t>
      </w:r>
      <w:r w:rsidRPr="004737EF">
        <w:fldChar w:fldCharType="end"/>
      </w:r>
      <w:r w:rsidRPr="004737EF">
        <w:t xml:space="preserve">) </w:t>
      </w:r>
      <w:r>
        <w:t>because</w:t>
      </w:r>
      <w:r w:rsidRPr="004737EF">
        <w:t xml:space="preserve"> these have been robustly established in many cases of psychological choice (Balakrishnan &amp; Ratcliff, </w:t>
      </w:r>
      <w:r w:rsidRPr="004737EF">
        <w:fldChar w:fldCharType="begin"/>
      </w:r>
      <w:r w:rsidRPr="004737EF">
        <w:instrText xml:space="preserve"> ADDIN EN.CITE &lt;EndNote&gt;&lt;Cite&gt;&lt;Author&gt;Balakrishnan&lt;/Author&gt;&lt;Year&gt;1996&lt;/Year&gt;&lt;RecNum&gt;2560&lt;/RecNum&gt;&lt;DisplayText&gt;1996&lt;/DisplayText&gt;&lt;record&gt;&lt;rec-number&gt;2560&lt;/rec-number&gt;&lt;foreign-keys&gt;&lt;key app="EN" db-id="w0tztzf0h2dft0eaewxxtpr4exwxf90s525w" timestamp="1659025444" guid="81d55656-f0ae-4305-a2d0-f1008f122ed1"&gt;2560&lt;/key&gt;&lt;/foreign-keys&gt;&lt;ref-type name="Journal Article"&gt;17&lt;/ref-type&gt;&lt;contributors&gt;&lt;authors&gt;&lt;author&gt;Balakrishnan, J. D.&lt;/author&gt;&lt;author&gt;Ratcliff, R.&lt;/author&gt;&lt;/authors&gt;&lt;/contributors&gt;&lt;titles&gt;&lt;title&gt;Testing models of decision making under confidence ratings in classification&lt;/title&gt;&lt;secondary-title&gt;Journal of Experimental Psychology: Human Perception and Performance&lt;/secondary-title&gt;&lt;short-title&gt;Testing models of decision making under confidence ratings in classification&lt;/short-title&gt;&lt;/titles&gt;&lt;periodical&gt;&lt;full-title&gt;Journal of Experimental Psychology: Human Perception and Performance&lt;/full-title&gt;&lt;abbr-1&gt;J. Exp. Psychol. Hum. Percept. Perform.&lt;/abbr-1&gt;&lt;abbr-2&gt;J Exp Psychol Hum Percept Perform&lt;/abbr-2&gt;&lt;abbr-3&gt;Journal of Experimental Psychology: Human Perception &amp;amp; Performance&lt;/abbr-3&gt;&lt;/periodical&gt;&lt;pages&gt;615-633&lt;/pages&gt;&lt;volume&gt;22&lt;/volume&gt;&lt;dates&gt;&lt;year&gt;1996&lt;/year&gt;&lt;/dates&gt;&lt;urls&gt;&lt;/urls&gt;&lt;electronic-resource-num&gt;http://dx.doi.org/10.1037/0096-1523.22.3.615&lt;/electronic-resource-num&gt;&lt;/record&gt;&lt;/Cite&gt;&lt;/EndNote&gt;</w:instrText>
      </w:r>
      <w:r w:rsidRPr="004737EF">
        <w:fldChar w:fldCharType="separate"/>
      </w:r>
      <w:r w:rsidRPr="004737EF">
        <w:rPr>
          <w:noProof/>
        </w:rPr>
        <w:t>1996</w:t>
      </w:r>
      <w:r w:rsidRPr="004737EF">
        <w:fldChar w:fldCharType="end"/>
      </w:r>
      <w:r w:rsidRPr="004737EF">
        <w:t xml:space="preserve">; Cohen &amp; Quinlan, </w:t>
      </w:r>
      <w:r w:rsidRPr="004737EF">
        <w:fldChar w:fldCharType="begin"/>
      </w:r>
      <w:r w:rsidRPr="004737EF">
        <w:instrText xml:space="preserve"> ADDIN EN.CITE &lt;EndNote&gt;&lt;Cite&gt;&lt;Author&gt;Cohen&lt;/Author&gt;&lt;Year&gt;2016&lt;/Year&gt;&lt;RecNum&gt;2635&lt;/RecNum&gt;&lt;DisplayText&gt;2016&lt;/DisplayText&gt;&lt;record&gt;&lt;rec-number&gt;2635&lt;/rec-number&gt;&lt;foreign-keys&gt;&lt;key app="EN" db-id="w0tztzf0h2dft0eaewxxtpr4exwxf90s525w" timestamp="1659025446" guid="3c40d4dc-8daf-439b-aadd-1e6c7204691c"&gt;2635&lt;/key&gt;&lt;/foreign-keys&gt;&lt;ref-type name="Journal Article"&gt;17&lt;/ref-type&gt;&lt;contributors&gt;&lt;authors&gt;&lt;author&gt;Cohen, D. J.&lt;/author&gt;&lt;author&gt;Quinlan, P. T.&lt;/author&gt;&lt;/authors&gt;&lt;/contributors&gt;&lt;titles&gt;&lt;title&gt;How numbers mean: Comparing random walk models of numerical cognition varying both encoding processes and underlying quantity representations&lt;/title&gt;&lt;secondary-title&gt;Cognitive Psychology&lt;/secondary-title&gt;&lt;short-title&gt;How numbers mean: Comparing random walk models of numerical cognition varying both encoding processes and underlying quantity representations&lt;/short-title&gt;&lt;/titles&gt;&lt;periodical&gt;&lt;full-title&gt;Cognitive Psychology&lt;/full-title&gt;&lt;abbr-1&gt;Cognit. Psychol.&lt;/abbr-1&gt;&lt;abbr-2&gt;Cognit Psychol&lt;/abbr-2&gt;&lt;/periodical&gt;&lt;pages&gt;63-81&lt;/pages&gt;&lt;volume&gt;91&lt;/volume&gt;&lt;dates&gt;&lt;year&gt;2016&lt;/year&gt;&lt;/dates&gt;&lt;urls&gt;&lt;/urls&gt;&lt;electronic-resource-num&gt;http://dx.doi.org/10.1016/j.cogpsych.2016.10.002&lt;/electronic-resource-num&gt;&lt;/record&gt;&lt;/Cite&gt;&lt;/EndNote&gt;</w:instrText>
      </w:r>
      <w:r w:rsidRPr="004737EF">
        <w:fldChar w:fldCharType="separate"/>
      </w:r>
      <w:r w:rsidRPr="004737EF">
        <w:rPr>
          <w:noProof/>
        </w:rPr>
        <w:t>2016</w:t>
      </w:r>
      <w:r w:rsidRPr="004737EF">
        <w:fldChar w:fldCharType="end"/>
      </w:r>
      <w:r w:rsidRPr="004737EF">
        <w:t>).</w:t>
      </w:r>
      <w:r>
        <w:t xml:space="preserve"> In general, SSPs</w:t>
      </w:r>
      <w:r w:rsidRPr="008717F3">
        <w:t xml:space="preserve"> </w:t>
      </w:r>
      <w:r>
        <w:t xml:space="preserve">are </w:t>
      </w:r>
      <w:r w:rsidRPr="004737EF">
        <w:t xml:space="preserve">defined on a 2-D Euclidian plane from a starting position between two decision boundaries (see Figure 1). A different boundary is associated with each of the two options. </w:t>
      </w:r>
      <w:r>
        <w:t>E</w:t>
      </w:r>
      <w:r w:rsidRPr="004737EF">
        <w:t xml:space="preserve">vidence is </w:t>
      </w:r>
      <w:r>
        <w:t xml:space="preserve">continuously </w:t>
      </w:r>
      <w:r w:rsidRPr="004737EF">
        <w:t xml:space="preserve">sampled at random from </w:t>
      </w:r>
      <w:r>
        <w:t>two latent distributions, each</w:t>
      </w:r>
      <w:r w:rsidRPr="004737EF">
        <w:t xml:space="preserve"> associated with </w:t>
      </w:r>
      <w:r>
        <w:t xml:space="preserve">one of </w:t>
      </w:r>
      <w:r w:rsidRPr="004737EF">
        <w:t xml:space="preserve">the two options. The favored </w:t>
      </w:r>
      <w:r w:rsidRPr="004737EF">
        <w:lastRenderedPageBreak/>
        <w:t xml:space="preserve">option, at that time point, is the one associated with the distribution from which the larger value was taken. A step is then taken in the direction of the boundary associated with that option. </w:t>
      </w:r>
      <w:r>
        <w:t>E</w:t>
      </w:r>
      <w:r w:rsidRPr="004737EF">
        <w:t>vidence gradually accumulates in the direction of one boundary and a decision is made when the accumulated evidence equals the criterion set by that particular boundary.</w:t>
      </w:r>
      <w:r>
        <w:t xml:space="preserve"> </w:t>
      </w:r>
      <w:r w:rsidRPr="006A5D9F">
        <w:t xml:space="preserve">The rate at which information accumulates, termed </w:t>
      </w:r>
      <w:r w:rsidRPr="006A5D9F">
        <w:rPr>
          <w:i/>
          <w:iCs/>
        </w:rPr>
        <w:t>drift rate</w:t>
      </w:r>
      <w:r w:rsidRPr="006A5D9F">
        <w:t xml:space="preserve">, is a function of the overlap of the latent psychological distributions (e.g., Link &amp; Heath, </w:t>
      </w:r>
      <w:r>
        <w:fldChar w:fldCharType="begin"/>
      </w:r>
      <w:r>
        <w:instrText xml:space="preserve"> ADDIN EN.CITE &lt;EndNote&gt;&lt;Cite&gt;&lt;Author&gt;Link&lt;/Author&gt;&lt;Year&gt;1975&lt;/Year&gt;&lt;RecNum&gt;2804&lt;/RecNum&gt;&lt;DisplayText&gt;1975&lt;/DisplayText&gt;&lt;record&gt;&lt;rec-number&gt;2804&lt;/rec-number&gt;&lt;foreign-keys&gt;&lt;key app="EN" db-id="w0tztzf0h2dft0eaewxxtpr4exwxf90s525w" timestamp="1689356564" guid="06d33c7e-326e-4acc-82be-99f5dd7d9632"&gt;2804&lt;/key&gt;&lt;/foreign-keys&gt;&lt;ref-type name="Journal Article"&gt;17&lt;/ref-type&gt;&lt;contributors&gt;&lt;authors&gt;&lt;author&gt;Link, S. W&lt;/author&gt;&lt;author&gt;Heath, R.A&lt;/author&gt;&lt;/authors&gt;&lt;/contributors&gt;&lt;titles&gt;&lt;title&gt;A sequential theory of psychological discrimination&lt;/title&gt;&lt;/titles&gt;&lt;volume&gt;Psychometrika&lt;/volume&gt;&lt;dates&gt;&lt;year&gt;1975&lt;/year&gt;&lt;/dates&gt;&lt;urls&gt;&lt;/urls&gt;&lt;electronic-resource-num&gt;http://dx.doi.org/10.1007/BF02291481&lt;/electronic-resource-num&gt;&lt;/record&gt;&lt;/Cite&gt;&lt;/EndNote&gt;</w:instrText>
      </w:r>
      <w:r>
        <w:fldChar w:fldCharType="separate"/>
      </w:r>
      <w:r>
        <w:rPr>
          <w:noProof/>
        </w:rPr>
        <w:t>1975</w:t>
      </w:r>
      <w:r>
        <w:fldChar w:fldCharType="end"/>
      </w:r>
      <w:r w:rsidRPr="006A5D9F">
        <w:t xml:space="preserve">; Ratcliff, </w:t>
      </w:r>
      <w:r>
        <w:fldChar w:fldCharType="begin"/>
      </w:r>
      <w:r>
        <w:instrText xml:space="preserve"> ADDIN EN.CITE &lt;EndNote&gt;&lt;Cite&gt;&lt;Author&gt;Ratcliff&lt;/Author&gt;&lt;Year&gt;1978&lt;/Year&gt;&lt;RecNum&gt;1635&lt;/RecNum&gt;&lt;DisplayText&gt;1978&lt;/DisplayText&gt;&lt;record&gt;&lt;rec-number&gt;1635&lt;/rec-number&gt;&lt;foreign-keys&gt;&lt;key app="EN" db-id="w0tztzf0h2dft0eaewxxtpr4exwxf90s525w" timestamp="1659025412" guid="14f4cf71-2a19-489d-8841-79d47250e9d5"&gt;1635&lt;/key&gt;&lt;/foreign-keys&gt;&lt;ref-type name="Journal Article"&gt;17&lt;/ref-type&gt;&lt;contributors&gt;&lt;authors&gt;&lt;author&gt;Ratcliff, R.&lt;/author&gt;&lt;/authors&gt;&lt;/contributors&gt;&lt;titles&gt;&lt;title&gt;A theory of memory retrieval&lt;/title&gt;&lt;secondary-title&gt;Psychological Review&lt;/secondary-title&gt;&lt;short-title&gt;A theory of memory retrieval&lt;/short-title&gt;&lt;/titles&gt;&lt;periodical&gt;&lt;full-title&gt;Psychological Review&lt;/full-title&gt;&lt;abbr-1&gt;Psychol. Rev.&lt;/abbr-1&gt;&lt;abbr-2&gt;Psychol Rev&lt;/abbr-2&gt;&lt;/periodical&gt;&lt;pages&gt;59-108&lt;/pages&gt;&lt;volume&gt;85&lt;/volume&gt;&lt;dates&gt;&lt;year&gt;1978&lt;/year&gt;&lt;/dates&gt;&lt;urls&gt;&lt;/urls&gt;&lt;electronic-resource-num&gt;http://dx.doi.org/10.1037/0033-295X.85.2.59&lt;/electronic-resource-num&gt;&lt;/record&gt;&lt;/Cite&gt;&lt;/EndNote&gt;</w:instrText>
      </w:r>
      <w:r>
        <w:fldChar w:fldCharType="separate"/>
      </w:r>
      <w:r>
        <w:rPr>
          <w:noProof/>
        </w:rPr>
        <w:t>1978</w:t>
      </w:r>
      <w:r>
        <w:fldChar w:fldCharType="end"/>
      </w:r>
      <w:r w:rsidRPr="006A5D9F">
        <w:t xml:space="preserve">; Ratcliff &amp; Rouder, </w:t>
      </w:r>
      <w:r>
        <w:fldChar w:fldCharType="begin"/>
      </w:r>
      <w:r>
        <w:instrText xml:space="preserve"> ADDIN EN.CITE &lt;EndNote&gt;&lt;Cite&gt;&lt;Author&gt;Ratcliff&lt;/Author&gt;&lt;Year&gt;1998&lt;/Year&gt;&lt;RecNum&gt;2805&lt;/RecNum&gt;&lt;DisplayText&gt;1998&lt;/DisplayText&gt;&lt;record&gt;&lt;rec-number&gt;2805&lt;/rec-number&gt;&lt;foreign-keys&gt;&lt;key app="EN" db-id="w0tztzf0h2dft0eaewxxtpr4exwxf90s525w" timestamp="1689356796" guid="5f979b2f-5597-4ac8-bb58-3e484f864a7a"&gt;2805&lt;/key&gt;&lt;/foreign-keys&gt;&lt;ref-type name="Journal Article"&gt;17&lt;/ref-type&gt;&lt;contributors&gt;&lt;authors&gt;&lt;author&gt;Ratcliff, R.&lt;/author&gt;&lt;author&gt;Rouder, J. N.&lt;/author&gt;&lt;/authors&gt;&lt;/contributors&gt;&lt;titles&gt;&lt;title&gt;Modeling response times for two-choice decisions&lt;/title&gt;&lt;secondary-title&gt;Psychological Science&lt;/secondary-title&gt;&lt;/titles&gt;&lt;periodical&gt;&lt;full-title&gt;Psychological Science&lt;/full-title&gt;&lt;abbr-1&gt;Psychol. Sci.&lt;/abbr-1&gt;&lt;abbr-2&gt;Psychol Sci&lt;/abbr-2&gt;&lt;/periodical&gt;&lt;pages&gt;347-356&lt;/pages&gt;&lt;volume&gt;9&lt;/volume&gt;&lt;dates&gt;&lt;year&gt;1998&lt;/year&gt;&lt;/dates&gt;&lt;urls&gt;&lt;/urls&gt;&lt;electronic-resource-num&gt;https://doi.org/10.1111/1467-9280.00067&lt;/electronic-resource-num&gt;&lt;/record&gt;&lt;/Cite&gt;&lt;/EndNote&gt;</w:instrText>
      </w:r>
      <w:r>
        <w:fldChar w:fldCharType="separate"/>
      </w:r>
      <w:r>
        <w:rPr>
          <w:noProof/>
        </w:rPr>
        <w:t>1998</w:t>
      </w:r>
      <w:r>
        <w:fldChar w:fldCharType="end"/>
      </w:r>
      <w:r w:rsidRPr="006A5D9F">
        <w:t xml:space="preserve">).  </w:t>
      </w:r>
    </w:p>
    <w:p w14:paraId="311B2CEC" w14:textId="77777777" w:rsidR="00526E5D" w:rsidRPr="004737EF" w:rsidRDefault="00526E5D" w:rsidP="00526E5D">
      <w:pPr>
        <w:spacing w:line="480" w:lineRule="auto"/>
        <w:ind w:firstLine="720"/>
        <w:contextualSpacing/>
      </w:pPr>
      <w:r w:rsidRPr="004737EF">
        <w:t>SSP</w:t>
      </w:r>
      <w:r>
        <w:t xml:space="preserve">s </w:t>
      </w:r>
      <w:r w:rsidRPr="004737EF">
        <w:t xml:space="preserve">predict, in general, that the speed of response (the reaction time: RT) and the response choice are a function of the distributional overlap of the two </w:t>
      </w:r>
      <w:r>
        <w:t>latent distributions</w:t>
      </w:r>
      <w:r w:rsidRPr="004737EF">
        <w:t xml:space="preserve">.  When the two corresponding </w:t>
      </w:r>
      <w:r w:rsidRPr="008717F3">
        <w:t>distributions</w:t>
      </w:r>
      <w:r w:rsidRPr="004737EF">
        <w:t xml:space="preserve"> have a large overlap, the choice will be difficult because the two distributions driving the SSP will be very similar.  This results in a slow, error-prone response. Take, for example, an observer who is asked to identify the longer of two lines. When the line lengths are close, the observer will respond slowly and will have a high probability of erroneously judging the shorter line as longer (because the two lines “look” very similar).  </w:t>
      </w:r>
      <w:r>
        <w:t>In contrast</w:t>
      </w:r>
      <w:r w:rsidRPr="004737EF">
        <w:t xml:space="preserve">, when the two corresponding </w:t>
      </w:r>
      <w:r>
        <w:t>distributions</w:t>
      </w:r>
      <w:r w:rsidRPr="004737EF">
        <w:t xml:space="preserve"> have a small overlap, the choice will be easy because the two distributions driving the SSP will be very different.  This results in a fast, accurate response. This is analogous to presenting two lines of very different lengths to the observer who must identify the longer line.  Here, the observer will be both fast and accurate.</w:t>
      </w:r>
    </w:p>
    <w:p w14:paraId="7A972209" w14:textId="53C877AB" w:rsidR="00526E5D" w:rsidRPr="004737EF" w:rsidRDefault="00526E5D" w:rsidP="00526E5D">
      <w:pPr>
        <w:spacing w:line="480" w:lineRule="auto"/>
        <w:ind w:firstLine="720"/>
        <w:contextualSpacing/>
      </w:pPr>
      <w:r w:rsidRPr="004737EF">
        <w:t>Traditionally, SSPs</w:t>
      </w:r>
      <w:r>
        <w:t xml:space="preserve"> </w:t>
      </w:r>
      <w:r w:rsidRPr="004737EF">
        <w:t xml:space="preserve">use the pattern of participants’ </w:t>
      </w:r>
      <w:r w:rsidR="00E004CA">
        <w:t>RTs</w:t>
      </w:r>
      <w:r w:rsidRPr="004737EF">
        <w:t xml:space="preserve"> and choices to derive estimates of the latent distributions that are driving the sampling process (e.g., Busemeyer, et al., </w:t>
      </w:r>
      <w:r w:rsidRPr="004737EF">
        <w:fldChar w:fldCharType="begin"/>
      </w:r>
      <w:r>
        <w:instrText xml:space="preserve"> ADDIN EN.CITE &lt;EndNote&gt;&lt;Cite&gt;&lt;Author&gt;Busemeyer&lt;/Author&gt;&lt;Year&gt;2019&lt;/Year&gt;&lt;RecNum&gt;2806&lt;/RecNum&gt;&lt;DisplayText&gt;2019&lt;/DisplayText&gt;&lt;record&gt;&lt;rec-number&gt;2806&lt;/rec-number&gt;&lt;foreign-keys&gt;&lt;key app="EN" db-id="w0tztzf0h2dft0eaewxxtpr4exwxf90s525w" timestamp="1689664809" guid="a66e2905-8de2-41d8-9301-fc45f1f112b3"&gt;2806&lt;/key&gt;&lt;/foreign-keys&gt;&lt;ref-type name="Journal Article"&gt;17&lt;/ref-type&gt;&lt;contributors&gt;&lt;authors&gt;&lt;author&gt;Busemeyer, J.R&lt;/author&gt;&lt;author&gt;Gluth, S&lt;/author&gt;&lt;author&gt;Rieskamp, J&lt;/author&gt;&lt;author&gt;Turner, B.M&lt;/author&gt;&lt;/authors&gt;&lt;/contributors&gt;&lt;titles&gt;&lt;title&gt;Cognitive and neural bases of multi-attribute, multi-alternative, value-based decisions&lt;/title&gt;&lt;secondary-title&gt;Trends in Cognitive Sciences&lt;/secondary-title&gt;&lt;/titles&gt;&lt;periodical&gt;&lt;full-title&gt;Trends in Cognitive Sciences&lt;/full-title&gt;&lt;abbr-1&gt;Trends Cognit. Sci.&lt;/abbr-1&gt;&lt;/periodical&gt;&lt;pages&gt;251-263&lt;/pages&gt;&lt;volume&gt;23&lt;/volume&gt;&lt;dates&gt;&lt;year&gt;2019&lt;/year&gt;&lt;/dates&gt;&lt;urls&gt;&lt;/urls&gt;&lt;electronic-resource-num&gt;https://doi.org/10.1016/j.tics.2018.12.003&lt;/electronic-resource-num&gt;&lt;/record&gt;&lt;/Cite&gt;&lt;/EndNote&gt;</w:instrText>
      </w:r>
      <w:r w:rsidRPr="004737EF">
        <w:fldChar w:fldCharType="separate"/>
      </w:r>
      <w:r w:rsidRPr="004737EF">
        <w:rPr>
          <w:noProof/>
        </w:rPr>
        <w:t>2019</w:t>
      </w:r>
      <w:r w:rsidRPr="004737EF">
        <w:fldChar w:fldCharType="end"/>
      </w:r>
      <w:r w:rsidRPr="004737EF">
        <w:t xml:space="preserve">; Krajbich, </w:t>
      </w:r>
      <w:r w:rsidRPr="004737EF">
        <w:fldChar w:fldCharType="begin"/>
      </w:r>
      <w:r w:rsidRPr="004737EF">
        <w:instrText xml:space="preserve"> ADDIN EN.CITE &lt;EndNote&gt;&lt;Cite&gt;&lt;Author&gt;Krajbich&lt;/Author&gt;&lt;Year&gt;2019&lt;/Year&gt;&lt;RecNum&gt;2337&lt;/RecNum&gt;&lt;DisplayText&gt;2019&lt;/DisplayText&gt;&lt;record&gt;&lt;rec-number&gt;2337&lt;/rec-number&gt;&lt;foreign-keys&gt;&lt;key app="EN" db-id="w0tztzf0h2dft0eaewxxtpr4exwxf90s525w" timestamp="1659025438" guid="99120785-68a3-4a51-8fb9-37efaee4a8b3"&gt;2337&lt;/key&gt;&lt;/foreign-keys&gt;&lt;ref-type name="Journal Article"&gt;17&lt;/ref-type&gt;&lt;contributors&gt;&lt;authors&gt;&lt;author&gt;Krajbich, I&lt;/author&gt;&lt;/authors&gt;&lt;/contributors&gt;&lt;titles&gt;&lt;title&gt;Accounting for attention in sequential sampling models of decision making&lt;/title&gt;&lt;secondary-title&gt;Current Opinion in Psychology&lt;/secondary-title&gt;&lt;/titles&gt;&lt;periodical&gt;&lt;full-title&gt;Current Opinion in Psychology&lt;/full-title&gt;&lt;abbr-1&gt;Curr. Opin. Psychol.&lt;/abbr-1&gt;&lt;/periodical&gt;&lt;pages&gt;6-11&lt;/pages&gt;&lt;volume&gt;29&lt;/volume&gt;&lt;dates&gt;&lt;year&gt;2019&lt;/year&gt;&lt;/dates&gt;&lt;urls&gt;&lt;/urls&gt;&lt;electronic-resource-num&gt;https://doi.org/10.1016/j.copsyc.2018.10.008&lt;/electronic-resource-num&gt;&lt;/record&gt;&lt;/Cite&gt;&lt;/EndNote&gt;</w:instrText>
      </w:r>
      <w:r w:rsidRPr="004737EF">
        <w:fldChar w:fldCharType="separate"/>
      </w:r>
      <w:r w:rsidRPr="004737EF">
        <w:rPr>
          <w:noProof/>
        </w:rPr>
        <w:t>2019</w:t>
      </w:r>
      <w:r w:rsidRPr="004737EF">
        <w:fldChar w:fldCharType="end"/>
      </w:r>
      <w:r w:rsidRPr="004737EF">
        <w:t xml:space="preserve">; Link &amp; Heath, </w:t>
      </w:r>
      <w:r w:rsidRPr="004737EF">
        <w:fldChar w:fldCharType="begin"/>
      </w:r>
      <w:r w:rsidRPr="004737EF">
        <w:instrText xml:space="preserve"> ADDIN EN.CITE &lt;EndNote&gt;&lt;Cite&gt;&lt;Author&gt;Link&lt;/Author&gt;&lt;Year&gt;1975&lt;/Year&gt;&lt;RecNum&gt;2804&lt;/RecNum&gt;&lt;DisplayText&gt;1975&lt;/DisplayText&gt;&lt;record&gt;&lt;rec-number&gt;2804&lt;/rec-number&gt;&lt;foreign-keys&gt;&lt;key app="EN" db-id="w0tztzf0h2dft0eaewxxtpr4exwxf90s525w" timestamp="1689356564" guid="06d33c7e-326e-4acc-82be-99f5dd7d9632"&gt;2804&lt;/key&gt;&lt;/foreign-keys&gt;&lt;ref-type name="Journal Article"&gt;17&lt;/ref-type&gt;&lt;contributors&gt;&lt;authors&gt;&lt;author&gt;Link, S. W&lt;/author&gt;&lt;author&gt;Heath, R.A&lt;/author&gt;&lt;/authors&gt;&lt;/contributors&gt;&lt;titles&gt;&lt;title&gt;A sequential theory of psychological discrimination&lt;/title&gt;&lt;/titles&gt;&lt;volume&gt;Psychometrika&lt;/volume&gt;&lt;dates&gt;&lt;year&gt;1975&lt;/year&gt;&lt;/dates&gt;&lt;urls&gt;&lt;/urls&gt;&lt;electronic-resource-num&gt;http://dx.doi.org/10.1007/BF02291481&lt;/electronic-resource-num&gt;&lt;/record&gt;&lt;/Cite&gt;&lt;/EndNote&gt;</w:instrText>
      </w:r>
      <w:r w:rsidRPr="004737EF">
        <w:fldChar w:fldCharType="separate"/>
      </w:r>
      <w:r w:rsidRPr="004737EF">
        <w:rPr>
          <w:noProof/>
        </w:rPr>
        <w:t>1975</w:t>
      </w:r>
      <w:r w:rsidRPr="004737EF">
        <w:fldChar w:fldCharType="end"/>
      </w:r>
      <w:r w:rsidRPr="004737EF">
        <w:t xml:space="preserve">; Ratcliff, </w:t>
      </w:r>
      <w:r w:rsidRPr="004737EF">
        <w:fldChar w:fldCharType="begin"/>
      </w:r>
      <w:r w:rsidRPr="004737EF">
        <w:instrText xml:space="preserve"> ADDIN EN.CITE &lt;EndNote&gt;&lt;Cite&gt;&lt;Author&gt;Ratcliff&lt;/Author&gt;&lt;Year&gt;1978&lt;/Year&gt;&lt;RecNum&gt;1635&lt;/RecNum&gt;&lt;DisplayText&gt;1978&lt;/DisplayText&gt;&lt;record&gt;&lt;rec-number&gt;1635&lt;/rec-number&gt;&lt;foreign-keys&gt;&lt;key app="EN" db-id="w0tztzf0h2dft0eaewxxtpr4exwxf90s525w" timestamp="1659025412" guid="14f4cf71-2a19-489d-8841-79d47250e9d5"&gt;1635&lt;/key&gt;&lt;/foreign-keys&gt;&lt;ref-type name="Journal Article"&gt;17&lt;/ref-type&gt;&lt;contributors&gt;&lt;authors&gt;&lt;author&gt;Ratcliff, R.&lt;/author&gt;&lt;/authors&gt;&lt;/contributors&gt;&lt;titles&gt;&lt;title&gt;A theory of memory retrieval&lt;/title&gt;&lt;secondary-title&gt;Psychological Review&lt;/secondary-title&gt;&lt;short-title&gt;A theory of memory retrieval&lt;/short-title&gt;&lt;/titles&gt;&lt;periodical&gt;&lt;full-title&gt;Psychological Review&lt;/full-title&gt;&lt;abbr-1&gt;Psychol. Rev.&lt;/abbr-1&gt;&lt;abbr-2&gt;Psychol Rev&lt;/abbr-2&gt;&lt;/periodical&gt;&lt;pages&gt;59-108&lt;/pages&gt;&lt;volume&gt;85&lt;/volume&gt;&lt;dates&gt;&lt;year&gt;1978&lt;/year&gt;&lt;/dates&gt;&lt;urls&gt;&lt;/urls&gt;&lt;electronic-resource-num&gt;http://dx.doi.org/10.1037/0033-295X.85.2.59&lt;/electronic-resource-num&gt;&lt;/record&gt;&lt;/Cite&gt;&lt;/EndNote&gt;</w:instrText>
      </w:r>
      <w:r w:rsidRPr="004737EF">
        <w:fldChar w:fldCharType="separate"/>
      </w:r>
      <w:r w:rsidRPr="004737EF">
        <w:rPr>
          <w:noProof/>
        </w:rPr>
        <w:t>1978</w:t>
      </w:r>
      <w:r w:rsidRPr="004737EF">
        <w:fldChar w:fldCharType="end"/>
      </w:r>
      <w:r w:rsidRPr="004737EF">
        <w:t xml:space="preserve">; Ratcliff &amp; Rouder, </w:t>
      </w:r>
      <w:r w:rsidRPr="004737EF">
        <w:fldChar w:fldCharType="begin"/>
      </w:r>
      <w:r>
        <w:instrText xml:space="preserve"> ADDIN EN.CITE &lt;EndNote&gt;&lt;Cite&gt;&lt;Author&gt;Ratcliff&lt;/Author&gt;&lt;Year&gt;1998&lt;/Year&gt;&lt;RecNum&gt;2805&lt;/RecNum&gt;&lt;DisplayText&gt;1998&lt;/DisplayText&gt;&lt;record&gt;&lt;rec-number&gt;2805&lt;/rec-number&gt;&lt;foreign-keys&gt;&lt;key app="EN" db-id="w0tztzf0h2dft0eaewxxtpr4exwxf90s525w" timestamp="1689356796" guid="5f979b2f-5597-4ac8-bb58-3e484f864a7a"&gt;2805&lt;/key&gt;&lt;/foreign-keys&gt;&lt;ref-type name="Journal Article"&gt;17&lt;/ref-type&gt;&lt;contributors&gt;&lt;authors&gt;&lt;author&gt;Ratcliff, R.&lt;/author&gt;&lt;author&gt;Rouder, J. N.&lt;/author&gt;&lt;/authors&gt;&lt;/contributors&gt;&lt;titles&gt;&lt;title&gt;Modeling response times for two-choice decisions&lt;/title&gt;&lt;secondary-title&gt;Psychological Science&lt;/secondary-title&gt;&lt;/titles&gt;&lt;periodical&gt;&lt;full-title&gt;Psychological Science&lt;/full-title&gt;&lt;abbr-1&gt;Psychol. Sci.&lt;/abbr-1&gt;&lt;abbr-2&gt;Psychol Sci&lt;/abbr-2&gt;&lt;/periodical&gt;&lt;pages&gt;347-356&lt;/pages&gt;&lt;volume&gt;9&lt;/volume&gt;&lt;dates&gt;&lt;year&gt;1998&lt;/year&gt;&lt;/dates&gt;&lt;urls&gt;&lt;/urls&gt;&lt;electronic-resource-num&gt;https://doi.org/10.1111/1467-9280.00067&lt;/electronic-resource-num&gt;&lt;/record&gt;&lt;/Cite&gt;&lt;/EndNote&gt;</w:instrText>
      </w:r>
      <w:r w:rsidRPr="004737EF">
        <w:fldChar w:fldCharType="separate"/>
      </w:r>
      <w:r w:rsidRPr="004737EF">
        <w:rPr>
          <w:noProof/>
        </w:rPr>
        <w:t>1998</w:t>
      </w:r>
      <w:r w:rsidRPr="004737EF">
        <w:fldChar w:fldCharType="end"/>
      </w:r>
      <w:r w:rsidRPr="004737EF">
        <w:t xml:space="preserve">).  For example, if the participant responds quickly and accurately, traditional SSPs will estimate latent distributions that have little overlap.  When a researcher assumes that “value” is driving a response, these latent distributions are interpreted as representing the “value” of the options (e.g., Busemeyer &amp; </w:t>
      </w:r>
      <w:r w:rsidRPr="004737EF">
        <w:lastRenderedPageBreak/>
        <w:t xml:space="preserve">Townsend, </w:t>
      </w:r>
      <w:r w:rsidRPr="004737EF">
        <w:fldChar w:fldCharType="begin"/>
      </w:r>
      <w:r w:rsidRPr="004737EF">
        <w:instrText xml:space="preserve"> ADDIN EN.CITE &lt;EndNote&gt;&lt;Cite&gt;&lt;Author&gt;Busemeyer&lt;/Author&gt;&lt;Year&gt;1993&lt;/Year&gt;&lt;RecNum&gt;2802&lt;/RecNum&gt;&lt;DisplayText&gt;1993&lt;/DisplayText&gt;&lt;record&gt;&lt;rec-number&gt;2802&lt;/rec-number&gt;&lt;foreign-keys&gt;&lt;key app="EN" db-id="w0tztzf0h2dft0eaewxxtpr4exwxf90s525w" timestamp="1689355517" guid="1fcb5adc-f693-4e30-888a-cba687774ac0"&gt;2802&lt;/key&gt;&lt;/foreign-keys&gt;&lt;ref-type name="Journal Article"&gt;17&lt;/ref-type&gt;&lt;contributors&gt;&lt;authors&gt;&lt;author&gt;Busemeyer, J.R&lt;/author&gt;&lt;author&gt;Townsend, J. T.&lt;/author&gt;&lt;/authors&gt;&lt;/contributors&gt;&lt;titles&gt;&lt;title&gt;Decision field theory: a dynamic-cognitive approach to decision making in an uncertain environment&lt;/title&gt;&lt;secondary-title&gt;Psychological Review&lt;/secondary-title&gt;&lt;/titles&gt;&lt;periodical&gt;&lt;full-title&gt;Psychological Review&lt;/full-title&gt;&lt;abbr-1&gt;Psychol. Rev.&lt;/abbr-1&gt;&lt;abbr-2&gt;Psychol Rev&lt;/abbr-2&gt;&lt;/periodical&gt;&lt;pages&gt;432-459&lt;/pages&gt;&lt;volume&gt;100&lt;/volume&gt;&lt;dates&gt;&lt;year&gt;1993&lt;/year&gt;&lt;/dates&gt;&lt;urls&gt;&lt;/urls&gt;&lt;electronic-resource-num&gt;http://dx.doi.org/10.1037/0033-295X.100.3.432&lt;/electronic-resource-num&gt;&lt;/record&gt;&lt;/Cite&gt;&lt;/EndNote&gt;</w:instrText>
      </w:r>
      <w:r w:rsidRPr="004737EF">
        <w:fldChar w:fldCharType="separate"/>
      </w:r>
      <w:r w:rsidRPr="004737EF">
        <w:rPr>
          <w:noProof/>
        </w:rPr>
        <w:t>1993</w:t>
      </w:r>
      <w:r w:rsidRPr="004737EF">
        <w:fldChar w:fldCharType="end"/>
      </w:r>
      <w:r w:rsidRPr="004737EF">
        <w:t xml:space="preserve">; see also Busemeyer, Gluth, Reiskamp &amp; Turner, </w:t>
      </w:r>
      <w:r>
        <w:fldChar w:fldCharType="begin"/>
      </w:r>
      <w:r>
        <w:instrText xml:space="preserve"> ADDIN EN.CITE &lt;EndNote&gt;&lt;Cite&gt;&lt;Author&gt;Busemeyer&lt;/Author&gt;&lt;Year&gt;2019&lt;/Year&gt;&lt;RecNum&gt;2806&lt;/RecNum&gt;&lt;DisplayText&gt;2019&lt;/DisplayText&gt;&lt;record&gt;&lt;rec-number&gt;2806&lt;/rec-number&gt;&lt;foreign-keys&gt;&lt;key app="EN" db-id="w0tztzf0h2dft0eaewxxtpr4exwxf90s525w" timestamp="1689664809" guid="a66e2905-8de2-41d8-9301-fc45f1f112b3"&gt;2806&lt;/key&gt;&lt;/foreign-keys&gt;&lt;ref-type name="Journal Article"&gt;17&lt;/ref-type&gt;&lt;contributors&gt;&lt;authors&gt;&lt;author&gt;Busemeyer, J.R&lt;/author&gt;&lt;author&gt;Gluth, S&lt;/author&gt;&lt;author&gt;Rieskamp, J&lt;/author&gt;&lt;author&gt;Turner, B.M&lt;/author&gt;&lt;/authors&gt;&lt;/contributors&gt;&lt;titles&gt;&lt;title&gt;Cognitive and neural bases of multi-attribute, multi-alternative, value-based decisions&lt;/title&gt;&lt;secondary-title&gt;Trends in Cognitive Sciences&lt;/secondary-title&gt;&lt;/titles&gt;&lt;periodical&gt;&lt;full-title&gt;Trends in Cognitive Sciences&lt;/full-title&gt;&lt;abbr-1&gt;Trends Cognit. Sci.&lt;/abbr-1&gt;&lt;/periodical&gt;&lt;pages&gt;251-263&lt;/pages&gt;&lt;volume&gt;23&lt;/volume&gt;&lt;dates&gt;&lt;year&gt;2019&lt;/year&gt;&lt;/dates&gt;&lt;urls&gt;&lt;/urls&gt;&lt;electronic-resource-num&gt;https://doi.org/10.1016/j.tics.2018.12.003&lt;/electronic-resource-num&gt;&lt;/record&gt;&lt;/Cite&gt;&lt;/EndNote&gt;</w:instrText>
      </w:r>
      <w:r>
        <w:fldChar w:fldCharType="separate"/>
      </w:r>
      <w:r>
        <w:rPr>
          <w:noProof/>
        </w:rPr>
        <w:t>2019</w:t>
      </w:r>
      <w:r>
        <w:fldChar w:fldCharType="end"/>
      </w:r>
      <w:r w:rsidRPr="004737EF">
        <w:t xml:space="preserve">, for a more recent review).  However, traditional SSPs theorists do not </w:t>
      </w:r>
      <w:r w:rsidRPr="004737EF">
        <w:rPr>
          <w:i/>
          <w:iCs/>
        </w:rPr>
        <w:t>test</w:t>
      </w:r>
      <w:r w:rsidRPr="004737EF">
        <w:t xml:space="preserve"> the assumption that value is driving the responses</w:t>
      </w:r>
      <w:r w:rsidRPr="006A5D9F">
        <w:t xml:space="preserve">. For example, the estimated drift rate provides a proxy for the overlap of the Preferential Value (e.g., Krajbich et al., </w:t>
      </w:r>
      <w:r w:rsidRPr="004737EF">
        <w:fldChar w:fldCharType="begin"/>
      </w:r>
      <w:r w:rsidRPr="004737EF">
        <w:instrText xml:space="preserve"> ADDIN EN.CITE &lt;EndNote&gt;&lt;Cite&gt;&lt;Author&gt;Krajbich&lt;/Author&gt;&lt;Year&gt;2010&lt;/Year&gt;&lt;RecNum&gt;2338&lt;/RecNum&gt;&lt;DisplayText&gt;2010&lt;/DisplayText&gt;&lt;record&gt;&lt;rec-number&gt;2338&lt;/rec-number&gt;&lt;foreign-keys&gt;&lt;key app="EN" db-id="w0tztzf0h2dft0eaewxxtpr4exwxf90s525w" timestamp="1659025438" guid="d8f4bab6-2007-46ef-aafb-da8570d6491e"&gt;2338&lt;/key&gt;&lt;/foreign-keys&gt;&lt;ref-type name="Journal Article"&gt;17&lt;/ref-type&gt;&lt;contributors&gt;&lt;authors&gt;&lt;author&gt;Krajbich, I&lt;/author&gt;&lt;author&gt;Armel, C&lt;/author&gt;&lt;author&gt;Rangel, A.&lt;/author&gt;&lt;/authors&gt;&lt;/contributors&gt;&lt;titles&gt;&lt;title&gt;Visual fixations and the computation and comparison of value in simple choice&lt;/title&gt;&lt;secondary-title&gt;Nature Neuroscience&lt;/secondary-title&gt;&lt;/titles&gt;&lt;periodical&gt;&lt;full-title&gt;Nature Neuroscience&lt;/full-title&gt;&lt;abbr-1&gt;Nat. Neurosci.&lt;/abbr-1&gt;&lt;abbr-2&gt;Nat Neurosci&lt;/abbr-2&gt;&lt;/periodical&gt;&lt;pages&gt;1292&lt;/pages&gt;&lt;volume&gt;13&lt;/volume&gt;&lt;dates&gt;&lt;year&gt;2010&lt;/year&gt;&lt;/dates&gt;&lt;urls&gt;&lt;/urls&gt;&lt;electronic-resource-num&gt;https://doi.org/10.1038/nn.2635&lt;/electronic-resource-num&gt;&lt;/record&gt;&lt;/Cite&gt;&lt;/EndNote&gt;</w:instrText>
      </w:r>
      <w:r w:rsidRPr="004737EF">
        <w:fldChar w:fldCharType="separate"/>
      </w:r>
      <w:r w:rsidRPr="004737EF">
        <w:rPr>
          <w:noProof/>
        </w:rPr>
        <w:t>2010</w:t>
      </w:r>
      <w:r w:rsidRPr="004737EF">
        <w:fldChar w:fldCharType="end"/>
      </w:r>
      <w:r w:rsidRPr="006A5D9F">
        <w:t xml:space="preserve">; Rangel &amp; Clithero, </w:t>
      </w:r>
      <w:r>
        <w:fldChar w:fldCharType="begin"/>
      </w:r>
      <w:r>
        <w:instrText xml:space="preserve"> ADDIN EN.CITE &lt;EndNote&gt;&lt;Cite&gt;&lt;Author&gt;Rangel&lt;/Author&gt;&lt;Year&gt;2014&lt;/Year&gt;&lt;RecNum&gt;2339&lt;/RecNum&gt;&lt;DisplayText&gt;2014&lt;/DisplayText&gt;&lt;record&gt;&lt;rec-number&gt;2339&lt;/rec-number&gt;&lt;foreign-keys&gt;&lt;key app="EN" db-id="w0tztzf0h2dft0eaewxxtpr4exwxf90s525w" timestamp="1659025438" guid="957ddd09-b765-4c34-853e-a321c56ff6ae"&gt;2339&lt;/key&gt;&lt;/foreign-keys&gt;&lt;ref-type name="Book Section"&gt;5&lt;/ref-type&gt;&lt;contributors&gt;&lt;authors&gt;&lt;author&gt;Rangel, A.&lt;/author&gt;&lt;author&gt;Clithero, J.A&lt;/author&gt;&lt;/authors&gt;&lt;/contributors&gt;&lt;titles&gt;&lt;title&gt;The computation of stimulus values in simple choice&lt;/title&gt;&lt;secondary-title&gt;Neuroeconomics&lt;/secondary-title&gt;&lt;/titles&gt;&lt;pages&gt;125-148&lt;/pages&gt;&lt;dates&gt;&lt;year&gt;2014&lt;/year&gt;&lt;/dates&gt;&lt;publisher&gt;Academic Press&lt;/publisher&gt;&lt;urls&gt;&lt;/urls&gt;&lt;/record&gt;&lt;/Cite&gt;&lt;/EndNote&gt;</w:instrText>
      </w:r>
      <w:r>
        <w:fldChar w:fldCharType="separate"/>
      </w:r>
      <w:r>
        <w:rPr>
          <w:noProof/>
        </w:rPr>
        <w:t>2014</w:t>
      </w:r>
      <w:r>
        <w:fldChar w:fldCharType="end"/>
      </w:r>
      <w:r w:rsidRPr="006A5D9F">
        <w:t xml:space="preserve">; Krajbich, 2019). In this respect, using a sequential sampling procedure to estimate drift rate of a latent “value” construct from preferential choice behavior is theoretically similar to estimating the mean of a latent “value” construct from preferential choice behavior using Utility theory.  Whereas Utility theory estimates changes in mean value over a set of options, </w:t>
      </w:r>
      <w:r>
        <w:t>SSPs</w:t>
      </w:r>
      <w:r w:rsidRPr="006A5D9F">
        <w:t xml:space="preserve"> estimate the relative difference in value between two choices. </w:t>
      </w:r>
    </w:p>
    <w:p w14:paraId="1301BE57" w14:textId="464FB954" w:rsidR="00526E5D" w:rsidRPr="006A5D9F" w:rsidRDefault="00526E5D" w:rsidP="00526E5D">
      <w:pPr>
        <w:spacing w:line="480" w:lineRule="auto"/>
        <w:ind w:firstLine="720"/>
      </w:pPr>
      <w:r w:rsidRPr="006A5D9F">
        <w:t xml:space="preserve">In an attempt to mitigate this limitation, researchers have integrated participants’ ratings of value </w:t>
      </w:r>
      <w:r>
        <w:t xml:space="preserve">surrogates </w:t>
      </w:r>
      <w:r w:rsidRPr="006A5D9F">
        <w:t xml:space="preserve">into their estimation of drift rate.  Experimentally, </w:t>
      </w:r>
      <w:r>
        <w:t xml:space="preserve">each value surrogate </w:t>
      </w:r>
      <w:r w:rsidRPr="006A5D9F">
        <w:t xml:space="preserve">is most commonly measured along a single dimension such as pleasantness ratings of faces, houses, and paintings (Lebreton, Jorge, Michel, Thirion &amp; Pessiglione, </w:t>
      </w:r>
      <w:r>
        <w:fldChar w:fldCharType="begin"/>
      </w:r>
      <w:r>
        <w:instrText xml:space="preserve"> ADDIN EN.CITE &lt;EndNote&gt;&lt;Cite&gt;&lt;Author&gt;Lebreton&lt;/Author&gt;&lt;Year&gt;2009&lt;/Year&gt;&lt;RecNum&gt;2807&lt;/RecNum&gt;&lt;DisplayText&gt;2009&lt;/DisplayText&gt;&lt;record&gt;&lt;rec-number&gt;2807&lt;/rec-number&gt;&lt;foreign-keys&gt;&lt;key app="EN" db-id="w0tztzf0h2dft0eaewxxtpr4exwxf90s525w" timestamp="1689694789" guid="860febb4-c357-4753-bf4b-f80bdd6ff859"&gt;2807&lt;/key&gt;&lt;/foreign-keys&gt;&lt;ref-type name="Journal Article"&gt;17&lt;/ref-type&gt;&lt;contributors&gt;&lt;authors&gt;&lt;author&gt;Lebreton, M&lt;/author&gt;&lt;author&gt;Jorge, S&lt;/author&gt;&lt;author&gt;Michel, V&lt;/author&gt;&lt;author&gt;Thiron, B&lt;/author&gt;&lt;author&gt;Pessiglione, M&lt;/author&gt;&lt;/authors&gt;&lt;/contributors&gt;&lt;titles&gt;&lt;title&gt;An automatic valuation system in the human brain: evidence from functional neuroimaging&lt;/title&gt;&lt;secondary-title&gt;Neuron&lt;/secondary-title&gt;&lt;/titles&gt;&lt;periodical&gt;&lt;full-title&gt;Neuron&lt;/full-title&gt;&lt;abbr-1&gt;Neuron&lt;/abbr-1&gt;&lt;abbr-2&gt;Neuron&lt;/abbr-2&gt;&lt;/periodical&gt;&lt;pages&gt;431-439&lt;/pages&gt;&lt;volume&gt;64&lt;/volume&gt;&lt;dates&gt;&lt;year&gt;2009&lt;/year&gt;&lt;/dates&gt;&lt;urls&gt;&lt;/urls&gt;&lt;electronic-resource-num&gt;http://dx.doi.org/10.1016/j.neuron.2009.09.040&lt;/electronic-resource-num&gt;&lt;/record&gt;&lt;/Cite&gt;&lt;/EndNote&gt;</w:instrText>
      </w:r>
      <w:r>
        <w:fldChar w:fldCharType="separate"/>
      </w:r>
      <w:r>
        <w:rPr>
          <w:noProof/>
        </w:rPr>
        <w:t>2009</w:t>
      </w:r>
      <w:r>
        <w:fldChar w:fldCharType="end"/>
      </w:r>
      <w:r w:rsidRPr="006A5D9F">
        <w:t xml:space="preserve">), willingness to pay for snack foods, nonfood consumables (Chib et al., </w:t>
      </w:r>
      <w:r>
        <w:fldChar w:fldCharType="begin"/>
      </w:r>
      <w:r>
        <w:instrText xml:space="preserve"> ADDIN EN.CITE &lt;EndNote&gt;&lt;Cite&gt;&lt;Author&gt;Chibb&lt;/Author&gt;&lt;Year&gt;2009&lt;/Year&gt;&lt;RecNum&gt;2761&lt;/RecNum&gt;&lt;DisplayText&gt;2009&lt;/DisplayText&gt;&lt;record&gt;&lt;rec-number&gt;2761&lt;/rec-number&gt;&lt;foreign-keys&gt;&lt;key app="EN" db-id="w0tztzf0h2dft0eaewxxtpr4exwxf90s525w" timestamp="1683796144" guid="7abc0cea-eb54-4dc2-9e30-852048c8b34c"&gt;2761&lt;/key&gt;&lt;/foreign-keys&gt;&lt;ref-type name="Journal Article"&gt;17&lt;/ref-type&gt;&lt;contributors&gt;&lt;authors&gt;&lt;author&gt;Chibb, V.S&lt;/author&gt;&lt;author&gt;Rangel, A.&lt;/author&gt;&lt;author&gt;Shimojo, S.&lt;/author&gt;&lt;author&gt;O’Doherty, J. P&lt;/author&gt;&lt;/authors&gt;&lt;/contributors&gt;&lt;titles&gt;&lt;title&gt;Evidence for a common representation of decision values for dissimilar goods in human ventromedial prefrontal cortex.&lt;/title&gt;&lt;secondary-title&gt;Journal of Neuroscience&lt;/secondary-title&gt;&lt;/titles&gt;&lt;periodical&gt;&lt;full-title&gt;Journal of Neuroscience&lt;/full-title&gt;&lt;abbr-1&gt;J. Neurosci.&lt;/abbr-1&gt;&lt;abbr-2&gt;J Neurosci&lt;/abbr-2&gt;&lt;/periodical&gt;&lt;pages&gt;12315-12320&lt;/pages&gt;&lt;volume&gt;29&lt;/volume&gt;&lt;dates&gt;&lt;year&gt;2009&lt;/year&gt;&lt;/dates&gt;&lt;urls&gt;&lt;/urls&gt;&lt;electronic-resource-num&gt;https://doi.org/10.1523/JNEUROSCI.2575-09.2009&lt;/electronic-resource-num&gt;&lt;/record&gt;&lt;/Cite&gt;&lt;/EndNote&gt;</w:instrText>
      </w:r>
      <w:r>
        <w:fldChar w:fldCharType="separate"/>
      </w:r>
      <w:r>
        <w:rPr>
          <w:noProof/>
        </w:rPr>
        <w:t>2009</w:t>
      </w:r>
      <w:r>
        <w:fldChar w:fldCharType="end"/>
      </w:r>
      <w:r w:rsidRPr="006A5D9F">
        <w:t>) and movies (</w:t>
      </w:r>
      <w:r w:rsidRPr="006A5D9F">
        <w:rPr>
          <w:color w:val="222222"/>
        </w:rPr>
        <w:t xml:space="preserve">Grueschow, Polania, Hare, &amp; Ruff, </w:t>
      </w:r>
      <w:r>
        <w:rPr>
          <w:color w:val="222222"/>
        </w:rPr>
        <w:fldChar w:fldCharType="begin"/>
      </w:r>
      <w:r>
        <w:rPr>
          <w:color w:val="222222"/>
        </w:rPr>
        <w:instrText xml:space="preserve"> ADDIN EN.CITE &lt;EndNote&gt;&lt;Cite&gt;&lt;Author&gt;Grueschow&lt;/Author&gt;&lt;Year&gt;2015&lt;/Year&gt;&lt;RecNum&gt;2808&lt;/RecNum&gt;&lt;DisplayText&gt;2015&lt;/DisplayText&gt;&lt;record&gt;&lt;rec-number&gt;2808&lt;/rec-number&gt;&lt;foreign-keys&gt;&lt;key app="EN" db-id="w0tztzf0h2dft0eaewxxtpr4exwxf90s525w" timestamp="1689695035" guid="1ae7e165-a7cf-4319-8e39-3296d870eccb"&gt;2808&lt;/key&gt;&lt;/foreign-keys&gt;&lt;ref-type name="Journal Article"&gt;17&lt;/ref-type&gt;&lt;contributors&gt;&lt;authors&gt;&lt;author&gt;Grueschow, M&lt;/author&gt;&lt;author&gt;Polania, R&lt;/author&gt;&lt;author&gt;Hare, T. A&lt;/author&gt;&lt;author&gt;Ruff, C.C&lt;/author&gt;&lt;/authors&gt;&lt;/contributors&gt;&lt;titles&gt;&lt;title&gt;Automatic versus choice-dependent value representations in the human brain&lt;/title&gt;&lt;secondary-title&gt;Neuron&lt;/secondary-title&gt;&lt;/titles&gt;&lt;periodical&gt;&lt;full-title&gt;Neuron&lt;/full-title&gt;&lt;abbr-1&gt;Neuron&lt;/abbr-1&gt;&lt;abbr-2&gt;Neuron&lt;/abbr-2&gt;&lt;/periodical&gt;&lt;pages&gt;874-885&lt;/pages&gt;&lt;volume&gt;85&lt;/volume&gt;&lt;dates&gt;&lt;year&gt;2015&lt;/year&gt;&lt;/dates&gt;&lt;urls&gt;&lt;/urls&gt;&lt;electronic-resource-num&gt;http://dx.doi.org/10.1016/j.neuron.2014.12.054&lt;/electronic-resource-num&gt;&lt;/record&gt;&lt;/Cite&gt;&lt;/EndNote&gt;</w:instrText>
      </w:r>
      <w:r>
        <w:rPr>
          <w:color w:val="222222"/>
        </w:rPr>
        <w:fldChar w:fldCharType="separate"/>
      </w:r>
      <w:r>
        <w:rPr>
          <w:noProof/>
          <w:color w:val="222222"/>
        </w:rPr>
        <w:t>2015</w:t>
      </w:r>
      <w:r>
        <w:rPr>
          <w:color w:val="222222"/>
        </w:rPr>
        <w:fldChar w:fldCharType="end"/>
      </w:r>
      <w:r w:rsidRPr="006A5D9F">
        <w:t>), and desirability ratings of snack foods (e.g.,</w:t>
      </w:r>
      <w:r w:rsidR="00E43621" w:rsidRPr="00E43621">
        <w:t xml:space="preserve"> </w:t>
      </w:r>
      <w:r w:rsidR="00E43621" w:rsidRPr="006A5D9F">
        <w:t xml:space="preserve">Colas &amp; Lu, </w:t>
      </w:r>
      <w:r w:rsidR="00E43621">
        <w:fldChar w:fldCharType="begin"/>
      </w:r>
      <w:r w:rsidR="00E43621">
        <w:instrText xml:space="preserve"> ADDIN EN.CITE &lt;EndNote&gt;&lt;Cite&gt;&lt;Author&gt;Colas&lt;/Author&gt;&lt;Year&gt;2017&lt;/Year&gt;&lt;RecNum&gt;2810&lt;/RecNum&gt;&lt;DisplayText&gt;2017&lt;/DisplayText&gt;&lt;record&gt;&lt;rec-number&gt;2810&lt;/rec-number&gt;&lt;foreign-keys&gt;&lt;key app="EN" db-id="w0tztzf0h2dft0eaewxxtpr4exwxf90s525w" timestamp="1689695809" guid="39dd8608-2380-4bf8-99bf-fa5dd00d3cb6"&gt;2810&lt;/key&gt;&lt;/foreign-keys&gt;&lt;ref-type name="Journal Article"&gt;17&lt;/ref-type&gt;&lt;contributors&gt;&lt;authors&gt;&lt;author&gt;Colas, J.T&lt;/author&gt;&lt;author&gt;Lu, J&lt;/author&gt;&lt;/authors&gt;&lt;/contributors&gt;&lt;titles&gt;&lt;title&gt;Learning where to look for high value improves decision making asymmetrically&lt;/title&gt;&lt;secondary-title&gt;Frontiers in Psychology&lt;/secondary-title&gt;&lt;/titles&gt;&lt;periodical&gt;&lt;full-title&gt;Frontiers in Psychology&lt;/full-title&gt;&lt;abbr-1&gt;Front. Psychol.&lt;/abbr-1&gt;&lt;/periodical&gt;&lt;pages&gt;2000&lt;/pages&gt;&lt;volume&gt;8&lt;/volume&gt;&lt;dates&gt;&lt;year&gt;2017&lt;/year&gt;&lt;/dates&gt;&lt;urls&gt;&lt;/urls&gt;&lt;electronic-resource-num&gt;https://doi.org/10.3389/fpsyg.2017.02000&lt;/electronic-resource-num&gt;&lt;/record&gt;&lt;/Cite&gt;&lt;/EndNote&gt;</w:instrText>
      </w:r>
      <w:r w:rsidR="00E43621">
        <w:fldChar w:fldCharType="separate"/>
      </w:r>
      <w:r w:rsidR="00E43621">
        <w:rPr>
          <w:noProof/>
        </w:rPr>
        <w:t>2017</w:t>
      </w:r>
      <w:r w:rsidR="00E43621">
        <w:fldChar w:fldCharType="end"/>
      </w:r>
      <w:r w:rsidR="00E43621" w:rsidRPr="006A5D9F">
        <w:t xml:space="preserve">; Gwinn, Leber, &amp; Krajbich, </w:t>
      </w:r>
      <w:r w:rsidR="00E43621">
        <w:fldChar w:fldCharType="begin"/>
      </w:r>
      <w:r w:rsidR="00E43621">
        <w:instrText xml:space="preserve"> ADDIN EN.CITE &lt;EndNote&gt;&lt;Cite&gt;&lt;Author&gt;Gwinn&lt;/Author&gt;&lt;Year&gt;2019&lt;/Year&gt;&lt;RecNum&gt;2811&lt;/RecNum&gt;&lt;DisplayText&gt;2019&lt;/DisplayText&gt;&lt;record&gt;&lt;rec-number&gt;2811&lt;/rec-number&gt;&lt;foreign-keys&gt;&lt;key app="EN" db-id="w0tztzf0h2dft0eaewxxtpr4exwxf90s525w" timestamp="1689696065" guid="ab56ac6d-b90f-471b-8444-4ccc41c093ea"&gt;2811&lt;/key&gt;&lt;/foreign-keys&gt;&lt;ref-type name="Journal Article"&gt;17&lt;/ref-type&gt;&lt;contributors&gt;&lt;authors&gt;&lt;author&gt;Gwinn, R&lt;/author&gt;&lt;author&gt;Leber, A. B.&lt;/author&gt;&lt;author&gt;Krajbich, I&lt;/author&gt;&lt;/authors&gt;&lt;/contributors&gt;&lt;titles&gt;&lt;title&gt;The spillover effects of attentional learning on value-based choice&lt;/title&gt;&lt;secondary-title&gt;Cognition&lt;/secondary-title&gt;&lt;/titles&gt;&lt;periodical&gt;&lt;full-title&gt;Cognition&lt;/full-title&gt;&lt;abbr-1&gt;Cognition&lt;/abbr-1&gt;&lt;abbr-2&gt;Cognition&lt;/abbr-2&gt;&lt;/periodical&gt;&lt;pages&gt;294-306&lt;/pages&gt;&lt;volume&gt;182&lt;/volume&gt;&lt;dates&gt;&lt;year&gt;2019&lt;/year&gt;&lt;/dates&gt;&lt;urls&gt;&lt;/urls&gt;&lt;electronic-resource-num&gt;http://dx.doi.org/10.1016/j.cognition.2018.10.012&lt;/electronic-resource-num&gt;&lt;/record&gt;&lt;/Cite&gt;&lt;/EndNote&gt;</w:instrText>
      </w:r>
      <w:r w:rsidR="00E43621">
        <w:fldChar w:fldCharType="separate"/>
      </w:r>
      <w:r w:rsidR="00E43621">
        <w:rPr>
          <w:noProof/>
        </w:rPr>
        <w:t>2019</w:t>
      </w:r>
      <w:r w:rsidR="00E43621">
        <w:fldChar w:fldCharType="end"/>
      </w:r>
      <w:r w:rsidR="00E43621">
        <w:t>;</w:t>
      </w:r>
      <w:r w:rsidRPr="006A5D9F">
        <w:t xml:space="preserve"> Krajbich et al., 2010; Krajbich, Hare, Bartling, Morishima, &amp; Fehr, </w:t>
      </w:r>
      <w:r>
        <w:fldChar w:fldCharType="begin"/>
      </w:r>
      <w:r>
        <w:instrText xml:space="preserve"> ADDIN EN.CITE &lt;EndNote&gt;&lt;Cite&gt;&lt;Author&gt;Krajbich&lt;/Author&gt;&lt;Year&gt;2015&lt;/Year&gt;&lt;RecNum&gt;2809&lt;/RecNum&gt;&lt;DisplayText&gt;2015&lt;/DisplayText&gt;&lt;record&gt;&lt;rec-number&gt;2809&lt;/rec-number&gt;&lt;foreign-keys&gt;&lt;key app="EN" db-id="w0tztzf0h2dft0eaewxxtpr4exwxf90s525w" timestamp="1689695210" guid="5d4b3e84-15e0-4c8a-b16e-ae4ce516a9d9"&gt;2809&lt;/key&gt;&lt;/foreign-keys&gt;&lt;ref-type name="Journal Article"&gt;17&lt;/ref-type&gt;&lt;contributors&gt;&lt;authors&gt;&lt;author&gt;Krajbich, I&lt;/author&gt;&lt;author&gt;Hare, T. A&lt;/author&gt;&lt;author&gt;Bartling, B&lt;/author&gt;&lt;author&gt;Morishima, Y&lt;/author&gt;&lt;author&gt;Fehr, E&lt;/author&gt;&lt;/authors&gt;&lt;/contributors&gt;&lt;titles&gt;&lt;title&gt;A common mechanism underlying food choice and social decisions&lt;/title&gt;&lt;secondary-title&gt;PLoS Computational Biology&lt;/secondary-title&gt;&lt;/titles&gt;&lt;periodical&gt;&lt;full-title&gt;PLoS Computational Biology&lt;/full-title&gt;&lt;abbr-1&gt;PLoS Comput. Biol.&lt;/abbr-1&gt;&lt;abbr-2&gt;PLoS Comput Biol&lt;/abbr-2&gt;&lt;/periodical&gt;&lt;pages&gt;e1004371&lt;/pages&gt;&lt;volume&gt;11&lt;/volume&gt;&lt;dates&gt;&lt;year&gt;2015&lt;/year&gt;&lt;/dates&gt;&lt;urls&gt;&lt;/urls&gt;&lt;electronic-resource-num&gt;https://doi.org/10.1371/journal.pcbi.1004371&lt;/electronic-resource-num&gt;&lt;/record&gt;&lt;/Cite&gt;&lt;/EndNote&gt;</w:instrText>
      </w:r>
      <w:r>
        <w:fldChar w:fldCharType="separate"/>
      </w:r>
      <w:r>
        <w:rPr>
          <w:noProof/>
        </w:rPr>
        <w:t>2015</w:t>
      </w:r>
      <w:r>
        <w:fldChar w:fldCharType="end"/>
      </w:r>
      <w:r w:rsidRPr="006A5D9F">
        <w:t>; Li</w:t>
      </w:r>
      <w:r>
        <w:t>n</w:t>
      </w:r>
      <w:r w:rsidRPr="006A5D9F">
        <w:rPr>
          <w:color w:val="222222"/>
        </w:rPr>
        <w:t>, O'Doherty &amp; Rangel</w:t>
      </w:r>
      <w:r w:rsidRPr="006A5D9F">
        <w:t xml:space="preserve">, </w:t>
      </w:r>
      <w:r>
        <w:fldChar w:fldCharType="begin"/>
      </w:r>
      <w:r>
        <w:instrText xml:space="preserve"> ADDIN EN.CITE &lt;EndNote&gt;&lt;Cite&gt;&lt;Author&gt;Lin&lt;/Author&gt;&lt;Year&gt;2011&lt;/Year&gt;&lt;RecNum&gt;2764&lt;/RecNum&gt;&lt;DisplayText&gt;2011&lt;/DisplayText&gt;&lt;record&gt;&lt;rec-number&gt;2764&lt;/rec-number&gt;&lt;foreign-keys&gt;&lt;key app="EN" db-id="w0tztzf0h2dft0eaewxxtpr4exwxf90s525w" timestamp="1683796617" guid="4d9d3ae8-ef24-4134-bcdf-90eec6391aff"&gt;2764&lt;/key&gt;&lt;/foreign-keys&gt;&lt;ref-type name="Journal Article"&gt;17&lt;/ref-type&gt;&lt;contributors&gt;&lt;authors&gt;&lt;author&gt;Lin, A&lt;/author&gt;&lt;author&gt;Adolphs, R.&lt;/author&gt;&lt;author&gt;Rangel, A.&lt;/author&gt;&lt;/authors&gt;&lt;/contributors&gt;&lt;titles&gt;&lt;title&gt;Dynamic construction of stimulus values in the ventromedial prefrontal cortex&lt;/title&gt;&lt;secondary-title&gt;PLoS ONE&lt;/secondary-title&gt;&lt;/titles&gt;&lt;periodical&gt;&lt;full-title&gt;PLoS ONE&lt;/full-title&gt;&lt;abbr-1&gt;PLoS ONE&lt;/abbr-1&gt;&lt;abbr-2&gt;PLoS ONE&lt;/abbr-2&gt;&lt;/periodical&gt;&lt;pages&gt;e21074&lt;/pages&gt;&lt;volume&gt;6&lt;/volume&gt;&lt;dates&gt;&lt;year&gt;2011&lt;/year&gt;&lt;/dates&gt;&lt;urls&gt;&lt;/urls&gt;&lt;electronic-resource-num&gt;https://doi.org/10.1371/journal.pone.0021074&lt;/electronic-resource-num&gt;&lt;/record&gt;&lt;/Cite&gt;&lt;/EndNote&gt;</w:instrText>
      </w:r>
      <w:r>
        <w:fldChar w:fldCharType="separate"/>
      </w:r>
      <w:r>
        <w:rPr>
          <w:noProof/>
        </w:rPr>
        <w:t>2011</w:t>
      </w:r>
      <w:r>
        <w:fldChar w:fldCharType="end"/>
      </w:r>
      <w:r>
        <w:t>)</w:t>
      </w:r>
      <w:r w:rsidRPr="006A5D9F">
        <w:t>. For example, Milosavljevic, Malmaud, Huth, Koch, and Rangel (</w:t>
      </w:r>
      <w:r>
        <w:fldChar w:fldCharType="begin"/>
      </w:r>
      <w:r w:rsidR="00083EEF">
        <w:instrText xml:space="preserve"> ADDIN EN.CITE &lt;EndNote&gt;&lt;Cite&gt;&lt;Author&gt;Milosavljevic&lt;/Author&gt;&lt;Year&gt;2010&lt;/Year&gt;&lt;RecNum&gt;2812&lt;/RecNum&gt;&lt;DisplayText&gt;2010&lt;/DisplayText&gt;&lt;record&gt;&lt;rec-number&gt;2812&lt;/rec-number&gt;&lt;foreign-keys&gt;&lt;key app="EN" db-id="w0tztzf0h2dft0eaewxxtpr4exwxf90s525w" timestamp="1689696352" guid="491f6341-7370-4c43-8b60-4da1ced3359b"&gt;2812&lt;/key&gt;&lt;/foreign-keys&gt;&lt;ref-type name="Journal Article"&gt;17&lt;/ref-type&gt;&lt;contributors&gt;&lt;authors&gt;&lt;author&gt;Milosavljevic, M.&lt;/author&gt;&lt;author&gt;Malmaud, J&lt;/author&gt;&lt;author&gt;Huth, A&lt;/author&gt;&lt;author&gt;Koch, C.&lt;/author&gt;&lt;author&gt;Rangel, A.&lt;/author&gt;&lt;/authors&gt;&lt;/contributors&gt;&lt;titles&gt;&lt;title&gt;The drift diffusion model can account for the accuracy and reaction time of value-based choices under high and low time pressure&lt;/title&gt;&lt;secondary-title&gt;Judgment and Decision Making&lt;/secondary-title&gt;&lt;/titles&gt;&lt;periodical&gt;&lt;full-title&gt;Judgment and Decision Making&lt;/full-title&gt;&lt;abbr-1&gt;Judgm. Decis. Making&lt;/abbr-1&gt;&lt;/periodical&gt;&lt;pages&gt;437-449.&lt;/pages&gt;&lt;volume&gt;5&lt;/volume&gt;&lt;dates&gt;&lt;year&gt;2010&lt;/year&gt;&lt;/dates&gt;&lt;urls&gt;&lt;/urls&gt;&lt;electronic-resource-num&gt;https://doi.org/10.1017/S1930297500001285&lt;/electronic-resource-num&gt;&lt;/record&gt;&lt;/Cite&gt;&lt;/EndNote&gt;</w:instrText>
      </w:r>
      <w:r>
        <w:fldChar w:fldCharType="separate"/>
      </w:r>
      <w:r>
        <w:rPr>
          <w:noProof/>
        </w:rPr>
        <w:t>2010</w:t>
      </w:r>
      <w:r>
        <w:fldChar w:fldCharType="end"/>
      </w:r>
      <w:r w:rsidRPr="006A5D9F">
        <w:t xml:space="preserve">) asked participants to indicate how much they would like to eat each of 50 snack foods on a scale from -2 to 2.  Next, participants completed a choice task in which they chose one of two randomly presented snack foods on each trial. The authors used a sequential sampling procedure to estimate drift rate from participants’ RT and response choices.  Here, rather than estimate a separate drift rate for each condition, the researchers estimated a single drift rate, </w:t>
      </w:r>
      <w:r w:rsidRPr="006A5D9F">
        <w:lastRenderedPageBreak/>
        <w:t xml:space="preserve">scaled it by the difference in value between two options and were able to fit the data reasonably well. </w:t>
      </w:r>
    </w:p>
    <w:p w14:paraId="44EFC7E0" w14:textId="3A31D643" w:rsidR="00526E5D" w:rsidRPr="00C06677" w:rsidRDefault="00526E5D" w:rsidP="00526E5D">
      <w:pPr>
        <w:spacing w:line="480" w:lineRule="auto"/>
        <w:ind w:firstLine="720"/>
        <w:contextualSpacing/>
      </w:pPr>
      <w:r w:rsidRPr="006A5D9F">
        <w:t xml:space="preserve">PVT </w:t>
      </w:r>
      <w:r>
        <w:t xml:space="preserve">advances this research by defining value, measuring it independent of choice, and using those measurements to predict choice.  PVT assumes </w:t>
      </w:r>
      <w:r w:rsidRPr="006A5D9F">
        <w:t xml:space="preserve">(and </w:t>
      </w:r>
      <w:r>
        <w:t xml:space="preserve">we </w:t>
      </w:r>
      <w:r w:rsidRPr="006A5D9F">
        <w:t xml:space="preserve">have some evidence supporting this assumption, Cohen et al., </w:t>
      </w:r>
      <w:r w:rsidR="00C4241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C42417">
        <w:fldChar w:fldCharType="separate"/>
      </w:r>
      <w:r w:rsidR="00C42417">
        <w:rPr>
          <w:noProof/>
        </w:rPr>
        <w:t>2022</w:t>
      </w:r>
      <w:r w:rsidR="00C42417">
        <w:fldChar w:fldCharType="end"/>
      </w:r>
      <w:r>
        <w:t>,</w:t>
      </w:r>
      <w:r w:rsidRPr="006A5D9F">
        <w:t xml:space="preserve"> and internal lab data) that people perceive the Psychological Value of all potential stimuli (objects, animals, people, concepts, etc.).  Therefore, rather than collect stimulus specific ratings, Psychological Value </w:t>
      </w:r>
      <w:r>
        <w:t xml:space="preserve">is measured </w:t>
      </w:r>
      <w:r w:rsidRPr="006A5D9F">
        <w:t>consistently across stimuli</w:t>
      </w:r>
      <w:r>
        <w:t xml:space="preserve"> using the magnitude estimation task. </w:t>
      </w:r>
      <w:r w:rsidRPr="006A5D9F">
        <w:t>These measurements describe the perceived Psychological Value distribution</w:t>
      </w:r>
      <w:r>
        <w:t xml:space="preserve">, </w:t>
      </w:r>
      <w:r w:rsidRPr="00C06677">
        <w:rPr>
          <w:i/>
          <w:iCs/>
        </w:rPr>
        <w:t>f</w:t>
      </w:r>
      <w:r w:rsidRPr="00C06677">
        <w:t>(</w:t>
      </w:r>
      <w:r w:rsidRPr="00C06677">
        <w:sym w:font="Symbol" w:char="F059"/>
      </w:r>
      <w:r w:rsidRPr="00C06677">
        <w:rPr>
          <w:vertAlign w:val="subscript"/>
        </w:rPr>
        <w:t>v</w:t>
      </w:r>
      <w:r w:rsidRPr="00C06677">
        <w:t>)</w:t>
      </w:r>
      <w:r>
        <w:t xml:space="preserve">, </w:t>
      </w:r>
      <w:r w:rsidRPr="006A5D9F">
        <w:t>associated with each stimulus (rather than just central tendency and therefore there is no need to assume distributional shapes and variance</w:t>
      </w:r>
      <w:r>
        <w:t xml:space="preserve">). </w:t>
      </w:r>
      <w:r w:rsidR="00CB2F67">
        <w:t>A</w:t>
      </w:r>
      <w:r w:rsidR="00C15BEA">
        <w:t>n individual’s estimate of the Psychological Value of a specific stimulus represents a random draw from the distribution of Psychological Values that represent</w:t>
      </w:r>
      <w:r w:rsidR="00E43621">
        <w:t>s</w:t>
      </w:r>
      <w:r w:rsidR="00C15BEA">
        <w:t xml:space="preserve"> that stimulus.  Because the distribution of Psychological Values representing a stimulus is assumed to be stable across individuals, a large sample of individuals’ estimates of Psychological Values of a stimulus should be a relatively accurate representation of that stimulus’ Psychological Value distribution.  Therefore, i</w:t>
      </w:r>
      <w:r w:rsidR="00C15BEA" w:rsidRPr="00C06677">
        <w:t xml:space="preserve">f </w:t>
      </w:r>
      <w:r w:rsidRPr="00C06677">
        <w:t>the</w:t>
      </w:r>
      <w:r>
        <w:t xml:space="preserve"> </w:t>
      </w:r>
      <w:r w:rsidRPr="00C06677">
        <w:t>magnitude estimates represent the perceptual qualia of value, then</w:t>
      </w:r>
      <w:r>
        <w:t xml:space="preserve"> the </w:t>
      </w:r>
      <w:r w:rsidRPr="00C06677">
        <w:t>overlap of the</w:t>
      </w:r>
      <w:r w:rsidR="00C15BEA">
        <w:t>se</w:t>
      </w:r>
      <w:r w:rsidRPr="00C06677">
        <w:t xml:space="preserve"> distributions should predict both (i) the probability of choosing the higher valued option, </w:t>
      </w:r>
      <w:r w:rsidRPr="00C06677">
        <w:rPr>
          <w:i/>
          <w:iCs/>
        </w:rPr>
        <w:t>p</w:t>
      </w:r>
      <w:r w:rsidRPr="00C06677">
        <w:t xml:space="preserve">(HVO), and (ii) RT in value-based tasks. </w:t>
      </w:r>
    </w:p>
    <w:p w14:paraId="3DD3C606" w14:textId="6FF3A8A5" w:rsidR="00526E5D" w:rsidRPr="00C06677" w:rsidRDefault="00526E5D" w:rsidP="00526E5D">
      <w:pPr>
        <w:spacing w:line="480" w:lineRule="auto"/>
        <w:ind w:firstLine="720"/>
        <w:contextualSpacing/>
      </w:pPr>
      <w:r>
        <w:t xml:space="preserve">To quantify these predictions, </w:t>
      </w:r>
      <w:r w:rsidRPr="004737EF">
        <w:t>Cohen et al. (</w:t>
      </w:r>
      <w:r w:rsidRPr="004737EF">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Pr="004737EF">
        <w:fldChar w:fldCharType="separate"/>
      </w:r>
      <w:r w:rsidR="00C42417">
        <w:rPr>
          <w:noProof/>
        </w:rPr>
        <w:t>2022</w:t>
      </w:r>
      <w:r w:rsidRPr="004737EF">
        <w:fldChar w:fldCharType="end"/>
      </w:r>
      <w:r w:rsidRPr="004737EF">
        <w:t xml:space="preserve">) developed </w:t>
      </w:r>
      <w:r>
        <w:t xml:space="preserve">an SSP that instantiates the assumptions of PVT, termed </w:t>
      </w:r>
      <w:r w:rsidRPr="004737EF">
        <w:t xml:space="preserve">a </w:t>
      </w:r>
      <w:r w:rsidR="00CB2F67">
        <w:t>R</w:t>
      </w:r>
      <w:r w:rsidRPr="004737EF">
        <w:t xml:space="preserve">obust </w:t>
      </w:r>
      <w:r w:rsidR="00CB2F67">
        <w:t>R</w:t>
      </w:r>
      <w:r w:rsidR="00CB2F67" w:rsidRPr="004737EF">
        <w:t xml:space="preserve">andom </w:t>
      </w:r>
      <w:r w:rsidR="00CB2F67">
        <w:t>W</w:t>
      </w:r>
      <w:r w:rsidR="00CB2F67" w:rsidRPr="004737EF">
        <w:t xml:space="preserve">alk </w:t>
      </w:r>
      <w:r w:rsidRPr="004737EF">
        <w:t>(</w:t>
      </w:r>
      <w:r w:rsidRPr="00CB088B">
        <w:rPr>
          <w:i/>
          <w:iCs/>
        </w:rPr>
        <w:t>RRW</w:t>
      </w:r>
      <w:r w:rsidRPr="004737EF">
        <w:t>)</w:t>
      </w:r>
      <w:r>
        <w:t xml:space="preserve">. Unlike traditional SSPs that estimate latent value distributions from participants’ choices and RTs, the RRW uses the measured Psychological Value distributions to </w:t>
      </w:r>
      <w:r w:rsidRPr="00F20100">
        <w:rPr>
          <w:i/>
          <w:iCs/>
        </w:rPr>
        <w:t>a</w:t>
      </w:r>
      <w:r>
        <w:t xml:space="preserve"> </w:t>
      </w:r>
      <w:r w:rsidRPr="00D278DC">
        <w:rPr>
          <w:i/>
          <w:iCs/>
        </w:rPr>
        <w:t>priori</w:t>
      </w:r>
      <w:r>
        <w:t xml:space="preserve"> </w:t>
      </w:r>
      <w:r w:rsidRPr="00F20100">
        <w:t>predict</w:t>
      </w:r>
      <w:r>
        <w:t xml:space="preserve"> participants’ choices and RTs.  To do so, the RRW takes as input the measured overlap of the Psychological Values distributions of </w:t>
      </w:r>
      <w:r>
        <w:lastRenderedPageBreak/>
        <w:t>options. Inherent in the RRW is the assumption that,</w:t>
      </w:r>
      <w:r w:rsidRPr="00C06677">
        <w:t xml:space="preserve"> when a person is forced to make a preferential choice, </w:t>
      </w:r>
      <w:r>
        <w:t>they</w:t>
      </w:r>
      <w:r w:rsidRPr="00C06677">
        <w:t xml:space="preserve"> will opt for the option with the highest perceived Psychological Value (</w:t>
      </w:r>
      <w:r>
        <w:t xml:space="preserve">termed the “higher valued option” or </w:t>
      </w:r>
      <w:r w:rsidRPr="002D6464">
        <w:rPr>
          <w:i/>
          <w:iCs/>
        </w:rPr>
        <w:t>HVO</w:t>
      </w:r>
      <w:r w:rsidRPr="00C06677">
        <w:t xml:space="preserve">). </w:t>
      </w:r>
      <w:r w:rsidRPr="004737EF">
        <w:t xml:space="preserve">As such, when people choose the lower valued option (the </w:t>
      </w:r>
      <w:r w:rsidRPr="004737EF">
        <w:rPr>
          <w:i/>
          <w:iCs/>
        </w:rPr>
        <w:t>LVO</w:t>
      </w:r>
      <w:r w:rsidRPr="004737EF">
        <w:t xml:space="preserve">), PVT classifies this as an error. Although classifying the LVO as an error may seem theoretically inconsistent with the concept of </w:t>
      </w:r>
      <w:r w:rsidRPr="004737EF">
        <w:rPr>
          <w:i/>
          <w:iCs/>
        </w:rPr>
        <w:t>preference</w:t>
      </w:r>
      <w:r w:rsidRPr="004737EF">
        <w:t xml:space="preserve">, the classification is consistent with the theoretical underpinnings of the decision model. </w:t>
      </w:r>
      <w:r>
        <w:t xml:space="preserve">The RRW predicts similar patterns of responses as traditional SSPs (e.g., large overlaps produce slow, inaccurate responses; small overlaps produce fast, accurate responses). </w:t>
      </w:r>
      <w:r w:rsidR="0032601F" w:rsidRPr="004737EF">
        <w:t>PVT’s predictions</w:t>
      </w:r>
      <w:r w:rsidR="0032601F">
        <w:t>, however,</w:t>
      </w:r>
      <w:r w:rsidR="0032601F" w:rsidRPr="004737EF">
        <w:t xml:space="preserve"> are much more constrained than </w:t>
      </w:r>
      <w:r w:rsidR="0032601F">
        <w:t>traditional SSPs</w:t>
      </w:r>
      <w:r w:rsidR="0032601F" w:rsidRPr="004737EF">
        <w:t xml:space="preserve"> </w:t>
      </w:r>
      <w:r w:rsidR="0032601F">
        <w:t>b</w:t>
      </w:r>
      <w:r>
        <w:t xml:space="preserve">ecause the RRW predicts choice and RT </w:t>
      </w:r>
      <w:r w:rsidRPr="0032601F">
        <w:t>from</w:t>
      </w:r>
      <w:r>
        <w:t xml:space="preserve"> measured Psychological Value distributions (</w:t>
      </w:r>
      <w:r w:rsidR="00CB2F67">
        <w:t>as opposed</w:t>
      </w:r>
      <w:r w:rsidR="002B201B">
        <w:t xml:space="preserve"> to</w:t>
      </w:r>
      <w:r>
        <w:t xml:space="preserve"> derive latent distributions </w:t>
      </w:r>
      <w:r w:rsidRPr="009E7FC8">
        <w:rPr>
          <w:i/>
          <w:iCs/>
        </w:rPr>
        <w:t>from</w:t>
      </w:r>
      <w:r>
        <w:t xml:space="preserve"> participants choice and RT data</w:t>
      </w:r>
      <w:r w:rsidR="0032601F">
        <w:t xml:space="preserve">; </w:t>
      </w:r>
      <w:r w:rsidRPr="004737EF">
        <w:t xml:space="preserve">see Table 1 of Cohen et al., </w:t>
      </w:r>
      <w:r w:rsidR="00C4241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C42417">
        <w:fldChar w:fldCharType="separate"/>
      </w:r>
      <w:r w:rsidR="00C42417">
        <w:rPr>
          <w:noProof/>
        </w:rPr>
        <w:t>2022</w:t>
      </w:r>
      <w:r w:rsidR="00C42417">
        <w:fldChar w:fldCharType="end"/>
      </w:r>
      <w:r w:rsidRPr="004737EF">
        <w:t>)</w:t>
      </w:r>
      <w:r>
        <w:t xml:space="preserve">.  Importantly, PVT’s predictions will fail if (1) its’ definition and measurement of Psychological Value </w:t>
      </w:r>
      <w:r w:rsidR="002B201B">
        <w:t>are</w:t>
      </w:r>
      <w:r>
        <w:t xml:space="preserve"> invalid, (2) the decision mechanism is not well modeled by the RRW, </w:t>
      </w:r>
      <w:r w:rsidRPr="00D278DC">
        <w:rPr>
          <w:i/>
          <w:iCs/>
        </w:rPr>
        <w:t>and/or</w:t>
      </w:r>
      <w:r>
        <w:t xml:space="preserve"> (3) the choice is not driven by Psychological Value.  As such, if PVT’s predictions are validated, then evidence is provided for the entire system described by PVT (e.g., the features and measurement of Psychological Value, the hypothesized decision process, etc.).  </w:t>
      </w:r>
    </w:p>
    <w:p w14:paraId="0060B25E" w14:textId="72851FC6" w:rsidR="00526E5D" w:rsidRPr="00C06677" w:rsidRDefault="00526E5D" w:rsidP="00526E5D">
      <w:pPr>
        <w:spacing w:line="480" w:lineRule="auto"/>
        <w:ind w:firstLine="720"/>
        <w:contextualSpacing/>
      </w:pPr>
      <w:r w:rsidRPr="00C06677">
        <w:t>Cohen</w:t>
      </w:r>
      <w:r w:rsidR="00340572">
        <w:t xml:space="preserve"> and</w:t>
      </w:r>
      <w:r w:rsidRPr="00C06677">
        <w:t xml:space="preserve"> Ahn, </w:t>
      </w:r>
      <w:r>
        <w:t>(</w:t>
      </w:r>
      <w:r w:rsidRPr="00C06677">
        <w:t>2016)</w:t>
      </w:r>
      <w:r>
        <w:t xml:space="preserve"> tested these predictions. The authors</w:t>
      </w:r>
      <w:r w:rsidRPr="00C06677">
        <w:t xml:space="preserve"> used the magnitude estimation procedure to measure perceived Psychological Value for a variety of items, namely, objects, non-human animals, and humans. Next, they calculated a robust measure of distributional overlap of the value distributions for all pairs of items. A second group of naïve participants were then given a series of trials where, on every trial, they were challenged with a two alternative forced choice (2AFC) in which the decision was to save/or sacrifice one of two </w:t>
      </w:r>
      <w:r w:rsidRPr="00C06677">
        <w:lastRenderedPageBreak/>
        <w:t>options taken from the sample of items used previously. Participant’s choices were noted together with the speed of those choices.</w:t>
      </w:r>
    </w:p>
    <w:p w14:paraId="56B732F2" w14:textId="476DD47C" w:rsidR="007B24D4" w:rsidRPr="00C06677" w:rsidRDefault="00E640DA" w:rsidP="00414178">
      <w:pPr>
        <w:spacing w:line="480" w:lineRule="auto"/>
        <w:ind w:firstLine="720"/>
        <w:contextualSpacing/>
      </w:pPr>
      <w:r>
        <w:t>It was</w:t>
      </w:r>
      <w:r w:rsidR="003147CE" w:rsidRPr="00C06677">
        <w:t xml:space="preserve"> show</w:t>
      </w:r>
      <w:r>
        <w:t>n</w:t>
      </w:r>
      <w:r w:rsidR="003147CE" w:rsidRPr="00C06677">
        <w:t xml:space="preserve"> that</w:t>
      </w:r>
      <w:r w:rsidR="00BB6586" w:rsidRPr="00C06677">
        <w:t>,</w:t>
      </w:r>
      <w:r w:rsidR="003147CE" w:rsidRPr="00C06677">
        <w:t xml:space="preserve"> across participants</w:t>
      </w:r>
      <w:r w:rsidR="005314E5">
        <w:t>,</w:t>
      </w:r>
      <w:r w:rsidR="003147CE" w:rsidRPr="00C06677">
        <w:t xml:space="preserve"> </w:t>
      </w:r>
      <w:r w:rsidR="003A42D0" w:rsidRPr="00C06677">
        <w:t>the probability of choosing the higher valued o</w:t>
      </w:r>
      <w:r w:rsidR="00394E1E" w:rsidRPr="00C06677">
        <w:t>ption</w:t>
      </w:r>
      <w:r w:rsidR="003A42D0" w:rsidRPr="00C06677">
        <w:t xml:space="preserve">, </w:t>
      </w:r>
      <w:r w:rsidR="003147CE" w:rsidRPr="00C06677">
        <w:rPr>
          <w:i/>
          <w:iCs/>
        </w:rPr>
        <w:t>p</w:t>
      </w:r>
      <w:r w:rsidR="003147CE" w:rsidRPr="00C06677">
        <w:t>(</w:t>
      </w:r>
      <w:r w:rsidR="008C2F8D" w:rsidRPr="00C06677">
        <w:t>HVO</w:t>
      </w:r>
      <w:r w:rsidR="003147CE" w:rsidRPr="00C06677">
        <w:t>)</w:t>
      </w:r>
      <w:r w:rsidR="003A42D0" w:rsidRPr="00C06677">
        <w:t>,</w:t>
      </w:r>
      <w:r w:rsidR="003147CE" w:rsidRPr="00C06677">
        <w:t xml:space="preserve"> scaled </w:t>
      </w:r>
      <w:r w:rsidR="00AF77DB" w:rsidRPr="00C06677">
        <w:t>as a function of the distributional over</w:t>
      </w:r>
      <w:r w:rsidR="008410E6" w:rsidRPr="00C06677">
        <w:t>lap</w:t>
      </w:r>
      <w:r w:rsidR="00AF77DB" w:rsidRPr="00C06677">
        <w:t xml:space="preserve"> of the </w:t>
      </w:r>
      <w:r w:rsidR="008410E6" w:rsidRPr="00C06677">
        <w:rPr>
          <w:i/>
          <w:iCs/>
        </w:rPr>
        <w:t>f</w:t>
      </w:r>
      <w:r w:rsidR="008410E6" w:rsidRPr="00C06677">
        <w:t>(</w:t>
      </w:r>
      <w:r w:rsidR="008410E6" w:rsidRPr="00C06677">
        <w:sym w:font="Symbol" w:char="F059"/>
      </w:r>
      <w:r w:rsidR="008410E6" w:rsidRPr="00C06677">
        <w:rPr>
          <w:vertAlign w:val="subscript"/>
        </w:rPr>
        <w:t>v</w:t>
      </w:r>
      <w:r w:rsidR="008410E6" w:rsidRPr="00C06677">
        <w:t xml:space="preserve">)s for the </w:t>
      </w:r>
      <w:r w:rsidR="00AF77DB" w:rsidRPr="00C06677">
        <w:t>two o</w:t>
      </w:r>
      <w:r w:rsidR="00927802" w:rsidRPr="00C06677">
        <w:t>ptions</w:t>
      </w:r>
      <w:r w:rsidR="00AF77DB" w:rsidRPr="00C06677">
        <w:t xml:space="preserve">. Moreover, decisional speed was also well predicted by the measures of distributional overlap such that decision speed scaled with the </w:t>
      </w:r>
      <w:r w:rsidR="0032601F">
        <w:t>distributional</w:t>
      </w:r>
      <w:r w:rsidR="00AF77DB" w:rsidRPr="00C06677">
        <w:t xml:space="preserve"> overlap </w:t>
      </w:r>
      <w:r w:rsidR="002B201B">
        <w:t xml:space="preserve">of the </w:t>
      </w:r>
      <w:r w:rsidR="0032601F" w:rsidRPr="00C06677">
        <w:rPr>
          <w:i/>
          <w:iCs/>
        </w:rPr>
        <w:t>f</w:t>
      </w:r>
      <w:r w:rsidR="0032601F" w:rsidRPr="00C06677">
        <w:t>(</w:t>
      </w:r>
      <w:r w:rsidR="0032601F" w:rsidRPr="00C06677">
        <w:sym w:font="Symbol" w:char="F059"/>
      </w:r>
      <w:r w:rsidR="0032601F" w:rsidRPr="00C06677">
        <w:rPr>
          <w:vertAlign w:val="subscript"/>
        </w:rPr>
        <w:t>v</w:t>
      </w:r>
      <w:r w:rsidR="0032601F" w:rsidRPr="00C06677">
        <w:t>)s</w:t>
      </w:r>
      <w:r w:rsidR="00AF77DB" w:rsidRPr="00C06677">
        <w:t>.</w:t>
      </w:r>
      <w:r w:rsidR="00037BEF" w:rsidRPr="00C06677">
        <w:t xml:space="preserve"> </w:t>
      </w:r>
      <w:r w:rsidR="003A42D0" w:rsidRPr="00C06677">
        <w:t xml:space="preserve">Indeed, distributional overlap of the </w:t>
      </w:r>
      <w:r w:rsidR="003A42D0" w:rsidRPr="00C06677">
        <w:rPr>
          <w:i/>
          <w:iCs/>
        </w:rPr>
        <w:t>f</w:t>
      </w:r>
      <w:r w:rsidR="003A42D0" w:rsidRPr="00C06677">
        <w:t>(</w:t>
      </w:r>
      <w:r w:rsidR="003A42D0" w:rsidRPr="00C06677">
        <w:sym w:font="Symbol" w:char="F059"/>
      </w:r>
      <w:r w:rsidR="003A42D0" w:rsidRPr="00C06677">
        <w:rPr>
          <w:vertAlign w:val="subscript"/>
        </w:rPr>
        <w:t>v</w:t>
      </w:r>
      <w:r w:rsidR="003A42D0" w:rsidRPr="00C06677">
        <w:t xml:space="preserve">)s accounted for over 90% of the variance in both RT and response choice. </w:t>
      </w:r>
      <w:r w:rsidR="00B2005A" w:rsidRPr="00C06677">
        <w:t>These findings not only demonstrate that the perceived Psychological Value of the individuals can be measured accurately, but they also reveal that these measurements accurately predict choice. More critically, this evidence</w:t>
      </w:r>
      <w:r w:rsidR="00037BEF" w:rsidRPr="00C06677">
        <w:t xml:space="preserve"> bolster</w:t>
      </w:r>
      <w:r w:rsidR="00B2005A" w:rsidRPr="00C06677">
        <w:t>s</w:t>
      </w:r>
      <w:r w:rsidR="00037BEF" w:rsidRPr="00C06677">
        <w:t xml:space="preserve"> </w:t>
      </w:r>
      <w:r w:rsidR="00B2005A" w:rsidRPr="00C06677">
        <w:t>a</w:t>
      </w:r>
      <w:r w:rsidR="00037BEF" w:rsidRPr="00C06677">
        <w:t xml:space="preserve"> </w:t>
      </w:r>
      <w:r w:rsidR="00B2005A" w:rsidRPr="00C06677">
        <w:t>c</w:t>
      </w:r>
      <w:r w:rsidR="00142FCA" w:rsidRPr="00C06677">
        <w:t>entral</w:t>
      </w:r>
      <w:r w:rsidR="00037BEF" w:rsidRPr="00C06677">
        <w:t xml:space="preserve"> claim of PVT</w:t>
      </w:r>
      <w:r w:rsidR="00BB6586" w:rsidRPr="00C06677">
        <w:t>, namely,</w:t>
      </w:r>
      <w:r w:rsidR="00037BEF" w:rsidRPr="00C06677">
        <w:t xml:space="preserve"> that people’s preferential choices are driven by an appraisal of the corresponding </w:t>
      </w:r>
      <w:r w:rsidR="00E82126" w:rsidRPr="00C06677">
        <w:t xml:space="preserve">Psychological Values </w:t>
      </w:r>
      <w:r w:rsidR="00037BEF" w:rsidRPr="00C06677">
        <w:t>of the alternative o</w:t>
      </w:r>
      <w:r w:rsidR="00927802" w:rsidRPr="00C06677">
        <w:t>ptions</w:t>
      </w:r>
      <w:r w:rsidR="00037BEF" w:rsidRPr="00C06677">
        <w:t xml:space="preserve">. </w:t>
      </w:r>
    </w:p>
    <w:p w14:paraId="7DB628CC" w14:textId="1E6D0527" w:rsidR="005B64ED" w:rsidRPr="00C06677" w:rsidRDefault="000121DF" w:rsidP="005B64ED">
      <w:pPr>
        <w:spacing w:line="480" w:lineRule="auto"/>
        <w:ind w:firstLine="720"/>
        <w:contextualSpacing/>
      </w:pPr>
      <w:r>
        <w:t xml:space="preserve">In following up on this work, </w:t>
      </w:r>
      <w:r w:rsidR="006C4A5E" w:rsidRPr="00C06677">
        <w:t>Cohen, et al.</w:t>
      </w:r>
      <w:r w:rsidR="005314E5">
        <w:t xml:space="preserve"> </w:t>
      </w:r>
      <w:r w:rsidR="006C4A5E" w:rsidRPr="00C06677">
        <w:t>(</w:t>
      </w:r>
      <w:r w:rsidR="00EA184E" w:rsidRPr="00C0667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EA184E" w:rsidRPr="00C06677">
        <w:fldChar w:fldCharType="separate"/>
      </w:r>
      <w:r w:rsidR="00C42417">
        <w:rPr>
          <w:noProof/>
        </w:rPr>
        <w:t>2022</w:t>
      </w:r>
      <w:r w:rsidR="00EA184E" w:rsidRPr="00C06677">
        <w:fldChar w:fldCharType="end"/>
      </w:r>
      <w:r w:rsidR="006C4A5E" w:rsidRPr="00C06677">
        <w:t>)</w:t>
      </w:r>
      <w:r w:rsidR="00D52D87">
        <w:t xml:space="preserve"> </w:t>
      </w:r>
      <w:r>
        <w:t>in their first experiment,</w:t>
      </w:r>
      <w:r w:rsidR="006C4A5E" w:rsidRPr="00C06677">
        <w:t xml:space="preserve"> </w:t>
      </w:r>
      <w:r>
        <w:t xml:space="preserve">took </w:t>
      </w:r>
      <w:r w:rsidR="00846E06" w:rsidRPr="00C06677">
        <w:t>measures of</w:t>
      </w:r>
      <w:r w:rsidR="004905E7" w:rsidRPr="00C06677">
        <w:t xml:space="preserve"> the perceived Psychological Value of</w:t>
      </w:r>
      <w:r>
        <w:t xml:space="preserve"> (i)</w:t>
      </w:r>
      <w:r w:rsidR="004905E7" w:rsidRPr="00C06677">
        <w:t xml:space="preserve"> </w:t>
      </w:r>
      <w:r>
        <w:t>individuals</w:t>
      </w:r>
      <w:r w:rsidRPr="00C06677">
        <w:t xml:space="preserve"> </w:t>
      </w:r>
      <w:r w:rsidR="004905E7" w:rsidRPr="00C06677">
        <w:t>in different social roles</w:t>
      </w:r>
      <w:r w:rsidR="00846E06" w:rsidRPr="00C06677">
        <w:t xml:space="preserve"> (e.g., a nun, a </w:t>
      </w:r>
      <w:r w:rsidR="00524E51" w:rsidRPr="00C06677">
        <w:t>judge</w:t>
      </w:r>
      <w:r w:rsidR="00846E06" w:rsidRPr="00C06677">
        <w:t xml:space="preserve">) and </w:t>
      </w:r>
      <w:r>
        <w:t xml:space="preserve">(ii) </w:t>
      </w:r>
      <w:r w:rsidR="00846E06" w:rsidRPr="00C06677">
        <w:t xml:space="preserve">various numbers of </w:t>
      </w:r>
      <w:r>
        <w:t xml:space="preserve">those </w:t>
      </w:r>
      <w:r w:rsidR="00846E06" w:rsidRPr="00C06677">
        <w:t xml:space="preserve">individuals (e.g., </w:t>
      </w:r>
      <w:r>
        <w:t>five</w:t>
      </w:r>
      <w:r w:rsidR="00846E06" w:rsidRPr="00C06677">
        <w:t xml:space="preserve"> nuns)</w:t>
      </w:r>
      <w:r w:rsidR="004905E7" w:rsidRPr="00C06677">
        <w:t>.  The data clearly showed that an individual’s soci</w:t>
      </w:r>
      <w:r w:rsidR="00142FCA" w:rsidRPr="00C06677">
        <w:t>et</w:t>
      </w:r>
      <w:r w:rsidR="004905E7" w:rsidRPr="00C06677">
        <w:t xml:space="preserve">al role had a large influence on how the individual was valued.  For example, participants valued </w:t>
      </w:r>
      <w:r w:rsidR="001F484D" w:rsidRPr="00C06677">
        <w:t>“</w:t>
      </w:r>
      <w:r w:rsidR="004905E7" w:rsidRPr="00C06677">
        <w:t>convicts</w:t>
      </w:r>
      <w:r w:rsidR="001F484D" w:rsidRPr="00C06677">
        <w:t>”</w:t>
      </w:r>
      <w:r w:rsidR="004905E7" w:rsidRPr="00C06677">
        <w:t xml:space="preserve"> lower than they valued </w:t>
      </w:r>
      <w:r w:rsidR="001F484D" w:rsidRPr="00C06677">
        <w:t>“</w:t>
      </w:r>
      <w:r w:rsidR="004905E7" w:rsidRPr="00C06677">
        <w:t>a congressman</w:t>
      </w:r>
      <w:r w:rsidR="001F484D" w:rsidRPr="00C06677">
        <w:t>”</w:t>
      </w:r>
      <w:r w:rsidR="00EF259B">
        <w:t xml:space="preserve"> (see also </w:t>
      </w:r>
      <w:r w:rsidR="0051722E">
        <w:t xml:space="preserve">Goodwin </w:t>
      </w:r>
      <w:r w:rsidR="00EF259B">
        <w:t xml:space="preserve">&amp; </w:t>
      </w:r>
      <w:r w:rsidR="0051722E">
        <w:t>Landy</w:t>
      </w:r>
      <w:r w:rsidR="00EF259B">
        <w:t xml:space="preserve">, </w:t>
      </w:r>
      <w:r w:rsidR="0051722E">
        <w:fldChar w:fldCharType="begin"/>
      </w:r>
      <w:r w:rsidR="0019503B">
        <w:instrText xml:space="preserve"> ADDIN EN.CITE &lt;EndNote&gt;&lt;Cite&gt;&lt;Author&gt;Goodwin&lt;/Author&gt;&lt;Year&gt;2014&lt;/Year&gt;&lt;RecNum&gt;2680&lt;/RecNum&gt;&lt;DisplayText&gt;2014&lt;/DisplayText&gt;&lt;record&gt;&lt;rec-number&gt;2680&lt;/rec-number&gt;&lt;foreign-keys&gt;&lt;key app="EN" db-id="w0tztzf0h2dft0eaewxxtpr4exwxf90s525w" timestamp="1660049155" guid="6d906674-bccc-4ba3-a4f2-dc126523bbf5"&gt;2680&lt;/key&gt;&lt;/foreign-keys&gt;&lt;ref-type name="Journal Article"&gt;17&lt;/ref-type&gt;&lt;contributors&gt;&lt;authors&gt;&lt;author&gt;Goodwin, G. P&lt;/author&gt;&lt;author&gt;Landy, J. F&lt;/author&gt;&lt;/authors&gt;&lt;/contributors&gt;&lt;titles&gt;&lt;title&gt;Valuing different human lives&lt;/title&gt;&lt;secondary-title&gt;Journal of Experimental Psychology: General&lt;/secondary-title&gt;&lt;/titles&gt;&lt;periodical&gt;&lt;full-title&gt;Journal of Experimental Psychology: General&lt;/full-title&gt;&lt;abbr-1&gt;J. Exp. Psychol. Gen.&lt;/abbr-1&gt;&lt;abbr-2&gt;J Exp Psychol Gen&lt;/abbr-2&gt;&lt;/periodical&gt;&lt;pages&gt;778-803&lt;/pages&gt;&lt;volume&gt;143&lt;/volume&gt;&lt;dates&gt;&lt;year&gt;2014&lt;/year&gt;&lt;/dates&gt;&lt;urls&gt;&lt;/urls&gt;&lt;electronic-resource-num&gt;http://dx.doi.org/10.1037/a0032796&lt;/electronic-resource-num&gt;&lt;/record&gt;&lt;/Cite&gt;&lt;/EndNote&gt;</w:instrText>
      </w:r>
      <w:r w:rsidR="0051722E">
        <w:fldChar w:fldCharType="separate"/>
      </w:r>
      <w:r w:rsidR="0051722E">
        <w:rPr>
          <w:noProof/>
        </w:rPr>
        <w:t>2014</w:t>
      </w:r>
      <w:r w:rsidR="0051722E">
        <w:fldChar w:fldCharType="end"/>
      </w:r>
      <w:r w:rsidR="0051722E">
        <w:t>, who showed that the value one places on another person systematically varies with age</w:t>
      </w:r>
      <w:r w:rsidR="00EF259B">
        <w:t>)</w:t>
      </w:r>
      <w:r w:rsidR="0051722E">
        <w:t>. A</w:t>
      </w:r>
      <w:r w:rsidR="004905E7" w:rsidRPr="00C06677">
        <w:t>dditionally</w:t>
      </w:r>
      <w:r w:rsidR="0051722E">
        <w:t xml:space="preserve">, and contrary to </w:t>
      </w:r>
      <w:r w:rsidR="004773BA">
        <w:t>many researchers’ assumptions</w:t>
      </w:r>
      <w:r w:rsidR="004905E7" w:rsidRPr="00C06677">
        <w:t xml:space="preserve">, quantity had minimal influence on values.  So, participants valued one convict about the same as they valued 50 convicts. </w:t>
      </w:r>
      <w:r w:rsidR="005314E5">
        <w:t>Cohen et al.</w:t>
      </w:r>
      <w:r w:rsidR="00D04F0F">
        <w:t xml:space="preserve"> </w:t>
      </w:r>
      <w:r w:rsidR="005314E5">
        <w:t>(</w:t>
      </w:r>
      <w:r w:rsidR="001A32B5">
        <w:t>2022</w:t>
      </w:r>
      <w:r w:rsidR="005314E5">
        <w:t xml:space="preserve">) </w:t>
      </w:r>
      <w:r w:rsidR="00145B96">
        <w:t>used PVT to predict b</w:t>
      </w:r>
      <w:r w:rsidR="004905E7" w:rsidRPr="00C06677">
        <w:t>oth RT and response choice</w:t>
      </w:r>
      <w:r w:rsidR="00C44683" w:rsidRPr="00C06677">
        <w:t xml:space="preserve">. </w:t>
      </w:r>
      <w:r w:rsidR="004905E7" w:rsidRPr="00C06677">
        <w:t>The</w:t>
      </w:r>
      <w:r w:rsidR="00C44683" w:rsidRPr="00C06677">
        <w:t xml:space="preserve"> </w:t>
      </w:r>
      <w:r w:rsidR="00145B96">
        <w:t xml:space="preserve">random walk </w:t>
      </w:r>
      <w:r w:rsidR="004905E7" w:rsidRPr="00C06677">
        <w:t>model</w:t>
      </w:r>
      <w:r w:rsidR="00145B96">
        <w:t>, using the Psychological Value of the options as input,</w:t>
      </w:r>
      <w:r w:rsidR="004905E7" w:rsidRPr="00C06677">
        <w:t xml:space="preserve"> predicted performance almost perfectly—accounting for over 90% of the variance in </w:t>
      </w:r>
      <w:r w:rsidR="004905E7" w:rsidRPr="000714B5">
        <w:rPr>
          <w:i/>
          <w:iCs/>
        </w:rPr>
        <w:t>p</w:t>
      </w:r>
      <w:r w:rsidR="004905E7" w:rsidRPr="00C06677">
        <w:t>(HVO) and RT</w:t>
      </w:r>
      <w:r w:rsidR="00C44683" w:rsidRPr="00C06677">
        <w:t xml:space="preserve">. As </w:t>
      </w:r>
      <w:r w:rsidR="00C44683" w:rsidRPr="00C06677">
        <w:lastRenderedPageBreak/>
        <w:t>a consequence</w:t>
      </w:r>
      <w:r w:rsidR="00D80FB7" w:rsidRPr="00C06677">
        <w:t>,</w:t>
      </w:r>
      <w:r w:rsidR="00C44683" w:rsidRPr="00C06677">
        <w:t xml:space="preserve"> it was concluded that the measures of Psychological </w:t>
      </w:r>
      <w:r w:rsidR="00524E51" w:rsidRPr="00C06677">
        <w:t>V</w:t>
      </w:r>
      <w:r w:rsidR="00C44683" w:rsidRPr="00C06677">
        <w:t xml:space="preserve">alue were accurate, that the random walk </w:t>
      </w:r>
      <w:r w:rsidR="004905E7" w:rsidRPr="00C06677">
        <w:t>accurately described the decision process, and that the perceived Psychological Value of people drives moral judgments.</w:t>
      </w:r>
      <w:r w:rsidR="00C44683" w:rsidRPr="00C06677">
        <w:t xml:space="preserve"> The general conclusion was that the data provided robust support for PVT.</w:t>
      </w:r>
      <w:r w:rsidR="004905E7" w:rsidRPr="00C06677">
        <w:t xml:space="preserve">  </w:t>
      </w:r>
    </w:p>
    <w:p w14:paraId="06A4C73B" w14:textId="770D600B" w:rsidR="000C4751" w:rsidRDefault="008410E6" w:rsidP="00EF03AA">
      <w:pPr>
        <w:spacing w:line="480" w:lineRule="auto"/>
        <w:ind w:firstLine="720"/>
      </w:pPr>
      <w:r w:rsidRPr="00C06677">
        <w:t>In the present paper</w:t>
      </w:r>
      <w:r w:rsidR="00674E47" w:rsidRPr="00C06677">
        <w:t>,</w:t>
      </w:r>
      <w:r w:rsidRPr="00C06677">
        <w:t xml:space="preserve"> we </w:t>
      </w:r>
      <w:r w:rsidR="007B24D4" w:rsidRPr="00C06677">
        <w:t>apply PVT</w:t>
      </w:r>
      <w:r w:rsidR="00037BEF" w:rsidRPr="00C06677">
        <w:t xml:space="preserve"> </w:t>
      </w:r>
      <w:r w:rsidR="00AE28B3" w:rsidRPr="00C06677">
        <w:t>to the topic of</w:t>
      </w:r>
      <w:r w:rsidR="00037BEF" w:rsidRPr="00C06677">
        <w:t xml:space="preserve"> charitable giving.</w:t>
      </w:r>
      <w:r w:rsidR="00AE1C01" w:rsidRPr="00C06677">
        <w:t xml:space="preserve"> </w:t>
      </w:r>
      <w:r w:rsidR="00EF03AA">
        <w:t xml:space="preserve">If successful, PVT will be the first computational cognitive model of charitable giving with an objectively measured “private” benefit for the giver (i.e., Psychological Value of the receiver) that simultaneously predicts the participants’ response time and choice. In Experiment 1, we </w:t>
      </w:r>
      <w:r w:rsidR="00FF13CA" w:rsidRPr="00C06677">
        <w:t xml:space="preserve">test the specific </w:t>
      </w:r>
      <w:r w:rsidR="009A6E26" w:rsidRPr="00C06677">
        <w:t xml:space="preserve">and novel </w:t>
      </w:r>
      <w:r w:rsidR="00FF13CA" w:rsidRPr="00C06677">
        <w:t xml:space="preserve">hypothesis that charitable </w:t>
      </w:r>
      <w:r w:rsidR="00EF03AA">
        <w:t>choice</w:t>
      </w:r>
      <w:r w:rsidR="00EF03AA" w:rsidRPr="00C06677">
        <w:t xml:space="preserve"> </w:t>
      </w:r>
      <w:r w:rsidR="00FF13CA" w:rsidRPr="00C06677">
        <w:t>is driven by the perceived Psychological Value of the receiver</w:t>
      </w:r>
      <w:r w:rsidR="00674E47" w:rsidRPr="00C06677">
        <w:t xml:space="preserve"> as assessed by the giver</w:t>
      </w:r>
      <w:r w:rsidR="00FF13CA" w:rsidRPr="00C06677">
        <w:t xml:space="preserve">. Under this hypothesis, </w:t>
      </w:r>
      <w:r w:rsidR="00F53A6D" w:rsidRPr="00C06677">
        <w:t xml:space="preserve">PVT </w:t>
      </w:r>
      <w:r w:rsidR="000E1AE0" w:rsidRPr="00C06677">
        <w:t xml:space="preserve">predicts that, when presented with the </w:t>
      </w:r>
      <w:r w:rsidR="00927802" w:rsidRPr="00C06677">
        <w:t xml:space="preserve">question of which of two </w:t>
      </w:r>
      <w:r w:rsidR="00674E47" w:rsidRPr="00C06677">
        <w:t xml:space="preserve">options </w:t>
      </w:r>
      <w:r w:rsidR="00927802" w:rsidRPr="00C06677">
        <w:t>to donate to</w:t>
      </w:r>
      <w:r w:rsidR="000E1AE0" w:rsidRPr="00C06677">
        <w:t xml:space="preserve">, </w:t>
      </w:r>
      <w:r w:rsidR="00F53A6D" w:rsidRPr="00C06677">
        <w:t xml:space="preserve">a </w:t>
      </w:r>
      <w:r w:rsidR="000C6DC3" w:rsidRPr="00C06677">
        <w:t>respondent</w:t>
      </w:r>
      <w:r w:rsidR="00F53A6D" w:rsidRPr="00C06677">
        <w:t xml:space="preserve"> </w:t>
      </w:r>
      <w:r w:rsidR="000E1AE0" w:rsidRPr="00C06677">
        <w:t xml:space="preserve">will choose to </w:t>
      </w:r>
      <w:r w:rsidR="00AB43A6" w:rsidRPr="00C06677">
        <w:t xml:space="preserve">make a donation on the basis of an appraisal of </w:t>
      </w:r>
      <w:r w:rsidR="000C6DC3" w:rsidRPr="00C06677">
        <w:t xml:space="preserve">the </w:t>
      </w:r>
      <w:r w:rsidR="00AB43A6" w:rsidRPr="00C06677">
        <w:t xml:space="preserve">corresponding </w:t>
      </w:r>
      <w:r w:rsidR="008C2F8D" w:rsidRPr="00C06677">
        <w:t>Psychological Values</w:t>
      </w:r>
      <w:r w:rsidR="00AB43A6" w:rsidRPr="00C06677">
        <w:t xml:space="preserve"> of the alternative</w:t>
      </w:r>
      <w:r w:rsidR="00E472B5" w:rsidRPr="00C06677">
        <w:t>s</w:t>
      </w:r>
      <w:r w:rsidR="00AE1C01" w:rsidRPr="00C06677">
        <w:t xml:space="preserve">. </w:t>
      </w:r>
      <w:r w:rsidR="000C4751">
        <w:t xml:space="preserve">Although some may find this demonstration intuitive, </w:t>
      </w:r>
      <w:r w:rsidR="003B1179">
        <w:t xml:space="preserve">we are testing a </w:t>
      </w:r>
      <w:r w:rsidR="003B1179" w:rsidRPr="00702607">
        <w:rPr>
          <w:i/>
          <w:iCs/>
        </w:rPr>
        <w:t>specific</w:t>
      </w:r>
      <w:r w:rsidR="003B1179">
        <w:t xml:space="preserve"> quantified process model that instantiates this </w:t>
      </w:r>
      <w:r w:rsidR="0065140F">
        <w:t>hypothesis</w:t>
      </w:r>
      <w:r w:rsidR="000C4751">
        <w:t xml:space="preserve">.  Furthermore, such a demonstration </w:t>
      </w:r>
      <w:r w:rsidR="0065140F">
        <w:t>pro</w:t>
      </w:r>
      <w:r w:rsidR="00B00F75">
        <w:t>vides</w:t>
      </w:r>
      <w:r w:rsidR="0065140F">
        <w:t xml:space="preserve"> an </w:t>
      </w:r>
      <w:r w:rsidR="000C4751">
        <w:t>objective measure of benefit to the giver in charitable giving</w:t>
      </w:r>
      <w:r w:rsidR="0065140F">
        <w:t xml:space="preserve"> – something that many have not yet been able to identify (e.g., Khalil, 2004)</w:t>
      </w:r>
      <w:r w:rsidR="000C4751">
        <w:t>.  Third, if the model is accurate, it will demonstrate that the Psychological Value of stimuli predict</w:t>
      </w:r>
      <w:r w:rsidR="0065140F">
        <w:t>s choice</w:t>
      </w:r>
      <w:r w:rsidR="000C4751">
        <w:t xml:space="preserve"> across questions with very different consequences.  </w:t>
      </w:r>
      <w:r w:rsidR="00E640DA">
        <w:t xml:space="preserve">Previously it has been </w:t>
      </w:r>
      <w:r w:rsidR="000C4751">
        <w:t xml:space="preserve">demonstrated that these same Psychological Values predict </w:t>
      </w:r>
      <w:r w:rsidR="0065140F">
        <w:t xml:space="preserve">choice </w:t>
      </w:r>
      <w:r w:rsidR="000C4751">
        <w:t xml:space="preserve">when making life or death </w:t>
      </w:r>
      <w:r w:rsidR="0065140F">
        <w:t>decisions</w:t>
      </w:r>
      <w:r w:rsidR="000C4751">
        <w:t xml:space="preserve">.  Such consequences are vastly different than the consequences in the present experiments, whereby participants are asked to decide to whom they will donate $10.  Such a demonstration, while perhaps unsurprising, is counter to most economic theory that states choices are a function of the consequences rather than the stimuli </w:t>
      </w:r>
      <w:r w:rsidR="000C4751" w:rsidRPr="000714B5">
        <w:rPr>
          <w:i/>
          <w:iCs/>
        </w:rPr>
        <w:t>per se</w:t>
      </w:r>
      <w:r w:rsidR="000C4751">
        <w:t xml:space="preserve"> (</w:t>
      </w:r>
      <w:r w:rsidR="00E733C1">
        <w:t xml:space="preserve">Fishburn, </w:t>
      </w:r>
      <w:r w:rsidR="00E733C1">
        <w:fldChar w:fldCharType="begin"/>
      </w:r>
      <w:r w:rsidR="0019503B">
        <w:instrText xml:space="preserve"> ADDIN EN.CITE &lt;EndNote&gt;&lt;Cite&gt;&lt;Author&gt;Fishburn&lt;/Author&gt;&lt;Year&gt;1981&lt;/Year&gt;&lt;RecNum&gt;2630&lt;/RecNum&gt;&lt;DisplayText&gt;1981&lt;/DisplayText&gt;&lt;record&gt;&lt;rec-number&gt;2630&lt;/rec-number&gt;&lt;foreign-keys&gt;&lt;key app="EN" db-id="w0tztzf0h2dft0eaewxxtpr4exwxf90s525w" timestamp="1659025446" guid="501ea9e3-3b74-4a30-b3bf-c1ca5916477c"&gt;2630&lt;/key&gt;&lt;/foreign-keys&gt;&lt;ref-type name="Journal Article"&gt;17&lt;/ref-type&gt;&lt;contributors&gt;&lt;authors&gt;&lt;author&gt;Fishburn, P.C&lt;/author&gt;&lt;/authors&gt;&lt;/contributors&gt;&lt;titles&gt;&lt;title&gt;Subjective expected utility: A review of normative theories&lt;/title&gt;&lt;secondary-title&gt;Theory and Decision&lt;/secondary-title&gt;&lt;/titles&gt;&lt;periodical&gt;&lt;full-title&gt;Theory and decision&lt;/full-title&gt;&lt;abbr-1&gt;Theor. Decis.&lt;/abbr-1&gt;&lt;/periodical&gt;&lt;pages&gt;139-199&lt;/pages&gt;&lt;volume&gt;13&lt;/volume&gt;&lt;dates&gt;&lt;year&gt;1981&lt;/year&gt;&lt;/dates&gt;&lt;urls&gt;&lt;/urls&gt;&lt;electronic-resource-num&gt;http://dx.doi.org/10.1007/BF00134215&lt;/electronic-resource-num&gt;&lt;/record&gt;&lt;/Cite&gt;&lt;/EndNote&gt;</w:instrText>
      </w:r>
      <w:r w:rsidR="00E733C1">
        <w:fldChar w:fldCharType="separate"/>
      </w:r>
      <w:r w:rsidR="00E733C1">
        <w:rPr>
          <w:noProof/>
        </w:rPr>
        <w:t>1981</w:t>
      </w:r>
      <w:r w:rsidR="00E733C1">
        <w:fldChar w:fldCharType="end"/>
      </w:r>
      <w:r w:rsidR="000C4751">
        <w:t>).</w:t>
      </w:r>
    </w:p>
    <w:p w14:paraId="1251FC93" w14:textId="4F6F1E88" w:rsidR="000C4751" w:rsidRDefault="000C4751" w:rsidP="00EF03AA">
      <w:pPr>
        <w:spacing w:line="480" w:lineRule="auto"/>
        <w:ind w:firstLine="720"/>
      </w:pPr>
      <w:r>
        <w:lastRenderedPageBreak/>
        <w:t xml:space="preserve">In Experiment 2, we </w:t>
      </w:r>
      <w:r w:rsidR="001B4435">
        <w:t xml:space="preserve">replicate and extend Experiment 1 by </w:t>
      </w:r>
      <w:r>
        <w:t>remov</w:t>
      </w:r>
      <w:r w:rsidR="001B4435">
        <w:t>ing</w:t>
      </w:r>
      <w:r>
        <w:t xml:space="preserve"> the context from the scenarios and demonstrate that PVT predicts </w:t>
      </w:r>
      <w:r w:rsidR="001B4435">
        <w:t xml:space="preserve">charitable giving in individual participants.  Demonstrating that the predictions are accurate on an individual participant level speaks to the robust nature of the effect.  </w:t>
      </w:r>
    </w:p>
    <w:p w14:paraId="209EF3D1" w14:textId="4738402A" w:rsidR="000C4751" w:rsidRDefault="001B4435" w:rsidP="001B4435">
      <w:pPr>
        <w:spacing w:line="480" w:lineRule="auto"/>
        <w:ind w:firstLine="720"/>
      </w:pPr>
      <w:r>
        <w:t xml:space="preserve">In Experiment 3, we demonstrate how PVT can be used as a framework to </w:t>
      </w:r>
      <w:r w:rsidR="000C4751">
        <w:t xml:space="preserve">systematically study how various factors of interest influence the </w:t>
      </w:r>
      <w:r>
        <w:t xml:space="preserve">social and </w:t>
      </w:r>
      <w:r w:rsidR="000C4751">
        <w:t>cognitive processes associated with charitable giving.</w:t>
      </w:r>
      <w:r>
        <w:t xml:space="preserve"> Specifically, in Experiment 3 we add an in-group/out-group label to the </w:t>
      </w:r>
      <w:r w:rsidR="00CC159F">
        <w:t xml:space="preserve">receivers of the charity and identify how that label influences the perception and decision processes. </w:t>
      </w:r>
    </w:p>
    <w:p w14:paraId="393956C2" w14:textId="76AD2938" w:rsidR="00CF7652" w:rsidRDefault="00F37474" w:rsidP="00CC159F">
      <w:pPr>
        <w:spacing w:line="480" w:lineRule="auto"/>
        <w:ind w:firstLine="720"/>
      </w:pPr>
      <w:r>
        <w:t>I</w:t>
      </w:r>
      <w:r w:rsidR="00CC159F">
        <w:t>n Experiment 4 we extend PVT beyond charitable choice to chari</w:t>
      </w:r>
      <w:r w:rsidR="00A55A3E">
        <w:t>table giving</w:t>
      </w:r>
      <w:r w:rsidR="00CC159F">
        <w:t xml:space="preserve"> itself.  That is, Experiment 4 presents participants the option to donate or keep the money.  By doing so, we address whether the Psychological Value of the receiver drives chari</w:t>
      </w:r>
      <w:r w:rsidR="00A55A3E">
        <w:t>table giving</w:t>
      </w:r>
      <w:r w:rsidR="00CC159F">
        <w:t xml:space="preserve"> or is simply used as the measure of who to give to when presented with a forced choice.  This experiment directly addresses the </w:t>
      </w:r>
      <w:r w:rsidR="000C4751">
        <w:t>long running debate in the chari</w:t>
      </w:r>
      <w:r w:rsidR="00A55A3E">
        <w:t>table giving</w:t>
      </w:r>
      <w:r w:rsidR="000C4751">
        <w:t xml:space="preserve"> literature about the role of impure altruism</w:t>
      </w:r>
      <w:r w:rsidR="00CC159F">
        <w:t xml:space="preserve"> in charitable giving.  That is, it shows how an objectively measured “private” benefit to the receiver can account for charitable giving behavior.</w:t>
      </w:r>
    </w:p>
    <w:p w14:paraId="37F5967B" w14:textId="74E39671" w:rsidR="00F37474" w:rsidRPr="00C06677" w:rsidRDefault="00F37474" w:rsidP="00CC159F">
      <w:pPr>
        <w:spacing w:line="480" w:lineRule="auto"/>
        <w:ind w:firstLine="720"/>
      </w:pPr>
      <w:r>
        <w:t>Finally, in Experiment 5, we compare the predictive ability of PVT to that of an account based on competence and warmth.  There is considerable evidence that the perceived competence and warmth of Person A relates to how Person B interacts with Person A (</w:t>
      </w:r>
      <w:r w:rsidR="003408E8">
        <w:t xml:space="preserve">see Fiske, Cuddy &amp; Glick, </w:t>
      </w:r>
      <w:r w:rsidR="003408E8">
        <w:fldChar w:fldCharType="begin"/>
      </w:r>
      <w:r w:rsidR="0019503B">
        <w:instrText xml:space="preserve"> ADDIN EN.CITE &lt;EndNote&gt;&lt;Cite&gt;&lt;Author&gt;Fiske&lt;/Author&gt;&lt;Year&gt;2007&lt;/Year&gt;&lt;RecNum&gt;2754&lt;/RecNum&gt;&lt;DisplayText&gt;2007&lt;/DisplayText&gt;&lt;record&gt;&lt;rec-number&gt;2754&lt;/rec-number&gt;&lt;foreign-keys&gt;&lt;key app="EN" db-id="w0tztzf0h2dft0eaewxxtpr4exwxf90s525w" timestamp="1681986936" guid="285c7ece-0594-4ae9-874c-fe718197f934"&gt;2754&lt;/key&gt;&lt;/foreign-keys&gt;&lt;ref-type name="Journal Article"&gt;17&lt;/ref-type&gt;&lt;contributors&gt;&lt;authors&gt;&lt;author&gt;Fiske, S. T&lt;/author&gt;&lt;author&gt;Cuddy, A. J. C&lt;/author&gt;&lt;author&gt;Glick, P&lt;/author&gt;&lt;/authors&gt;&lt;/contributors&gt;&lt;titles&gt;&lt;title&gt;Universal dimensions of social perception: warmth and competence&lt;/title&gt;&lt;secondary-title&gt;Trends in Cognitive Sciences&lt;/secondary-title&gt;&lt;/titles&gt;&lt;periodical&gt;&lt;full-title&gt;Trends in Cognitive Sciences&lt;/full-title&gt;&lt;abbr-1&gt;Trends Cognit. Sci.&lt;/abbr-1&gt;&lt;/periodical&gt;&lt;volume&gt;11&lt;/volume&gt;&lt;dates&gt;&lt;year&gt;2007&lt;/year&gt;&lt;/dates&gt;&lt;urls&gt;&lt;/urls&gt;&lt;electronic-resource-num&gt;http://dx.doi.org/10.1016/j.tics.2006.11.005&lt;/electronic-resource-num&gt;&lt;/record&gt;&lt;/Cite&gt;&lt;/EndNote&gt;</w:instrText>
      </w:r>
      <w:r w:rsidR="003408E8">
        <w:fldChar w:fldCharType="separate"/>
      </w:r>
      <w:r w:rsidR="003408E8">
        <w:rPr>
          <w:noProof/>
        </w:rPr>
        <w:t>2007</w:t>
      </w:r>
      <w:r w:rsidR="003408E8">
        <w:fldChar w:fldCharType="end"/>
      </w:r>
      <w:r>
        <w:t xml:space="preserve">).  It is therefore informative to assess how </w:t>
      </w:r>
      <w:r w:rsidR="008B122E">
        <w:t xml:space="preserve">well </w:t>
      </w:r>
      <w:r>
        <w:t xml:space="preserve">PVT </w:t>
      </w:r>
      <w:r w:rsidR="008B122E">
        <w:t>predicts relative</w:t>
      </w:r>
      <w:r>
        <w:t xml:space="preserve"> to these two theoretical constructs.</w:t>
      </w:r>
    </w:p>
    <w:p w14:paraId="47120AE7" w14:textId="21944D31" w:rsidR="00FB466C" w:rsidRPr="00C06677" w:rsidRDefault="004615E6" w:rsidP="005E0084">
      <w:pPr>
        <w:keepNext/>
        <w:spacing w:line="480" w:lineRule="auto"/>
        <w:jc w:val="center"/>
        <w:outlineLvl w:val="0"/>
        <w:rPr>
          <w:b/>
          <w:bCs/>
        </w:rPr>
      </w:pPr>
      <w:r w:rsidRPr="00C06677">
        <w:rPr>
          <w:b/>
          <w:bCs/>
        </w:rPr>
        <w:lastRenderedPageBreak/>
        <w:t>Experiment 1</w:t>
      </w:r>
    </w:p>
    <w:p w14:paraId="1E80B7EA" w14:textId="32E988F9" w:rsidR="00FB466C" w:rsidRPr="00C06677" w:rsidRDefault="00EF07B9" w:rsidP="00546198">
      <w:pPr>
        <w:spacing w:line="480" w:lineRule="auto"/>
        <w:ind w:firstLine="720"/>
        <w:contextualSpacing/>
      </w:pPr>
      <w:r w:rsidRPr="00C06677">
        <w:t xml:space="preserve">In </w:t>
      </w:r>
      <w:r w:rsidR="00FB466C" w:rsidRPr="00C06677">
        <w:t>Experiment 1</w:t>
      </w:r>
      <w:r w:rsidRPr="00C06677">
        <w:t>, we</w:t>
      </w:r>
      <w:r w:rsidR="00684E85" w:rsidRPr="00C06677">
        <w:t xml:space="preserve"> tes</w:t>
      </w:r>
      <w:r w:rsidRPr="00C06677">
        <w:t>t</w:t>
      </w:r>
      <w:r w:rsidR="00566FC4" w:rsidRPr="00C06677">
        <w:t>ed</w:t>
      </w:r>
      <w:r w:rsidR="00FB466C" w:rsidRPr="00C06677">
        <w:t xml:space="preserve"> the </w:t>
      </w:r>
      <w:r w:rsidR="00991C49" w:rsidRPr="00C06677">
        <w:t xml:space="preserve">PVT prediction that </w:t>
      </w:r>
      <w:r w:rsidR="00FB466C" w:rsidRPr="00C06677">
        <w:t xml:space="preserve">participants </w:t>
      </w:r>
      <w:r w:rsidR="00236130" w:rsidRPr="00C06677">
        <w:t>w</w:t>
      </w:r>
      <w:r w:rsidR="00BD37AF" w:rsidRPr="00C06677">
        <w:t>ill</w:t>
      </w:r>
      <w:r w:rsidR="00FB466C" w:rsidRPr="00C06677">
        <w:t xml:space="preserve"> choose to donate to the </w:t>
      </w:r>
      <w:r w:rsidR="00A77C5F" w:rsidRPr="00C06677">
        <w:t>option</w:t>
      </w:r>
      <w:r w:rsidR="00FB466C" w:rsidRPr="00C06677">
        <w:t xml:space="preserve"> with the greater </w:t>
      </w:r>
      <w:r w:rsidR="00AB5012" w:rsidRPr="00C06677">
        <w:t>psychological value</w:t>
      </w:r>
      <w:r w:rsidR="00FB466C" w:rsidRPr="00C06677">
        <w:t>.</w:t>
      </w:r>
      <w:r w:rsidR="00566FC4" w:rsidRPr="00C06677">
        <w:t xml:space="preserve"> W</w:t>
      </w:r>
      <w:r w:rsidR="00B82B21" w:rsidRPr="00C06677">
        <w:t>e present</w:t>
      </w:r>
      <w:r w:rsidR="00566FC4" w:rsidRPr="00C06677">
        <w:t>ed</w:t>
      </w:r>
      <w:r w:rsidR="00B82B21" w:rsidRPr="00C06677">
        <w:t xml:space="preserve"> </w:t>
      </w:r>
      <w:r w:rsidR="00CD1101" w:rsidRPr="00C06677">
        <w:t>participants</w:t>
      </w:r>
      <w:r w:rsidR="00B82B21" w:rsidRPr="00C06677">
        <w:t xml:space="preserve"> </w:t>
      </w:r>
      <w:r w:rsidR="00FF13CA" w:rsidRPr="00C06677">
        <w:t xml:space="preserve">with scenarios in which they had to choose </w:t>
      </w:r>
      <w:r w:rsidR="00674E47" w:rsidRPr="00C06677">
        <w:t xml:space="preserve">to give to one of </w:t>
      </w:r>
      <w:r w:rsidR="009E2827" w:rsidRPr="00C06677">
        <w:t xml:space="preserve">two </w:t>
      </w:r>
      <w:r w:rsidR="00AE1C01" w:rsidRPr="00C06677">
        <w:t>options</w:t>
      </w:r>
      <w:r w:rsidR="00FF13CA" w:rsidRPr="00C06677">
        <w:t>. On each trial</w:t>
      </w:r>
      <w:r w:rsidR="00674E47" w:rsidRPr="00C06677">
        <w:t>,</w:t>
      </w:r>
      <w:r w:rsidR="00FF13CA" w:rsidRPr="00C06677">
        <w:t xml:space="preserve"> both the speed and nature of the choice were noted. </w:t>
      </w:r>
      <w:r w:rsidR="00B82B21" w:rsidRPr="00C06677">
        <w:t>We use the distributional overlaps of Psychological Values of options</w:t>
      </w:r>
      <w:r w:rsidR="00E640DA">
        <w:t xml:space="preserve"> </w:t>
      </w:r>
      <w:r w:rsidR="00B82B21" w:rsidRPr="00C06677">
        <w:t xml:space="preserve"> collected </w:t>
      </w:r>
      <w:r w:rsidR="00AE1C01" w:rsidRPr="00C06677">
        <w:t xml:space="preserve">by </w:t>
      </w:r>
      <w:r w:rsidR="00B82B21" w:rsidRPr="00C06677">
        <w:t>Cohen et al. (</w:t>
      </w:r>
      <w:r w:rsidR="00EA184E" w:rsidRPr="00C0667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EA184E" w:rsidRPr="00C06677">
        <w:fldChar w:fldCharType="separate"/>
      </w:r>
      <w:r w:rsidR="00C42417">
        <w:rPr>
          <w:noProof/>
        </w:rPr>
        <w:t>2022</w:t>
      </w:r>
      <w:r w:rsidR="00EA184E" w:rsidRPr="00C06677">
        <w:fldChar w:fldCharType="end"/>
      </w:r>
      <w:r w:rsidR="00B82B21" w:rsidRPr="00C06677">
        <w:t>) to predict choice in the current set of experiments</w:t>
      </w:r>
      <w:r w:rsidR="00AE1C01" w:rsidRPr="00C06677">
        <w:t xml:space="preserve"> in line with the hypotheses derived from PVT.</w:t>
      </w:r>
    </w:p>
    <w:p w14:paraId="46D42D74" w14:textId="53A6889B" w:rsidR="00E14FB7" w:rsidRPr="00C06677" w:rsidRDefault="00E14FB7" w:rsidP="00E76EDF">
      <w:pPr>
        <w:keepNext/>
        <w:spacing w:line="480" w:lineRule="auto"/>
        <w:jc w:val="center"/>
        <w:outlineLvl w:val="0"/>
        <w:rPr>
          <w:b/>
        </w:rPr>
      </w:pPr>
      <w:r w:rsidRPr="00C06677">
        <w:rPr>
          <w:b/>
        </w:rPr>
        <w:t>Method</w:t>
      </w:r>
    </w:p>
    <w:p w14:paraId="4B1C4E18" w14:textId="3B36F7FB" w:rsidR="00FB466C" w:rsidRPr="00C06677" w:rsidRDefault="00FB466C" w:rsidP="00E76EDF">
      <w:pPr>
        <w:keepNext/>
        <w:spacing w:line="480" w:lineRule="auto"/>
        <w:outlineLvl w:val="0"/>
        <w:rPr>
          <w:b/>
        </w:rPr>
      </w:pPr>
      <w:r w:rsidRPr="00C06677">
        <w:rPr>
          <w:b/>
        </w:rPr>
        <w:t>Participants</w:t>
      </w:r>
    </w:p>
    <w:p w14:paraId="66676FC9" w14:textId="2CC0FFCE" w:rsidR="0089014A" w:rsidRPr="00C06677" w:rsidRDefault="00FB466C" w:rsidP="0089014A">
      <w:pPr>
        <w:spacing w:line="480" w:lineRule="auto"/>
        <w:ind w:firstLine="720"/>
      </w:pPr>
      <w:r w:rsidRPr="00C06677">
        <w:t xml:space="preserve">Participants </w:t>
      </w:r>
      <w:r w:rsidR="00236130" w:rsidRPr="00C06677">
        <w:t>included</w:t>
      </w:r>
      <w:r w:rsidR="00ED299E" w:rsidRPr="00C06677">
        <w:t xml:space="preserve"> </w:t>
      </w:r>
      <w:r w:rsidR="001F3FDA" w:rsidRPr="00C06677">
        <w:t>10</w:t>
      </w:r>
      <w:r w:rsidR="002C3343" w:rsidRPr="00C06677">
        <w:t>4</w:t>
      </w:r>
      <w:r w:rsidRPr="00C06677">
        <w:t xml:space="preserve"> undergraduate students who receive</w:t>
      </w:r>
      <w:r w:rsidR="00ED299E" w:rsidRPr="00C06677">
        <w:t>d</w:t>
      </w:r>
      <w:r w:rsidRPr="00C06677">
        <w:t xml:space="preserve"> partial credit towards a course requirement.</w:t>
      </w:r>
      <w:r w:rsidR="001F55CA" w:rsidRPr="00C06677">
        <w:t xml:space="preserve"> </w:t>
      </w:r>
      <w:r w:rsidR="0089014A" w:rsidRPr="00C06677">
        <w:t xml:space="preserve">Although it would have been preferable to record demographic data, at </w:t>
      </w:r>
      <w:r w:rsidR="00581045">
        <w:t>U</w:t>
      </w:r>
      <w:r w:rsidR="00511D2B">
        <w:t>NC</w:t>
      </w:r>
      <w:r w:rsidR="00364137">
        <w:t xml:space="preserve"> </w:t>
      </w:r>
      <w:r w:rsidR="00511D2B">
        <w:t>Wilmington</w:t>
      </w:r>
      <w:r w:rsidR="0089014A" w:rsidRPr="00C06677">
        <w:t xml:space="preserve"> students average age is 22, there are 64% females, and 78% of students are white, 5% are African American, 4% are of one or more other races, and 2% are unknown.  About 7% of students are Hispanic. </w:t>
      </w:r>
      <w:r w:rsidR="00AC43CD" w:rsidRPr="00C06677">
        <w:t>Credits were assigned based on showing up for the</w:t>
      </w:r>
      <w:r w:rsidR="0089014A" w:rsidRPr="00C06677">
        <w:t xml:space="preserve"> </w:t>
      </w:r>
      <w:r w:rsidR="00AC43CD" w:rsidRPr="00C06677">
        <w:t>experiment.</w:t>
      </w:r>
      <w:r w:rsidR="0089014A" w:rsidRPr="00C06677">
        <w:t xml:space="preserve"> </w:t>
      </w:r>
      <w:r w:rsidR="00AC43CD" w:rsidRPr="00C06677">
        <w:t xml:space="preserve">Participants were permitted to leave without penalty and all responses were anonymous. </w:t>
      </w:r>
    </w:p>
    <w:p w14:paraId="02E86E1A" w14:textId="2F70F533" w:rsidR="00ED7CDD" w:rsidRPr="00C06677" w:rsidRDefault="00D51FB9" w:rsidP="00445600">
      <w:pPr>
        <w:spacing w:line="480" w:lineRule="auto"/>
        <w:ind w:firstLine="720"/>
      </w:pPr>
      <w:r w:rsidRPr="00C06677">
        <w:t>Cohen and Ahn (2016) reported extremely large effect sizes (e.g.,</w:t>
      </w:r>
      <w:r w:rsidRPr="001969F7">
        <w:rPr>
          <w:i/>
          <w:iCs/>
        </w:rPr>
        <w:t xml:space="preserve"> r</w:t>
      </w:r>
      <w:r w:rsidRPr="001969F7">
        <w:rPr>
          <w:i/>
          <w:iCs/>
          <w:vertAlign w:val="superscript"/>
        </w:rPr>
        <w:t>2</w:t>
      </w:r>
      <w:r w:rsidRPr="00C06677">
        <w:t xml:space="preserve"> &gt; 0.85) with 120 trials per participant. This resulted in an estimated power ≈ 1.0 to detect the effect in an individual participant. Given this level of power, group data is needed to demonstrate consistency in results</w:t>
      </w:r>
      <w:r w:rsidR="0049432F" w:rsidRPr="00C06677">
        <w:t xml:space="preserve"> (</w:t>
      </w:r>
      <w:r w:rsidRPr="00C06677">
        <w:t>rather than increasing power</w:t>
      </w:r>
      <w:r w:rsidR="0049432F" w:rsidRPr="00C06677">
        <w:t xml:space="preserve">) and provide </w:t>
      </w:r>
      <w:r w:rsidR="00445600" w:rsidRPr="00C06677">
        <w:t xml:space="preserve">enough data </w:t>
      </w:r>
      <w:r w:rsidR="00841A03">
        <w:t xml:space="preserve">for </w:t>
      </w:r>
      <w:r w:rsidRPr="00C06677">
        <w:t>the computational model to run well</w:t>
      </w:r>
      <w:r w:rsidR="00445600" w:rsidRPr="00C06677">
        <w:t xml:space="preserve"> (i.e., provide stable estimates of the dependent variables at each cell)</w:t>
      </w:r>
      <w:r w:rsidR="0049432F" w:rsidRPr="00C06677">
        <w:t xml:space="preserve">. </w:t>
      </w:r>
      <w:r w:rsidRPr="00C06677">
        <w:t xml:space="preserve"> </w:t>
      </w:r>
      <w:r w:rsidR="00445600" w:rsidRPr="00C06677">
        <w:t>As such, s</w:t>
      </w:r>
      <w:r w:rsidR="00F92ED3" w:rsidRPr="00C06677">
        <w:t xml:space="preserve">ample size was determined by (a) setting a minimum number of participants (60) to obtain sufficient data for each item for data analysis, (b) estimating the time necessary to collect that number of participants, (c) posting all available experimental slots for the time </w:t>
      </w:r>
      <w:r w:rsidR="00F92ED3" w:rsidRPr="00C06677">
        <w:lastRenderedPageBreak/>
        <w:t xml:space="preserve">estimated in “b,” and (d) running all participants who signed up.  This resulted in the collection of more than the minimum number of participants because of a </w:t>
      </w:r>
      <w:r w:rsidR="009D4DAB" w:rsidRPr="00C06677">
        <w:t>higher-than-expected</w:t>
      </w:r>
      <w:r w:rsidR="00F92ED3" w:rsidRPr="00C06677">
        <w:t xml:space="preserve"> sign-up rate.</w:t>
      </w:r>
    </w:p>
    <w:p w14:paraId="730799E9" w14:textId="3F8BE5C4" w:rsidR="00FB466C" w:rsidRPr="00C06677" w:rsidRDefault="00FB466C" w:rsidP="00401046">
      <w:pPr>
        <w:keepNext/>
        <w:spacing w:line="480" w:lineRule="auto"/>
        <w:outlineLvl w:val="0"/>
        <w:rPr>
          <w:b/>
        </w:rPr>
      </w:pPr>
      <w:r w:rsidRPr="00C06677">
        <w:rPr>
          <w:b/>
        </w:rPr>
        <w:t>Apparatus and Stimuli</w:t>
      </w:r>
    </w:p>
    <w:p w14:paraId="74FA73EE" w14:textId="0BFE2D50" w:rsidR="002A6622" w:rsidRPr="00C06677" w:rsidRDefault="002A6622" w:rsidP="005E0084">
      <w:pPr>
        <w:spacing w:line="480" w:lineRule="auto"/>
        <w:outlineLvl w:val="0"/>
      </w:pPr>
      <w:r w:rsidRPr="00C06677">
        <w:rPr>
          <w:b/>
        </w:rPr>
        <w:tab/>
      </w:r>
      <w:r w:rsidRPr="00C06677">
        <w:t xml:space="preserve">Participants </w:t>
      </w:r>
      <w:r w:rsidR="00ED299E" w:rsidRPr="00C06677">
        <w:t xml:space="preserve">completed </w:t>
      </w:r>
      <w:r w:rsidRPr="00C06677">
        <w:t xml:space="preserve">the experiment on a 24-in. LED color monitor Mac with a </w:t>
      </w:r>
      <w:r w:rsidR="00113C51" w:rsidRPr="00C06677">
        <w:t xml:space="preserve">72-Hz refresh rate controlled by a Macintosh Mini running an OS X. The resolution of the monitor </w:t>
      </w:r>
      <w:r w:rsidR="00ED299E" w:rsidRPr="00C06677">
        <w:t xml:space="preserve">was </w:t>
      </w:r>
      <w:r w:rsidR="00113C51" w:rsidRPr="00C06677">
        <w:t xml:space="preserve">1920 </w:t>
      </w:r>
      <m:oMath>
        <m:r>
          <w:rPr>
            <w:rFonts w:ascii="Cambria Math" w:hAnsi="Cambria Math"/>
          </w:rPr>
          <m:t>×</m:t>
        </m:r>
      </m:oMath>
      <w:r w:rsidR="00113C51" w:rsidRPr="00C06677">
        <w:rPr>
          <w:rFonts w:eastAsiaTheme="minorEastAsia"/>
        </w:rPr>
        <w:t xml:space="preserve"> 1200 pixels. Participants input responses via an Apple keyboard.</w:t>
      </w:r>
    </w:p>
    <w:p w14:paraId="05A87091" w14:textId="452E7774" w:rsidR="00FB466C" w:rsidRPr="00C06677" w:rsidRDefault="00FB466C" w:rsidP="005E0084">
      <w:pPr>
        <w:spacing w:line="480" w:lineRule="auto"/>
        <w:ind w:firstLine="720"/>
        <w:rPr>
          <w:color w:val="000000" w:themeColor="text1"/>
        </w:rPr>
      </w:pPr>
      <w:r w:rsidRPr="00C06677">
        <w:rPr>
          <w:color w:val="000000" w:themeColor="text1"/>
        </w:rPr>
        <w:t xml:space="preserve">Participants </w:t>
      </w:r>
      <w:r w:rsidR="00ED299E" w:rsidRPr="00C06677">
        <w:rPr>
          <w:color w:val="000000" w:themeColor="text1"/>
        </w:rPr>
        <w:t xml:space="preserve">were </w:t>
      </w:r>
      <w:r w:rsidRPr="00C06677">
        <w:rPr>
          <w:color w:val="000000" w:themeColor="text1"/>
        </w:rPr>
        <w:t xml:space="preserve">shown 10 </w:t>
      </w:r>
      <w:r w:rsidR="00BD37AF" w:rsidRPr="00C06677">
        <w:rPr>
          <w:color w:val="000000" w:themeColor="text1"/>
        </w:rPr>
        <w:t xml:space="preserve">different </w:t>
      </w:r>
      <w:r w:rsidRPr="00C06677">
        <w:rPr>
          <w:color w:val="000000" w:themeColor="text1"/>
        </w:rPr>
        <w:t>scenarios eliciting donations. Each scenar</w:t>
      </w:r>
      <w:r w:rsidR="008A4E31" w:rsidRPr="00C06677">
        <w:rPr>
          <w:color w:val="000000" w:themeColor="text1"/>
        </w:rPr>
        <w:t xml:space="preserve">io </w:t>
      </w:r>
      <w:r w:rsidRPr="00C06677">
        <w:rPr>
          <w:color w:val="000000" w:themeColor="text1"/>
        </w:rPr>
        <w:t>follo</w:t>
      </w:r>
      <w:r w:rsidR="008A4E31" w:rsidRPr="00C06677">
        <w:rPr>
          <w:color w:val="000000" w:themeColor="text1"/>
        </w:rPr>
        <w:t>w</w:t>
      </w:r>
      <w:r w:rsidR="007F43CD" w:rsidRPr="00C06677">
        <w:rPr>
          <w:color w:val="000000" w:themeColor="text1"/>
        </w:rPr>
        <w:t>ed</w:t>
      </w:r>
      <w:r w:rsidRPr="00C06677">
        <w:rPr>
          <w:color w:val="000000" w:themeColor="text1"/>
        </w:rPr>
        <w:t xml:space="preserve"> a basic format </w:t>
      </w:r>
      <w:r w:rsidR="007F43CD" w:rsidRPr="00C06677">
        <w:rPr>
          <w:color w:val="000000" w:themeColor="text1"/>
        </w:rPr>
        <w:t>involving</w:t>
      </w:r>
      <w:r w:rsidRPr="00C06677">
        <w:rPr>
          <w:color w:val="000000" w:themeColor="text1"/>
        </w:rPr>
        <w:t xml:space="preserve"> two </w:t>
      </w:r>
      <w:r w:rsidR="00294F49" w:rsidRPr="00C06677">
        <w:rPr>
          <w:color w:val="000000" w:themeColor="text1"/>
        </w:rPr>
        <w:t>items</w:t>
      </w:r>
      <w:r w:rsidRPr="00C06677">
        <w:rPr>
          <w:color w:val="000000" w:themeColor="text1"/>
        </w:rPr>
        <w:t xml:space="preserve"> (</w:t>
      </w:r>
      <w:r w:rsidR="00F334B7" w:rsidRPr="00C06677">
        <w:rPr>
          <w:color w:val="000000" w:themeColor="text1"/>
        </w:rPr>
        <w:t>e.g</w:t>
      </w:r>
      <w:r w:rsidRPr="00C06677">
        <w:rPr>
          <w:color w:val="000000" w:themeColor="text1"/>
        </w:rPr>
        <w:t>.</w:t>
      </w:r>
      <w:r w:rsidR="00BF3E72" w:rsidRPr="00C06677">
        <w:rPr>
          <w:color w:val="000000" w:themeColor="text1"/>
        </w:rPr>
        <w:t>,</w:t>
      </w:r>
      <w:r w:rsidRPr="00C06677">
        <w:rPr>
          <w:color w:val="000000" w:themeColor="text1"/>
        </w:rPr>
        <w:t xml:space="preserve"> a nun and a mother) in need of monetary donations. The scenarios explain</w:t>
      </w:r>
      <w:r w:rsidR="00ED299E" w:rsidRPr="00C06677">
        <w:rPr>
          <w:color w:val="000000" w:themeColor="text1"/>
        </w:rPr>
        <w:t>ed</w:t>
      </w:r>
      <w:r w:rsidRPr="00C06677">
        <w:rPr>
          <w:color w:val="000000" w:themeColor="text1"/>
        </w:rPr>
        <w:t xml:space="preserve"> that these </w:t>
      </w:r>
      <w:r w:rsidR="00294F49" w:rsidRPr="00C06677">
        <w:rPr>
          <w:color w:val="000000" w:themeColor="text1"/>
        </w:rPr>
        <w:t>items</w:t>
      </w:r>
      <w:r w:rsidRPr="00C06677">
        <w:rPr>
          <w:color w:val="000000" w:themeColor="text1"/>
        </w:rPr>
        <w:t xml:space="preserve"> w</w:t>
      </w:r>
      <w:r w:rsidR="00ED299E" w:rsidRPr="00C06677">
        <w:rPr>
          <w:color w:val="000000" w:themeColor="text1"/>
        </w:rPr>
        <w:t>ould</w:t>
      </w:r>
      <w:r w:rsidRPr="00C06677">
        <w:rPr>
          <w:color w:val="000000" w:themeColor="text1"/>
        </w:rPr>
        <w:t xml:space="preserve"> receive donations via </w:t>
      </w:r>
      <w:r w:rsidR="00EC5869" w:rsidRPr="00C06677">
        <w:rPr>
          <w:color w:val="000000" w:themeColor="text1"/>
        </w:rPr>
        <w:t xml:space="preserve">separate </w:t>
      </w:r>
      <w:r w:rsidRPr="00C06677">
        <w:rPr>
          <w:color w:val="000000" w:themeColor="text1"/>
        </w:rPr>
        <w:t>GoFundMe accounts set up by an unidentified third party. Participants</w:t>
      </w:r>
      <w:r w:rsidR="00EC5869" w:rsidRPr="00C06677">
        <w:rPr>
          <w:color w:val="000000" w:themeColor="text1"/>
        </w:rPr>
        <w:t xml:space="preserve"> were to choose to</w:t>
      </w:r>
      <w:r w:rsidRPr="00C06677">
        <w:rPr>
          <w:color w:val="000000" w:themeColor="text1"/>
        </w:rPr>
        <w:t xml:space="preserve"> donate $10 to one of</w:t>
      </w:r>
      <w:r w:rsidR="00EC5869" w:rsidRPr="00C06677">
        <w:rPr>
          <w:color w:val="000000" w:themeColor="text1"/>
        </w:rPr>
        <w:t xml:space="preserve"> the</w:t>
      </w:r>
      <w:r w:rsidRPr="00C06677">
        <w:rPr>
          <w:color w:val="000000" w:themeColor="text1"/>
        </w:rPr>
        <w:t xml:space="preserve"> two accounts. The reasons for needing donations var</w:t>
      </w:r>
      <w:r w:rsidR="00ED299E" w:rsidRPr="00C06677">
        <w:rPr>
          <w:color w:val="000000" w:themeColor="text1"/>
        </w:rPr>
        <w:t>ied</w:t>
      </w:r>
      <w:r w:rsidRPr="00C06677">
        <w:rPr>
          <w:color w:val="000000" w:themeColor="text1"/>
        </w:rPr>
        <w:t xml:space="preserve"> per trial and scenario</w:t>
      </w:r>
      <w:r w:rsidR="0019753E" w:rsidRPr="00C06677">
        <w:rPr>
          <w:color w:val="000000" w:themeColor="text1"/>
        </w:rPr>
        <w:t xml:space="preserve">, as did the people in need of donations. </w:t>
      </w:r>
      <w:r w:rsidRPr="00C06677">
        <w:rPr>
          <w:color w:val="000000" w:themeColor="text1"/>
        </w:rPr>
        <w:t>All reasons for needing monetary donation</w:t>
      </w:r>
      <w:r w:rsidR="0019753E" w:rsidRPr="00C06677">
        <w:rPr>
          <w:color w:val="000000" w:themeColor="text1"/>
        </w:rPr>
        <w:t>s</w:t>
      </w:r>
      <w:r w:rsidRPr="00C06677">
        <w:rPr>
          <w:color w:val="000000" w:themeColor="text1"/>
        </w:rPr>
        <w:t xml:space="preserve"> adhere</w:t>
      </w:r>
      <w:r w:rsidR="00ED299E" w:rsidRPr="00C06677">
        <w:rPr>
          <w:color w:val="000000" w:themeColor="text1"/>
        </w:rPr>
        <w:t>d</w:t>
      </w:r>
      <w:r w:rsidRPr="00C06677">
        <w:rPr>
          <w:color w:val="000000" w:themeColor="text1"/>
        </w:rPr>
        <w:t xml:space="preserve"> to the following set of criteria</w:t>
      </w:r>
      <w:r w:rsidR="00ED299E" w:rsidRPr="00C06677">
        <w:rPr>
          <w:color w:val="000000" w:themeColor="text1"/>
        </w:rPr>
        <w:t>, as determined through an intensive, collaborative effort from members of the Cohen Cognition and Perception Laboratory</w:t>
      </w:r>
      <w:r w:rsidRPr="00C06677">
        <w:rPr>
          <w:color w:val="000000" w:themeColor="text1"/>
        </w:rPr>
        <w:t>:</w:t>
      </w:r>
    </w:p>
    <w:p w14:paraId="29F313F7" w14:textId="0154C6BF" w:rsidR="00FB466C" w:rsidRPr="00C06677" w:rsidRDefault="00FB466C" w:rsidP="005E0084">
      <w:pPr>
        <w:spacing w:line="480" w:lineRule="auto"/>
        <w:ind w:left="720"/>
        <w:rPr>
          <w:color w:val="000000" w:themeColor="text1"/>
        </w:rPr>
      </w:pPr>
      <w:r w:rsidRPr="00C06677">
        <w:rPr>
          <w:color w:val="000000" w:themeColor="text1"/>
        </w:rPr>
        <w:t xml:space="preserve">1. Each reason for needing a donation </w:t>
      </w:r>
      <w:r w:rsidR="006D2FBE" w:rsidRPr="00C06677">
        <w:rPr>
          <w:color w:val="000000" w:themeColor="text1"/>
        </w:rPr>
        <w:t>was</w:t>
      </w:r>
      <w:r w:rsidRPr="00C06677">
        <w:rPr>
          <w:color w:val="000000" w:themeColor="text1"/>
        </w:rPr>
        <w:t xml:space="preserve"> </w:t>
      </w:r>
      <w:r w:rsidR="00790A31" w:rsidRPr="00C06677">
        <w:rPr>
          <w:color w:val="000000" w:themeColor="text1"/>
        </w:rPr>
        <w:t xml:space="preserve">equally </w:t>
      </w:r>
      <w:r w:rsidRPr="00C06677">
        <w:rPr>
          <w:color w:val="000000" w:themeColor="text1"/>
        </w:rPr>
        <w:t>plausible for all items in the experiment.</w:t>
      </w:r>
    </w:p>
    <w:p w14:paraId="6FAAC35D" w14:textId="126C7CB2" w:rsidR="00FB466C" w:rsidRPr="00C06677" w:rsidRDefault="00790A31" w:rsidP="005E0084">
      <w:pPr>
        <w:spacing w:line="480" w:lineRule="auto"/>
        <w:ind w:firstLine="720"/>
        <w:rPr>
          <w:color w:val="000000" w:themeColor="text1"/>
        </w:rPr>
      </w:pPr>
      <w:r w:rsidRPr="00C06677">
        <w:rPr>
          <w:color w:val="000000" w:themeColor="text1"/>
        </w:rPr>
        <w:t>2</w:t>
      </w:r>
      <w:r w:rsidR="00FB466C" w:rsidRPr="00C06677">
        <w:rPr>
          <w:color w:val="000000" w:themeColor="text1"/>
        </w:rPr>
        <w:t xml:space="preserve">. Each reason </w:t>
      </w:r>
      <w:r w:rsidR="006D2FBE" w:rsidRPr="00C06677">
        <w:rPr>
          <w:color w:val="000000" w:themeColor="text1"/>
        </w:rPr>
        <w:t>was</w:t>
      </w:r>
      <w:r w:rsidR="00FB466C" w:rsidRPr="00C06677">
        <w:rPr>
          <w:color w:val="000000" w:themeColor="text1"/>
        </w:rPr>
        <w:t xml:space="preserve"> expressed in a similar range of words (7 to 25 words).</w:t>
      </w:r>
    </w:p>
    <w:p w14:paraId="0515AEDD" w14:textId="66F8864A" w:rsidR="00FB466C" w:rsidRPr="00C06677" w:rsidRDefault="00790A31" w:rsidP="005E0084">
      <w:pPr>
        <w:spacing w:line="480" w:lineRule="auto"/>
        <w:ind w:left="720"/>
        <w:rPr>
          <w:color w:val="000000" w:themeColor="text1"/>
        </w:rPr>
      </w:pPr>
      <w:r w:rsidRPr="00C06677">
        <w:rPr>
          <w:color w:val="000000" w:themeColor="text1"/>
        </w:rPr>
        <w:t>3</w:t>
      </w:r>
      <w:r w:rsidR="00FB466C" w:rsidRPr="00C06677">
        <w:rPr>
          <w:color w:val="000000" w:themeColor="text1"/>
        </w:rPr>
        <w:t xml:space="preserve">. Each reason for needing a donation </w:t>
      </w:r>
      <w:r w:rsidR="006D2FBE" w:rsidRPr="00C06677">
        <w:rPr>
          <w:color w:val="000000" w:themeColor="text1"/>
        </w:rPr>
        <w:t>was</w:t>
      </w:r>
      <w:r w:rsidR="00FB466C" w:rsidRPr="00C06677">
        <w:rPr>
          <w:color w:val="000000" w:themeColor="text1"/>
        </w:rPr>
        <w:t xml:space="preserve"> politically and socially neutral.</w:t>
      </w:r>
    </w:p>
    <w:p w14:paraId="2BE2134D" w14:textId="6744A59D" w:rsidR="00FB466C" w:rsidRPr="00C06677" w:rsidRDefault="00790A31" w:rsidP="005E0084">
      <w:pPr>
        <w:spacing w:line="480" w:lineRule="auto"/>
        <w:ind w:left="720"/>
        <w:rPr>
          <w:color w:val="000000" w:themeColor="text1"/>
        </w:rPr>
      </w:pPr>
      <w:r w:rsidRPr="00C06677">
        <w:rPr>
          <w:color w:val="000000" w:themeColor="text1"/>
        </w:rPr>
        <w:t>4</w:t>
      </w:r>
      <w:r w:rsidR="00FB466C" w:rsidRPr="00C06677">
        <w:rPr>
          <w:color w:val="000000" w:themeColor="text1"/>
        </w:rPr>
        <w:t xml:space="preserve">. Each reason for needing a donation </w:t>
      </w:r>
      <w:r w:rsidR="006D2FBE" w:rsidRPr="00C06677">
        <w:rPr>
          <w:color w:val="000000" w:themeColor="text1"/>
        </w:rPr>
        <w:t xml:space="preserve">was </w:t>
      </w:r>
      <w:r w:rsidR="00FB466C" w:rsidRPr="00C06677">
        <w:rPr>
          <w:color w:val="000000" w:themeColor="text1"/>
        </w:rPr>
        <w:t>initiated by some circumstance out of the items’ control.</w:t>
      </w:r>
    </w:p>
    <w:p w14:paraId="19E04F25" w14:textId="390752CD" w:rsidR="00FB466C" w:rsidRPr="00C06677" w:rsidRDefault="00FB466C" w:rsidP="00B256D9">
      <w:pPr>
        <w:spacing w:line="480" w:lineRule="auto"/>
        <w:ind w:firstLine="720"/>
        <w:rPr>
          <w:i/>
          <w:color w:val="000000" w:themeColor="text1"/>
        </w:rPr>
      </w:pPr>
      <w:r w:rsidRPr="00C06677">
        <w:rPr>
          <w:color w:val="000000" w:themeColor="text1"/>
        </w:rPr>
        <w:t>An example of these scenarios is:</w:t>
      </w:r>
    </w:p>
    <w:p w14:paraId="4D48F9A2" w14:textId="77777777" w:rsidR="00FB466C" w:rsidRPr="00C06677" w:rsidRDefault="00FB466C" w:rsidP="00A92CDB">
      <w:pPr>
        <w:spacing w:line="480" w:lineRule="auto"/>
        <w:ind w:left="720"/>
        <w:jc w:val="center"/>
        <w:rPr>
          <w:i/>
          <w:color w:val="000000" w:themeColor="text1"/>
        </w:rPr>
      </w:pPr>
      <w:r w:rsidRPr="00C06677">
        <w:rPr>
          <w:i/>
          <w:color w:val="000000" w:themeColor="text1"/>
        </w:rPr>
        <w:t>Through circumstances out of their control,</w:t>
      </w:r>
    </w:p>
    <w:p w14:paraId="525E9820" w14:textId="1E3B23C1" w:rsidR="00FB466C" w:rsidRPr="00C06677" w:rsidRDefault="00294F49" w:rsidP="00F334B7">
      <w:pPr>
        <w:spacing w:line="480" w:lineRule="auto"/>
        <w:jc w:val="center"/>
        <w:rPr>
          <w:i/>
          <w:color w:val="000000" w:themeColor="text1"/>
        </w:rPr>
      </w:pPr>
      <w:r w:rsidRPr="00C06677">
        <w:rPr>
          <w:bCs/>
          <w:i/>
          <w:color w:val="000000" w:themeColor="text1"/>
        </w:rPr>
        <w:lastRenderedPageBreak/>
        <w:t xml:space="preserve">Item </w:t>
      </w:r>
      <w:r w:rsidR="00FB466C" w:rsidRPr="00C06677">
        <w:rPr>
          <w:bCs/>
          <w:i/>
          <w:color w:val="000000" w:themeColor="text1"/>
        </w:rPr>
        <w:t>A</w:t>
      </w:r>
      <w:r w:rsidR="00FB466C" w:rsidRPr="00C06677">
        <w:rPr>
          <w:bCs/>
          <w:i/>
          <w:color w:val="000000" w:themeColor="text1"/>
        </w:rPr>
        <w:tab/>
      </w:r>
      <w:r w:rsidR="00FB466C" w:rsidRPr="00C06677">
        <w:rPr>
          <w:bCs/>
          <w:i/>
          <w:color w:val="000000" w:themeColor="text1"/>
        </w:rPr>
        <w:tab/>
        <w:t xml:space="preserve"> </w:t>
      </w:r>
      <w:r w:rsidR="00FB466C" w:rsidRPr="00C06677">
        <w:rPr>
          <w:i/>
          <w:color w:val="000000" w:themeColor="text1"/>
        </w:rPr>
        <w:t xml:space="preserve">and </w:t>
      </w:r>
      <w:r w:rsidR="00FB466C" w:rsidRPr="00C06677">
        <w:rPr>
          <w:i/>
          <w:color w:val="000000" w:themeColor="text1"/>
        </w:rPr>
        <w:tab/>
      </w:r>
      <w:r w:rsidRPr="00C06677">
        <w:rPr>
          <w:bCs/>
          <w:i/>
          <w:color w:val="000000" w:themeColor="text1"/>
        </w:rPr>
        <w:tab/>
        <w:t>Item</w:t>
      </w:r>
      <w:r w:rsidR="00FB466C" w:rsidRPr="00C06677">
        <w:rPr>
          <w:bCs/>
          <w:i/>
          <w:color w:val="000000" w:themeColor="text1"/>
        </w:rPr>
        <w:t xml:space="preserve"> B</w:t>
      </w:r>
    </w:p>
    <w:p w14:paraId="11FED214" w14:textId="00137929" w:rsidR="00FB466C" w:rsidRPr="00C06677" w:rsidRDefault="00FB466C" w:rsidP="00A92CDB">
      <w:pPr>
        <w:spacing w:line="480" w:lineRule="auto"/>
        <w:ind w:left="720"/>
        <w:jc w:val="center"/>
        <w:rPr>
          <w:i/>
          <w:color w:val="000000" w:themeColor="text1"/>
        </w:rPr>
      </w:pPr>
      <w:r w:rsidRPr="00C06677">
        <w:rPr>
          <w:i/>
          <w:color w:val="000000" w:themeColor="text1"/>
        </w:rPr>
        <w:t>have lost their houses to fires. A third party has created a GoFundMe account for each person to rebuild their houses. You have $10 which you can donate to only one of these GoFundMe accounts.</w:t>
      </w:r>
    </w:p>
    <w:p w14:paraId="77CE038F" w14:textId="77777777" w:rsidR="00FB466C" w:rsidRPr="00C06677" w:rsidRDefault="00FB466C" w:rsidP="00A92CDB">
      <w:pPr>
        <w:spacing w:line="480" w:lineRule="auto"/>
        <w:ind w:left="720"/>
        <w:jc w:val="center"/>
        <w:rPr>
          <w:i/>
          <w:color w:val="000000" w:themeColor="text1"/>
        </w:rPr>
      </w:pPr>
    </w:p>
    <w:p w14:paraId="356B6AED" w14:textId="77777777" w:rsidR="00FB466C" w:rsidRPr="00C06677" w:rsidRDefault="00FB466C" w:rsidP="00A92CDB">
      <w:pPr>
        <w:spacing w:line="480" w:lineRule="auto"/>
        <w:ind w:left="720"/>
        <w:jc w:val="center"/>
        <w:outlineLvl w:val="0"/>
        <w:rPr>
          <w:i/>
          <w:color w:val="000000" w:themeColor="text1"/>
        </w:rPr>
      </w:pPr>
      <w:r w:rsidRPr="00C06677">
        <w:rPr>
          <w:i/>
          <w:color w:val="000000" w:themeColor="text1"/>
        </w:rPr>
        <w:t>Would you prefer to donate the $10 to help rebuild the house of</w:t>
      </w:r>
    </w:p>
    <w:p w14:paraId="74F1E82D" w14:textId="423F8609" w:rsidR="00FB466C" w:rsidRPr="00C06677" w:rsidRDefault="00294F49" w:rsidP="00F334B7">
      <w:pPr>
        <w:spacing w:line="480" w:lineRule="auto"/>
        <w:jc w:val="center"/>
        <w:rPr>
          <w:bCs/>
          <w:i/>
          <w:color w:val="000000" w:themeColor="text1"/>
        </w:rPr>
      </w:pPr>
      <w:r w:rsidRPr="00C06677">
        <w:rPr>
          <w:bCs/>
          <w:i/>
          <w:color w:val="000000" w:themeColor="text1"/>
        </w:rPr>
        <w:t xml:space="preserve">Item </w:t>
      </w:r>
      <w:r w:rsidR="00FB466C" w:rsidRPr="00C06677">
        <w:rPr>
          <w:bCs/>
          <w:i/>
          <w:color w:val="000000" w:themeColor="text1"/>
        </w:rPr>
        <w:t>A</w:t>
      </w:r>
      <w:r w:rsidR="00FB466C" w:rsidRPr="00C06677">
        <w:rPr>
          <w:bCs/>
          <w:i/>
          <w:color w:val="000000" w:themeColor="text1"/>
        </w:rPr>
        <w:tab/>
      </w:r>
      <w:r w:rsidR="00FB466C" w:rsidRPr="00C06677">
        <w:rPr>
          <w:bCs/>
          <w:i/>
          <w:color w:val="000000" w:themeColor="text1"/>
        </w:rPr>
        <w:tab/>
        <w:t xml:space="preserve"> </w:t>
      </w:r>
      <w:r w:rsidR="00FB466C" w:rsidRPr="00C06677">
        <w:rPr>
          <w:i/>
          <w:color w:val="000000" w:themeColor="text1"/>
        </w:rPr>
        <w:t xml:space="preserve">or </w:t>
      </w:r>
      <w:r w:rsidR="00FB466C" w:rsidRPr="00C06677">
        <w:rPr>
          <w:i/>
          <w:color w:val="000000" w:themeColor="text1"/>
        </w:rPr>
        <w:tab/>
      </w:r>
      <w:r w:rsidRPr="00C06677">
        <w:rPr>
          <w:bCs/>
          <w:i/>
          <w:color w:val="000000" w:themeColor="text1"/>
        </w:rPr>
        <w:tab/>
        <w:t>Item</w:t>
      </w:r>
      <w:r w:rsidR="00FB466C" w:rsidRPr="00C06677">
        <w:rPr>
          <w:bCs/>
          <w:i/>
          <w:color w:val="000000" w:themeColor="text1"/>
        </w:rPr>
        <w:t xml:space="preserve"> B?</w:t>
      </w:r>
    </w:p>
    <w:p w14:paraId="7F64FDA1" w14:textId="77777777" w:rsidR="00FB466C" w:rsidRPr="00C06677" w:rsidRDefault="00FB466C" w:rsidP="005E0084">
      <w:pPr>
        <w:spacing w:line="480" w:lineRule="auto"/>
      </w:pPr>
    </w:p>
    <w:p w14:paraId="098C3481" w14:textId="6487EFC0" w:rsidR="0096756C" w:rsidRPr="00C06677" w:rsidRDefault="00FB466C" w:rsidP="0045292D">
      <w:pPr>
        <w:spacing w:line="480" w:lineRule="auto"/>
      </w:pPr>
      <w:r w:rsidRPr="00C06677">
        <w:tab/>
        <w:t xml:space="preserve">The ten different scenarios </w:t>
      </w:r>
      <w:r w:rsidR="00ED299E" w:rsidRPr="00C06677">
        <w:t>were</w:t>
      </w:r>
      <w:r w:rsidRPr="00C06677">
        <w:t xml:space="preserve"> consistent in format, varying only by item and reason for needing a donation</w:t>
      </w:r>
      <w:r w:rsidR="00841A03">
        <w:t xml:space="preserve"> (see Supplementa</w:t>
      </w:r>
      <w:r w:rsidR="001A5CB0">
        <w:t>l</w:t>
      </w:r>
      <w:r w:rsidR="00841A03">
        <w:t xml:space="preserve"> </w:t>
      </w:r>
      <w:r w:rsidR="00784FF6">
        <w:t>Information</w:t>
      </w:r>
      <w:r w:rsidR="00841A03">
        <w:t xml:space="preserve"> for a complete listing of the scenarios)</w:t>
      </w:r>
      <w:r w:rsidRPr="00C06677">
        <w:t>. For example, instead of “</w:t>
      </w:r>
      <w:r w:rsidR="00294F49" w:rsidRPr="00C06677">
        <w:t>Item</w:t>
      </w:r>
      <w:r w:rsidRPr="00C06677">
        <w:t xml:space="preserve"> A” and “</w:t>
      </w:r>
      <w:r w:rsidR="00294F49" w:rsidRPr="00C06677">
        <w:t>Item</w:t>
      </w:r>
      <w:r w:rsidRPr="00C06677">
        <w:t xml:space="preserve"> B” needing money to help rebuild their houses, a different scenario may explain that they need money to pay for a medical treatment. In each scenario, “</w:t>
      </w:r>
      <w:r w:rsidR="00294F49" w:rsidRPr="00C06677">
        <w:t>Item</w:t>
      </w:r>
      <w:r w:rsidRPr="00C06677">
        <w:t xml:space="preserve"> A” and “</w:t>
      </w:r>
      <w:r w:rsidR="00294F49" w:rsidRPr="00C06677">
        <w:t>Item</w:t>
      </w:r>
      <w:r w:rsidRPr="00C06677">
        <w:t xml:space="preserve"> B” w</w:t>
      </w:r>
      <w:r w:rsidR="00ED299E" w:rsidRPr="00C06677">
        <w:t>ere</w:t>
      </w:r>
      <w:r w:rsidRPr="00C06677">
        <w:t xml:space="preserve"> selected from a list of 22 items. The complete list contain</w:t>
      </w:r>
      <w:r w:rsidR="00970292" w:rsidRPr="00C06677">
        <w:t>ed</w:t>
      </w:r>
      <w:r w:rsidRPr="00C06677">
        <w:t xml:space="preserve"> a range of items based on their </w:t>
      </w:r>
      <w:r w:rsidR="00294F49" w:rsidRPr="00C06677">
        <w:rPr>
          <w:i/>
          <w:iCs/>
        </w:rPr>
        <w:t>f</w:t>
      </w:r>
      <w:r w:rsidR="00294F49" w:rsidRPr="00C06677">
        <w:t>(</w:t>
      </w:r>
      <w:r w:rsidR="00294F49" w:rsidRPr="00C06677">
        <w:sym w:font="Symbol" w:char="F059"/>
      </w:r>
      <w:r w:rsidR="00294F49" w:rsidRPr="00C06677">
        <w:rPr>
          <w:vertAlign w:val="subscript"/>
        </w:rPr>
        <w:t>v</w:t>
      </w:r>
      <w:r w:rsidR="00294F49" w:rsidRPr="00C06677">
        <w:t>)</w:t>
      </w:r>
      <w:r w:rsidRPr="00C06677">
        <w:t xml:space="preserve">, spanning from items of very low </w:t>
      </w:r>
      <w:r w:rsidR="00294F49" w:rsidRPr="00C06677">
        <w:rPr>
          <w:i/>
          <w:iCs/>
        </w:rPr>
        <w:t>f</w:t>
      </w:r>
      <w:r w:rsidR="00294F49" w:rsidRPr="00C06677">
        <w:t>(</w:t>
      </w:r>
      <w:r w:rsidR="00294F49" w:rsidRPr="00C06677">
        <w:sym w:font="Symbol" w:char="F059"/>
      </w:r>
      <w:r w:rsidR="00294F49" w:rsidRPr="00C06677">
        <w:rPr>
          <w:vertAlign w:val="subscript"/>
        </w:rPr>
        <w:t>v</w:t>
      </w:r>
      <w:r w:rsidR="00294F49" w:rsidRPr="00C06677">
        <w:t xml:space="preserve">) </w:t>
      </w:r>
      <w:r w:rsidRPr="00C06677">
        <w:t xml:space="preserve">(i.e., a terrorist or a pedophile), to items with very high </w:t>
      </w:r>
      <w:r w:rsidR="00294F49" w:rsidRPr="00C06677">
        <w:rPr>
          <w:i/>
          <w:iCs/>
        </w:rPr>
        <w:t>f</w:t>
      </w:r>
      <w:r w:rsidR="00294F49" w:rsidRPr="00C06677">
        <w:t>(</w:t>
      </w:r>
      <w:r w:rsidR="00294F49" w:rsidRPr="00C06677">
        <w:sym w:font="Symbol" w:char="F059"/>
      </w:r>
      <w:r w:rsidR="00294F49" w:rsidRPr="00C06677">
        <w:rPr>
          <w:vertAlign w:val="subscript"/>
        </w:rPr>
        <w:t>v</w:t>
      </w:r>
      <w:r w:rsidR="00294F49" w:rsidRPr="00C06677">
        <w:t xml:space="preserve">) </w:t>
      </w:r>
      <w:r w:rsidRPr="00C06677">
        <w:t xml:space="preserve">(i.e., an astronaut or an Olympian). This list of items </w:t>
      </w:r>
      <w:r w:rsidR="00970292" w:rsidRPr="00C06677">
        <w:t>contained the same human items</w:t>
      </w:r>
      <w:r w:rsidRPr="00C06677">
        <w:t xml:space="preserve"> used in </w:t>
      </w:r>
      <w:r w:rsidR="006E5935" w:rsidRPr="00C06677">
        <w:t xml:space="preserve">Experiments 2-5 of </w:t>
      </w:r>
      <w:r w:rsidRPr="00C06677">
        <w:t>Cohe</w:t>
      </w:r>
      <w:r w:rsidR="00456A4A" w:rsidRPr="00C06677">
        <w:t>n et al.,</w:t>
      </w:r>
      <w:r w:rsidRPr="00C06677">
        <w:t xml:space="preserve"> (</w:t>
      </w:r>
      <w:r w:rsidR="00EA184E" w:rsidRPr="00C06677">
        <w:fldChar w:fldCharType="begin"/>
      </w:r>
      <w:r w:rsidR="00C42417">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EA184E" w:rsidRPr="00C06677">
        <w:fldChar w:fldCharType="separate"/>
      </w:r>
      <w:r w:rsidR="00C42417">
        <w:rPr>
          <w:noProof/>
        </w:rPr>
        <w:t>2022</w:t>
      </w:r>
      <w:r w:rsidR="00EA184E" w:rsidRPr="00C06677">
        <w:fldChar w:fldCharType="end"/>
      </w:r>
      <w:r w:rsidRPr="00C06677">
        <w:t>), except</w:t>
      </w:r>
      <w:r w:rsidR="0045292D">
        <w:t xml:space="preserve"> for three items:  </w:t>
      </w:r>
      <w:r w:rsidRPr="00C06677">
        <w:t xml:space="preserve">a billionaire, an orphan, and a homeless adult. A billionaire </w:t>
      </w:r>
      <w:r w:rsidR="00ED299E" w:rsidRPr="00C06677">
        <w:t>was</w:t>
      </w:r>
      <w:r w:rsidRPr="00C06677">
        <w:t xml:space="preserve"> excluded from the list because the item is characterized by having an abundance of money, which could dissuade participants from choosing to donate money to th</w:t>
      </w:r>
      <w:r w:rsidR="006614B1" w:rsidRPr="00C06677">
        <w:t>at option</w:t>
      </w:r>
      <w:r w:rsidRPr="00C06677">
        <w:t xml:space="preserve">. A homeless adult </w:t>
      </w:r>
      <w:r w:rsidR="00790A31" w:rsidRPr="00C06677">
        <w:t xml:space="preserve">and an orphan were </w:t>
      </w:r>
      <w:r w:rsidR="00ED299E" w:rsidRPr="00C06677">
        <w:t>not</w:t>
      </w:r>
      <w:r w:rsidRPr="00C06677">
        <w:t xml:space="preserve"> included in the item list </w:t>
      </w:r>
      <w:r w:rsidR="00790A31" w:rsidRPr="00C06677">
        <w:t>because they were not</w:t>
      </w:r>
      <w:r w:rsidRPr="00C06677">
        <w:t xml:space="preserve"> applicable to </w:t>
      </w:r>
      <w:r w:rsidR="00790A31" w:rsidRPr="00C06677">
        <w:t xml:space="preserve">at least one </w:t>
      </w:r>
      <w:r w:rsidRPr="00C06677">
        <w:t xml:space="preserve">of the scenarios (e.g., </w:t>
      </w:r>
      <w:r w:rsidR="00790A31" w:rsidRPr="00C06677">
        <w:t>a homeless person and an orphan</w:t>
      </w:r>
      <w:r w:rsidR="00925C56">
        <w:t xml:space="preserve"> (which many people associate with a child)</w:t>
      </w:r>
      <w:r w:rsidR="00790A31" w:rsidRPr="00C06677">
        <w:t xml:space="preserve"> </w:t>
      </w:r>
      <w:r w:rsidRPr="00C06677">
        <w:t xml:space="preserve">do not </w:t>
      </w:r>
      <w:r w:rsidR="00790A31" w:rsidRPr="00C06677">
        <w:t xml:space="preserve">own </w:t>
      </w:r>
      <w:r w:rsidRPr="00C06677">
        <w:t>house</w:t>
      </w:r>
      <w:r w:rsidR="00790A31" w:rsidRPr="00C06677">
        <w:t>s, which is a requirement of one of the scenarios</w:t>
      </w:r>
      <w:r w:rsidRPr="00C06677">
        <w:t xml:space="preserve">). </w:t>
      </w:r>
      <w:r w:rsidR="0045292D">
        <w:t>To replace the three removed items, t</w:t>
      </w:r>
      <w:r w:rsidRPr="00C06677">
        <w:t xml:space="preserve">hree </w:t>
      </w:r>
      <w:r w:rsidR="006A58D5">
        <w:t xml:space="preserve">new </w:t>
      </w:r>
      <w:r w:rsidRPr="00C06677">
        <w:t>items w</w:t>
      </w:r>
      <w:r w:rsidR="00ED299E" w:rsidRPr="00C06677">
        <w:t>ere</w:t>
      </w:r>
      <w:r w:rsidRPr="00C06677">
        <w:t xml:space="preserve"> added: a mother, a father, and a teacher. A mother and a father both </w:t>
      </w:r>
      <w:r w:rsidRPr="00C06677">
        <w:lastRenderedPageBreak/>
        <w:t xml:space="preserve">are both items with high </w:t>
      </w:r>
      <w:r w:rsidR="00294F49" w:rsidRPr="00C06677">
        <w:rPr>
          <w:i/>
          <w:iCs/>
        </w:rPr>
        <w:t>f</w:t>
      </w:r>
      <w:r w:rsidR="00294F49" w:rsidRPr="00C06677">
        <w:t>(</w:t>
      </w:r>
      <w:r w:rsidR="00294F49" w:rsidRPr="00C06677">
        <w:sym w:font="Symbol" w:char="F059"/>
      </w:r>
      <w:r w:rsidR="00294F49" w:rsidRPr="00C06677">
        <w:rPr>
          <w:vertAlign w:val="subscript"/>
        </w:rPr>
        <w:t>v</w:t>
      </w:r>
      <w:r w:rsidR="00294F49" w:rsidRPr="00C06677">
        <w:t>)</w:t>
      </w:r>
      <w:r w:rsidRPr="00C06677">
        <w:t xml:space="preserve"> and therefore provide</w:t>
      </w:r>
      <w:r w:rsidR="00ED299E" w:rsidRPr="00C06677">
        <w:t>d</w:t>
      </w:r>
      <w:r w:rsidRPr="00C06677">
        <w:t xml:space="preserve"> more values to the upper end of the scale. A teacher </w:t>
      </w:r>
      <w:r w:rsidR="00ED299E" w:rsidRPr="00C06677">
        <w:t>was also</w:t>
      </w:r>
      <w:r w:rsidRPr="00C06677">
        <w:t xml:space="preserve"> used in this experiment because it is an item that could plausibly experience all of the circumstances described in the 10 scenarios.</w:t>
      </w:r>
      <w:r w:rsidR="0096756C" w:rsidRPr="00C06677">
        <w:t xml:space="preserve"> </w:t>
      </w:r>
    </w:p>
    <w:p w14:paraId="3A051C19" w14:textId="77777777" w:rsidR="00FB466C" w:rsidRPr="00C06677" w:rsidRDefault="00FB466C" w:rsidP="00D80FB7">
      <w:pPr>
        <w:keepNext/>
        <w:spacing w:line="480" w:lineRule="auto"/>
        <w:ind w:firstLine="720"/>
        <w:outlineLvl w:val="0"/>
        <w:rPr>
          <w:b/>
        </w:rPr>
      </w:pPr>
      <w:r w:rsidRPr="00C06677">
        <w:rPr>
          <w:b/>
        </w:rPr>
        <w:t>Procedure</w:t>
      </w:r>
    </w:p>
    <w:p w14:paraId="098F5530" w14:textId="7B0DBAD8" w:rsidR="006E5CA5" w:rsidRPr="00C06677" w:rsidRDefault="00FB466C" w:rsidP="005E0084">
      <w:pPr>
        <w:spacing w:line="480" w:lineRule="auto"/>
        <w:ind w:firstLine="720"/>
      </w:pPr>
      <w:r w:rsidRPr="00C06677">
        <w:t>The procedure follow</w:t>
      </w:r>
      <w:r w:rsidR="002E0249" w:rsidRPr="00C06677">
        <w:t>ed</w:t>
      </w:r>
      <w:r w:rsidRPr="00C06677">
        <w:t xml:space="preserve"> that used in Experiment 2 </w:t>
      </w:r>
      <w:r w:rsidR="00925C56">
        <w:t>of</w:t>
      </w:r>
      <w:r w:rsidR="00925C56" w:rsidRPr="00C06677">
        <w:t xml:space="preserve"> </w:t>
      </w:r>
      <w:r w:rsidRPr="00C06677">
        <w:t>Cohen and Ahn (2016). Participants complete</w:t>
      </w:r>
      <w:r w:rsidR="002E0249" w:rsidRPr="00C06677">
        <w:t>d</w:t>
      </w:r>
      <w:r w:rsidRPr="00C06677">
        <w:t xml:space="preserve"> the experiment in a small dark testing room containing a desk, a chair, and a computer. White noise played over speakers in </w:t>
      </w:r>
      <w:r w:rsidR="00396BC5">
        <w:t>the</w:t>
      </w:r>
      <w:r w:rsidRPr="00C06677">
        <w:t xml:space="preserve"> room to mask any ambient noise.</w:t>
      </w:r>
    </w:p>
    <w:p w14:paraId="6C8129F2" w14:textId="58C5E030" w:rsidR="00790A31" w:rsidRPr="00C06677" w:rsidRDefault="00396BC5" w:rsidP="0074483A">
      <w:pPr>
        <w:spacing w:line="480" w:lineRule="auto"/>
        <w:ind w:firstLine="720"/>
      </w:pPr>
      <w:r>
        <w:t>O</w:t>
      </w:r>
      <w:r w:rsidR="00790A31" w:rsidRPr="00C06677">
        <w:t xml:space="preserve">n </w:t>
      </w:r>
      <w:r w:rsidR="00FB466C" w:rsidRPr="00C06677">
        <w:t>each trial participant</w:t>
      </w:r>
      <w:r w:rsidR="00FE31AC" w:rsidRPr="00C06677">
        <w:t>s</w:t>
      </w:r>
      <w:r w:rsidR="00FB466C" w:rsidRPr="00C06677">
        <w:t xml:space="preserve"> w</w:t>
      </w:r>
      <w:r w:rsidR="002E0249" w:rsidRPr="00C06677">
        <w:t>ere</w:t>
      </w:r>
      <w:r w:rsidR="00FB466C" w:rsidRPr="00C06677">
        <w:t xml:space="preserve"> presented with a </w:t>
      </w:r>
      <w:r w:rsidR="00790A31" w:rsidRPr="00C06677">
        <w:t xml:space="preserve">fixation point, followed by the </w:t>
      </w:r>
      <w:r w:rsidR="00FB466C" w:rsidRPr="00C06677">
        <w:t xml:space="preserve">scenario </w:t>
      </w:r>
      <w:r w:rsidR="00790A31" w:rsidRPr="00C06677">
        <w:t xml:space="preserve">in which the two items were masked </w:t>
      </w:r>
      <w:r w:rsidR="00FB466C" w:rsidRPr="00C06677">
        <w:t>for a fixed amount of time</w:t>
      </w:r>
      <w:r w:rsidR="00790A31" w:rsidRPr="00C06677">
        <w:t>, followed by the unmasking of the items. The masked scenario was presented first so that participants would be able to read and comprehend the scenario, without being able to initiate a decision process. This remove</w:t>
      </w:r>
      <w:r w:rsidR="00F334B7" w:rsidRPr="00C06677">
        <w:t>s</w:t>
      </w:r>
      <w:r w:rsidR="00790A31" w:rsidRPr="00C06677">
        <w:t xml:space="preserve"> the scenario reading time from the participant’s </w:t>
      </w:r>
      <w:r w:rsidR="008D4AB3" w:rsidRPr="00C06677">
        <w:t>RT and</w:t>
      </w:r>
      <w:r w:rsidR="00F334B7" w:rsidRPr="00C06677">
        <w:t xml:space="preserve"> was shown not to influence responses</w:t>
      </w:r>
      <w:r w:rsidR="00790A31" w:rsidRPr="00C06677">
        <w:t xml:space="preserve">. </w:t>
      </w:r>
    </w:p>
    <w:p w14:paraId="6AE02B08" w14:textId="42FDE635" w:rsidR="009978E8" w:rsidRPr="00C06677" w:rsidRDefault="00790A31" w:rsidP="0074483A">
      <w:pPr>
        <w:spacing w:line="480" w:lineRule="auto"/>
        <w:ind w:firstLine="720"/>
      </w:pPr>
      <w:r w:rsidRPr="00C06677">
        <w:t>More precisely, e</w:t>
      </w:r>
      <w:r w:rsidR="00FB466C" w:rsidRPr="00C06677">
        <w:t>ach trial beg</w:t>
      </w:r>
      <w:r w:rsidR="002E0249" w:rsidRPr="00C06677">
        <w:t>a</w:t>
      </w:r>
      <w:r w:rsidR="00FB466C" w:rsidRPr="00C06677">
        <w:t>n with a 500 ms red fixation cross point, followed by the scenario</w:t>
      </w:r>
      <w:r w:rsidRPr="00C06677">
        <w:t xml:space="preserve"> in which</w:t>
      </w:r>
      <w:r w:rsidR="00441FDD" w:rsidRPr="00C06677">
        <w:t xml:space="preserve"> the options (i</w:t>
      </w:r>
      <w:r w:rsidR="00E543D0" w:rsidRPr="00C06677">
        <w:t>.</w:t>
      </w:r>
      <w:r w:rsidR="00441FDD" w:rsidRPr="00C06677">
        <w:t>e.,</w:t>
      </w:r>
      <w:r w:rsidRPr="00C06677">
        <w:t xml:space="preserve"> Item A and Item B</w:t>
      </w:r>
      <w:r w:rsidR="00441FDD" w:rsidRPr="00C06677">
        <w:t>)</w:t>
      </w:r>
      <w:r w:rsidRPr="00C06677">
        <w:t xml:space="preserve"> were masked</w:t>
      </w:r>
      <w:r w:rsidR="00FB466C" w:rsidRPr="00C06677">
        <w:t>.</w:t>
      </w:r>
      <w:r w:rsidR="002E0249" w:rsidRPr="00C06677">
        <w:t xml:space="preserve"> </w:t>
      </w:r>
      <w:r w:rsidR="00FB466C" w:rsidRPr="00C06677">
        <w:t>In the beginning of each trial</w:t>
      </w:r>
      <w:r w:rsidR="002E0249" w:rsidRPr="00C06677">
        <w:t xml:space="preserve"> </w:t>
      </w:r>
      <w:r w:rsidR="00FB466C" w:rsidRPr="00C06677">
        <w:t>the masked scenarios w</w:t>
      </w:r>
      <w:r w:rsidR="002E0249" w:rsidRPr="00C06677">
        <w:t>ere</w:t>
      </w:r>
      <w:r w:rsidR="00FB466C" w:rsidRPr="00C06677">
        <w:t xml:space="preserve"> presented</w:t>
      </w:r>
      <w:r w:rsidR="002E0249" w:rsidRPr="00C06677">
        <w:t xml:space="preserve"> with</w:t>
      </w:r>
      <w:r w:rsidR="00FB466C" w:rsidRPr="00C06677">
        <w:t xml:space="preserve"> each character in the </w:t>
      </w:r>
      <w:r w:rsidR="00AD7652" w:rsidRPr="00C06677">
        <w:t>right</w:t>
      </w:r>
      <w:r w:rsidR="00FB466C" w:rsidRPr="00C06677">
        <w:t xml:space="preserve"> </w:t>
      </w:r>
      <w:r w:rsidR="007604A4" w:rsidRPr="00C06677">
        <w:t>item</w:t>
      </w:r>
      <w:r w:rsidR="00FB466C" w:rsidRPr="00C06677">
        <w:t xml:space="preserve">, </w:t>
      </w:r>
      <w:r w:rsidR="007604A4" w:rsidRPr="00C06677">
        <w:t>Item</w:t>
      </w:r>
      <w:r w:rsidR="00FB466C" w:rsidRPr="00C06677">
        <w:t xml:space="preserve"> A, replaced with a teal “+”, and each character in </w:t>
      </w:r>
      <w:r w:rsidR="00CF16A4" w:rsidRPr="00C06677">
        <w:t xml:space="preserve">the left </w:t>
      </w:r>
      <w:r w:rsidR="007604A4" w:rsidRPr="00C06677">
        <w:t>item</w:t>
      </w:r>
      <w:r w:rsidR="00CF16A4" w:rsidRPr="00C06677">
        <w:t xml:space="preserve">, </w:t>
      </w:r>
      <w:r w:rsidR="007604A4" w:rsidRPr="00C06677">
        <w:t>Item</w:t>
      </w:r>
      <w:r w:rsidR="00FB466C" w:rsidRPr="00C06677">
        <w:t xml:space="preserve"> B</w:t>
      </w:r>
      <w:r w:rsidR="00CF16A4" w:rsidRPr="00C06677">
        <w:t>,</w:t>
      </w:r>
      <w:r w:rsidR="00FB466C" w:rsidRPr="00C06677">
        <w:t xml:space="preserve"> replaced with a teal “=”. A progress bar to the left of the scenario fill</w:t>
      </w:r>
      <w:r w:rsidR="002E0249" w:rsidRPr="00C06677">
        <w:t>ed</w:t>
      </w:r>
      <w:r w:rsidR="00FB466C" w:rsidRPr="00C06677">
        <w:t xml:space="preserve"> at a rate of 300</w:t>
      </w:r>
      <w:r w:rsidR="00B52A37" w:rsidRPr="00C06677">
        <w:t xml:space="preserve"> </w:t>
      </w:r>
      <w:r w:rsidR="00FB466C" w:rsidRPr="00C06677">
        <w:t>ms per word in the scenario to graphically show participants how long they ha</w:t>
      </w:r>
      <w:r w:rsidR="002E0249" w:rsidRPr="00C06677">
        <w:t>d</w:t>
      </w:r>
      <w:r w:rsidR="00FB466C" w:rsidRPr="00C06677">
        <w:t xml:space="preserve"> to read each scenario. The rate of 300</w:t>
      </w:r>
      <w:r w:rsidR="00B52A37" w:rsidRPr="00C06677">
        <w:t xml:space="preserve"> </w:t>
      </w:r>
      <w:r w:rsidR="00FB466C" w:rsidRPr="00C06677">
        <w:t>ms per word provide</w:t>
      </w:r>
      <w:r w:rsidR="002E0249" w:rsidRPr="00C06677">
        <w:t>d</w:t>
      </w:r>
      <w:r w:rsidR="00FB466C" w:rsidRPr="00C06677">
        <w:t xml:space="preserve"> participants with sufficient time to reach each scenario fully before being asked to respond.</w:t>
      </w:r>
    </w:p>
    <w:p w14:paraId="0647D64C" w14:textId="2058FD38" w:rsidR="006E5CA5" w:rsidRDefault="00FB466C" w:rsidP="005E0084">
      <w:pPr>
        <w:spacing w:line="480" w:lineRule="auto"/>
        <w:ind w:firstLine="720"/>
      </w:pPr>
      <w:r w:rsidRPr="00C06677">
        <w:t>Once the progress bar completely f</w:t>
      </w:r>
      <w:r w:rsidR="002E0249" w:rsidRPr="00C06677">
        <w:t>i</w:t>
      </w:r>
      <w:r w:rsidRPr="00C06677">
        <w:t>ll</w:t>
      </w:r>
      <w:r w:rsidR="002E0249" w:rsidRPr="00C06677">
        <w:t>ed</w:t>
      </w:r>
      <w:r w:rsidRPr="00C06677">
        <w:t xml:space="preserve">, the two items </w:t>
      </w:r>
      <w:r w:rsidR="002E0249" w:rsidRPr="00C06677">
        <w:t>were</w:t>
      </w:r>
      <w:r w:rsidRPr="00C06677">
        <w:t xml:space="preserve"> unmasked</w:t>
      </w:r>
      <w:r w:rsidR="00C51293" w:rsidRPr="00C06677">
        <w:t xml:space="preserve"> (see Figure </w:t>
      </w:r>
      <w:r w:rsidR="002B0581" w:rsidRPr="00C06677">
        <w:t>2</w:t>
      </w:r>
      <w:r w:rsidR="007E056B" w:rsidRPr="00C06677">
        <w:t>)</w:t>
      </w:r>
      <w:r w:rsidRPr="00C06677">
        <w:t>. With the complete unmasked scenario presented, participants then respond</w:t>
      </w:r>
      <w:r w:rsidR="002E0249" w:rsidRPr="00C06677">
        <w:t xml:space="preserve">ed </w:t>
      </w:r>
      <w:r w:rsidRPr="00C06677">
        <w:t>to whom they w</w:t>
      </w:r>
      <w:r w:rsidR="001C3EA2" w:rsidRPr="00C06677">
        <w:t>ould</w:t>
      </w:r>
      <w:r w:rsidRPr="00C06677">
        <w:t xml:space="preserve"> donate using either the “d” or “k” keys. As one item w</w:t>
      </w:r>
      <w:r w:rsidR="002E0249" w:rsidRPr="00C06677">
        <w:t xml:space="preserve">as </w:t>
      </w:r>
      <w:r w:rsidRPr="00C06677">
        <w:t xml:space="preserve">presented on the right side of the </w:t>
      </w:r>
      <w:r w:rsidRPr="00C06677">
        <w:lastRenderedPageBreak/>
        <w:t>screen and the other on the left, the “d” and “k” keys</w:t>
      </w:r>
      <w:r w:rsidR="002E0249" w:rsidRPr="00C06677">
        <w:t xml:space="preserve"> </w:t>
      </w:r>
      <w:r w:rsidRPr="00C06677">
        <w:t>correspond</w:t>
      </w:r>
      <w:r w:rsidR="002E0249" w:rsidRPr="00C06677">
        <w:t>ed</w:t>
      </w:r>
      <w:r w:rsidRPr="00C06677">
        <w:t xml:space="preserve"> to “</w:t>
      </w:r>
      <w:r w:rsidR="00CD7AA5" w:rsidRPr="00C06677">
        <w:t>R</w:t>
      </w:r>
      <w:r w:rsidRPr="00C06677">
        <w:t>ight Item” and “</w:t>
      </w:r>
      <w:r w:rsidR="00CD7AA5" w:rsidRPr="00C06677">
        <w:t>L</w:t>
      </w:r>
      <w:r w:rsidRPr="00C06677">
        <w:t>eft Item</w:t>
      </w:r>
      <w:r w:rsidR="00790A31" w:rsidRPr="00C06677">
        <w:t>.</w:t>
      </w:r>
      <w:r w:rsidRPr="00C06677">
        <w:t>” Participants’ choice and RT w</w:t>
      </w:r>
      <w:r w:rsidR="002E0249" w:rsidRPr="00C06677">
        <w:t>ere</w:t>
      </w:r>
      <w:r w:rsidRPr="00C06677">
        <w:t xml:space="preserve"> recorded for each trial. RT </w:t>
      </w:r>
      <w:r w:rsidR="002E0249" w:rsidRPr="00C06677">
        <w:t>was</w:t>
      </w:r>
      <w:r w:rsidRPr="00C06677">
        <w:t xml:space="preserve"> measured starting when </w:t>
      </w:r>
      <w:r w:rsidR="0048780F" w:rsidRPr="00C06677">
        <w:t>Item</w:t>
      </w:r>
      <w:r w:rsidRPr="00C06677">
        <w:t xml:space="preserve"> A and </w:t>
      </w:r>
      <w:r w:rsidR="0048780F" w:rsidRPr="00C06677">
        <w:t>Item</w:t>
      </w:r>
      <w:r w:rsidRPr="00C06677">
        <w:t xml:space="preserve"> B</w:t>
      </w:r>
      <w:r w:rsidR="002E0249" w:rsidRPr="00C06677">
        <w:t xml:space="preserve"> were </w:t>
      </w:r>
      <w:r w:rsidRPr="00C06677">
        <w:t>unmasked, and choice w</w:t>
      </w:r>
      <w:r w:rsidR="002E0249" w:rsidRPr="00C06677">
        <w:t xml:space="preserve">as </w:t>
      </w:r>
      <w:r w:rsidRPr="00C06677">
        <w:t>recorded. The unmasked scenario remain</w:t>
      </w:r>
      <w:r w:rsidR="002E0249" w:rsidRPr="00C06677">
        <w:t>ed</w:t>
      </w:r>
      <w:r w:rsidRPr="00C06677">
        <w:t xml:space="preserve"> on the screen until the participant input their response, at which point the timer stop</w:t>
      </w:r>
      <w:r w:rsidR="002E0249" w:rsidRPr="00C06677">
        <w:t>ped</w:t>
      </w:r>
      <w:r w:rsidRPr="00C06677">
        <w:t xml:space="preserve"> and the screen move</w:t>
      </w:r>
      <w:r w:rsidR="002E0249" w:rsidRPr="00C06677">
        <w:t>d</w:t>
      </w:r>
      <w:r w:rsidRPr="00C06677">
        <w:t xml:space="preserve"> to the next trial</w:t>
      </w:r>
      <w:r w:rsidR="00C51293" w:rsidRPr="00C06677">
        <w:t xml:space="preserve"> (see Figure </w:t>
      </w:r>
      <w:r w:rsidR="002B0581" w:rsidRPr="00C06677">
        <w:t>3</w:t>
      </w:r>
      <w:r w:rsidR="006E5CA5" w:rsidRPr="00C06677">
        <w:t>)</w:t>
      </w:r>
      <w:r w:rsidRPr="00C06677">
        <w:t>.</w:t>
      </w:r>
      <w:r w:rsidR="004D766A" w:rsidRPr="00C06677">
        <w:t xml:space="preserve"> </w:t>
      </w:r>
    </w:p>
    <w:p w14:paraId="5CC5B955" w14:textId="2863DE74" w:rsidR="008242AC" w:rsidRDefault="008242AC" w:rsidP="008242AC">
      <w:pPr>
        <w:spacing w:line="480" w:lineRule="auto"/>
      </w:pPr>
    </w:p>
    <w:p w14:paraId="5DAAE00A" w14:textId="07DFFD6C" w:rsidR="008242AC" w:rsidRPr="00C06677" w:rsidRDefault="008242AC" w:rsidP="008242AC">
      <w:pPr>
        <w:spacing w:line="480" w:lineRule="auto"/>
        <w:ind w:firstLine="720"/>
        <w:jc w:val="center"/>
      </w:pPr>
      <w:r w:rsidRPr="00C06677">
        <w:rPr>
          <w:noProof/>
        </w:rPr>
        <mc:AlternateContent>
          <mc:Choice Requires="wps">
            <w:drawing>
              <wp:anchor distT="0" distB="0" distL="114300" distR="114300" simplePos="0" relativeHeight="251676672" behindDoc="0" locked="0" layoutInCell="1" allowOverlap="1" wp14:anchorId="257C73FB" wp14:editId="327A2945">
                <wp:simplePos x="0" y="0"/>
                <wp:positionH relativeFrom="column">
                  <wp:posOffset>2302510</wp:posOffset>
                </wp:positionH>
                <wp:positionV relativeFrom="paragraph">
                  <wp:posOffset>2245360</wp:posOffset>
                </wp:positionV>
                <wp:extent cx="2349660" cy="266218"/>
                <wp:effectExtent l="0" t="0" r="0" b="635"/>
                <wp:wrapNone/>
                <wp:docPr id="3" name="Text Box 3"/>
                <wp:cNvGraphicFramePr/>
                <a:graphic xmlns:a="http://schemas.openxmlformats.org/drawingml/2006/main">
                  <a:graphicData uri="http://schemas.microsoft.com/office/word/2010/wordprocessingShape">
                    <wps:wsp>
                      <wps:cNvSpPr txBox="1"/>
                      <wps:spPr>
                        <a:xfrm>
                          <a:off x="0" y="0"/>
                          <a:ext cx="2349660" cy="266218"/>
                        </a:xfrm>
                        <a:prstGeom prst="rect">
                          <a:avLst/>
                        </a:prstGeom>
                        <a:solidFill>
                          <a:schemeClr val="tx1"/>
                        </a:solidFill>
                        <a:ln w="6350">
                          <a:noFill/>
                        </a:ln>
                      </wps:spPr>
                      <wps:txbx>
                        <w:txbxContent>
                          <w:p w14:paraId="00A1C103" w14:textId="77777777" w:rsidR="008242AC" w:rsidRPr="00951DB7" w:rsidRDefault="008242AC" w:rsidP="008242AC">
                            <w:pPr>
                              <w:rPr>
                                <w:rFonts w:ascii="Courier New" w:hAnsi="Courier New" w:cs="Courier New"/>
                                <w:b/>
                                <w:bCs/>
                                <w:color w:val="25CCD6"/>
                                <w:sz w:val="20"/>
                                <w:szCs w:val="20"/>
                              </w:rPr>
                            </w:pP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 xml:space="preserve">Item A </w:t>
                            </w:r>
                            <w:r>
                              <w:rPr>
                                <w:rFonts w:ascii="Courier New" w:hAnsi="Courier New" w:cs="Courier New"/>
                                <w:b/>
                                <w:bCs/>
                                <w:color w:val="25CCD6"/>
                                <w:sz w:val="20"/>
                                <w:szCs w:val="20"/>
                              </w:rPr>
                              <w:t xml:space="preserve">  or</w:t>
                            </w:r>
                            <w:r w:rsidRPr="00951DB7">
                              <w:rPr>
                                <w:rFonts w:ascii="Courier New" w:hAnsi="Courier New" w:cs="Courier New"/>
                                <w:b/>
                                <w:bCs/>
                                <w:color w:val="25CCD6"/>
                                <w:sz w:val="20"/>
                                <w:szCs w:val="20"/>
                              </w:rPr>
                              <w:t xml:space="preserve"> </w:t>
                            </w: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Item B</w:t>
                            </w:r>
                            <w:r>
                              <w:rPr>
                                <w:rFonts w:ascii="Courier New" w:hAnsi="Courier New" w:cs="Courier New"/>
                                <w:b/>
                                <w:bCs/>
                                <w:color w:val="25CCD6"/>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C73FB" id="_x0000_t202" coordsize="21600,21600" o:spt="202" path="m,l,21600r21600,l21600,xe">
                <v:stroke joinstyle="miter"/>
                <v:path gradientshapeok="t" o:connecttype="rect"/>
              </v:shapetype>
              <v:shape id="Text Box 3" o:spid="_x0000_s1026" type="#_x0000_t202" style="position:absolute;left:0;text-align:left;margin-left:181.3pt;margin-top:176.8pt;width:18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0WlLQIAAFQEAAAOAAAAZHJzL2Uyb0RvYy54bWysVE1v2zAMvQ/YfxB0X5y4qdcacYosRYYB&#13;&#10;QVsgHXpWZCk2IIuapMTOfv0o2flYt9Owi0yK1BP5+OTZQ9cochDW1aALOhmNKRGaQ1nrXUG/v64+&#13;&#10;3VHiPNMlU6BFQY/C0Yf5xw+z1uQihQpUKSxBEO3y1hS08t7kSeJ4JRrmRmCExqAE2zCPrt0lpWUt&#13;&#10;ojcqScfjLGnBlsYCF87h7mMfpPOIL6Xg/llKJzxRBcXafFxtXLdhTeYzlu8sM1XNhzLYP1TRsFrj&#13;&#10;pWeoR+YZ2dv6D6im5hYcSD/i0CQgZc1F7AG7mYzfdbOpmBGxFyTHmTNN7v/B8qfDxrxY4rsv0OEA&#13;&#10;AyGtcbnDzdBPJ20TvlgpwThSeDzTJjpPOG6mN9P7LMMQx1iaZenkLsAkl9PGOv9VQEOCUVCLY4ls&#13;&#10;scPa+T71lBIuc6DqclUrFZ0gBbFUlhwYDtF3sUYE/y1LadIWNLu5HUdgDeF4j6w01nLpKVi+23ZD&#13;&#10;o1soj9i/hV4azvBVjUWumfMvzKIWsC/Ut3/GRSrAS2CwKKnA/vzbfsjHEWGUkha1VVD3Y8+soER9&#13;&#10;0zi8+8l0GsQYnent5xQdex3ZXkf0vlkCdj7Bl2R4NEO+VydTWmje8Bkswq0YYprj3UjVyVz6XvH4&#13;&#10;jLhYLGISys8wv9YbwwN0YDqM4LV7Y9YMc/I44Sc4qZDl78bV54aTGhZ7D7KOswwE96wOvKN0oxqG&#13;&#10;ZxbexrUfsy4/g/kvAAAA//8DAFBLAwQUAAYACAAAACEAzyp1x+IAAAAQAQAADwAAAGRycy9kb3du&#13;&#10;cmV2LnhtbExPwU7DMAy9I/EPkZG4sZRVHaxrOiEmBEgDxECcvca0FY1TNdlW+Hq8E1ysZ/v5+b1i&#13;&#10;ObpO7WkIrWcDl5MEFHHlbcu1gfe3u4trUCEiW+w8k4FvCrAsT08KzK0/8CvtN7FWIsIhRwNNjH2u&#13;&#10;dagachgmvieW3acfHEZph1rbAQ8i7jo9TZKZdtiyfGiwp9uGqq/Nzhn4SN3LuHq6/3nIHtdz+0yh&#13;&#10;ZgzGnJ+Nq4WUmwWoSGP8u4BjBvEPpRjb+h3boDoD6Ww6E6qALBUgjKv0ONnKZJ5loMtC/w9S/gIA&#13;&#10;AP//AwBQSwECLQAUAAYACAAAACEAtoM4kv4AAADhAQAAEwAAAAAAAAAAAAAAAAAAAAAAW0NvbnRl&#13;&#10;bnRfVHlwZXNdLnhtbFBLAQItABQABgAIAAAAIQA4/SH/1gAAAJQBAAALAAAAAAAAAAAAAAAAAC8B&#13;&#10;AABfcmVscy8ucmVsc1BLAQItABQABgAIAAAAIQCE00WlLQIAAFQEAAAOAAAAAAAAAAAAAAAAAC4C&#13;&#10;AABkcnMvZTJvRG9jLnhtbFBLAQItABQABgAIAAAAIQDPKnXH4gAAABABAAAPAAAAAAAAAAAAAAAA&#13;&#10;AIcEAABkcnMvZG93bnJldi54bWxQSwUGAAAAAAQABADzAAAAlgUAAAAA&#13;&#10;" fillcolor="black [3213]" stroked="f" strokeweight=".5pt">
                <v:textbox>
                  <w:txbxContent>
                    <w:p w14:paraId="00A1C103" w14:textId="77777777" w:rsidR="008242AC" w:rsidRPr="00951DB7" w:rsidRDefault="008242AC" w:rsidP="008242AC">
                      <w:pPr>
                        <w:rPr>
                          <w:rFonts w:ascii="Courier New" w:hAnsi="Courier New" w:cs="Courier New"/>
                          <w:b/>
                          <w:bCs/>
                          <w:color w:val="25CCD6"/>
                          <w:sz w:val="20"/>
                          <w:szCs w:val="20"/>
                        </w:rPr>
                      </w:pP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 xml:space="preserve">Item A </w:t>
                      </w:r>
                      <w:r>
                        <w:rPr>
                          <w:rFonts w:ascii="Courier New" w:hAnsi="Courier New" w:cs="Courier New"/>
                          <w:b/>
                          <w:bCs/>
                          <w:color w:val="25CCD6"/>
                          <w:sz w:val="20"/>
                          <w:szCs w:val="20"/>
                        </w:rPr>
                        <w:t xml:space="preserve">  or</w:t>
                      </w:r>
                      <w:r w:rsidRPr="00951DB7">
                        <w:rPr>
                          <w:rFonts w:ascii="Courier New" w:hAnsi="Courier New" w:cs="Courier New"/>
                          <w:b/>
                          <w:bCs/>
                          <w:color w:val="25CCD6"/>
                          <w:sz w:val="20"/>
                          <w:szCs w:val="20"/>
                        </w:rPr>
                        <w:t xml:space="preserve"> </w:t>
                      </w: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Item B</w:t>
                      </w:r>
                      <w:r>
                        <w:rPr>
                          <w:rFonts w:ascii="Courier New" w:hAnsi="Courier New" w:cs="Courier New"/>
                          <w:b/>
                          <w:bCs/>
                          <w:color w:val="25CCD6"/>
                          <w:sz w:val="20"/>
                          <w:szCs w:val="20"/>
                        </w:rPr>
                        <w:t>?</w:t>
                      </w:r>
                    </w:p>
                  </w:txbxContent>
                </v:textbox>
              </v:shape>
            </w:pict>
          </mc:Fallback>
        </mc:AlternateContent>
      </w:r>
      <w:r w:rsidRPr="00C06677">
        <w:rPr>
          <w:noProof/>
        </w:rPr>
        <mc:AlternateContent>
          <mc:Choice Requires="wps">
            <w:drawing>
              <wp:anchor distT="0" distB="0" distL="114300" distR="114300" simplePos="0" relativeHeight="251675648" behindDoc="0" locked="0" layoutInCell="1" allowOverlap="1" wp14:anchorId="138E01AE" wp14:editId="49E319DF">
                <wp:simplePos x="0" y="0"/>
                <wp:positionH relativeFrom="column">
                  <wp:posOffset>2302510</wp:posOffset>
                </wp:positionH>
                <wp:positionV relativeFrom="paragraph">
                  <wp:posOffset>913620</wp:posOffset>
                </wp:positionV>
                <wp:extent cx="2349660" cy="266218"/>
                <wp:effectExtent l="0" t="0" r="0" b="635"/>
                <wp:wrapNone/>
                <wp:docPr id="4" name="Text Box 4"/>
                <wp:cNvGraphicFramePr/>
                <a:graphic xmlns:a="http://schemas.openxmlformats.org/drawingml/2006/main">
                  <a:graphicData uri="http://schemas.microsoft.com/office/word/2010/wordprocessingShape">
                    <wps:wsp>
                      <wps:cNvSpPr txBox="1"/>
                      <wps:spPr>
                        <a:xfrm>
                          <a:off x="0" y="0"/>
                          <a:ext cx="2349660" cy="266218"/>
                        </a:xfrm>
                        <a:prstGeom prst="rect">
                          <a:avLst/>
                        </a:prstGeom>
                        <a:solidFill>
                          <a:schemeClr val="tx1"/>
                        </a:solidFill>
                        <a:ln w="6350">
                          <a:noFill/>
                        </a:ln>
                      </wps:spPr>
                      <wps:txbx>
                        <w:txbxContent>
                          <w:p w14:paraId="4CD6FA2B" w14:textId="77777777" w:rsidR="008242AC" w:rsidRPr="00951DB7" w:rsidRDefault="008242AC" w:rsidP="008242AC">
                            <w:pPr>
                              <w:rPr>
                                <w:rFonts w:ascii="Courier New" w:hAnsi="Courier New" w:cs="Courier New"/>
                                <w:b/>
                                <w:bCs/>
                                <w:color w:val="25CCD6"/>
                                <w:sz w:val="20"/>
                                <w:szCs w:val="20"/>
                              </w:rPr>
                            </w:pP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 xml:space="preserve">Item A </w:t>
                            </w: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 xml:space="preserve">and </w:t>
                            </w: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Item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E01AE" id="Text Box 4" o:spid="_x0000_s1027" type="#_x0000_t202" style="position:absolute;left:0;text-align:left;margin-left:181.3pt;margin-top:71.95pt;width:185pt;height:2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uW0LwIAAFsEAAAOAAAAZHJzL2Uyb0RvYy54bWysVE1v2zAMvQ/YfxB0X5y4qdcGcYosRYYB&#13;&#10;QVsgHXpWZCkWIIuapMTOfv0oOV/rdhp2kUmReiIfnzx96BpN9sJ5Baako8GQEmE4VMpsS/r9dfnp&#13;&#10;jhIfmKmYBiNKehCePsw+fpi2diJyqEFXwhEEMX7S2pLWIdhJlnlei4b5AVhhMCjBNSyg67ZZ5ViL&#13;&#10;6I3O8uGwyFpwlXXAhfe4+9gH6SzhSyl4eJbSi0B0SbG2kFaX1k1cs9mUTbaO2VrxYxnsH6pomDJ4&#13;&#10;6RnqkQVGdk79AdUo7sCDDAMOTQZSKi5SD9jNaPium3XNrEi9IDnenmny/w+WP+3X9sWR0H2BDgcY&#13;&#10;CWmtn3jcjP100jXxi5USjCOFhzNtoguE42Z+M74vCgxxjOVFkY/uIkx2OW2dD18FNCQaJXU4lsQW&#13;&#10;26986FNPKfEyD1pVS6V1cqIUxEI7smc4xNClGhH8tyxtSFvS4uZ2mIANxOM9sjZYy6WnaIVu0xFV&#13;&#10;XfW7geqANDjoFeItXyqsdcV8eGEOJYHtoczDMy5SA94FR4uSGtzPv+3HfJwURilpUWIl9T92zAlK&#13;&#10;9DeDM7wfjcdRk8kZ337O0XHXkc11xOyaBSABI3xQlicz5gd9MqWD5g1fwzzeiiFmON6NjJ3MReiF&#13;&#10;j6+Ji/k8JaEKLQsrs7Y8QkfC4yReuzfm7HFcAQf9BCcxssm7qfW58aSB+S6AVGmkkeee1SP9qOAk&#13;&#10;iuNri0/k2k9Zl3/C7BcAAAD//wMAUEsDBBQABgAIAAAAIQApHTFi5AAAABABAAAPAAAAZHJzL2Rv&#13;&#10;d25yZXYueG1sTE9dT8JAEHw38T9clsQ3uUKlltIrMRKjJH5ENDwfvaVt7O01vQOqv97lSV822ZnZ&#13;&#10;2Zl8OdhWHLH3jSMFk3EEAql0pqFKwefHw3UKwgdNRreOUME3elgWlxe5zow70TseN6ESbEI+0wrq&#13;&#10;ELpMSl/WaLUfuw6Jub3rrQ689pU0vT6xuW3lNIoSaXVD/KHWHd7XWH5tDlbBNrZvw+rl8edptn6e&#13;&#10;m1f0FWmv1NVoWC143C1ABBzC3wWcO3B+KDjYzh3IeNEqiJNpwlImbuI5CFbcxmdkx0g6S0EWufxf&#13;&#10;pPgFAAD//wMAUEsBAi0AFAAGAAgAAAAhALaDOJL+AAAA4QEAABMAAAAAAAAAAAAAAAAAAAAAAFtD&#13;&#10;b250ZW50X1R5cGVzXS54bWxQSwECLQAUAAYACAAAACEAOP0h/9YAAACUAQAACwAAAAAAAAAAAAAA&#13;&#10;AAAvAQAAX3JlbHMvLnJlbHNQSwECLQAUAAYACAAAACEAkMLltC8CAABbBAAADgAAAAAAAAAAAAAA&#13;&#10;AAAuAgAAZHJzL2Uyb0RvYy54bWxQSwECLQAUAAYACAAAACEAKR0xYuQAAAAQAQAADwAAAAAAAAAA&#13;&#10;AAAAAACJBAAAZHJzL2Rvd25yZXYueG1sUEsFBgAAAAAEAAQA8wAAAJoFAAAAAA==&#13;&#10;" fillcolor="black [3213]" stroked="f" strokeweight=".5pt">
                <v:textbox>
                  <w:txbxContent>
                    <w:p w14:paraId="4CD6FA2B" w14:textId="77777777" w:rsidR="008242AC" w:rsidRPr="00951DB7" w:rsidRDefault="008242AC" w:rsidP="008242AC">
                      <w:pPr>
                        <w:rPr>
                          <w:rFonts w:ascii="Courier New" w:hAnsi="Courier New" w:cs="Courier New"/>
                          <w:b/>
                          <w:bCs/>
                          <w:color w:val="25CCD6"/>
                          <w:sz w:val="20"/>
                          <w:szCs w:val="20"/>
                        </w:rPr>
                      </w:pP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 xml:space="preserve">Item A </w:t>
                      </w: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 xml:space="preserve">and </w:t>
                      </w:r>
                      <w:r>
                        <w:rPr>
                          <w:rFonts w:ascii="Courier New" w:hAnsi="Courier New" w:cs="Courier New"/>
                          <w:b/>
                          <w:bCs/>
                          <w:color w:val="25CCD6"/>
                          <w:sz w:val="20"/>
                          <w:szCs w:val="20"/>
                        </w:rPr>
                        <w:t xml:space="preserve">  </w:t>
                      </w:r>
                      <w:r w:rsidRPr="00951DB7">
                        <w:rPr>
                          <w:rFonts w:ascii="Courier New" w:hAnsi="Courier New" w:cs="Courier New"/>
                          <w:b/>
                          <w:bCs/>
                          <w:color w:val="25CCD6"/>
                          <w:sz w:val="20"/>
                          <w:szCs w:val="20"/>
                        </w:rPr>
                        <w:t>Item B</w:t>
                      </w:r>
                    </w:p>
                  </w:txbxContent>
                </v:textbox>
              </v:shape>
            </w:pict>
          </mc:Fallback>
        </mc:AlternateContent>
      </w:r>
      <w:r w:rsidRPr="00C06677">
        <w:rPr>
          <w:noProof/>
        </w:rPr>
        <w:drawing>
          <wp:inline distT="0" distB="0" distL="0" distR="0" wp14:anchorId="2864598E" wp14:editId="2CCC5263">
            <wp:extent cx="4802973" cy="3180944"/>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00974" cy="3245848"/>
                    </a:xfrm>
                    <a:prstGeom prst="rect">
                      <a:avLst/>
                    </a:prstGeom>
                  </pic:spPr>
                </pic:pic>
              </a:graphicData>
            </a:graphic>
          </wp:inline>
        </w:drawing>
      </w:r>
    </w:p>
    <w:p w14:paraId="7F61D38B" w14:textId="77777777" w:rsidR="008242AC" w:rsidRPr="00C06677" w:rsidRDefault="008242AC" w:rsidP="008242AC">
      <w:r w:rsidRPr="00C06677">
        <w:rPr>
          <w:b/>
          <w:bCs/>
          <w:iCs/>
        </w:rPr>
        <w:t>Figure 2.  Unmasked charitable donation scenario</w:t>
      </w:r>
      <w:r w:rsidRPr="00C06677">
        <w:t>. After the progress bar on the left completely filled, the items were unmasked, and participants responded using either the “d” or “k” keys.</w:t>
      </w:r>
    </w:p>
    <w:p w14:paraId="1A59C330" w14:textId="77777777" w:rsidR="008242AC" w:rsidRPr="00C06677" w:rsidRDefault="008242AC" w:rsidP="008242AC">
      <w:pPr>
        <w:spacing w:line="480" w:lineRule="auto"/>
      </w:pPr>
    </w:p>
    <w:p w14:paraId="5315FC2F" w14:textId="42511C5D" w:rsidR="0048780F" w:rsidRDefault="00FB466C" w:rsidP="0074483A">
      <w:pPr>
        <w:spacing w:line="480" w:lineRule="auto"/>
        <w:ind w:firstLine="720"/>
      </w:pPr>
      <w:r w:rsidRPr="00C06677">
        <w:t>Participants w</w:t>
      </w:r>
      <w:r w:rsidR="002E0249" w:rsidRPr="00C06677">
        <w:t>ere</w:t>
      </w:r>
      <w:r w:rsidRPr="00C06677">
        <w:t xml:space="preserve"> instructed to read the masked scenario while the progress bar fill</w:t>
      </w:r>
      <w:r w:rsidR="002E0249" w:rsidRPr="00C06677">
        <w:t>ed</w:t>
      </w:r>
      <w:r w:rsidRPr="00C06677">
        <w:t xml:space="preserve"> and to</w:t>
      </w:r>
      <w:r w:rsidR="00392997" w:rsidRPr="00C06677">
        <w:t xml:space="preserve"> then</w:t>
      </w:r>
      <w:r w:rsidRPr="00C06677">
        <w:t xml:space="preserve"> respond to the question regarding the scenario at the bottom of the screen once the items unmasked. Participants </w:t>
      </w:r>
      <w:r w:rsidR="002E0249" w:rsidRPr="00C06677">
        <w:t>were</w:t>
      </w:r>
      <w:r w:rsidRPr="00C06677">
        <w:t xml:space="preserve"> told to respond as quickly as they can, but while still providing a thoughtful response.</w:t>
      </w:r>
      <w:r w:rsidR="000817BE">
        <w:t xml:space="preserve">  There was no deception in this experiment.  Participants were aware that these were hypothetical </w:t>
      </w:r>
      <w:r w:rsidR="0032299C">
        <w:t>scenarios,</w:t>
      </w:r>
      <w:r w:rsidR="000817BE">
        <w:t xml:space="preserve"> and no donations were to be made.</w:t>
      </w:r>
    </w:p>
    <w:p w14:paraId="705EDF2B" w14:textId="02A45B94" w:rsidR="00561902" w:rsidRDefault="00561902" w:rsidP="00561902">
      <w:pPr>
        <w:spacing w:line="480" w:lineRule="auto"/>
      </w:pPr>
    </w:p>
    <w:p w14:paraId="70F56821" w14:textId="29496029" w:rsidR="00561902" w:rsidRPr="00C06677" w:rsidRDefault="00561902" w:rsidP="00561902">
      <w:pPr>
        <w:spacing w:line="480" w:lineRule="auto"/>
        <w:ind w:firstLine="720"/>
        <w:jc w:val="center"/>
      </w:pPr>
      <w:r w:rsidRPr="00C06677">
        <w:rPr>
          <w:noProof/>
        </w:rPr>
        <w:drawing>
          <wp:inline distT="0" distB="0" distL="0" distR="0" wp14:anchorId="52FF5AF4" wp14:editId="29512ADE">
            <wp:extent cx="4783026" cy="3219855"/>
            <wp:effectExtent l="0" t="0" r="5080" b="635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886877" cy="3289766"/>
                    </a:xfrm>
                    <a:prstGeom prst="rect">
                      <a:avLst/>
                    </a:prstGeom>
                  </pic:spPr>
                </pic:pic>
              </a:graphicData>
            </a:graphic>
          </wp:inline>
        </w:drawing>
      </w:r>
    </w:p>
    <w:p w14:paraId="11A8B240" w14:textId="77777777" w:rsidR="00561902" w:rsidRPr="00C06677" w:rsidRDefault="00561902" w:rsidP="00561902">
      <w:pPr>
        <w:spacing w:line="480" w:lineRule="auto"/>
        <w:jc w:val="center"/>
      </w:pPr>
    </w:p>
    <w:p w14:paraId="0FCB0942" w14:textId="77777777" w:rsidR="00561902" w:rsidRPr="00C06677" w:rsidRDefault="00561902" w:rsidP="00561902">
      <w:r w:rsidRPr="00C06677">
        <w:rPr>
          <w:b/>
          <w:bCs/>
          <w:iCs/>
        </w:rPr>
        <w:t>Figure 3. Sequence of screens for each trial</w:t>
      </w:r>
      <w:r w:rsidRPr="00C06677">
        <w:t xml:space="preserve">. Each trial consisted of a red fixation cross presented for 500 ms (a), followed by a masked scenario (b). Once the progress bar completely filled, the items were unmasked, and the participant could indicate to which item they would donate (c). </w:t>
      </w:r>
    </w:p>
    <w:p w14:paraId="7659E00E" w14:textId="77777777" w:rsidR="00561902" w:rsidRPr="00C06677" w:rsidRDefault="00561902" w:rsidP="00561902">
      <w:pPr>
        <w:spacing w:line="480" w:lineRule="auto"/>
      </w:pPr>
    </w:p>
    <w:p w14:paraId="0FA26968" w14:textId="24009D09" w:rsidR="0096756C" w:rsidRPr="00C06677" w:rsidRDefault="00FB466C" w:rsidP="005E0084">
      <w:pPr>
        <w:spacing w:line="480" w:lineRule="auto"/>
        <w:ind w:firstLine="720"/>
      </w:pPr>
      <w:r w:rsidRPr="00C06677">
        <w:t>For each trial for every subject, “</w:t>
      </w:r>
      <w:r w:rsidR="004C7BA4" w:rsidRPr="00C06677">
        <w:t>Item</w:t>
      </w:r>
      <w:r w:rsidRPr="00C06677">
        <w:t xml:space="preserve"> A” and </w:t>
      </w:r>
      <w:r w:rsidR="004C7BA4" w:rsidRPr="00C06677">
        <w:t>“Item</w:t>
      </w:r>
      <w:r w:rsidRPr="00C06677">
        <w:t xml:space="preserve"> B” w</w:t>
      </w:r>
      <w:r w:rsidR="002E0249" w:rsidRPr="00C06677">
        <w:t>ere</w:t>
      </w:r>
      <w:r w:rsidRPr="00C06677">
        <w:t xml:space="preserve"> randomly selected without replacement from the list of 22 items such that the two people within a scenario </w:t>
      </w:r>
      <w:r w:rsidR="00252311" w:rsidRPr="00C06677">
        <w:t>were</w:t>
      </w:r>
      <w:r w:rsidRPr="00C06677">
        <w:t xml:space="preserve"> neve</w:t>
      </w:r>
      <w:r w:rsidR="00252311" w:rsidRPr="00C06677">
        <w:t>r</w:t>
      </w:r>
      <w:r w:rsidRPr="00C06677">
        <w:t xml:space="preserve"> the same. Items w</w:t>
      </w:r>
      <w:r w:rsidR="002E0249" w:rsidRPr="00C06677">
        <w:t>ere</w:t>
      </w:r>
      <w:r w:rsidRPr="00C06677">
        <w:t xml:space="preserve"> randomly selected with replacement across </w:t>
      </w:r>
      <w:r w:rsidR="004E3842" w:rsidRPr="00C06677">
        <w:t>trials;</w:t>
      </w:r>
      <w:r w:rsidRPr="00C06677">
        <w:t xml:space="preserve"> </w:t>
      </w:r>
      <w:r w:rsidR="004E3842" w:rsidRPr="00C06677">
        <w:t>therefore,</w:t>
      </w:r>
      <w:r w:rsidRPr="00C06677">
        <w:t xml:space="preserve"> the same combination of items</w:t>
      </w:r>
      <w:r w:rsidR="001B5AE1" w:rsidRPr="00C06677">
        <w:t xml:space="preserve"> could</w:t>
      </w:r>
      <w:r w:rsidRPr="00C06677">
        <w:t xml:space="preserve"> appear across different scenarios. Experiment 1 consist</w:t>
      </w:r>
      <w:r w:rsidR="001B5AE1" w:rsidRPr="00C06677">
        <w:t>ed</w:t>
      </w:r>
      <w:r w:rsidRPr="00C06677">
        <w:t xml:space="preserve"> of eight practice trials followed by forty minutes of experimental trials. The practice trials contain</w:t>
      </w:r>
      <w:r w:rsidR="001B5AE1" w:rsidRPr="00C06677">
        <w:t>ed</w:t>
      </w:r>
      <w:r w:rsidRPr="00C06677">
        <w:t xml:space="preserve"> the same scenarios and items as the experimental trials. After practice trials, a dialogue box appear</w:t>
      </w:r>
      <w:r w:rsidR="001B5AE1" w:rsidRPr="00C06677">
        <w:t>ed</w:t>
      </w:r>
      <w:r w:rsidRPr="00C06677">
        <w:t xml:space="preserve"> to remind participants of the “d” and “k” key responses. Participants then complete</w:t>
      </w:r>
      <w:r w:rsidR="001B5AE1" w:rsidRPr="00C06677">
        <w:t>d</w:t>
      </w:r>
      <w:r w:rsidRPr="00C06677">
        <w:t xml:space="preserve"> 40 minutes of experimental trials. After completing experimental trials, a dialogue box appear</w:t>
      </w:r>
      <w:r w:rsidR="001B5AE1" w:rsidRPr="00C06677">
        <w:t>ed</w:t>
      </w:r>
      <w:r w:rsidRPr="00C06677">
        <w:t xml:space="preserve"> thanking participants for their participation and informing them that the experiment </w:t>
      </w:r>
      <w:r w:rsidR="001B5AE1" w:rsidRPr="00C06677">
        <w:t>had finished</w:t>
      </w:r>
      <w:r w:rsidRPr="00C06677">
        <w:t xml:space="preserve">. </w:t>
      </w:r>
    </w:p>
    <w:p w14:paraId="39DC1B08" w14:textId="2CFCDE08" w:rsidR="00FB466C" w:rsidRPr="00C06677" w:rsidRDefault="0096756C" w:rsidP="0096756C">
      <w:pPr>
        <w:spacing w:line="480" w:lineRule="auto"/>
        <w:ind w:firstLine="720"/>
      </w:pPr>
      <w:r w:rsidRPr="00C06677">
        <w:lastRenderedPageBreak/>
        <w:t>To</w:t>
      </w:r>
      <w:r w:rsidR="002B0581" w:rsidRPr="00C06677">
        <w:t xml:space="preserve"> ensure</w:t>
      </w:r>
      <w:r w:rsidRPr="00C06677">
        <w:t xml:space="preserve"> that participants were familiar with the content of the scenarios, they also responded to </w:t>
      </w:r>
      <w:r w:rsidR="00925C56">
        <w:t>two</w:t>
      </w:r>
      <w:r w:rsidR="00925C56" w:rsidRPr="00C06677">
        <w:t xml:space="preserve"> </w:t>
      </w:r>
      <w:r w:rsidRPr="00C06677">
        <w:t>question</w:t>
      </w:r>
      <w:r w:rsidR="00925C56">
        <w:t>s</w:t>
      </w:r>
      <w:r w:rsidRPr="00C06677">
        <w:t xml:space="preserve"> after the completion of the experiment. </w:t>
      </w:r>
      <w:r w:rsidR="00925C56">
        <w:t>One</w:t>
      </w:r>
      <w:r w:rsidR="00925C56" w:rsidRPr="00C06677">
        <w:t xml:space="preserve"> </w:t>
      </w:r>
      <w:r w:rsidR="00841A03">
        <w:t xml:space="preserve">question </w:t>
      </w:r>
      <w:r w:rsidRPr="00C06677">
        <w:t>asked participants to briefly describe the purpose of GoFundMe accounts</w:t>
      </w:r>
      <w:r w:rsidR="00925C56">
        <w:t xml:space="preserve"> and the other was an open-ended question asking them to introspect about the task</w:t>
      </w:r>
      <w:r w:rsidRPr="00C06677">
        <w:t xml:space="preserve">. </w:t>
      </w:r>
      <w:r w:rsidR="00925C56">
        <w:t xml:space="preserve">The answers to these questions were not analyzed. </w:t>
      </w:r>
      <w:r w:rsidR="00790A31" w:rsidRPr="00C06677">
        <w:t>Participants were presented 8 practice trials followed by experimental trials. The experimental session lasted 45 minutes, with a self-timed break every 13 minutes</w:t>
      </w:r>
      <w:r w:rsidR="00FB466C" w:rsidRPr="00C06677">
        <w:t>.</w:t>
      </w:r>
      <w:r w:rsidR="00790A31" w:rsidRPr="00C06677">
        <w:t xml:space="preserve"> Participants completed an average of 83.6 tr</w:t>
      </w:r>
      <w:r w:rsidR="00E543D0" w:rsidRPr="00C06677">
        <w:t>ia</w:t>
      </w:r>
      <w:r w:rsidR="00790A31" w:rsidRPr="00C06677">
        <w:t>ls (SD = 5.5) in the experimental session.</w:t>
      </w:r>
    </w:p>
    <w:p w14:paraId="2A6F3944" w14:textId="63A9534F" w:rsidR="00130070" w:rsidRPr="00C06677" w:rsidRDefault="00130070" w:rsidP="00130070">
      <w:pPr>
        <w:keepNext/>
        <w:spacing w:line="480" w:lineRule="auto"/>
        <w:ind w:firstLine="720"/>
        <w:outlineLvl w:val="0"/>
        <w:rPr>
          <w:bCs/>
        </w:rPr>
      </w:pPr>
      <w:r w:rsidRPr="00C06677">
        <w:rPr>
          <w:bCs/>
        </w:rPr>
        <w:t xml:space="preserve">All procedures were approved by the </w:t>
      </w:r>
      <w:r w:rsidR="00511D2B">
        <w:rPr>
          <w:bCs/>
        </w:rPr>
        <w:t>UNC Wilmington</w:t>
      </w:r>
      <w:r w:rsidRPr="00C06677">
        <w:rPr>
          <w:bCs/>
        </w:rPr>
        <w:t xml:space="preserve"> IRB, protocol# 16-0210. The data and R code for the analysis of Experiment 1 can be downloaded at:</w:t>
      </w:r>
      <w:r w:rsidRPr="00C06677">
        <w:rPr>
          <w:bCs/>
        </w:rPr>
        <w:br/>
      </w:r>
      <w:hyperlink r:id="rId13" w:history="1">
        <w:r w:rsidRPr="00C06677">
          <w:rPr>
            <w:rStyle w:val="Hyperlink"/>
            <w:bCs/>
          </w:rPr>
          <w:t>https://github.com/ccpluncw/ccpl_data_PVTcharity2021.git</w:t>
        </w:r>
      </w:hyperlink>
      <w:r w:rsidRPr="00C06677">
        <w:rPr>
          <w:bCs/>
        </w:rPr>
        <w:t xml:space="preserve">. </w:t>
      </w:r>
      <w:r w:rsidR="00491DDF" w:rsidRPr="00C06677">
        <w:rPr>
          <w:bCs/>
        </w:rPr>
        <w:t xml:space="preserve">The stimuli and instructions can be found in the Supplemental </w:t>
      </w:r>
      <w:r w:rsidR="00784FF6">
        <w:rPr>
          <w:bCs/>
        </w:rPr>
        <w:t>Information</w:t>
      </w:r>
      <w:r w:rsidR="00491DDF" w:rsidRPr="00C06677">
        <w:rPr>
          <w:bCs/>
        </w:rPr>
        <w:t xml:space="preserve">. </w:t>
      </w:r>
      <w:r w:rsidRPr="00C06677">
        <w:rPr>
          <w:bCs/>
        </w:rPr>
        <w:t>The experimental presentation code is proprietary and is not open sourced. The experiment was not pre-registered.</w:t>
      </w:r>
      <w:r w:rsidR="00110493">
        <w:rPr>
          <w:bCs/>
        </w:rPr>
        <w:t xml:space="preserve"> </w:t>
      </w:r>
      <w:r w:rsidR="00110493" w:rsidRPr="00110493">
        <w:rPr>
          <w:bCs/>
        </w:rPr>
        <w:t xml:space="preserve">In these studies, we report all measures, </w:t>
      </w:r>
      <w:r w:rsidR="0032299C" w:rsidRPr="00110493">
        <w:rPr>
          <w:bCs/>
        </w:rPr>
        <w:t>manipulations,</w:t>
      </w:r>
      <w:r w:rsidR="00110493" w:rsidRPr="00110493">
        <w:rPr>
          <w:bCs/>
        </w:rPr>
        <w:t xml:space="preserve"> and exclusions.</w:t>
      </w:r>
    </w:p>
    <w:p w14:paraId="6C2A186B" w14:textId="2FDCD96E" w:rsidR="00F046CB" w:rsidRPr="00C06677" w:rsidRDefault="00F046CB" w:rsidP="001F3B67">
      <w:pPr>
        <w:keepNext/>
        <w:spacing w:line="480" w:lineRule="auto"/>
        <w:jc w:val="center"/>
        <w:rPr>
          <w:b/>
        </w:rPr>
      </w:pPr>
      <w:r w:rsidRPr="00C06677">
        <w:rPr>
          <w:b/>
        </w:rPr>
        <w:t>Results</w:t>
      </w:r>
      <w:r w:rsidR="00AB5587" w:rsidRPr="00C06677">
        <w:rPr>
          <w:b/>
        </w:rPr>
        <w:t xml:space="preserve"> and Discussion</w:t>
      </w:r>
    </w:p>
    <w:p w14:paraId="05BDF5BC" w14:textId="77777777" w:rsidR="00EA7BC7" w:rsidRPr="00C06677" w:rsidRDefault="00EA7BC7" w:rsidP="00EA7BC7">
      <w:pPr>
        <w:keepNext/>
        <w:spacing w:line="480" w:lineRule="auto"/>
        <w:rPr>
          <w:b/>
        </w:rPr>
      </w:pPr>
      <w:r w:rsidRPr="00C06677">
        <w:rPr>
          <w:b/>
        </w:rPr>
        <w:t>Psychological Values</w:t>
      </w:r>
    </w:p>
    <w:p w14:paraId="657DA013" w14:textId="0EC996A7" w:rsidR="0032299C" w:rsidRDefault="00EA7BC7" w:rsidP="00EA7BC7">
      <w:pPr>
        <w:keepNext/>
        <w:spacing w:line="480" w:lineRule="auto"/>
        <w:rPr>
          <w:bCs/>
        </w:rPr>
      </w:pPr>
      <w:r w:rsidRPr="00C06677">
        <w:rPr>
          <w:bCs/>
        </w:rPr>
        <w:tab/>
        <w:t xml:space="preserve">We used the Psychological Values </w:t>
      </w:r>
      <w:r w:rsidR="00AE1C01" w:rsidRPr="00C06677">
        <w:rPr>
          <w:bCs/>
        </w:rPr>
        <w:t>collected by</w:t>
      </w:r>
      <w:r w:rsidRPr="00C06677">
        <w:rPr>
          <w:bCs/>
        </w:rPr>
        <w:t xml:space="preserve"> Cohen et al. (</w:t>
      </w:r>
      <w:r w:rsidR="00EA184E" w:rsidRPr="00C06677">
        <w:rPr>
          <w:bCs/>
        </w:rPr>
        <w:fldChar w:fldCharType="begin"/>
      </w:r>
      <w:r w:rsidR="00C42417">
        <w:rPr>
          <w:bCs/>
        </w:rPr>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EA184E" w:rsidRPr="00C06677">
        <w:rPr>
          <w:bCs/>
        </w:rPr>
        <w:fldChar w:fldCharType="separate"/>
      </w:r>
      <w:r w:rsidR="00C42417">
        <w:rPr>
          <w:bCs/>
          <w:noProof/>
        </w:rPr>
        <w:t>2022</w:t>
      </w:r>
      <w:r w:rsidR="00EA184E" w:rsidRPr="00C06677">
        <w:rPr>
          <w:bCs/>
        </w:rPr>
        <w:fldChar w:fldCharType="end"/>
      </w:r>
      <w:r w:rsidRPr="00C06677">
        <w:rPr>
          <w:bCs/>
        </w:rPr>
        <w:t xml:space="preserve">) to </w:t>
      </w:r>
      <w:r w:rsidR="0032299C">
        <w:rPr>
          <w:bCs/>
        </w:rPr>
        <w:t xml:space="preserve">predict our participants’ choice behavior.  </w:t>
      </w:r>
      <w:r w:rsidR="00A36B57">
        <w:rPr>
          <w:bCs/>
        </w:rPr>
        <w:t xml:space="preserve">Although we </w:t>
      </w:r>
      <w:r w:rsidR="0032299C">
        <w:rPr>
          <w:bCs/>
        </w:rPr>
        <w:t xml:space="preserve">did not collect Psychological Value estimates in the current experiment, for clarity, we briefly review </w:t>
      </w:r>
      <w:r w:rsidR="0032299C" w:rsidRPr="00C06677">
        <w:rPr>
          <w:bCs/>
        </w:rPr>
        <w:t>Cohen et al</w:t>
      </w:r>
      <w:r w:rsidR="0032299C">
        <w:rPr>
          <w:bCs/>
        </w:rPr>
        <w:t>.’s</w:t>
      </w:r>
      <w:r w:rsidR="0032299C" w:rsidRPr="00C06677">
        <w:rPr>
          <w:bCs/>
        </w:rPr>
        <w:t xml:space="preserve"> (</w:t>
      </w:r>
      <w:r w:rsidR="0032299C" w:rsidRPr="00C06677">
        <w:rPr>
          <w:bCs/>
        </w:rPr>
        <w:fldChar w:fldCharType="begin"/>
      </w:r>
      <w:r w:rsidR="00C42417">
        <w:rPr>
          <w:bCs/>
        </w:rPr>
        <w:instrText xml:space="preserve"> ADDIN EN.CITE &lt;EndNote&gt;&lt;Cite&gt;&lt;Author&gt;Cohen&lt;/Author&gt;&lt;Year&gt;2022&lt;/Year&gt;&lt;RecNum&gt;2636&lt;/RecNum&gt;&lt;DisplayText&gt;2022&lt;/DisplayText&gt;&lt;record&gt;&lt;rec-number&gt;2636&lt;/rec-number&gt;&lt;foreign-keys&gt;&lt;key app="EN" db-id="w0tztzf0h2dft0eaewxxtpr4exwxf90s525w" timestamp="1659025446" guid="b75d99eb-df08-4f75-a985-472abc3c1630"&gt;2636&lt;/key&gt;&lt;/foreign-keys&gt;&lt;ref-type name="Journal Article"&gt;17&lt;/ref-type&gt;&lt;contributors&gt;&lt;authors&gt;&lt;author&gt;Cohen, D. J.&lt;/author&gt;&lt;author&gt;Cromley, A.R&lt;/author&gt;&lt;author&gt;Freda, K. E&lt;/author&gt;&lt;author&gt;White, M&lt;/author&gt;&lt;/authors&gt;&lt;/contributors&gt;&lt;titles&gt;&lt;title&gt;Psychological value theory: The psychological value of human lives and economic goods&lt;/title&gt;&lt;secondary-title&gt;Journal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2015–2050&lt;/pages&gt;&lt;dates&gt;&lt;year&gt;2022&lt;/year&gt;&lt;/dates&gt;&lt;urls&gt;&lt;/urls&gt;&lt;electronic-resource-num&gt;http://dx.doi.org/10.1037/xlm0001047&lt;/electronic-resource-num&gt;&lt;/record&gt;&lt;/Cite&gt;&lt;/EndNote&gt;</w:instrText>
      </w:r>
      <w:r w:rsidR="0032299C" w:rsidRPr="00C06677">
        <w:rPr>
          <w:bCs/>
        </w:rPr>
        <w:fldChar w:fldCharType="separate"/>
      </w:r>
      <w:r w:rsidR="00C42417">
        <w:rPr>
          <w:bCs/>
          <w:noProof/>
        </w:rPr>
        <w:t>2022</w:t>
      </w:r>
      <w:r w:rsidR="0032299C" w:rsidRPr="00C06677">
        <w:rPr>
          <w:bCs/>
        </w:rPr>
        <w:fldChar w:fldCharType="end"/>
      </w:r>
      <w:r w:rsidR="0032299C" w:rsidRPr="00C06677">
        <w:rPr>
          <w:bCs/>
        </w:rPr>
        <w:t>)</w:t>
      </w:r>
      <w:r w:rsidR="002161AC">
        <w:rPr>
          <w:bCs/>
        </w:rPr>
        <w:t xml:space="preserve"> procedure here.</w:t>
      </w:r>
    </w:p>
    <w:p w14:paraId="6388F30E" w14:textId="438CBE42" w:rsidR="00EA7BC7" w:rsidRPr="00C06677" w:rsidRDefault="00AE1C01" w:rsidP="00EA7BC7">
      <w:pPr>
        <w:keepNext/>
        <w:spacing w:line="480" w:lineRule="auto"/>
        <w:rPr>
          <w:bCs/>
        </w:rPr>
      </w:pPr>
      <w:r w:rsidRPr="00C06677">
        <w:rPr>
          <w:bCs/>
        </w:rPr>
        <w:t>In that study</w:t>
      </w:r>
      <w:r w:rsidR="00EA7BC7" w:rsidRPr="00C06677">
        <w:rPr>
          <w:bCs/>
        </w:rPr>
        <w:t xml:space="preserve">, participants were told, </w:t>
      </w:r>
    </w:p>
    <w:p w14:paraId="17E13E0C" w14:textId="77777777" w:rsidR="00EA7BC7" w:rsidRPr="00C06677" w:rsidRDefault="00EA7BC7" w:rsidP="00EA7BC7">
      <w:pPr>
        <w:keepNext/>
        <w:ind w:left="720" w:right="720"/>
        <w:rPr>
          <w:bCs/>
        </w:rPr>
      </w:pPr>
      <w:r w:rsidRPr="00C06677">
        <w:rPr>
          <w:bCs/>
        </w:rPr>
        <w:t xml:space="preserve">“In this experiment, we ask you to think about how much you value different items. We will call this the item's "personal value."  You can define "personal value" in any way you find appropriate. "Personal value" is not necessarily the same as monetary value.  For example, we may ask the "personal value" of your </w:t>
      </w:r>
      <w:r w:rsidRPr="00C06677">
        <w:rPr>
          <w:bCs/>
        </w:rPr>
        <w:lastRenderedPageBreak/>
        <w:t>first report card.  Here, the monetary value may differ dramatically from the ‘personal value.’"</w:t>
      </w:r>
    </w:p>
    <w:p w14:paraId="371623A8" w14:textId="77777777" w:rsidR="00EA7BC7" w:rsidRPr="00C06677" w:rsidRDefault="00EA7BC7" w:rsidP="00EA7BC7">
      <w:pPr>
        <w:keepNext/>
        <w:spacing w:line="480" w:lineRule="auto"/>
        <w:rPr>
          <w:bCs/>
        </w:rPr>
      </w:pPr>
    </w:p>
    <w:p w14:paraId="6762C0F1" w14:textId="77777777" w:rsidR="00EA7BC7" w:rsidRPr="00C06677" w:rsidRDefault="00EA7BC7" w:rsidP="00EA7BC7">
      <w:pPr>
        <w:keepNext/>
        <w:spacing w:line="480" w:lineRule="auto"/>
        <w:rPr>
          <w:bCs/>
        </w:rPr>
      </w:pPr>
      <w:r w:rsidRPr="00C06677">
        <w:rPr>
          <w:bCs/>
        </w:rPr>
        <w:t xml:space="preserve">Participants were presented a chimpanzee as the </w:t>
      </w:r>
      <w:r w:rsidRPr="00C06677">
        <w:rPr>
          <w:bCs/>
          <w:i/>
          <w:iCs/>
        </w:rPr>
        <w:t>standard</w:t>
      </w:r>
      <w:r w:rsidRPr="00C06677">
        <w:rPr>
          <w:bCs/>
        </w:rPr>
        <w:t xml:space="preserve"> stimulus and told that it’s personal value equaled 1000.  They were to provide a numerical value in relation to the chimpanzee that described their “personal value” of each probe.  Further, they were given an example probe of a “fish” and told, </w:t>
      </w:r>
    </w:p>
    <w:p w14:paraId="5290C061" w14:textId="77777777" w:rsidR="00EA7BC7" w:rsidRPr="00C06677" w:rsidRDefault="00EA7BC7" w:rsidP="00EA7BC7">
      <w:pPr>
        <w:keepNext/>
        <w:ind w:left="720" w:right="720"/>
        <w:rPr>
          <w:bCs/>
        </w:rPr>
      </w:pPr>
      <w:r w:rsidRPr="00C06677">
        <w:rPr>
          <w:bCs/>
        </w:rPr>
        <w:t>“If you think the fish has a ‘personal value’ 7 times that of the standard, then assign the fish a value of 7000. If you think the fish has a "personal value" one fifth that of the standard, then assign the fish a value of 200 … Remember, you can use any number you feel is appropriate.  There are no limits on the values you can use.”</w:t>
      </w:r>
    </w:p>
    <w:p w14:paraId="1631397C" w14:textId="77777777" w:rsidR="00EA7BC7" w:rsidRPr="00C06677" w:rsidRDefault="00EA7BC7" w:rsidP="00EA7BC7">
      <w:pPr>
        <w:keepNext/>
        <w:spacing w:line="480" w:lineRule="auto"/>
        <w:rPr>
          <w:bCs/>
        </w:rPr>
      </w:pPr>
    </w:p>
    <w:p w14:paraId="79770144" w14:textId="75641064" w:rsidR="00EA7BC7" w:rsidRPr="00C06677" w:rsidRDefault="00EA7BC7" w:rsidP="00EA7BC7">
      <w:pPr>
        <w:spacing w:line="480" w:lineRule="auto"/>
      </w:pPr>
      <w:r w:rsidRPr="00C06677">
        <w:rPr>
          <w:bCs/>
        </w:rPr>
        <w:t>Each of 414 participants provided estimates of a subset of 192 items.</w:t>
      </w:r>
      <w:r w:rsidRPr="00C06677">
        <w:t xml:space="preserve"> </w:t>
      </w:r>
    </w:p>
    <w:p w14:paraId="657888E2" w14:textId="4B37E0C4" w:rsidR="00EA7BC7" w:rsidRPr="00C06677" w:rsidRDefault="00AE3D74" w:rsidP="00EA7BC7">
      <w:pPr>
        <w:spacing w:line="480" w:lineRule="auto"/>
        <w:ind w:firstLine="720"/>
      </w:pPr>
      <w:r>
        <w:t xml:space="preserve">A </w:t>
      </w:r>
      <w:r w:rsidR="00EA7BC7" w:rsidRPr="00C06677">
        <w:t xml:space="preserve">non-parametric bootstrap procedure </w:t>
      </w:r>
      <w:r>
        <w:t>was used</w:t>
      </w:r>
      <w:r w:rsidR="00EA7BC7" w:rsidRPr="00C06677">
        <w:t xml:space="preserve"> to estimate the overlap of the Psychological Value distributions. There were 231 potential pairs of options for the 22 items used in the present experiment.  </w:t>
      </w:r>
      <w:r w:rsidR="002161AC">
        <w:t>The</w:t>
      </w:r>
      <w:r w:rsidR="00854C6C" w:rsidRPr="00C06677">
        <w:t xml:space="preserve"> </w:t>
      </w:r>
      <w:r w:rsidR="00EA7BC7" w:rsidRPr="00C06677">
        <w:t>overlap</w:t>
      </w:r>
      <w:r w:rsidR="00854C6C" w:rsidRPr="00C06677">
        <w:t>s</w:t>
      </w:r>
      <w:r w:rsidR="00EA7BC7" w:rsidRPr="00C06677">
        <w:t xml:space="preserve"> </w:t>
      </w:r>
      <w:r w:rsidR="002161AC">
        <w:t xml:space="preserve">were combined </w:t>
      </w:r>
      <w:r w:rsidR="00854C6C" w:rsidRPr="00C06677">
        <w:t xml:space="preserve">into </w:t>
      </w:r>
      <w:r w:rsidR="00072723" w:rsidRPr="00C06677">
        <w:t xml:space="preserve">successive </w:t>
      </w:r>
      <w:r w:rsidR="00854C6C" w:rsidRPr="00C06677">
        <w:t xml:space="preserve">bins of </w:t>
      </w:r>
      <w:r w:rsidR="00EA7BC7" w:rsidRPr="00C06677">
        <w:t>0.1</w:t>
      </w:r>
      <w:r w:rsidR="00854C6C" w:rsidRPr="00C06677">
        <w:t xml:space="preserve"> (labeling </w:t>
      </w:r>
      <w:r w:rsidR="00072723" w:rsidRPr="00C06677">
        <w:t>each</w:t>
      </w:r>
      <w:r w:rsidR="00854C6C" w:rsidRPr="00C06677">
        <w:t xml:space="preserve"> bin </w:t>
      </w:r>
      <w:r w:rsidR="00072723" w:rsidRPr="00C06677">
        <w:t>by the center value of the bin interval, e.g., the bin 0-0.1 is labeled as</w:t>
      </w:r>
      <w:r w:rsidR="00854C6C" w:rsidRPr="00C06677">
        <w:t xml:space="preserve"> 0.05)</w:t>
      </w:r>
      <w:r w:rsidR="00EA7BC7" w:rsidRPr="00C06677">
        <w:t>, and termed the variable, O</w:t>
      </w:r>
      <w:r w:rsidR="00EA7BC7" w:rsidRPr="00C06677">
        <w:rPr>
          <w:vertAlign w:val="subscript"/>
        </w:rPr>
        <w:t>0.1</w:t>
      </w:r>
      <w:r w:rsidR="00EA7BC7" w:rsidRPr="00C06677">
        <w:t>.</w:t>
      </w:r>
      <w:r w:rsidR="00CF5BCE" w:rsidRPr="00C06677">
        <w:t xml:space="preserve"> </w:t>
      </w:r>
    </w:p>
    <w:p w14:paraId="7C1196BF" w14:textId="13785500" w:rsidR="00EA7BC7" w:rsidRPr="00C06677" w:rsidRDefault="00EA7BC7" w:rsidP="00EA7BC7">
      <w:pPr>
        <w:keepNext/>
        <w:spacing w:line="480" w:lineRule="auto"/>
        <w:rPr>
          <w:b/>
          <w:bCs/>
        </w:rPr>
      </w:pPr>
      <w:r w:rsidRPr="00C06677">
        <w:rPr>
          <w:b/>
          <w:bCs/>
        </w:rPr>
        <w:t>Choice Data</w:t>
      </w:r>
    </w:p>
    <w:p w14:paraId="5E5E3755" w14:textId="2EBF97CA" w:rsidR="00F50455" w:rsidRPr="00C06677" w:rsidRDefault="00841A03" w:rsidP="00854C6C">
      <w:pPr>
        <w:spacing w:line="480" w:lineRule="auto"/>
        <w:ind w:firstLine="720"/>
      </w:pPr>
      <w:r>
        <w:t>In the present experiment, t</w:t>
      </w:r>
      <w:r w:rsidR="007B3DBF">
        <w:t>wo</w:t>
      </w:r>
      <w:r w:rsidR="007B3DBF" w:rsidRPr="00C06677">
        <w:t xml:space="preserve"> participants were removed due to issues with computers during the experiment</w:t>
      </w:r>
      <w:r w:rsidR="00F6410D">
        <w:rPr>
          <w:rStyle w:val="EndnoteReference"/>
        </w:rPr>
        <w:endnoteReference w:id="1"/>
      </w:r>
      <w:r w:rsidR="007B3DBF" w:rsidRPr="00C06677">
        <w:t xml:space="preserve">. </w:t>
      </w:r>
      <w:r w:rsidR="00A06A9A" w:rsidRPr="00C06677">
        <w:t xml:space="preserve">We </w:t>
      </w:r>
      <w:r w:rsidR="00854C6C" w:rsidRPr="00C06677">
        <w:t>optimized the</w:t>
      </w:r>
      <w:r w:rsidR="00B826B1">
        <w:t xml:space="preserve"> data</w:t>
      </w:r>
      <w:r w:rsidR="00854C6C" w:rsidRPr="00C06677">
        <w:t xml:space="preserve"> filtering </w:t>
      </w:r>
      <w:r w:rsidR="00A36B57">
        <w:t>procedure</w:t>
      </w:r>
      <w:r w:rsidR="00A36B57" w:rsidRPr="00C06677">
        <w:t xml:space="preserve"> </w:t>
      </w:r>
      <w:r w:rsidR="00854C6C" w:rsidRPr="00C06677">
        <w:t>in the following ways.  First, we calculated the coefficient of variation (CV)</w:t>
      </w:r>
      <w:r w:rsidR="00424D73">
        <w:rPr>
          <w:rStyle w:val="EndnoteReference"/>
        </w:rPr>
        <w:endnoteReference w:id="2"/>
      </w:r>
      <w:r w:rsidR="00854C6C" w:rsidRPr="00C06677">
        <w:t xml:space="preserve">.  The CV is a measure response time consistency, with higher CVs indicating large </w:t>
      </w:r>
      <w:r w:rsidR="00843163" w:rsidRPr="00C06677">
        <w:t>fluctuation</w:t>
      </w:r>
      <w:r w:rsidR="002A5018" w:rsidRPr="00C06677">
        <w:t>s</w:t>
      </w:r>
      <w:r w:rsidR="00854C6C" w:rsidRPr="00C06677">
        <w:t xml:space="preserve"> in RT </w:t>
      </w:r>
      <w:r w:rsidR="00843163" w:rsidRPr="00C06677">
        <w:t>across trials</w:t>
      </w:r>
      <w:r w:rsidR="00854C6C" w:rsidRPr="00C06677">
        <w:t>. We then removed the participants with largest 5% CVs (6 participants).  Ninety-six total participants remained. For each O</w:t>
      </w:r>
      <w:r w:rsidR="00854C6C" w:rsidRPr="00C06677">
        <w:rPr>
          <w:vertAlign w:val="subscript"/>
        </w:rPr>
        <w:t>0.1</w:t>
      </w:r>
      <w:r w:rsidR="00854C6C" w:rsidRPr="00C06677">
        <w:t xml:space="preserve"> bin, we removed individual trials with the slowest and fastest 2.5% of the RTs.  </w:t>
      </w:r>
      <w:r w:rsidR="00A87DD0" w:rsidRPr="00C06677">
        <w:t>All statistical analyses are two tailed tests, unless otherwise specified.</w:t>
      </w:r>
    </w:p>
    <w:p w14:paraId="5BB58939" w14:textId="74E9D920" w:rsidR="00F50455" w:rsidRPr="00C06677" w:rsidRDefault="00F50455" w:rsidP="003C4DC0">
      <w:pPr>
        <w:spacing w:line="480" w:lineRule="auto"/>
      </w:pPr>
      <w:r w:rsidRPr="00C06677">
        <w:lastRenderedPageBreak/>
        <w:tab/>
      </w:r>
      <w:r w:rsidR="003C4DC0">
        <w:t xml:space="preserve">In RT tasks with multiple trials, the participant will tend to get faster at the task as the trials progress. This increasing speed is a function of participants learning the task requirements, motor responses, etc.  To identify the influence of trial number on RTs, </w:t>
      </w:r>
      <w:r w:rsidR="00120C46">
        <w:t xml:space="preserve">we </w:t>
      </w:r>
      <w:r w:rsidR="003C4DC0">
        <w:t>fit</w:t>
      </w:r>
      <w:r w:rsidR="00841A03">
        <w:t>ted</w:t>
      </w:r>
      <w:r w:rsidRPr="00C06677">
        <w:t xml:space="preserve"> a learning function to the data, </w:t>
      </w:r>
      <w:r w:rsidRPr="00C06677">
        <w:rPr>
          <w:i/>
          <w:iCs/>
        </w:rPr>
        <w:t>log</w:t>
      </w:r>
      <w:r w:rsidRPr="00C06677">
        <w:t xml:space="preserve">(RT) = </w:t>
      </w:r>
      <w:r w:rsidRPr="00C06677">
        <w:rPr>
          <w:i/>
          <w:iCs/>
        </w:rPr>
        <w:t>a</w:t>
      </w:r>
      <w:r w:rsidRPr="00C06677">
        <w:t xml:space="preserve"> * exp (</w:t>
      </w:r>
      <w:r w:rsidRPr="00C06677">
        <w:rPr>
          <w:i/>
          <w:iCs/>
        </w:rPr>
        <w:t>b</w:t>
      </w:r>
      <w:r w:rsidRPr="00C06677">
        <w:t xml:space="preserve"> * (trial – 1))</w:t>
      </w:r>
      <w:r w:rsidR="00841A03">
        <w:t xml:space="preserve"> (after Cohen &amp; Ahn, 2016)</w:t>
      </w:r>
      <w:r w:rsidRPr="00C06677">
        <w:t>. There was a significant influence of both parameters (</w:t>
      </w:r>
      <w:r w:rsidRPr="00C06677">
        <w:rPr>
          <w:i/>
          <w:iCs/>
        </w:rPr>
        <w:t>a</w:t>
      </w:r>
      <w:r w:rsidRPr="00C06677">
        <w:t xml:space="preserve"> = </w:t>
      </w:r>
      <w:r w:rsidR="00854C6C" w:rsidRPr="00C06677">
        <w:t>7.55</w:t>
      </w:r>
      <w:r w:rsidRPr="00C06677">
        <w:t xml:space="preserve">, </w:t>
      </w:r>
      <w:r w:rsidRPr="00C06677">
        <w:rPr>
          <w:i/>
        </w:rPr>
        <w:t>b</w:t>
      </w:r>
      <w:r w:rsidRPr="00C06677">
        <w:t xml:space="preserve"> = –0.</w:t>
      </w:r>
      <w:r w:rsidR="00854C6C" w:rsidRPr="00C06677">
        <w:t>00038</w:t>
      </w:r>
      <w:r w:rsidRPr="00C06677">
        <w:t xml:space="preserve">), and both </w:t>
      </w:r>
      <w:r w:rsidRPr="00C06677">
        <w:rPr>
          <w:i/>
        </w:rPr>
        <w:t>t</w:t>
      </w:r>
      <w:r w:rsidRPr="00C06677">
        <w:t xml:space="preserve">’s &gt; </w:t>
      </w:r>
      <w:r w:rsidR="00854C6C" w:rsidRPr="00C06677">
        <w:t>14</w:t>
      </w:r>
      <w:r w:rsidRPr="00C06677">
        <w:t xml:space="preserve">, </w:t>
      </w:r>
      <w:r w:rsidRPr="00C06677">
        <w:rPr>
          <w:i/>
        </w:rPr>
        <w:t>p</w:t>
      </w:r>
      <w:r w:rsidRPr="00C06677">
        <w:t xml:space="preserve">’s &lt; .001. </w:t>
      </w:r>
      <w:r w:rsidR="00FB6C06">
        <w:t>To remove the influence of trial number on RTs, t</w:t>
      </w:r>
      <w:r w:rsidR="00FB6C06" w:rsidRPr="00C06677">
        <w:t xml:space="preserve">he </w:t>
      </w:r>
      <w:r w:rsidRPr="00C06677">
        <w:t>residuals</w:t>
      </w:r>
      <w:r w:rsidR="00CD1101" w:rsidRPr="00C06677">
        <w:t xml:space="preserve"> </w:t>
      </w:r>
      <w:r w:rsidRPr="00C06677">
        <w:t>of this function (RT</w:t>
      </w:r>
      <w:r w:rsidRPr="00C06677">
        <w:rPr>
          <w:vertAlign w:val="subscript"/>
        </w:rPr>
        <w:t>res</w:t>
      </w:r>
      <w:r w:rsidRPr="00C06677">
        <w:t>)</w:t>
      </w:r>
      <w:r w:rsidR="00CD1101" w:rsidRPr="00C06677">
        <w:t xml:space="preserve">, </w:t>
      </w:r>
      <w:r w:rsidRPr="00C06677">
        <w:t>served as the RT outcome variable.</w:t>
      </w:r>
    </w:p>
    <w:p w14:paraId="34BF4872" w14:textId="294B0B6B" w:rsidR="00EA7BC7" w:rsidRPr="00C06677" w:rsidRDefault="00765B1D" w:rsidP="00F50455">
      <w:pPr>
        <w:spacing w:line="480" w:lineRule="auto"/>
        <w:rPr>
          <w:b/>
        </w:rPr>
      </w:pPr>
      <w:r w:rsidRPr="00C06677">
        <w:rPr>
          <w:b/>
        </w:rPr>
        <w:t>Regression</w:t>
      </w:r>
      <w:r w:rsidR="00F046CB" w:rsidRPr="00C06677">
        <w:rPr>
          <w:b/>
        </w:rPr>
        <w:t xml:space="preserve"> Analysis</w:t>
      </w:r>
    </w:p>
    <w:p w14:paraId="08C8E680" w14:textId="1E669E64" w:rsidR="00985FC9" w:rsidRPr="00C06677" w:rsidRDefault="00535014" w:rsidP="005E0084">
      <w:pPr>
        <w:spacing w:line="480" w:lineRule="auto"/>
        <w:ind w:firstLine="720"/>
      </w:pPr>
      <w:r w:rsidRPr="00C06677">
        <w:t xml:space="preserve">The relation between Overlap and </w:t>
      </w:r>
      <w:r w:rsidRPr="00C06677">
        <w:rPr>
          <w:i/>
          <w:iCs/>
        </w:rPr>
        <w:t>p</w:t>
      </w:r>
      <w:r w:rsidRPr="00C06677">
        <w:t>(</w:t>
      </w:r>
      <w:r w:rsidR="00993A7A" w:rsidRPr="00C06677">
        <w:t>HVO</w:t>
      </w:r>
      <w:r w:rsidRPr="00C06677">
        <w:t>)</w:t>
      </w:r>
      <w:r w:rsidR="004629D7" w:rsidRPr="00C06677">
        <w:t>, averaged across participants,</w:t>
      </w:r>
      <w:r w:rsidRPr="00C06677">
        <w:t xml:space="preserve"> was assessed by </w:t>
      </w:r>
      <w:r w:rsidR="00BF3E72" w:rsidRPr="00C06677">
        <w:t>fit</w:t>
      </w:r>
      <w:r w:rsidR="004629D7" w:rsidRPr="00C06677">
        <w:t>ting</w:t>
      </w:r>
      <w:r w:rsidR="00BF3E72" w:rsidRPr="00C06677">
        <w:t xml:space="preserve"> </w:t>
      </w:r>
      <w:r w:rsidRPr="00C06677">
        <w:t xml:space="preserve">the exponential decay function, </w:t>
      </w:r>
      <w:r w:rsidRPr="00C06677">
        <w:rPr>
          <w:i/>
          <w:iCs/>
        </w:rPr>
        <w:t>p</w:t>
      </w:r>
      <w:r w:rsidRPr="00C06677">
        <w:t>(</w:t>
      </w:r>
      <w:r w:rsidR="00993A7A" w:rsidRPr="00C06677">
        <w:t>HVO</w:t>
      </w:r>
      <w:r w:rsidRPr="00C06677">
        <w:t>) = 0.5 * (1 – O</w:t>
      </w:r>
      <w:r w:rsidRPr="00C06677">
        <w:rPr>
          <w:vertAlign w:val="subscript"/>
        </w:rPr>
        <w:t>0.1</w:t>
      </w:r>
      <w:r w:rsidRPr="00C06677">
        <w:rPr>
          <w:i/>
          <w:vertAlign w:val="superscript"/>
        </w:rPr>
        <w:t>b</w:t>
      </w:r>
      <w:r w:rsidRPr="00C06677">
        <w:t>) + 0.5</w:t>
      </w:r>
      <w:r w:rsidR="000A35FF" w:rsidRPr="00C06677">
        <w:t xml:space="preserve">, and analysis revealed </w:t>
      </w:r>
      <w:r w:rsidRPr="00C06677">
        <w:t xml:space="preserve">a significant </w:t>
      </w:r>
      <w:r w:rsidR="00535A6C" w:rsidRPr="00C06677">
        <w:t xml:space="preserve">relation between </w:t>
      </w:r>
      <w:r w:rsidRPr="00C06677">
        <w:t xml:space="preserve">Overlap </w:t>
      </w:r>
      <w:r w:rsidR="00535A6C" w:rsidRPr="00C06677">
        <w:t xml:space="preserve">and </w:t>
      </w:r>
      <w:r w:rsidR="00535A6C" w:rsidRPr="00C06677">
        <w:rPr>
          <w:i/>
          <w:iCs/>
        </w:rPr>
        <w:t>p</w:t>
      </w:r>
      <w:r w:rsidR="00535A6C" w:rsidRPr="00C06677">
        <w:t>(</w:t>
      </w:r>
      <w:r w:rsidR="00993A7A" w:rsidRPr="00C06677">
        <w:t>HVO</w:t>
      </w:r>
      <w:r w:rsidR="00535A6C" w:rsidRPr="00C06677">
        <w:t xml:space="preserve">), </w:t>
      </w:r>
      <w:r w:rsidRPr="00C06677">
        <w:rPr>
          <w:i/>
        </w:rPr>
        <w:t>b</w:t>
      </w:r>
      <w:r w:rsidRPr="00C06677">
        <w:t xml:space="preserve"> = </w:t>
      </w:r>
      <w:r w:rsidR="00854C6C" w:rsidRPr="00C06677">
        <w:t>2.61</w:t>
      </w:r>
      <w:r w:rsidR="00B50190" w:rsidRPr="00C06677">
        <w:t xml:space="preserve">, </w:t>
      </w:r>
      <w:r w:rsidR="00B50190" w:rsidRPr="00C06677">
        <w:rPr>
          <w:i/>
        </w:rPr>
        <w:t>t</w:t>
      </w:r>
      <w:r w:rsidR="00861507">
        <w:t xml:space="preserve"> </w:t>
      </w:r>
      <w:r w:rsidR="00B50190" w:rsidRPr="00C06677">
        <w:t xml:space="preserve">= </w:t>
      </w:r>
      <w:r w:rsidR="00854C6C" w:rsidRPr="00C06677">
        <w:t>13.05</w:t>
      </w:r>
      <w:r w:rsidR="00B50190" w:rsidRPr="00C06677">
        <w:t xml:space="preserve">, </w:t>
      </w:r>
      <w:r w:rsidR="00B50190" w:rsidRPr="00C06677">
        <w:rPr>
          <w:i/>
        </w:rPr>
        <w:t>p</w:t>
      </w:r>
      <w:r w:rsidR="00B50190" w:rsidRPr="00C06677">
        <w:t xml:space="preserve"> &lt; .001, </w:t>
      </w:r>
      <w:r w:rsidR="00B50190" w:rsidRPr="00C06677">
        <w:rPr>
          <w:i/>
        </w:rPr>
        <w:t>r</w:t>
      </w:r>
      <w:r w:rsidR="00B50190" w:rsidRPr="00C06677">
        <w:rPr>
          <w:i/>
          <w:vertAlign w:val="superscript"/>
        </w:rPr>
        <w:t>2</w:t>
      </w:r>
      <w:r w:rsidR="00B50190" w:rsidRPr="00C06677">
        <w:t xml:space="preserve"> = 0.</w:t>
      </w:r>
      <w:r w:rsidR="00854C6C" w:rsidRPr="00C06677">
        <w:t xml:space="preserve">95 </w:t>
      </w:r>
      <w:r w:rsidR="00D61A41" w:rsidRPr="00C06677">
        <w:t xml:space="preserve">(see Figure </w:t>
      </w:r>
      <w:r w:rsidR="009266BC" w:rsidRPr="00C06677">
        <w:t>4, top left</w:t>
      </w:r>
      <w:r w:rsidR="00D61A41" w:rsidRPr="00C06677">
        <w:t>)</w:t>
      </w:r>
      <w:r w:rsidR="00B50190" w:rsidRPr="00C06677">
        <w:t>.</w:t>
      </w:r>
      <w:r w:rsidRPr="00C06677">
        <w:t xml:space="preserve"> </w:t>
      </w:r>
      <w:r w:rsidR="00993A7A" w:rsidRPr="00C06677">
        <w:t xml:space="preserve">We also fit </w:t>
      </w:r>
      <w:r w:rsidR="00963264" w:rsidRPr="00C06677">
        <w:t>a linear regression to assess the relation between RT and Overlap, RT</w:t>
      </w:r>
      <w:r w:rsidR="00963264" w:rsidRPr="00C06677">
        <w:rPr>
          <w:vertAlign w:val="subscript"/>
        </w:rPr>
        <w:t>res</w:t>
      </w:r>
      <w:r w:rsidR="00963264" w:rsidRPr="00C06677">
        <w:t xml:space="preserve"> = </w:t>
      </w:r>
      <w:r w:rsidR="00963264" w:rsidRPr="00C06677">
        <w:rPr>
          <w:i/>
          <w:iCs/>
        </w:rPr>
        <w:t>a</w:t>
      </w:r>
      <w:r w:rsidR="00963264" w:rsidRPr="00C06677">
        <w:t xml:space="preserve"> + (</w:t>
      </w:r>
      <w:r w:rsidR="00963264" w:rsidRPr="00C06677">
        <w:rPr>
          <w:i/>
          <w:iCs/>
        </w:rPr>
        <w:t>b</w:t>
      </w:r>
      <w:r w:rsidR="00963264" w:rsidRPr="00C06677">
        <w:t xml:space="preserve"> * O</w:t>
      </w:r>
      <w:r w:rsidR="00963264" w:rsidRPr="00C06677">
        <w:rPr>
          <w:vertAlign w:val="subscript"/>
        </w:rPr>
        <w:t>0.1</w:t>
      </w:r>
      <w:r w:rsidR="00963264" w:rsidRPr="00C06677">
        <w:t>)</w:t>
      </w:r>
      <w:r w:rsidR="000A35FF" w:rsidRPr="00C06677">
        <w:t xml:space="preserve"> and found that t</w:t>
      </w:r>
      <w:r w:rsidR="000F6EF0" w:rsidRPr="00C06677">
        <w:t>here was a significant linear relation</w:t>
      </w:r>
      <w:r w:rsidR="00535A6C" w:rsidRPr="00C06677">
        <w:t xml:space="preserve"> between Overlap and RT</w:t>
      </w:r>
      <w:r w:rsidR="000F6EF0" w:rsidRPr="00C06677">
        <w:t xml:space="preserve">, </w:t>
      </w:r>
      <w:r w:rsidR="000F6EF0" w:rsidRPr="00C06677">
        <w:rPr>
          <w:i/>
          <w:iCs/>
        </w:rPr>
        <w:t>F</w:t>
      </w:r>
      <w:r w:rsidR="000F6EF0" w:rsidRPr="00C06677">
        <w:t>(1,</w:t>
      </w:r>
      <w:r w:rsidR="00DC32A8" w:rsidRPr="00C06677">
        <w:t xml:space="preserve"> </w:t>
      </w:r>
      <w:r w:rsidR="000F6EF0" w:rsidRPr="00C06677">
        <w:t xml:space="preserve">8) = </w:t>
      </w:r>
      <w:r w:rsidR="00854C6C" w:rsidRPr="00C06677">
        <w:t>304</w:t>
      </w:r>
      <w:r w:rsidR="00AC0C76" w:rsidRPr="00C06677">
        <w:t>.</w:t>
      </w:r>
      <w:r w:rsidR="00854C6C" w:rsidRPr="00C06677">
        <w:t>8</w:t>
      </w:r>
      <w:r w:rsidR="000F6EF0" w:rsidRPr="00C06677">
        <w:t xml:space="preserve">, </w:t>
      </w:r>
      <w:r w:rsidR="000F6EF0" w:rsidRPr="00C06677">
        <w:rPr>
          <w:i/>
        </w:rPr>
        <w:t>p</w:t>
      </w:r>
      <w:r w:rsidR="000F6EF0" w:rsidRPr="00C06677">
        <w:t xml:space="preserve"> &lt; .001</w:t>
      </w:r>
      <w:r w:rsidR="00B00239" w:rsidRPr="00C06677">
        <w:t xml:space="preserve">, </w:t>
      </w:r>
      <w:r w:rsidR="00B00239" w:rsidRPr="00C06677">
        <w:rPr>
          <w:i/>
        </w:rPr>
        <w:t>r</w:t>
      </w:r>
      <w:r w:rsidR="00B00239" w:rsidRPr="00C06677">
        <w:rPr>
          <w:i/>
          <w:vertAlign w:val="superscript"/>
        </w:rPr>
        <w:t>2</w:t>
      </w:r>
      <w:r w:rsidR="00B00239" w:rsidRPr="00C06677">
        <w:t xml:space="preserve"> = 0.9</w:t>
      </w:r>
      <w:r w:rsidR="00854C6C" w:rsidRPr="00C06677">
        <w:t>7</w:t>
      </w:r>
      <w:r w:rsidR="00B00239" w:rsidRPr="00C06677">
        <w:t>. Both the intercept (</w:t>
      </w:r>
      <w:r w:rsidR="00B00239" w:rsidRPr="00C06677">
        <w:rPr>
          <w:i/>
          <w:iCs/>
        </w:rPr>
        <w:t>a</w:t>
      </w:r>
      <w:r w:rsidR="00B00239" w:rsidRPr="00C06677">
        <w:t xml:space="preserve"> =</w:t>
      </w:r>
      <w:r w:rsidR="006F018E" w:rsidRPr="00C06677">
        <w:t xml:space="preserve"> –</w:t>
      </w:r>
      <w:r w:rsidR="004B3020" w:rsidRPr="00C06677">
        <w:t>0</w:t>
      </w:r>
      <w:r w:rsidR="006F018E" w:rsidRPr="00C06677">
        <w:t>.2</w:t>
      </w:r>
      <w:r w:rsidR="00854C6C" w:rsidRPr="00C06677">
        <w:t>5</w:t>
      </w:r>
      <w:r w:rsidR="00B00239" w:rsidRPr="00C06677">
        <w:t>) and the slope (</w:t>
      </w:r>
      <w:r w:rsidR="00B00239" w:rsidRPr="00C06677">
        <w:rPr>
          <w:i/>
        </w:rPr>
        <w:t>b</w:t>
      </w:r>
      <w:r w:rsidR="00B00239" w:rsidRPr="00C06677">
        <w:t xml:space="preserve"> = </w:t>
      </w:r>
      <w:r w:rsidR="006F018E" w:rsidRPr="00C06677">
        <w:t>0.</w:t>
      </w:r>
      <w:r w:rsidR="009750B5" w:rsidRPr="00C06677">
        <w:t>5</w:t>
      </w:r>
      <w:r w:rsidR="00854C6C" w:rsidRPr="00C06677">
        <w:t>0</w:t>
      </w:r>
      <w:r w:rsidR="00B00239" w:rsidRPr="00C06677">
        <w:t>) were significant</w:t>
      </w:r>
      <w:r w:rsidR="00285E10" w:rsidRPr="00C06677">
        <w:t>ly different from 0,</w:t>
      </w:r>
      <w:r w:rsidR="00B00239" w:rsidRPr="00C06677">
        <w:t xml:space="preserve"> </w:t>
      </w:r>
      <w:r w:rsidR="00B00239" w:rsidRPr="00C06677">
        <w:rPr>
          <w:i/>
        </w:rPr>
        <w:t>t</w:t>
      </w:r>
      <w:r w:rsidR="00B00239" w:rsidRPr="00C06677">
        <w:t xml:space="preserve">’s &gt; </w:t>
      </w:r>
      <w:r w:rsidR="009750B5" w:rsidRPr="00C06677">
        <w:t>1</w:t>
      </w:r>
      <w:r w:rsidR="00854C6C" w:rsidRPr="00C06677">
        <w:t>5</w:t>
      </w:r>
      <w:r w:rsidR="00B00239" w:rsidRPr="00C06677">
        <w:t xml:space="preserve">, </w:t>
      </w:r>
      <w:r w:rsidR="00B00239" w:rsidRPr="00C06677">
        <w:rPr>
          <w:i/>
        </w:rPr>
        <w:t>p</w:t>
      </w:r>
      <w:r w:rsidR="00B00239" w:rsidRPr="00C06677">
        <w:t xml:space="preserve">’s &lt; </w:t>
      </w:r>
      <w:r w:rsidR="006F018E" w:rsidRPr="00C06677">
        <w:t>.001</w:t>
      </w:r>
      <w:r w:rsidR="00D61A41" w:rsidRPr="00C06677">
        <w:t xml:space="preserve"> (Figure </w:t>
      </w:r>
      <w:r w:rsidR="00960E66" w:rsidRPr="00C06677">
        <w:t>4</w:t>
      </w:r>
      <w:r w:rsidR="009266BC" w:rsidRPr="00C06677">
        <w:t>, bottom left</w:t>
      </w:r>
      <w:r w:rsidR="00D61A41" w:rsidRPr="00C06677">
        <w:t>)</w:t>
      </w:r>
      <w:r w:rsidR="00B00239" w:rsidRPr="00C06677">
        <w:t>.</w:t>
      </w:r>
      <w:r w:rsidR="00FF6F43" w:rsidRPr="00C06677">
        <w:t xml:space="preserve"> </w:t>
      </w:r>
      <w:r w:rsidR="00AC42AF">
        <w:t xml:space="preserve">Both analyses had an </w:t>
      </w:r>
      <w:r w:rsidR="00AC42AF" w:rsidRPr="00AC42AF">
        <w:t xml:space="preserve">80% power to detect an effect size of </w:t>
      </w:r>
      <w:r w:rsidR="00AC42AF" w:rsidRPr="001969F7">
        <w:rPr>
          <w:i/>
          <w:iCs/>
        </w:rPr>
        <w:t>f</w:t>
      </w:r>
      <w:r w:rsidR="00AC42AF" w:rsidRPr="001969F7">
        <w:rPr>
          <w:i/>
          <w:iCs/>
          <w:vertAlign w:val="superscript"/>
        </w:rPr>
        <w:t>2</w:t>
      </w:r>
      <w:r w:rsidR="00AC42AF" w:rsidRPr="00AC42AF">
        <w:t xml:space="preserve"> = </w:t>
      </w:r>
      <w:r w:rsidR="00AC42AF">
        <w:t>1.0.</w:t>
      </w:r>
    </w:p>
    <w:p w14:paraId="6B84CEF6" w14:textId="77777777" w:rsidR="00561902" w:rsidRDefault="00561902">
      <w:r>
        <w:br w:type="page"/>
      </w:r>
    </w:p>
    <w:p w14:paraId="6104A003" w14:textId="3E932D7A" w:rsidR="00561902" w:rsidRPr="00C06677" w:rsidRDefault="00561902" w:rsidP="00561902">
      <w:pPr>
        <w:spacing w:line="480" w:lineRule="auto"/>
        <w:jc w:val="center"/>
        <w:outlineLvl w:val="0"/>
        <w:rPr>
          <w:bCs/>
        </w:rPr>
      </w:pPr>
      <w:r w:rsidRPr="00C06677">
        <w:rPr>
          <w:noProof/>
        </w:rPr>
        <w:lastRenderedPageBreak/>
        <w:t xml:space="preserve">   </w:t>
      </w:r>
      <w:r w:rsidRPr="00C06677">
        <w:rPr>
          <w:noProof/>
        </w:rPr>
        <w:drawing>
          <wp:inline distT="0" distB="0" distL="0" distR="0" wp14:anchorId="62F70B20" wp14:editId="3A72BBB1">
            <wp:extent cx="5245100" cy="447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5100" cy="4470400"/>
                    </a:xfrm>
                    <a:prstGeom prst="rect">
                      <a:avLst/>
                    </a:prstGeom>
                  </pic:spPr>
                </pic:pic>
              </a:graphicData>
            </a:graphic>
          </wp:inline>
        </w:drawing>
      </w:r>
    </w:p>
    <w:p w14:paraId="097B8702" w14:textId="04A77185" w:rsidR="00561902" w:rsidRPr="00C06677" w:rsidRDefault="00561902" w:rsidP="00561902">
      <w:pPr>
        <w:outlineLvl w:val="0"/>
        <w:rPr>
          <w:bCs/>
        </w:rPr>
      </w:pPr>
      <w:r w:rsidRPr="00C06677">
        <w:rPr>
          <w:b/>
        </w:rPr>
        <w:t xml:space="preserve">Figure 4. Experiment 1 regression and RRW results. </w:t>
      </w:r>
      <w:r w:rsidRPr="00C06677">
        <w:rPr>
          <w:bCs/>
        </w:rPr>
        <w:t xml:space="preserve">The p(HVO) and RT fit using separate regressions (left column). The </w:t>
      </w:r>
      <w:r w:rsidRPr="00702607">
        <w:rPr>
          <w:bCs/>
          <w:i/>
          <w:iCs/>
        </w:rPr>
        <w:t>p</w:t>
      </w:r>
      <w:r w:rsidRPr="00C06677">
        <w:rPr>
          <w:bCs/>
        </w:rPr>
        <w:t>(HVO) (top), RT</w:t>
      </w:r>
      <w:r w:rsidRPr="00C06677">
        <w:rPr>
          <w:bCs/>
          <w:vertAlign w:val="subscript"/>
        </w:rPr>
        <w:t>HVO</w:t>
      </w:r>
      <w:r w:rsidRPr="00C06677">
        <w:rPr>
          <w:bCs/>
        </w:rPr>
        <w:t xml:space="preserve"> (bottom</w:t>
      </w:r>
      <w:r w:rsidR="00710792">
        <w:rPr>
          <w:bCs/>
        </w:rPr>
        <w:t xml:space="preserve"> circles</w:t>
      </w:r>
      <w:r w:rsidRPr="00C06677">
        <w:rPr>
          <w:bCs/>
        </w:rPr>
        <w:t>), and RT</w:t>
      </w:r>
      <w:r w:rsidRPr="00C06677">
        <w:rPr>
          <w:bCs/>
          <w:vertAlign w:val="subscript"/>
        </w:rPr>
        <w:t>LVO</w:t>
      </w:r>
      <w:r w:rsidRPr="00C06677">
        <w:rPr>
          <w:bCs/>
        </w:rPr>
        <w:t xml:space="preserve"> (bottom</w:t>
      </w:r>
      <w:r w:rsidR="00710792">
        <w:rPr>
          <w:bCs/>
        </w:rPr>
        <w:t xml:space="preserve"> “x”s</w:t>
      </w:r>
      <w:r w:rsidRPr="00C06677">
        <w:rPr>
          <w:bCs/>
        </w:rPr>
        <w:t xml:space="preserve">) fit simultaneously (right column) using the RRW. The </w:t>
      </w:r>
      <w:r w:rsidR="00710792">
        <w:rPr>
          <w:bCs/>
        </w:rPr>
        <w:t>black lines/symbols</w:t>
      </w:r>
      <w:r w:rsidR="00710792" w:rsidRPr="00C06677">
        <w:rPr>
          <w:bCs/>
        </w:rPr>
        <w:t xml:space="preserve"> </w:t>
      </w:r>
      <w:r w:rsidRPr="00C06677">
        <w:rPr>
          <w:bCs/>
        </w:rPr>
        <w:t xml:space="preserve">represent responses to the </w:t>
      </w:r>
      <w:r w:rsidR="00710792">
        <w:rPr>
          <w:bCs/>
        </w:rPr>
        <w:t>Left</w:t>
      </w:r>
      <w:r w:rsidR="00710792" w:rsidRPr="00401046">
        <w:rPr>
          <w:bCs/>
          <w:vertAlign w:val="subscript"/>
        </w:rPr>
        <w:t>HVO</w:t>
      </w:r>
      <w:r w:rsidR="00710792">
        <w:rPr>
          <w:bCs/>
        </w:rPr>
        <w:t xml:space="preserve"> trials</w:t>
      </w:r>
      <w:r w:rsidRPr="00C06677">
        <w:rPr>
          <w:bCs/>
        </w:rPr>
        <w:t xml:space="preserve">, and the </w:t>
      </w:r>
      <w:r w:rsidR="00710792">
        <w:rPr>
          <w:bCs/>
        </w:rPr>
        <w:t>darker grey lines/symbols</w:t>
      </w:r>
      <w:r w:rsidR="00710792" w:rsidRPr="00C06677">
        <w:rPr>
          <w:bCs/>
        </w:rPr>
        <w:t xml:space="preserve"> </w:t>
      </w:r>
      <w:r w:rsidRPr="00C06677">
        <w:rPr>
          <w:bCs/>
        </w:rPr>
        <w:t xml:space="preserve">represent responses to the </w:t>
      </w:r>
      <w:r w:rsidR="00710792">
        <w:rPr>
          <w:bCs/>
        </w:rPr>
        <w:t>Left</w:t>
      </w:r>
      <w:r w:rsidR="00710792">
        <w:rPr>
          <w:bCs/>
          <w:vertAlign w:val="subscript"/>
        </w:rPr>
        <w:t>L</w:t>
      </w:r>
      <w:r w:rsidR="00710792" w:rsidRPr="00531BD6">
        <w:rPr>
          <w:bCs/>
          <w:vertAlign w:val="subscript"/>
        </w:rPr>
        <w:t>VO</w:t>
      </w:r>
      <w:r w:rsidR="00710792">
        <w:rPr>
          <w:bCs/>
        </w:rPr>
        <w:t xml:space="preserve"> trials</w:t>
      </w:r>
      <w:r w:rsidRPr="00C06677">
        <w:rPr>
          <w:bCs/>
        </w:rPr>
        <w:t xml:space="preserve">. The light gray lines represent 40 individual iterations of the RRW with parameters from the best fit model. The </w:t>
      </w:r>
      <w:r w:rsidR="003206D9">
        <w:rPr>
          <w:bCs/>
        </w:rPr>
        <w:t>solid</w:t>
      </w:r>
      <w:r w:rsidR="003206D9" w:rsidRPr="00C06677">
        <w:rPr>
          <w:bCs/>
        </w:rPr>
        <w:t xml:space="preserve"> </w:t>
      </w:r>
      <w:r w:rsidRPr="00C06677">
        <w:rPr>
          <w:bCs/>
        </w:rPr>
        <w:t>line shows the average fit of those 40 lines.</w:t>
      </w:r>
    </w:p>
    <w:p w14:paraId="3B59DDEA" w14:textId="3F0FA8E9" w:rsidR="00482E3C" w:rsidRDefault="00482E3C" w:rsidP="00561902">
      <w:pPr>
        <w:spacing w:line="480" w:lineRule="auto"/>
      </w:pPr>
    </w:p>
    <w:p w14:paraId="7D68D3C5" w14:textId="7F61B62F" w:rsidR="00561902" w:rsidRDefault="00561902" w:rsidP="00561902">
      <w:pPr>
        <w:spacing w:line="480" w:lineRule="auto"/>
        <w:ind w:firstLine="720"/>
      </w:pPr>
      <w:r w:rsidRPr="00C06677">
        <w:t xml:space="preserve">Next, we ran an item analysis </w:t>
      </w:r>
      <w:r w:rsidR="002C2748" w:rsidRPr="00C06677">
        <w:t>to</w:t>
      </w:r>
      <w:r w:rsidRPr="00C06677">
        <w:t xml:space="preserve"> estimate the probability of choosing each individual item relative to every other item used in the experiment. To illustrate this, the item analyses of “a solder,” “an adult,” and “a thief” are shown in Figure 5. In the associated graphs, the overlap of the items is plotted on the </w:t>
      </w:r>
      <w:r w:rsidRPr="00C06677">
        <w:rPr>
          <w:i/>
          <w:iCs/>
        </w:rPr>
        <w:t>x</w:t>
      </w:r>
      <w:r w:rsidRPr="00C06677">
        <w:t xml:space="preserve">-axis, whereby the left-most item is the item that has the least amount of distributional overlap and is more valued than the target item.  The right most item has least amount of distributional overlap and is less valued than the comparison item. Therefore, the </w:t>
      </w:r>
      <w:r w:rsidRPr="00C06677">
        <w:lastRenderedPageBreak/>
        <w:t>likelihood of choosing the target item should be least at the left bound, most at the right bound, and gradually increasing in between. All items displayed this predicted pattern.</w:t>
      </w:r>
    </w:p>
    <w:p w14:paraId="56CFCFEE" w14:textId="77777777" w:rsidR="00561902" w:rsidRDefault="00561902" w:rsidP="00561902">
      <w:pPr>
        <w:spacing w:line="480" w:lineRule="auto"/>
      </w:pPr>
    </w:p>
    <w:p w14:paraId="29F1D590" w14:textId="77777777" w:rsidR="00561902" w:rsidRPr="00C06677" w:rsidRDefault="00561902" w:rsidP="00561902">
      <w:pPr>
        <w:spacing w:line="480" w:lineRule="auto"/>
        <w:jc w:val="center"/>
      </w:pPr>
      <w:r w:rsidRPr="00C06677">
        <w:rPr>
          <w:b/>
          <w:noProof/>
        </w:rPr>
        <w:drawing>
          <wp:inline distT="0" distB="0" distL="0" distR="0" wp14:anchorId="76912245" wp14:editId="38DC9E16">
            <wp:extent cx="5943600" cy="6036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036945"/>
                    </a:xfrm>
                    <a:prstGeom prst="rect">
                      <a:avLst/>
                    </a:prstGeom>
                  </pic:spPr>
                </pic:pic>
              </a:graphicData>
            </a:graphic>
          </wp:inline>
        </w:drawing>
      </w:r>
      <w:r w:rsidRPr="00C06677" w:rsidDel="00DB15EA">
        <w:rPr>
          <w:b/>
          <w:noProof/>
        </w:rPr>
        <w:t xml:space="preserve"> </w:t>
      </w:r>
    </w:p>
    <w:p w14:paraId="3D9ACC01" w14:textId="26BAA9D9" w:rsidR="00561902" w:rsidRPr="00C06677" w:rsidRDefault="00561902" w:rsidP="00561902">
      <w:r w:rsidRPr="00C06677">
        <w:rPr>
          <w:b/>
          <w:bCs/>
          <w:iCs/>
        </w:rPr>
        <w:t>Figure 5. Item Analyses</w:t>
      </w:r>
      <w:r w:rsidRPr="00C06677">
        <w:t>. Each graph shows the probability of choosing an individual item (shown in the bottom right corner of each graph) relative to every other item present in the experiment</w:t>
      </w:r>
      <w:r w:rsidR="00683913">
        <w:t xml:space="preserve"> (</w:t>
      </w:r>
      <w:r w:rsidR="00683913" w:rsidRPr="001969F7">
        <w:rPr>
          <w:i/>
          <w:iCs/>
        </w:rPr>
        <w:t>y</w:t>
      </w:r>
      <w:r w:rsidR="00683913">
        <w:t>-axis)</w:t>
      </w:r>
      <w:r w:rsidRPr="00C06677">
        <w:t>.</w:t>
      </w:r>
      <w:r w:rsidR="00683913">
        <w:t xml:space="preserve"> On the </w:t>
      </w:r>
      <w:r w:rsidR="00683913" w:rsidRPr="001969F7">
        <w:rPr>
          <w:i/>
          <w:iCs/>
        </w:rPr>
        <w:t>x</w:t>
      </w:r>
      <w:r w:rsidR="00683913">
        <w:t xml:space="preserve">-axis, </w:t>
      </w:r>
      <w:r w:rsidR="00683913" w:rsidRPr="00C06677">
        <w:t xml:space="preserve">the left-most item is the item that has the least amount of distributional overlap and is more valued than the target item. The right most item has least amount of distributional overlap and is less valued than the comparison item. </w:t>
      </w:r>
    </w:p>
    <w:p w14:paraId="5B06AB98" w14:textId="77777777" w:rsidR="00561902" w:rsidRPr="00561902" w:rsidRDefault="00561902" w:rsidP="00561902">
      <w:pPr>
        <w:spacing w:line="480" w:lineRule="auto"/>
      </w:pPr>
    </w:p>
    <w:p w14:paraId="19FD6393" w14:textId="0AA81AED" w:rsidR="00D71F17" w:rsidRPr="00C06677" w:rsidRDefault="00CF5BCE" w:rsidP="001F3B67">
      <w:pPr>
        <w:keepNext/>
        <w:spacing w:line="480" w:lineRule="auto"/>
        <w:rPr>
          <w:b/>
        </w:rPr>
      </w:pPr>
      <w:r w:rsidRPr="00C06677">
        <w:rPr>
          <w:b/>
        </w:rPr>
        <w:t>RR</w:t>
      </w:r>
      <w:r w:rsidR="00285E10" w:rsidRPr="00C06677">
        <w:rPr>
          <w:b/>
        </w:rPr>
        <w:t xml:space="preserve">W </w:t>
      </w:r>
      <w:r w:rsidR="00473288" w:rsidRPr="00C06677">
        <w:rPr>
          <w:b/>
        </w:rPr>
        <w:t>Analysis</w:t>
      </w:r>
    </w:p>
    <w:p w14:paraId="53D59534" w14:textId="607CA161" w:rsidR="00574015" w:rsidRPr="00C06677" w:rsidRDefault="008460EB" w:rsidP="0044506D">
      <w:pPr>
        <w:keepNext/>
        <w:spacing w:line="480" w:lineRule="auto"/>
        <w:outlineLvl w:val="0"/>
      </w:pPr>
      <w:r w:rsidRPr="00C06677">
        <w:tab/>
      </w:r>
      <w:r w:rsidR="00260058" w:rsidRPr="00C06677">
        <w:t xml:space="preserve">To assess whether </w:t>
      </w:r>
      <w:r w:rsidR="00DC32A8" w:rsidRPr="00C06677">
        <w:t>PVT</w:t>
      </w:r>
      <w:r w:rsidR="00260058" w:rsidRPr="00C06677">
        <w:t xml:space="preserve"> modeled the data well, we fit the data using the R</w:t>
      </w:r>
      <w:r w:rsidR="00CF5BCE" w:rsidRPr="00C06677">
        <w:t>RW</w:t>
      </w:r>
      <w:r w:rsidR="00B77478">
        <w:t xml:space="preserve"> (for details, see </w:t>
      </w:r>
      <w:r w:rsidR="00260058" w:rsidRPr="00C06677">
        <w:t>Cohen, et al.</w:t>
      </w:r>
      <w:r w:rsidR="00B77478">
        <w:t xml:space="preserve">, </w:t>
      </w:r>
      <w:r w:rsidR="001A32B5" w:rsidRPr="00C06677">
        <w:t>202</w:t>
      </w:r>
      <w:r w:rsidR="001A32B5">
        <w:t>2</w:t>
      </w:r>
      <w:r w:rsidR="00260058" w:rsidRPr="00C06677">
        <w:t xml:space="preserve">). </w:t>
      </w:r>
      <w:r w:rsidR="0093082E" w:rsidRPr="00C06677">
        <w:t xml:space="preserve">Unlike most </w:t>
      </w:r>
      <w:r w:rsidR="00065D8F" w:rsidRPr="00C06677">
        <w:t>SSP</w:t>
      </w:r>
      <w:r w:rsidR="00361FEB" w:rsidRPr="00C06677">
        <w:t>s</w:t>
      </w:r>
      <w:r w:rsidR="0093082E" w:rsidRPr="00C06677">
        <w:t xml:space="preserve">, the RRW does not estimate drift rate.  Rather, the RRW uses Overlap </w:t>
      </w:r>
      <w:r w:rsidR="00EA7BC7" w:rsidRPr="00C06677">
        <w:t xml:space="preserve">(as </w:t>
      </w:r>
      <w:r w:rsidR="00CF5BCE" w:rsidRPr="00C06677">
        <w:t>defined</w:t>
      </w:r>
      <w:r w:rsidR="00EA7BC7" w:rsidRPr="00C06677">
        <w:t xml:space="preserve">) </w:t>
      </w:r>
      <w:r w:rsidR="0093082E" w:rsidRPr="00C06677">
        <w:t>as a direct measure of drift rate</w:t>
      </w:r>
      <w:r w:rsidR="00065D8F" w:rsidRPr="00C06677">
        <w:t>. By doing so, the RRW is much more constrained tha</w:t>
      </w:r>
      <w:r w:rsidR="000A35FF" w:rsidRPr="00C06677">
        <w:t>n</w:t>
      </w:r>
      <w:r w:rsidR="00065D8F" w:rsidRPr="00C06677">
        <w:t xml:space="preserve"> traditional SSPs. The RRW</w:t>
      </w:r>
      <w:r w:rsidR="0093082E" w:rsidRPr="00C06677">
        <w:t xml:space="preserve"> simultaneously predict</w:t>
      </w:r>
      <w:r w:rsidR="00065D8F" w:rsidRPr="00C06677">
        <w:t>s</w:t>
      </w:r>
      <w:r w:rsidR="0093082E" w:rsidRPr="00C06677">
        <w:t xml:space="preserve"> </w:t>
      </w:r>
      <w:r w:rsidR="0093082E" w:rsidRPr="00C06677">
        <w:rPr>
          <w:i/>
          <w:iCs/>
        </w:rPr>
        <w:t>p</w:t>
      </w:r>
      <w:r w:rsidR="0093082E" w:rsidRPr="00C06677">
        <w:t>(HOV), the RT to select the higher values option (RT</w:t>
      </w:r>
      <w:r w:rsidR="0093082E" w:rsidRPr="00C06677">
        <w:rPr>
          <w:vertAlign w:val="subscript"/>
        </w:rPr>
        <w:t>HVO</w:t>
      </w:r>
      <w:r w:rsidR="0093082E" w:rsidRPr="00C06677">
        <w:t>), and the RT to select the lower valued option (RT</w:t>
      </w:r>
      <w:r w:rsidR="0093082E" w:rsidRPr="00C06677">
        <w:rPr>
          <w:vertAlign w:val="subscript"/>
        </w:rPr>
        <w:t>LVO</w:t>
      </w:r>
      <w:r w:rsidR="0093082E" w:rsidRPr="00C06677">
        <w:t>). The RRW’s only free parameters are non-decision time (</w:t>
      </w:r>
      <w:r w:rsidR="0093082E" w:rsidRPr="00C06677">
        <w:rPr>
          <w:i/>
          <w:iCs/>
        </w:rPr>
        <w:t>T</w:t>
      </w:r>
      <w:r w:rsidR="00DC32A8" w:rsidRPr="00C06677">
        <w:rPr>
          <w:i/>
          <w:iCs/>
          <w:vertAlign w:val="subscript"/>
        </w:rPr>
        <w:t>er</w:t>
      </w:r>
      <w:r w:rsidR="0093082E" w:rsidRPr="00C06677">
        <w:t xml:space="preserve">), response bias parameters (boundary separation and start point), </w:t>
      </w:r>
      <w:r w:rsidR="00065D8F" w:rsidRPr="00841A03">
        <w:t>a</w:t>
      </w:r>
      <w:r w:rsidR="00D573B5" w:rsidRPr="00841A03">
        <w:t>n</w:t>
      </w:r>
      <w:r w:rsidR="00065D8F" w:rsidRPr="00841A03">
        <w:t xml:space="preserve"> </w:t>
      </w:r>
      <w:r w:rsidR="00065D8F" w:rsidRPr="001969F7">
        <w:t>error parameter</w:t>
      </w:r>
      <w:r w:rsidR="00065D8F" w:rsidRPr="00C06677">
        <w:rPr>
          <w:rFonts w:ascii="TimesNewRomanPSMT" w:hAnsi="TimesNewRomanPSMT"/>
        </w:rPr>
        <w:t xml:space="preserve"> (</w:t>
      </w:r>
      <w:r w:rsidR="00E3654C" w:rsidRPr="00C06677">
        <w:rPr>
          <w:rFonts w:ascii="TimesNewRomanPSMT" w:hAnsi="TimesNewRomanPSMT"/>
          <w:i/>
          <w:iCs/>
        </w:rPr>
        <w:t>N</w:t>
      </w:r>
      <w:r w:rsidR="00E3654C" w:rsidRPr="00C06677">
        <w:rPr>
          <w:rFonts w:ascii="TimesNewRomanPSMT" w:hAnsi="TimesNewRomanPSMT"/>
          <w:i/>
          <w:iCs/>
          <w:vertAlign w:val="subscript"/>
        </w:rPr>
        <w:t>SD</w:t>
      </w:r>
      <w:r w:rsidR="00065D8F" w:rsidRPr="00C06677">
        <w:rPr>
          <w:rFonts w:ascii="TimesNewRomanPSMT" w:hAnsi="TimesNewRomanPSMT"/>
        </w:rPr>
        <w:t xml:space="preserve">), </w:t>
      </w:r>
      <w:r w:rsidR="0093082E" w:rsidRPr="00C06677">
        <w:t xml:space="preserve">and </w:t>
      </w:r>
      <w:r w:rsidR="00D573B5" w:rsidRPr="00C06677">
        <w:t>the Information Accrual Bias</w:t>
      </w:r>
      <w:r w:rsidR="00065D8F" w:rsidRPr="00C06677">
        <w:t xml:space="preserve"> </w:t>
      </w:r>
      <w:r w:rsidR="00D573B5" w:rsidRPr="00C06677">
        <w:t>(</w:t>
      </w:r>
      <w:r w:rsidR="00D573B5" w:rsidRPr="00C06677">
        <w:rPr>
          <w:i/>
          <w:iCs/>
        </w:rPr>
        <w:t>IAB</w:t>
      </w:r>
      <w:r w:rsidR="00D573B5" w:rsidRPr="00C06677">
        <w:t>)</w:t>
      </w:r>
      <w:r w:rsidR="00026B97" w:rsidRPr="00C06677">
        <w:t xml:space="preserve">. The </w:t>
      </w:r>
      <w:r w:rsidR="00026B97" w:rsidRPr="00C06677">
        <w:rPr>
          <w:i/>
          <w:iCs/>
        </w:rPr>
        <w:t>IAB</w:t>
      </w:r>
      <w:r w:rsidR="00026B97" w:rsidRPr="00C06677">
        <w:t xml:space="preserve"> is computed from an exponential function that weights the influence of the sample, </w:t>
      </w:r>
      <w:r w:rsidR="00026B97" w:rsidRPr="00C06677">
        <w:rPr>
          <w:i/>
          <w:iCs/>
        </w:rPr>
        <w:t>V</w:t>
      </w:r>
      <w:r w:rsidR="00026B97" w:rsidRPr="00C06677">
        <w:rPr>
          <w:i/>
          <w:iCs/>
          <w:vertAlign w:val="subscript"/>
        </w:rPr>
        <w:t>i</w:t>
      </w:r>
      <w:r w:rsidR="00026B97" w:rsidRPr="00C06677">
        <w:t xml:space="preserve">, by the time since the start of the process (other kinds </w:t>
      </w:r>
      <w:r w:rsidR="007A554F" w:rsidRPr="00C06677">
        <w:t>of</w:t>
      </w:r>
      <w:r w:rsidR="00026B97" w:rsidRPr="00C06677">
        <w:t xml:space="preserve"> weightings have also been discussed, see Ashby</w:t>
      </w:r>
      <w:r w:rsidR="00B00F75">
        <w:t xml:space="preserve"> et al., </w:t>
      </w:r>
      <w:r w:rsidR="00D25E68" w:rsidRPr="00C06677">
        <w:fldChar w:fldCharType="begin"/>
      </w:r>
      <w:r w:rsidR="0019503B">
        <w:instrText xml:space="preserve"> ADDIN EN.CITE &lt;EndNote&gt;&lt;Cite&gt;&lt;Author&gt;Ashby&lt;/Author&gt;&lt;Year&gt;2016&lt;/Year&gt;&lt;RecNum&gt;2407&lt;/RecNum&gt;&lt;DisplayText&gt;2016&lt;/DisplayText&gt;&lt;record&gt;&lt;rec-number&gt;2407&lt;/rec-number&gt;&lt;foreign-keys&gt;&lt;key app="EN" db-id="w0tztzf0h2dft0eaewxxtpr4exwxf90s525w" timestamp="1659025440" guid="145bd3c2-60b2-475a-9c7d-515974dfae83"&gt;2407&lt;/key&gt;&lt;/foreign-keys&gt;&lt;ref-type name="Journal Article"&gt;17&lt;/ref-type&gt;&lt;contributors&gt;&lt;authors&gt;&lt;author&gt;Ashby, F. G.&lt;/author&gt;&lt;author&gt;Jekel, M&lt;/author&gt;&lt;author&gt;Dickert, S&lt;/author&gt;&lt;author&gt;Glöckner, A&lt;/author&gt;&lt;/authors&gt;&lt;/contributors&gt;&lt;titles&gt;&lt;title&gt;Finding the right fit: A comparison of process assumptions underlying popular drift-diffusion models&lt;/title&gt;&lt;secondary-title&gt;Journal of Experimental Psychology: Learning, Memory, and Cognition&lt;/secondary-title&gt;&lt;/titles&gt;&lt;periodical&gt;&lt;full-title&gt;Journal of Experimental Psychology: Learning, Memory, and Cognition&lt;/full-title&gt;&lt;abbr-1&gt;J. Exp. Psychol. Learn. Mem. Cogn.&lt;/abbr-1&gt;&lt;abbr-2&gt;J Exp Psychol Learn Mem Cogn&lt;/abbr-2&gt;&lt;abbr-3&gt;Journal of Experimental Psychology: Learning, Memory, &amp;amp; Cognition&lt;/abbr-3&gt;&lt;/periodical&gt;&lt;pages&gt;19821993&lt;/pages&gt;&lt;volume&gt;42&lt;/volume&gt;&lt;dates&gt;&lt;year&gt;2016&lt;/year&gt;&lt;/dates&gt;&lt;urls&gt;&lt;/urls&gt;&lt;electronic-resource-num&gt;http://dx.doi.org/10.1037/xlm0000279&lt;/electronic-resource-num&gt;&lt;/record&gt;&lt;/Cite&gt;&lt;/EndNote&gt;</w:instrText>
      </w:r>
      <w:r w:rsidR="00D25E68" w:rsidRPr="00C06677">
        <w:fldChar w:fldCharType="separate"/>
      </w:r>
      <w:r w:rsidR="00D25E68" w:rsidRPr="00C06677">
        <w:rPr>
          <w:noProof/>
        </w:rPr>
        <w:t>2016</w:t>
      </w:r>
      <w:r w:rsidR="00D25E68" w:rsidRPr="00C06677">
        <w:fldChar w:fldCharType="end"/>
      </w:r>
      <w:r w:rsidR="00026B97" w:rsidRPr="00C06677">
        <w:t xml:space="preserve">). The function is defined </w:t>
      </w:r>
      <w:r w:rsidR="00437D69" w:rsidRPr="00C06677">
        <w:t>relative to</w:t>
      </w:r>
      <w:r w:rsidR="00026B97" w:rsidRPr="00C06677">
        <w:t xml:space="preserve"> two free parameters </w:t>
      </w:r>
      <w:r w:rsidR="007A554F" w:rsidRPr="00C06677">
        <w:rPr>
          <w:i/>
          <w:iCs/>
        </w:rPr>
        <w:t>d</w:t>
      </w:r>
      <w:r w:rsidR="007A554F" w:rsidRPr="00C06677">
        <w:rPr>
          <w:i/>
          <w:iCs/>
          <w:vertAlign w:val="subscript"/>
        </w:rPr>
        <w:t>A</w:t>
      </w:r>
      <w:r w:rsidR="007A554F" w:rsidRPr="00C06677">
        <w:t xml:space="preserve"> and </w:t>
      </w:r>
      <w:r w:rsidR="007A554F" w:rsidRPr="00C06677">
        <w:rPr>
          <w:i/>
          <w:iCs/>
        </w:rPr>
        <w:t>d</w:t>
      </w:r>
      <w:r w:rsidR="007A554F" w:rsidRPr="00C06677">
        <w:rPr>
          <w:i/>
          <w:iCs/>
          <w:vertAlign w:val="subscript"/>
        </w:rPr>
        <w:t>B</w:t>
      </w:r>
      <w:r w:rsidR="007A554F" w:rsidRPr="00C06677">
        <w:t xml:space="preserve">. </w:t>
      </w:r>
      <w:r w:rsidR="00D573B5" w:rsidRPr="00C06677">
        <w:t xml:space="preserve">Here, we fix </w:t>
      </w:r>
      <w:r w:rsidR="00D573B5" w:rsidRPr="00C06677">
        <w:rPr>
          <w:i/>
          <w:iCs/>
        </w:rPr>
        <w:t>d</w:t>
      </w:r>
      <w:r w:rsidR="00D573B5" w:rsidRPr="00C06677">
        <w:rPr>
          <w:i/>
          <w:iCs/>
          <w:vertAlign w:val="subscript"/>
        </w:rPr>
        <w:t>A</w:t>
      </w:r>
      <w:r w:rsidR="00D573B5" w:rsidRPr="00C06677">
        <w:t xml:space="preserve"> at 0.2 and let </w:t>
      </w:r>
      <w:r w:rsidR="00C634D0" w:rsidRPr="00C06677">
        <w:rPr>
          <w:i/>
          <w:iCs/>
        </w:rPr>
        <w:t>d</w:t>
      </w:r>
      <w:r w:rsidR="00C634D0" w:rsidRPr="00C06677">
        <w:rPr>
          <w:i/>
          <w:iCs/>
          <w:vertAlign w:val="subscript"/>
        </w:rPr>
        <w:t>B</w:t>
      </w:r>
      <w:r w:rsidR="00C634D0" w:rsidRPr="00C06677">
        <w:rPr>
          <w:i/>
          <w:iCs/>
        </w:rPr>
        <w:t xml:space="preserve"> </w:t>
      </w:r>
      <w:r w:rsidR="00C634D0" w:rsidRPr="00C06677">
        <w:t>fit to the data</w:t>
      </w:r>
      <w:r w:rsidR="0093082E" w:rsidRPr="00C06677">
        <w:t xml:space="preserve">. </w:t>
      </w:r>
      <w:r w:rsidR="00472B26">
        <w:t>W</w:t>
      </w:r>
      <w:r w:rsidR="007A554F" w:rsidRPr="00C06677">
        <w:t xml:space="preserve">hen </w:t>
      </w:r>
      <w:r w:rsidR="007A554F" w:rsidRPr="00C06677">
        <w:rPr>
          <w:i/>
          <w:iCs/>
        </w:rPr>
        <w:t>d</w:t>
      </w:r>
      <w:r w:rsidR="007A554F" w:rsidRPr="00C06677">
        <w:rPr>
          <w:i/>
          <w:iCs/>
          <w:vertAlign w:val="subscript"/>
        </w:rPr>
        <w:t>A</w:t>
      </w:r>
      <w:r w:rsidR="007A554F" w:rsidRPr="00C06677">
        <w:t xml:space="preserve"> is fixed and </w:t>
      </w:r>
      <w:r w:rsidR="007A554F" w:rsidRPr="00C06677">
        <w:rPr>
          <w:i/>
          <w:iCs/>
        </w:rPr>
        <w:t>d</w:t>
      </w:r>
      <w:r w:rsidR="007A554F" w:rsidRPr="00C06677">
        <w:rPr>
          <w:i/>
          <w:iCs/>
          <w:vertAlign w:val="subscript"/>
        </w:rPr>
        <w:t>B</w:t>
      </w:r>
      <w:r w:rsidR="007A554F" w:rsidRPr="00C06677">
        <w:t xml:space="preserve"> is positive, </w:t>
      </w:r>
      <w:r w:rsidR="005F1D7E" w:rsidRPr="00C06677">
        <w:t>this</w:t>
      </w:r>
      <w:r w:rsidR="007A554F" w:rsidRPr="00C06677">
        <w:t xml:space="preserve"> indicates that perceptually recent information carries more decisional weight than perceptually distant information.  </w:t>
      </w:r>
    </w:p>
    <w:p w14:paraId="0FBB8F0C" w14:textId="77777777" w:rsidR="0031439F" w:rsidRPr="00C06677" w:rsidRDefault="00574015" w:rsidP="0044506D">
      <w:pPr>
        <w:keepNext/>
        <w:spacing w:line="480" w:lineRule="auto"/>
        <w:outlineLvl w:val="0"/>
      </w:pPr>
      <w:r w:rsidRPr="00C06677">
        <w:tab/>
      </w:r>
      <w:r w:rsidR="0093082E" w:rsidRPr="00C06677">
        <w:t xml:space="preserve"> </w:t>
      </w:r>
      <w:r w:rsidR="0031439F" w:rsidRPr="00C06677">
        <w:t xml:space="preserve">We compared the performance of four models.  </w:t>
      </w:r>
    </w:p>
    <w:p w14:paraId="05D28A67" w14:textId="1645C05F" w:rsidR="0031439F" w:rsidRPr="00841A03" w:rsidRDefault="0031439F" w:rsidP="00A34739">
      <w:pPr>
        <w:pStyle w:val="ListParagraph"/>
        <w:keepNext/>
        <w:numPr>
          <w:ilvl w:val="0"/>
          <w:numId w:val="5"/>
        </w:numPr>
        <w:spacing w:line="480" w:lineRule="auto"/>
        <w:outlineLvl w:val="0"/>
      </w:pPr>
      <w:r w:rsidRPr="00841A03">
        <w:t xml:space="preserve">The </w:t>
      </w:r>
      <w:r w:rsidRPr="00841A03">
        <w:rPr>
          <w:i/>
          <w:iCs/>
        </w:rPr>
        <w:t>Simple Model</w:t>
      </w:r>
      <w:r w:rsidRPr="00841A03">
        <w:t xml:space="preserve">, which assumed no response bias and accurate value estimates. This model had </w:t>
      </w:r>
      <w:r w:rsidR="00EB7739">
        <w:t>four</w:t>
      </w:r>
      <w:r w:rsidR="00EB7739" w:rsidRPr="00841A03">
        <w:t xml:space="preserve"> </w:t>
      </w:r>
      <w:r w:rsidRPr="00841A03">
        <w:t>free parameters: boundary position (</w:t>
      </w:r>
      <w:r w:rsidRPr="00841A03">
        <w:rPr>
          <w:i/>
          <w:iCs/>
        </w:rPr>
        <w:t>b</w:t>
      </w:r>
      <w:r w:rsidRPr="00841A03">
        <w:t>), non-decision time (</w:t>
      </w:r>
      <w:r w:rsidRPr="00841A03">
        <w:rPr>
          <w:i/>
          <w:iCs/>
        </w:rPr>
        <w:t>T</w:t>
      </w:r>
      <w:r w:rsidRPr="00841A03">
        <w:rPr>
          <w:i/>
          <w:iCs/>
          <w:vertAlign w:val="subscript"/>
        </w:rPr>
        <w:t>er</w:t>
      </w:r>
      <w:r w:rsidR="00A34739" w:rsidRPr="00841A03">
        <w:rPr>
          <w:vertAlign w:val="subscript"/>
        </w:rPr>
        <w:t>:</w:t>
      </w:r>
      <w:r w:rsidR="00A34739" w:rsidRPr="00841A03">
        <w:t xml:space="preserve"> this parameter </w:t>
      </w:r>
      <w:r w:rsidR="00A34739" w:rsidRPr="001969F7">
        <w:t>is essentially an intercept term and accounts for the cumulative time of processes not associated with Overlap, such as encoding time, motor response time, etc.</w:t>
      </w:r>
      <w:r w:rsidRPr="00841A03">
        <w:t xml:space="preserve">), </w:t>
      </w:r>
      <w:r w:rsidR="00D573B5" w:rsidRPr="00841A03">
        <w:lastRenderedPageBreak/>
        <w:t xml:space="preserve">an </w:t>
      </w:r>
      <w:r w:rsidR="00D573B5" w:rsidRPr="001969F7">
        <w:t xml:space="preserve">error parameter </w:t>
      </w:r>
      <w:r w:rsidR="00D573B5" w:rsidRPr="001969F7">
        <w:rPr>
          <w:i/>
          <w:iCs/>
        </w:rPr>
        <w:t>s</w:t>
      </w:r>
      <w:r w:rsidR="00D573B5" w:rsidRPr="001969F7">
        <w:t xml:space="preserve"> that adds noise to the samples (</w:t>
      </w:r>
      <w:r w:rsidR="00C1340A" w:rsidRPr="001969F7">
        <w:rPr>
          <w:i/>
          <w:iCs/>
        </w:rPr>
        <w:t>N</w:t>
      </w:r>
      <w:r w:rsidR="00C1340A" w:rsidRPr="001969F7">
        <w:rPr>
          <w:i/>
          <w:iCs/>
          <w:vertAlign w:val="subscript"/>
        </w:rPr>
        <w:t>SD</w:t>
      </w:r>
      <w:r w:rsidR="00D573B5" w:rsidRPr="001969F7">
        <w:t xml:space="preserve">), </w:t>
      </w:r>
      <w:r w:rsidRPr="00841A03">
        <w:t xml:space="preserve">and the recency influence of information as captured by the </w:t>
      </w:r>
      <w:r w:rsidRPr="00841A03">
        <w:rPr>
          <w:i/>
          <w:iCs/>
        </w:rPr>
        <w:t>d</w:t>
      </w:r>
      <w:r w:rsidRPr="00841A03">
        <w:rPr>
          <w:i/>
          <w:iCs/>
          <w:vertAlign w:val="subscript"/>
        </w:rPr>
        <w:t>B</w:t>
      </w:r>
      <w:r w:rsidRPr="00841A03">
        <w:t xml:space="preserve"> paramete</w:t>
      </w:r>
      <w:r w:rsidR="00A34739" w:rsidRPr="001969F7">
        <w:t>r</w:t>
      </w:r>
      <w:r w:rsidR="00065D8F" w:rsidRPr="001969F7">
        <w:t>.</w:t>
      </w:r>
    </w:p>
    <w:p w14:paraId="0E142839" w14:textId="0B39AAD0" w:rsidR="00260058" w:rsidRPr="00C06677" w:rsidRDefault="0031439F" w:rsidP="002D6464">
      <w:pPr>
        <w:pStyle w:val="ListParagraph"/>
        <w:numPr>
          <w:ilvl w:val="0"/>
          <w:numId w:val="5"/>
        </w:numPr>
        <w:spacing w:line="480" w:lineRule="auto"/>
        <w:outlineLvl w:val="0"/>
      </w:pPr>
      <w:r w:rsidRPr="00C06677">
        <w:t xml:space="preserve">The </w:t>
      </w:r>
      <w:r w:rsidRPr="00C06677">
        <w:rPr>
          <w:i/>
          <w:iCs/>
        </w:rPr>
        <w:t>Value Constant Model</w:t>
      </w:r>
      <w:r w:rsidRPr="00C06677">
        <w:t xml:space="preserve">, which assumed no response bias but that the value estimates were all </w:t>
      </w:r>
      <w:r w:rsidR="00220A68">
        <w:t>shifted</w:t>
      </w:r>
      <w:r w:rsidR="00220A68" w:rsidRPr="00C06677">
        <w:t xml:space="preserve"> </w:t>
      </w:r>
      <w:r w:rsidRPr="00C06677">
        <w:t xml:space="preserve">by a constant.  This model was identical to the Simple Model, </w:t>
      </w:r>
      <w:r w:rsidR="002B4072" w:rsidRPr="00C06677">
        <w:t xml:space="preserve">with the exception that </w:t>
      </w:r>
      <w:r w:rsidR="00256054" w:rsidRPr="00C06677">
        <w:t>there was an</w:t>
      </w:r>
      <w:r w:rsidRPr="00C06677">
        <w:t xml:space="preserve"> added free parameter </w:t>
      </w:r>
      <w:r w:rsidR="00E64AE5" w:rsidRPr="00C06677">
        <w:t>(</w:t>
      </w:r>
      <w:r w:rsidR="00256054" w:rsidRPr="00C06677">
        <w:t xml:space="preserve">i.e., </w:t>
      </w:r>
      <w:r w:rsidR="00E64AE5" w:rsidRPr="00C06677">
        <w:rPr>
          <w:i/>
          <w:iCs/>
        </w:rPr>
        <w:t>vc</w:t>
      </w:r>
      <w:r w:rsidR="00E64AE5" w:rsidRPr="00C06677">
        <w:t xml:space="preserve">) </w:t>
      </w:r>
      <w:r w:rsidRPr="00C06677">
        <w:t xml:space="preserve">that adjusted the separation of </w:t>
      </w:r>
      <w:r w:rsidR="009E2827" w:rsidRPr="00C06677">
        <w:t>the pair-wise</w:t>
      </w:r>
      <w:r w:rsidRPr="00C06677">
        <w:t xml:space="preserve"> </w:t>
      </w:r>
      <w:r w:rsidR="002B4072" w:rsidRPr="00C06677">
        <w:t xml:space="preserve">overlaps by </w:t>
      </w:r>
      <w:r w:rsidR="00256054" w:rsidRPr="00C06677">
        <w:t xml:space="preserve">a </w:t>
      </w:r>
      <w:r w:rsidR="002B4072" w:rsidRPr="00C06677">
        <w:t xml:space="preserve">constant. </w:t>
      </w:r>
    </w:p>
    <w:p w14:paraId="229C954C" w14:textId="0EB2885B" w:rsidR="002B4072" w:rsidRPr="00C06677" w:rsidRDefault="002B4072" w:rsidP="002D6464">
      <w:pPr>
        <w:pStyle w:val="ListParagraph"/>
        <w:numPr>
          <w:ilvl w:val="0"/>
          <w:numId w:val="5"/>
        </w:numPr>
        <w:spacing w:line="480" w:lineRule="auto"/>
        <w:outlineLvl w:val="0"/>
      </w:pPr>
      <w:r w:rsidRPr="00C06677">
        <w:t xml:space="preserve">The </w:t>
      </w:r>
      <w:r w:rsidRPr="00C06677">
        <w:rPr>
          <w:i/>
          <w:iCs/>
        </w:rPr>
        <w:t>Side Bias Model</w:t>
      </w:r>
      <w:r w:rsidRPr="00C06677">
        <w:t xml:space="preserve">, which assessed for a response bias such that participants preferred the item on the left or right side of the display.  This model was identical to the Simple Model, with the exception that it added a free parameter to capture the shift in the start point toward the item on the preferred side.  This was implemented by dividing </w:t>
      </w:r>
      <w:r w:rsidRPr="001969F7">
        <w:t xml:space="preserve">the data into two trial types: scenarios in which the </w:t>
      </w:r>
      <w:r w:rsidR="00EB7739">
        <w:t xml:space="preserve">LVO </w:t>
      </w:r>
      <w:r w:rsidRPr="001969F7">
        <w:t>was on the left (</w:t>
      </w:r>
      <w:r w:rsidR="00710792" w:rsidRPr="001969F7">
        <w:t>Left</w:t>
      </w:r>
      <w:r w:rsidRPr="001969F7">
        <w:rPr>
          <w:vertAlign w:val="subscript"/>
        </w:rPr>
        <w:t>LVO</w:t>
      </w:r>
      <w:r w:rsidRPr="001969F7">
        <w:t xml:space="preserve">) and scenarios in which the </w:t>
      </w:r>
      <w:r w:rsidR="00EB7739">
        <w:t>HVO</w:t>
      </w:r>
      <w:r w:rsidRPr="001969F7">
        <w:t xml:space="preserve"> was on the left (</w:t>
      </w:r>
      <w:r w:rsidR="00710792" w:rsidRPr="001969F7">
        <w:t>Left</w:t>
      </w:r>
      <w:r w:rsidR="00710792" w:rsidRPr="001969F7">
        <w:rPr>
          <w:vertAlign w:val="subscript"/>
        </w:rPr>
        <w:t>HVO</w:t>
      </w:r>
      <w:r w:rsidRPr="001969F7">
        <w:t xml:space="preserve">). Within the context of the RRW, a bias toward the </w:t>
      </w:r>
      <w:r w:rsidRPr="001969F7">
        <w:rPr>
          <w:rFonts w:hint="eastAsia"/>
        </w:rPr>
        <w:t>“</w:t>
      </w:r>
      <w:r w:rsidRPr="001969F7">
        <w:t>Item on the Right</w:t>
      </w:r>
      <w:r w:rsidRPr="001969F7">
        <w:rPr>
          <w:rFonts w:hint="eastAsia"/>
        </w:rPr>
        <w:t>”</w:t>
      </w:r>
      <w:r w:rsidRPr="001969F7">
        <w:t xml:space="preserve"> translates into a positive bias in the </w:t>
      </w:r>
      <w:r w:rsidR="000930CB" w:rsidRPr="001969F7">
        <w:t>Left</w:t>
      </w:r>
      <w:r w:rsidRPr="001969F7">
        <w:rPr>
          <w:vertAlign w:val="subscript"/>
        </w:rPr>
        <w:t>LVO</w:t>
      </w:r>
      <w:r w:rsidRPr="001969F7">
        <w:t xml:space="preserve"> trials and an equal but negative bias in the </w:t>
      </w:r>
      <w:r w:rsidR="000930CB" w:rsidRPr="001969F7">
        <w:t>Left</w:t>
      </w:r>
      <w:r w:rsidRPr="001969F7">
        <w:rPr>
          <w:vertAlign w:val="subscript"/>
        </w:rPr>
        <w:t>HVO</w:t>
      </w:r>
      <w:r w:rsidRPr="001969F7">
        <w:t xml:space="preserve"> trials. To model this, we effect code the </w:t>
      </w:r>
      <w:r w:rsidR="000930CB" w:rsidRPr="001969F7">
        <w:t>Left</w:t>
      </w:r>
      <w:r w:rsidR="000930CB" w:rsidRPr="001969F7">
        <w:rPr>
          <w:vertAlign w:val="subscript"/>
        </w:rPr>
        <w:t>LVO</w:t>
      </w:r>
      <w:r w:rsidR="000930CB" w:rsidRPr="001969F7">
        <w:t xml:space="preserve"> </w:t>
      </w:r>
      <w:r w:rsidRPr="001969F7">
        <w:t xml:space="preserve">condition as 1 and the </w:t>
      </w:r>
      <w:r w:rsidR="000930CB" w:rsidRPr="001969F7">
        <w:t>Left</w:t>
      </w:r>
      <w:r w:rsidR="000930CB" w:rsidRPr="001969F7">
        <w:rPr>
          <w:vertAlign w:val="subscript"/>
        </w:rPr>
        <w:t>HVO</w:t>
      </w:r>
      <w:r w:rsidR="000930CB" w:rsidRPr="001969F7">
        <w:t xml:space="preserve"> </w:t>
      </w:r>
      <w:r w:rsidRPr="001969F7">
        <w:t xml:space="preserve">condition as -1. This effect coding is multiplied by the </w:t>
      </w:r>
      <w:r w:rsidRPr="001969F7">
        <w:rPr>
          <w:i/>
          <w:iCs/>
        </w:rPr>
        <w:t xml:space="preserve">start point </w:t>
      </w:r>
      <w:r w:rsidRPr="001969F7">
        <w:t>parameter which then varies the start point as a symmetric positive/negative effect around a zero start point for the two trial types.</w:t>
      </w:r>
      <w:r w:rsidRPr="00C06677">
        <w:rPr>
          <w:rFonts w:ascii="TimesNewRomanPSMT" w:hAnsi="TimesNewRomanPSMT"/>
        </w:rPr>
        <w:t xml:space="preserve"> </w:t>
      </w:r>
    </w:p>
    <w:p w14:paraId="0F5BB3B5" w14:textId="77777777" w:rsidR="00737FBA" w:rsidRPr="00C06677" w:rsidRDefault="00E64AE5" w:rsidP="002D6464">
      <w:pPr>
        <w:pStyle w:val="ListParagraph"/>
        <w:numPr>
          <w:ilvl w:val="0"/>
          <w:numId w:val="5"/>
        </w:numPr>
        <w:spacing w:line="480" w:lineRule="auto"/>
        <w:outlineLvl w:val="0"/>
      </w:pPr>
      <w:r w:rsidRPr="00C06677">
        <w:t xml:space="preserve">The </w:t>
      </w:r>
      <w:r w:rsidRPr="00C06677">
        <w:rPr>
          <w:i/>
          <w:iCs/>
        </w:rPr>
        <w:t>Value Constant + Side Bias Model</w:t>
      </w:r>
      <w:r w:rsidRPr="00C06677">
        <w:t xml:space="preserve"> added both a value constant and a response bias. This model was identical to the Simple Model, with the exception that it added both the value constant and response bias parameters.</w:t>
      </w:r>
    </w:p>
    <w:p w14:paraId="07C7F29D" w14:textId="2D03ED0E" w:rsidR="004C5AE1" w:rsidRPr="001969F7" w:rsidRDefault="00737FBA" w:rsidP="004C5AE1">
      <w:pPr>
        <w:keepNext/>
        <w:spacing w:line="480" w:lineRule="auto"/>
        <w:outlineLvl w:val="0"/>
      </w:pPr>
      <w:r w:rsidRPr="001969F7">
        <w:lastRenderedPageBreak/>
        <w:t>In addition to the free parameters described in the</w:t>
      </w:r>
      <w:r w:rsidR="00220A68">
        <w:t>se</w:t>
      </w:r>
      <w:r w:rsidRPr="001969F7">
        <w:t xml:space="preserve"> models, the RRW was r</w:t>
      </w:r>
      <w:r w:rsidR="00437D69" w:rsidRPr="001969F7">
        <w:t>u</w:t>
      </w:r>
      <w:r w:rsidRPr="001969F7">
        <w:t xml:space="preserve">n with the </w:t>
      </w:r>
      <w:r w:rsidRPr="001969F7">
        <w:rPr>
          <w:i/>
          <w:iCs/>
        </w:rPr>
        <w:t>d</w:t>
      </w:r>
      <w:r w:rsidRPr="001969F7">
        <w:rPr>
          <w:i/>
          <w:iCs/>
          <w:position w:val="-2"/>
          <w:sz w:val="16"/>
          <w:szCs w:val="16"/>
        </w:rPr>
        <w:t xml:space="preserve">A </w:t>
      </w:r>
      <w:r w:rsidRPr="001969F7">
        <w:t>parameter fixed at 0.2, and all other parameters fixed at 0.</w:t>
      </w:r>
      <w:r w:rsidR="000E0A62" w:rsidRPr="001969F7">
        <w:t xml:space="preserve"> We used our own Smart Grid Search algorithm to optimize the parameters (</w:t>
      </w:r>
      <w:r w:rsidR="00B77478" w:rsidRPr="001969F7">
        <w:t xml:space="preserve">for details, </w:t>
      </w:r>
      <w:r w:rsidR="000E0A62" w:rsidRPr="001969F7">
        <w:t>see Cohen et al.,</w:t>
      </w:r>
      <w:r w:rsidR="004A31B6" w:rsidRPr="001969F7">
        <w:t xml:space="preserve"> </w:t>
      </w:r>
      <w:r w:rsidR="00A476B9" w:rsidRPr="001969F7">
        <w:t>2021</w:t>
      </w:r>
      <w:r w:rsidR="000E0A62" w:rsidRPr="001969F7">
        <w:t xml:space="preserve">). </w:t>
      </w:r>
    </w:p>
    <w:p w14:paraId="165CB896" w14:textId="08A2A5F0" w:rsidR="004C5AE1" w:rsidRDefault="004C5AE1" w:rsidP="004C5AE1">
      <w:pPr>
        <w:keepNext/>
        <w:spacing w:line="480" w:lineRule="auto"/>
        <w:ind w:firstLine="720"/>
        <w:outlineLvl w:val="0"/>
        <w:rPr>
          <w:rFonts w:ascii="TimesNewRomanPSMT" w:hAnsi="TimesNewRomanPSMT"/>
        </w:rPr>
      </w:pPr>
      <w:r w:rsidRPr="001969F7">
        <w:t xml:space="preserve">Before fitting the models, we collapsed across participants to get stable estimates of RT and </w:t>
      </w:r>
      <w:r w:rsidRPr="001969F7">
        <w:rPr>
          <w:i/>
          <w:iCs/>
        </w:rPr>
        <w:t>p</w:t>
      </w:r>
      <w:r w:rsidRPr="001969F7">
        <w:t>(HVO) per Overlap x Boundary Crossed x Bias Effect Code combination. We had very few LVO choices for some low overlap (high accuracy) trials. To remove unstable estimates, we excluded conditions that had fewer than 40 trials.  The RRW is stochastic</w:t>
      </w:r>
      <w:r w:rsidR="00A37647" w:rsidRPr="001969F7">
        <w:t xml:space="preserve">, hence different runs of the model will eventuate in </w:t>
      </w:r>
      <w:r w:rsidRPr="001969F7">
        <w:t xml:space="preserve">slightly different fits. To quantify the variability of the fits with a single set of parameters, we ran the best fit model </w:t>
      </w:r>
      <w:r w:rsidR="00D77DDC" w:rsidRPr="001969F7">
        <w:t>4</w:t>
      </w:r>
      <w:r w:rsidRPr="001969F7">
        <w:t>0 times</w:t>
      </w:r>
      <w:r w:rsidR="00A37647" w:rsidRPr="001969F7">
        <w:t xml:space="preserve"> and</w:t>
      </w:r>
      <w:r w:rsidRPr="001969F7">
        <w:t xml:space="preserve"> calculated the average predicted RT and </w:t>
      </w:r>
      <w:r w:rsidRPr="001969F7">
        <w:rPr>
          <w:i/>
          <w:iCs/>
        </w:rPr>
        <w:t>p</w:t>
      </w:r>
      <w:r w:rsidRPr="001969F7">
        <w:t>(HVO) for each Overlap</w:t>
      </w:r>
      <w:r w:rsidR="0024042C" w:rsidRPr="001969F7">
        <w:t xml:space="preserve"> together with</w:t>
      </w:r>
      <w:r w:rsidRPr="001969F7">
        <w:t xml:space="preserve"> the </w:t>
      </w:r>
      <w:r w:rsidRPr="001969F7">
        <w:rPr>
          <w:i/>
          <w:iCs/>
        </w:rPr>
        <w:t>r</w:t>
      </w:r>
      <w:r w:rsidRPr="001969F7">
        <w:rPr>
          <w:i/>
          <w:iCs/>
          <w:position w:val="8"/>
          <w:sz w:val="16"/>
          <w:szCs w:val="16"/>
        </w:rPr>
        <w:t>2</w:t>
      </w:r>
      <w:r w:rsidRPr="001969F7">
        <w:rPr>
          <w:position w:val="8"/>
          <w:sz w:val="16"/>
          <w:szCs w:val="16"/>
        </w:rPr>
        <w:t xml:space="preserve"> </w:t>
      </w:r>
      <w:r w:rsidRPr="001969F7">
        <w:t xml:space="preserve">and BIC of that average predicted fit. Figure </w:t>
      </w:r>
      <w:r w:rsidR="00D25E68" w:rsidRPr="001969F7">
        <w:t>4</w:t>
      </w:r>
      <w:r w:rsidRPr="001969F7">
        <w:t xml:space="preserve"> </w:t>
      </w:r>
      <w:r w:rsidR="009266BC" w:rsidRPr="001969F7">
        <w:t xml:space="preserve">(right column) </w:t>
      </w:r>
      <w:r w:rsidRPr="001969F7">
        <w:t>presents the data and model fits. We identified the model with the lowest BIC as the best fit model.  If, however, multiple models had essentially equivalent</w:t>
      </w:r>
      <w:r w:rsidRPr="001969F7">
        <w:rPr>
          <w:i/>
          <w:iCs/>
        </w:rPr>
        <w:t xml:space="preserve"> r</w:t>
      </w:r>
      <w:r w:rsidRPr="001969F7">
        <w:rPr>
          <w:i/>
          <w:iCs/>
          <w:position w:val="8"/>
          <w:sz w:val="16"/>
          <w:szCs w:val="16"/>
        </w:rPr>
        <w:t>2</w:t>
      </w:r>
      <w:r w:rsidRPr="001969F7">
        <w:rPr>
          <w:position w:val="8"/>
          <w:sz w:val="16"/>
          <w:szCs w:val="16"/>
        </w:rPr>
        <w:t xml:space="preserve"> </w:t>
      </w:r>
      <w:r w:rsidRPr="001969F7">
        <w:t xml:space="preserve">and BIC values, we favored the simpler model </w:t>
      </w:r>
      <w:r w:rsidR="0024042C" w:rsidRPr="001969F7">
        <w:t>on the basis of parsimony</w:t>
      </w:r>
      <w:r w:rsidRPr="001969F7">
        <w:t>.</w:t>
      </w:r>
      <w:r w:rsidRPr="00C06677">
        <w:rPr>
          <w:rFonts w:ascii="TimesNewRomanPSMT" w:hAnsi="TimesNewRomanPSMT"/>
        </w:rPr>
        <w:t xml:space="preserve"> </w:t>
      </w:r>
    </w:p>
    <w:p w14:paraId="62C49EE2" w14:textId="2268FB4C" w:rsidR="00D64F09" w:rsidRDefault="00D64F09" w:rsidP="00D64F09">
      <w:pPr>
        <w:keepNext/>
        <w:spacing w:line="480" w:lineRule="auto"/>
        <w:outlineLvl w:val="0"/>
        <w:rPr>
          <w:rFonts w:ascii="TimesNewRomanPSMT" w:hAnsi="TimesNewRomanPSMT"/>
        </w:rPr>
      </w:pPr>
    </w:p>
    <w:p w14:paraId="3422023A" w14:textId="77777777" w:rsidR="00D64F09" w:rsidRDefault="00D64F09">
      <w:r>
        <w:br w:type="page"/>
      </w:r>
    </w:p>
    <w:p w14:paraId="00C4A776" w14:textId="23454984" w:rsidR="00D64F09" w:rsidRPr="00C06677" w:rsidRDefault="00D64F09" w:rsidP="00D64F09">
      <w:r w:rsidRPr="00C06677">
        <w:lastRenderedPageBreak/>
        <w:t xml:space="preserve">Table 1: The number of free parameters, </w:t>
      </w:r>
      <w:r w:rsidRPr="001969F7">
        <w:rPr>
          <w:i/>
          <w:iCs/>
        </w:rPr>
        <w:t>r</w:t>
      </w:r>
      <w:r w:rsidRPr="001969F7">
        <w:rPr>
          <w:i/>
          <w:iCs/>
          <w:vertAlign w:val="superscript"/>
        </w:rPr>
        <w:t>2</w:t>
      </w:r>
      <w:r w:rsidRPr="00C06677">
        <w:t>, and BIC for each RRW model fit to the data in Experiments 1-</w:t>
      </w:r>
      <w:r>
        <w:t>4</w:t>
      </w:r>
      <w:r w:rsidRPr="00C06677">
        <w:t>. The last column indicates the model with the best overall fit.</w:t>
      </w:r>
    </w:p>
    <w:p w14:paraId="1359027B" w14:textId="77777777" w:rsidR="00D64F09" w:rsidRPr="00C06677" w:rsidRDefault="00D64F09" w:rsidP="00D64F09"/>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325"/>
        <w:gridCol w:w="1800"/>
        <w:gridCol w:w="990"/>
        <w:gridCol w:w="990"/>
        <w:gridCol w:w="1085"/>
      </w:tblGrid>
      <w:tr w:rsidR="00D64F09" w:rsidRPr="00C06677" w14:paraId="7C601052" w14:textId="77777777" w:rsidTr="00531BD6">
        <w:trPr>
          <w:jc w:val="center"/>
        </w:trPr>
        <w:tc>
          <w:tcPr>
            <w:tcW w:w="8190" w:type="dxa"/>
            <w:gridSpan w:val="5"/>
            <w:tcBorders>
              <w:top w:val="nil"/>
              <w:bottom w:val="nil"/>
            </w:tcBorders>
            <w:vAlign w:val="center"/>
          </w:tcPr>
          <w:p w14:paraId="58C0ED65" w14:textId="77777777" w:rsidR="00D64F09" w:rsidRPr="00C06677" w:rsidRDefault="00D64F09" w:rsidP="00531BD6">
            <w:pPr>
              <w:spacing w:before="120" w:after="120"/>
              <w:jc w:val="center"/>
              <w:rPr>
                <w:color w:val="000000" w:themeColor="text1"/>
              </w:rPr>
            </w:pPr>
            <w:r w:rsidRPr="00C06677">
              <w:rPr>
                <w:color w:val="000000" w:themeColor="text1"/>
              </w:rPr>
              <w:t>Experiment 1</w:t>
            </w:r>
          </w:p>
        </w:tc>
      </w:tr>
      <w:tr w:rsidR="00D64F09" w:rsidRPr="00C06677" w14:paraId="71480513" w14:textId="77777777" w:rsidTr="00531BD6">
        <w:trPr>
          <w:jc w:val="center"/>
        </w:trPr>
        <w:tc>
          <w:tcPr>
            <w:tcW w:w="3325" w:type="dxa"/>
            <w:tcBorders>
              <w:top w:val="nil"/>
            </w:tcBorders>
            <w:vAlign w:val="center"/>
          </w:tcPr>
          <w:p w14:paraId="0C5F0D08" w14:textId="77777777" w:rsidR="00D64F09" w:rsidRPr="00C06677" w:rsidRDefault="00D64F09" w:rsidP="00531BD6">
            <w:pPr>
              <w:jc w:val="center"/>
              <w:rPr>
                <w:color w:val="000000" w:themeColor="text1"/>
              </w:rPr>
            </w:pPr>
            <w:r w:rsidRPr="00C06677">
              <w:rPr>
                <w:color w:val="000000" w:themeColor="text1"/>
              </w:rPr>
              <w:t>Model</w:t>
            </w:r>
          </w:p>
        </w:tc>
        <w:tc>
          <w:tcPr>
            <w:tcW w:w="1800" w:type="dxa"/>
            <w:tcBorders>
              <w:top w:val="nil"/>
            </w:tcBorders>
            <w:vAlign w:val="center"/>
          </w:tcPr>
          <w:p w14:paraId="3583AD78" w14:textId="77777777" w:rsidR="00D64F09" w:rsidRPr="00C06677" w:rsidRDefault="00D64F09" w:rsidP="00531BD6">
            <w:pPr>
              <w:jc w:val="center"/>
              <w:rPr>
                <w:color w:val="000000" w:themeColor="text1"/>
              </w:rPr>
            </w:pPr>
            <w:r w:rsidRPr="00C06677">
              <w:rPr>
                <w:color w:val="000000" w:themeColor="text1"/>
              </w:rPr>
              <w:t>Free Parameters</w:t>
            </w:r>
          </w:p>
        </w:tc>
        <w:tc>
          <w:tcPr>
            <w:tcW w:w="990" w:type="dxa"/>
            <w:tcBorders>
              <w:top w:val="nil"/>
            </w:tcBorders>
            <w:vAlign w:val="center"/>
          </w:tcPr>
          <w:p w14:paraId="17A2ABF7" w14:textId="77777777" w:rsidR="00D64F09" w:rsidRPr="001969F7" w:rsidRDefault="00D64F09" w:rsidP="00531BD6">
            <w:pPr>
              <w:jc w:val="center"/>
              <w:rPr>
                <w:i/>
                <w:iCs/>
                <w:color w:val="000000" w:themeColor="text1"/>
              </w:rPr>
            </w:pPr>
            <w:r w:rsidRPr="001969F7">
              <w:rPr>
                <w:i/>
                <w:iCs/>
                <w:color w:val="000000" w:themeColor="text1"/>
              </w:rPr>
              <w:t>r</w:t>
            </w:r>
            <w:r w:rsidRPr="001969F7">
              <w:rPr>
                <w:i/>
                <w:iCs/>
                <w:color w:val="000000" w:themeColor="text1"/>
                <w:vertAlign w:val="superscript"/>
              </w:rPr>
              <w:t>2</w:t>
            </w:r>
          </w:p>
        </w:tc>
        <w:tc>
          <w:tcPr>
            <w:tcW w:w="990" w:type="dxa"/>
            <w:tcBorders>
              <w:top w:val="nil"/>
            </w:tcBorders>
            <w:vAlign w:val="center"/>
          </w:tcPr>
          <w:p w14:paraId="56ABCE43" w14:textId="77777777" w:rsidR="00D64F09" w:rsidRPr="00C06677" w:rsidRDefault="00D64F09" w:rsidP="00531BD6">
            <w:pPr>
              <w:jc w:val="center"/>
              <w:rPr>
                <w:color w:val="000000" w:themeColor="text1"/>
              </w:rPr>
            </w:pPr>
            <w:r w:rsidRPr="00C06677">
              <w:rPr>
                <w:color w:val="000000" w:themeColor="text1"/>
              </w:rPr>
              <w:t>BIC</w:t>
            </w:r>
          </w:p>
        </w:tc>
        <w:tc>
          <w:tcPr>
            <w:tcW w:w="1085" w:type="dxa"/>
            <w:tcBorders>
              <w:top w:val="nil"/>
            </w:tcBorders>
            <w:vAlign w:val="center"/>
          </w:tcPr>
          <w:p w14:paraId="1814CEA3" w14:textId="77777777" w:rsidR="00D64F09" w:rsidRPr="00C06677" w:rsidRDefault="00D64F09" w:rsidP="00531BD6">
            <w:pPr>
              <w:jc w:val="center"/>
              <w:rPr>
                <w:color w:val="000000" w:themeColor="text1"/>
              </w:rPr>
            </w:pPr>
            <w:r w:rsidRPr="00C06677">
              <w:rPr>
                <w:color w:val="000000" w:themeColor="text1"/>
              </w:rPr>
              <w:t>Best Fit</w:t>
            </w:r>
          </w:p>
        </w:tc>
      </w:tr>
      <w:tr w:rsidR="00D64F09" w:rsidRPr="00C06677" w14:paraId="4A5D0C20" w14:textId="77777777" w:rsidTr="00531BD6">
        <w:trPr>
          <w:jc w:val="center"/>
        </w:trPr>
        <w:tc>
          <w:tcPr>
            <w:tcW w:w="3325" w:type="dxa"/>
            <w:tcBorders>
              <w:bottom w:val="nil"/>
            </w:tcBorders>
            <w:vAlign w:val="center"/>
          </w:tcPr>
          <w:p w14:paraId="72F79D24" w14:textId="77777777" w:rsidR="00D64F09" w:rsidRPr="00C06677" w:rsidRDefault="00D64F09" w:rsidP="00531BD6">
            <w:pPr>
              <w:spacing w:before="120" w:after="120"/>
              <w:jc w:val="right"/>
              <w:rPr>
                <w:color w:val="000000" w:themeColor="text1"/>
              </w:rPr>
            </w:pPr>
            <w:r w:rsidRPr="00C06677">
              <w:rPr>
                <w:color w:val="000000" w:themeColor="text1"/>
              </w:rPr>
              <w:t>Simple</w:t>
            </w:r>
          </w:p>
        </w:tc>
        <w:tc>
          <w:tcPr>
            <w:tcW w:w="1800" w:type="dxa"/>
            <w:tcBorders>
              <w:bottom w:val="nil"/>
            </w:tcBorders>
            <w:vAlign w:val="center"/>
          </w:tcPr>
          <w:p w14:paraId="20545602" w14:textId="77777777" w:rsidR="00D64F09" w:rsidRPr="00C06677" w:rsidRDefault="00D64F09" w:rsidP="00531BD6">
            <w:pPr>
              <w:spacing w:before="120" w:after="120"/>
              <w:jc w:val="center"/>
              <w:rPr>
                <w:color w:val="000000" w:themeColor="text1"/>
              </w:rPr>
            </w:pPr>
            <w:r w:rsidRPr="00C06677">
              <w:rPr>
                <w:color w:val="000000" w:themeColor="text1"/>
              </w:rPr>
              <w:t>4</w:t>
            </w:r>
          </w:p>
        </w:tc>
        <w:tc>
          <w:tcPr>
            <w:tcW w:w="990" w:type="dxa"/>
            <w:tcBorders>
              <w:bottom w:val="nil"/>
            </w:tcBorders>
            <w:vAlign w:val="center"/>
          </w:tcPr>
          <w:p w14:paraId="5E743BCE" w14:textId="77777777" w:rsidR="00D64F09" w:rsidRPr="00C06677" w:rsidRDefault="00D64F09" w:rsidP="00531BD6">
            <w:pPr>
              <w:spacing w:before="120" w:after="120"/>
              <w:jc w:val="center"/>
              <w:rPr>
                <w:color w:val="000000" w:themeColor="text1"/>
              </w:rPr>
            </w:pPr>
            <w:r w:rsidRPr="00C06677">
              <w:rPr>
                <w:color w:val="000000" w:themeColor="text1"/>
              </w:rPr>
              <w:t>0.92</w:t>
            </w:r>
          </w:p>
        </w:tc>
        <w:tc>
          <w:tcPr>
            <w:tcW w:w="990" w:type="dxa"/>
            <w:tcBorders>
              <w:bottom w:val="nil"/>
            </w:tcBorders>
            <w:vAlign w:val="center"/>
          </w:tcPr>
          <w:p w14:paraId="2C2726B4" w14:textId="77777777" w:rsidR="00D64F09" w:rsidRPr="00C06677" w:rsidRDefault="00D64F09" w:rsidP="00531BD6">
            <w:pPr>
              <w:spacing w:before="120" w:after="120"/>
              <w:jc w:val="center"/>
              <w:rPr>
                <w:color w:val="000000" w:themeColor="text1"/>
              </w:rPr>
            </w:pPr>
            <w:r w:rsidRPr="00C06677">
              <w:rPr>
                <w:color w:val="000000" w:themeColor="text1"/>
              </w:rPr>
              <w:t>-155</w:t>
            </w:r>
          </w:p>
        </w:tc>
        <w:tc>
          <w:tcPr>
            <w:tcW w:w="1085" w:type="dxa"/>
            <w:tcBorders>
              <w:bottom w:val="nil"/>
            </w:tcBorders>
            <w:vAlign w:val="center"/>
          </w:tcPr>
          <w:p w14:paraId="75048B33" w14:textId="77777777" w:rsidR="00D64F09" w:rsidRPr="00C06677" w:rsidRDefault="00D64F09" w:rsidP="00531BD6">
            <w:pPr>
              <w:spacing w:before="120" w:after="120"/>
              <w:jc w:val="center"/>
              <w:rPr>
                <w:color w:val="000000" w:themeColor="text1"/>
              </w:rPr>
            </w:pPr>
          </w:p>
        </w:tc>
      </w:tr>
      <w:tr w:rsidR="00D64F09" w:rsidRPr="00C06677" w14:paraId="442AA542" w14:textId="77777777" w:rsidTr="00531BD6">
        <w:trPr>
          <w:jc w:val="center"/>
        </w:trPr>
        <w:tc>
          <w:tcPr>
            <w:tcW w:w="3325" w:type="dxa"/>
            <w:tcBorders>
              <w:top w:val="nil"/>
              <w:bottom w:val="nil"/>
            </w:tcBorders>
            <w:vAlign w:val="center"/>
          </w:tcPr>
          <w:p w14:paraId="6EA71757" w14:textId="77777777" w:rsidR="00D64F09" w:rsidRPr="00C06677" w:rsidRDefault="00D64F09" w:rsidP="00531BD6">
            <w:pPr>
              <w:spacing w:before="120" w:after="120"/>
              <w:jc w:val="right"/>
              <w:rPr>
                <w:color w:val="000000" w:themeColor="text1"/>
              </w:rPr>
            </w:pPr>
            <w:r w:rsidRPr="00C06677">
              <w:rPr>
                <w:color w:val="000000" w:themeColor="text1"/>
              </w:rPr>
              <w:t>Value Constant</w:t>
            </w:r>
          </w:p>
        </w:tc>
        <w:tc>
          <w:tcPr>
            <w:tcW w:w="1800" w:type="dxa"/>
            <w:tcBorders>
              <w:top w:val="nil"/>
              <w:bottom w:val="nil"/>
            </w:tcBorders>
            <w:vAlign w:val="center"/>
          </w:tcPr>
          <w:p w14:paraId="1B375E24" w14:textId="77777777" w:rsidR="00D64F09" w:rsidRPr="00C06677" w:rsidRDefault="00D64F09" w:rsidP="00531BD6">
            <w:pPr>
              <w:spacing w:before="120" w:after="120"/>
              <w:jc w:val="center"/>
              <w:rPr>
                <w:color w:val="000000" w:themeColor="text1"/>
              </w:rPr>
            </w:pPr>
            <w:r w:rsidRPr="00C06677">
              <w:rPr>
                <w:color w:val="000000" w:themeColor="text1"/>
              </w:rPr>
              <w:t>5</w:t>
            </w:r>
          </w:p>
        </w:tc>
        <w:tc>
          <w:tcPr>
            <w:tcW w:w="990" w:type="dxa"/>
            <w:tcBorders>
              <w:top w:val="nil"/>
              <w:bottom w:val="nil"/>
            </w:tcBorders>
            <w:vAlign w:val="center"/>
          </w:tcPr>
          <w:p w14:paraId="36235688" w14:textId="77777777" w:rsidR="00D64F09" w:rsidRPr="00C06677" w:rsidRDefault="00D64F09" w:rsidP="00531BD6">
            <w:pPr>
              <w:spacing w:before="120" w:after="120"/>
              <w:jc w:val="center"/>
              <w:rPr>
                <w:color w:val="000000" w:themeColor="text1"/>
              </w:rPr>
            </w:pPr>
            <w:r w:rsidRPr="00C06677">
              <w:rPr>
                <w:color w:val="000000" w:themeColor="text1"/>
              </w:rPr>
              <w:t>0.93</w:t>
            </w:r>
          </w:p>
        </w:tc>
        <w:tc>
          <w:tcPr>
            <w:tcW w:w="990" w:type="dxa"/>
            <w:tcBorders>
              <w:top w:val="nil"/>
              <w:bottom w:val="nil"/>
            </w:tcBorders>
            <w:vAlign w:val="center"/>
          </w:tcPr>
          <w:p w14:paraId="04BB75E1" w14:textId="77777777" w:rsidR="00D64F09" w:rsidRPr="00C06677" w:rsidRDefault="00D64F09" w:rsidP="00531BD6">
            <w:pPr>
              <w:spacing w:before="120" w:after="120"/>
              <w:jc w:val="center"/>
              <w:rPr>
                <w:color w:val="000000" w:themeColor="text1"/>
              </w:rPr>
            </w:pPr>
            <w:r w:rsidRPr="00C06677">
              <w:rPr>
                <w:color w:val="000000" w:themeColor="text1"/>
              </w:rPr>
              <w:t>-158</w:t>
            </w:r>
          </w:p>
        </w:tc>
        <w:tc>
          <w:tcPr>
            <w:tcW w:w="1085" w:type="dxa"/>
            <w:tcBorders>
              <w:top w:val="nil"/>
              <w:bottom w:val="nil"/>
            </w:tcBorders>
            <w:vAlign w:val="center"/>
          </w:tcPr>
          <w:p w14:paraId="26A5DD61" w14:textId="77777777" w:rsidR="00D64F09" w:rsidRPr="00C06677" w:rsidRDefault="00D64F09" w:rsidP="00531BD6">
            <w:pPr>
              <w:spacing w:before="120" w:after="120"/>
              <w:jc w:val="center"/>
              <w:rPr>
                <w:color w:val="000000" w:themeColor="text1"/>
              </w:rPr>
            </w:pPr>
          </w:p>
        </w:tc>
      </w:tr>
      <w:tr w:rsidR="00D64F09" w:rsidRPr="00C06677" w14:paraId="0418320A" w14:textId="77777777" w:rsidTr="00531BD6">
        <w:trPr>
          <w:jc w:val="center"/>
        </w:trPr>
        <w:tc>
          <w:tcPr>
            <w:tcW w:w="3325" w:type="dxa"/>
            <w:tcBorders>
              <w:top w:val="nil"/>
              <w:bottom w:val="nil"/>
            </w:tcBorders>
            <w:vAlign w:val="center"/>
          </w:tcPr>
          <w:p w14:paraId="3312B8B5" w14:textId="77777777" w:rsidR="00D64F09" w:rsidRPr="00C06677" w:rsidRDefault="00D64F09" w:rsidP="00531BD6">
            <w:pPr>
              <w:spacing w:before="120" w:after="120"/>
              <w:jc w:val="right"/>
              <w:rPr>
                <w:color w:val="000000" w:themeColor="text1"/>
              </w:rPr>
            </w:pPr>
            <w:r w:rsidRPr="00C06677">
              <w:rPr>
                <w:color w:val="000000" w:themeColor="text1"/>
              </w:rPr>
              <w:t>Side Bias</w:t>
            </w:r>
          </w:p>
        </w:tc>
        <w:tc>
          <w:tcPr>
            <w:tcW w:w="1800" w:type="dxa"/>
            <w:tcBorders>
              <w:top w:val="nil"/>
              <w:bottom w:val="nil"/>
            </w:tcBorders>
            <w:vAlign w:val="center"/>
          </w:tcPr>
          <w:p w14:paraId="7044C886" w14:textId="77777777" w:rsidR="00D64F09" w:rsidRPr="00C06677" w:rsidRDefault="00D64F09" w:rsidP="00531BD6">
            <w:pPr>
              <w:spacing w:before="120" w:after="120"/>
              <w:jc w:val="center"/>
              <w:rPr>
                <w:color w:val="000000" w:themeColor="text1"/>
              </w:rPr>
            </w:pPr>
            <w:r w:rsidRPr="00C06677">
              <w:rPr>
                <w:color w:val="000000" w:themeColor="text1"/>
              </w:rPr>
              <w:t>5</w:t>
            </w:r>
          </w:p>
        </w:tc>
        <w:tc>
          <w:tcPr>
            <w:tcW w:w="990" w:type="dxa"/>
            <w:tcBorders>
              <w:top w:val="nil"/>
              <w:bottom w:val="nil"/>
            </w:tcBorders>
            <w:vAlign w:val="center"/>
          </w:tcPr>
          <w:p w14:paraId="19CDB58B" w14:textId="77777777" w:rsidR="00D64F09" w:rsidRPr="00C06677" w:rsidRDefault="00D64F09" w:rsidP="00531BD6">
            <w:pPr>
              <w:spacing w:before="120" w:after="120"/>
              <w:jc w:val="center"/>
              <w:rPr>
                <w:color w:val="000000" w:themeColor="text1"/>
              </w:rPr>
            </w:pPr>
            <w:r w:rsidRPr="00C06677">
              <w:rPr>
                <w:color w:val="000000" w:themeColor="text1"/>
              </w:rPr>
              <w:t>0.92</w:t>
            </w:r>
          </w:p>
        </w:tc>
        <w:tc>
          <w:tcPr>
            <w:tcW w:w="990" w:type="dxa"/>
            <w:tcBorders>
              <w:top w:val="nil"/>
              <w:bottom w:val="nil"/>
            </w:tcBorders>
            <w:vAlign w:val="center"/>
          </w:tcPr>
          <w:p w14:paraId="03BA4887" w14:textId="77777777" w:rsidR="00D64F09" w:rsidRPr="00C06677" w:rsidRDefault="00D64F09" w:rsidP="00531BD6">
            <w:pPr>
              <w:spacing w:before="120" w:after="120"/>
              <w:jc w:val="center"/>
              <w:rPr>
                <w:color w:val="000000" w:themeColor="text1"/>
              </w:rPr>
            </w:pPr>
            <w:r w:rsidRPr="00C06677">
              <w:rPr>
                <w:color w:val="000000" w:themeColor="text1"/>
              </w:rPr>
              <w:t>-150</w:t>
            </w:r>
          </w:p>
        </w:tc>
        <w:tc>
          <w:tcPr>
            <w:tcW w:w="1085" w:type="dxa"/>
            <w:tcBorders>
              <w:top w:val="nil"/>
              <w:bottom w:val="nil"/>
            </w:tcBorders>
            <w:vAlign w:val="center"/>
          </w:tcPr>
          <w:p w14:paraId="1C7D0AE8" w14:textId="77777777" w:rsidR="00D64F09" w:rsidRPr="00C06677" w:rsidRDefault="00D64F09" w:rsidP="00531BD6">
            <w:pPr>
              <w:spacing w:before="120" w:after="120"/>
              <w:jc w:val="center"/>
              <w:rPr>
                <w:color w:val="000000" w:themeColor="text1"/>
              </w:rPr>
            </w:pPr>
          </w:p>
        </w:tc>
      </w:tr>
      <w:tr w:rsidR="00D64F09" w:rsidRPr="00C06677" w14:paraId="67285E3C" w14:textId="77777777" w:rsidTr="00531BD6">
        <w:trPr>
          <w:jc w:val="center"/>
        </w:trPr>
        <w:tc>
          <w:tcPr>
            <w:tcW w:w="3325" w:type="dxa"/>
            <w:tcBorders>
              <w:top w:val="nil"/>
            </w:tcBorders>
            <w:vAlign w:val="center"/>
          </w:tcPr>
          <w:p w14:paraId="2F444F40" w14:textId="77777777" w:rsidR="00D64F09" w:rsidRPr="00C06677" w:rsidRDefault="00D64F09" w:rsidP="00531BD6">
            <w:pPr>
              <w:spacing w:before="120" w:after="120"/>
              <w:jc w:val="right"/>
              <w:rPr>
                <w:color w:val="000000" w:themeColor="text1"/>
              </w:rPr>
            </w:pPr>
            <w:r w:rsidRPr="00C06677">
              <w:rPr>
                <w:color w:val="000000" w:themeColor="text1"/>
              </w:rPr>
              <w:t>Value Constant + Side Bias</w:t>
            </w:r>
          </w:p>
        </w:tc>
        <w:tc>
          <w:tcPr>
            <w:tcW w:w="1800" w:type="dxa"/>
            <w:tcBorders>
              <w:top w:val="nil"/>
            </w:tcBorders>
            <w:vAlign w:val="center"/>
          </w:tcPr>
          <w:p w14:paraId="6AA104C4" w14:textId="77777777" w:rsidR="00D64F09" w:rsidRPr="00C06677" w:rsidRDefault="00D64F09" w:rsidP="00531BD6">
            <w:pPr>
              <w:spacing w:before="120" w:after="120"/>
              <w:jc w:val="center"/>
              <w:rPr>
                <w:color w:val="000000" w:themeColor="text1"/>
              </w:rPr>
            </w:pPr>
            <w:r w:rsidRPr="00C06677">
              <w:rPr>
                <w:color w:val="000000" w:themeColor="text1"/>
              </w:rPr>
              <w:t>6</w:t>
            </w:r>
          </w:p>
        </w:tc>
        <w:tc>
          <w:tcPr>
            <w:tcW w:w="990" w:type="dxa"/>
            <w:tcBorders>
              <w:top w:val="nil"/>
            </w:tcBorders>
            <w:vAlign w:val="center"/>
          </w:tcPr>
          <w:p w14:paraId="3E40CE16" w14:textId="77777777" w:rsidR="00D64F09" w:rsidRPr="00C06677" w:rsidRDefault="00D64F09" w:rsidP="00531BD6">
            <w:pPr>
              <w:spacing w:before="120" w:after="120"/>
              <w:jc w:val="center"/>
              <w:rPr>
                <w:color w:val="000000" w:themeColor="text1"/>
              </w:rPr>
            </w:pPr>
            <w:r w:rsidRPr="00C06677">
              <w:rPr>
                <w:color w:val="000000" w:themeColor="text1"/>
              </w:rPr>
              <w:t>0.95</w:t>
            </w:r>
          </w:p>
        </w:tc>
        <w:tc>
          <w:tcPr>
            <w:tcW w:w="990" w:type="dxa"/>
            <w:tcBorders>
              <w:top w:val="nil"/>
            </w:tcBorders>
            <w:vAlign w:val="center"/>
          </w:tcPr>
          <w:p w14:paraId="572EF7A2" w14:textId="77777777" w:rsidR="00D64F09" w:rsidRPr="00C06677" w:rsidRDefault="00D64F09" w:rsidP="00531BD6">
            <w:pPr>
              <w:spacing w:before="120" w:after="120"/>
              <w:jc w:val="center"/>
              <w:rPr>
                <w:color w:val="000000" w:themeColor="text1"/>
              </w:rPr>
            </w:pPr>
            <w:r w:rsidRPr="00C06677">
              <w:rPr>
                <w:color w:val="000000" w:themeColor="text1"/>
              </w:rPr>
              <w:t>-162</w:t>
            </w:r>
          </w:p>
        </w:tc>
        <w:tc>
          <w:tcPr>
            <w:tcW w:w="1085" w:type="dxa"/>
            <w:tcBorders>
              <w:top w:val="nil"/>
            </w:tcBorders>
            <w:vAlign w:val="center"/>
          </w:tcPr>
          <w:p w14:paraId="3FDEF34B" w14:textId="77777777" w:rsidR="00D64F09" w:rsidRPr="00C06677" w:rsidRDefault="00D64F09" w:rsidP="00531BD6">
            <w:pPr>
              <w:spacing w:before="120" w:after="120"/>
              <w:jc w:val="center"/>
              <w:rPr>
                <w:rFonts w:ascii="Segoe UI Symbol" w:hAnsi="Segoe UI Symbol"/>
                <w:b/>
                <w:bCs/>
                <w:color w:val="000000" w:themeColor="text1"/>
              </w:rPr>
            </w:pPr>
            <w:r w:rsidRPr="00C06677">
              <w:rPr>
                <w:rFonts w:ascii="Segoe UI Symbol" w:hAnsi="Segoe UI Symbol"/>
                <w:b/>
                <w:bCs/>
                <w:color w:val="000000" w:themeColor="text1"/>
              </w:rPr>
              <w:t>✓</w:t>
            </w:r>
          </w:p>
        </w:tc>
      </w:tr>
      <w:tr w:rsidR="00D64F09" w:rsidRPr="00C06677" w14:paraId="1EF37DEE" w14:textId="77777777" w:rsidTr="00531BD6">
        <w:trPr>
          <w:jc w:val="center"/>
        </w:trPr>
        <w:tc>
          <w:tcPr>
            <w:tcW w:w="8190" w:type="dxa"/>
            <w:gridSpan w:val="5"/>
            <w:tcBorders>
              <w:top w:val="nil"/>
              <w:bottom w:val="nil"/>
            </w:tcBorders>
            <w:vAlign w:val="center"/>
          </w:tcPr>
          <w:p w14:paraId="12B40369" w14:textId="77777777" w:rsidR="00D64F09" w:rsidRPr="00C06677" w:rsidRDefault="00D64F09" w:rsidP="00531BD6">
            <w:pPr>
              <w:spacing w:before="120" w:after="120"/>
              <w:jc w:val="center"/>
              <w:rPr>
                <w:color w:val="000000" w:themeColor="text1"/>
              </w:rPr>
            </w:pPr>
            <w:r w:rsidRPr="00C06677">
              <w:rPr>
                <w:color w:val="000000" w:themeColor="text1"/>
              </w:rPr>
              <w:t>Experiment 2</w:t>
            </w:r>
          </w:p>
        </w:tc>
      </w:tr>
      <w:tr w:rsidR="00D64F09" w:rsidRPr="00C06677" w14:paraId="7335D851" w14:textId="77777777" w:rsidTr="00531BD6">
        <w:trPr>
          <w:jc w:val="center"/>
        </w:trPr>
        <w:tc>
          <w:tcPr>
            <w:tcW w:w="3325" w:type="dxa"/>
            <w:tcBorders>
              <w:top w:val="nil"/>
            </w:tcBorders>
            <w:vAlign w:val="center"/>
          </w:tcPr>
          <w:p w14:paraId="7E32E26F" w14:textId="77777777" w:rsidR="00D64F09" w:rsidRPr="00C06677" w:rsidRDefault="00D64F09" w:rsidP="00531BD6">
            <w:pPr>
              <w:jc w:val="center"/>
              <w:rPr>
                <w:color w:val="000000" w:themeColor="text1"/>
              </w:rPr>
            </w:pPr>
            <w:r w:rsidRPr="00C06677">
              <w:rPr>
                <w:color w:val="000000" w:themeColor="text1"/>
              </w:rPr>
              <w:t>Model</w:t>
            </w:r>
          </w:p>
        </w:tc>
        <w:tc>
          <w:tcPr>
            <w:tcW w:w="1800" w:type="dxa"/>
            <w:tcBorders>
              <w:top w:val="nil"/>
            </w:tcBorders>
            <w:vAlign w:val="center"/>
          </w:tcPr>
          <w:p w14:paraId="0125A767" w14:textId="77777777" w:rsidR="00D64F09" w:rsidRPr="00C06677" w:rsidRDefault="00D64F09" w:rsidP="00531BD6">
            <w:pPr>
              <w:jc w:val="center"/>
              <w:rPr>
                <w:color w:val="000000" w:themeColor="text1"/>
              </w:rPr>
            </w:pPr>
            <w:r w:rsidRPr="00C06677">
              <w:rPr>
                <w:color w:val="000000" w:themeColor="text1"/>
              </w:rPr>
              <w:t>Free Parameters</w:t>
            </w:r>
          </w:p>
        </w:tc>
        <w:tc>
          <w:tcPr>
            <w:tcW w:w="990" w:type="dxa"/>
            <w:tcBorders>
              <w:top w:val="nil"/>
            </w:tcBorders>
            <w:vAlign w:val="center"/>
          </w:tcPr>
          <w:p w14:paraId="1C93BD43" w14:textId="77777777" w:rsidR="00D64F09" w:rsidRPr="001969F7" w:rsidRDefault="00D64F09" w:rsidP="00531BD6">
            <w:pPr>
              <w:jc w:val="center"/>
              <w:rPr>
                <w:i/>
                <w:iCs/>
                <w:color w:val="000000" w:themeColor="text1"/>
              </w:rPr>
            </w:pPr>
            <w:r w:rsidRPr="001969F7">
              <w:rPr>
                <w:i/>
                <w:iCs/>
                <w:color w:val="000000" w:themeColor="text1"/>
              </w:rPr>
              <w:t>r</w:t>
            </w:r>
            <w:r w:rsidRPr="001969F7">
              <w:rPr>
                <w:i/>
                <w:iCs/>
                <w:color w:val="000000" w:themeColor="text1"/>
                <w:vertAlign w:val="superscript"/>
              </w:rPr>
              <w:t>2</w:t>
            </w:r>
          </w:p>
        </w:tc>
        <w:tc>
          <w:tcPr>
            <w:tcW w:w="990" w:type="dxa"/>
            <w:tcBorders>
              <w:top w:val="nil"/>
            </w:tcBorders>
            <w:vAlign w:val="center"/>
          </w:tcPr>
          <w:p w14:paraId="6AD07893" w14:textId="77777777" w:rsidR="00D64F09" w:rsidRPr="00C06677" w:rsidRDefault="00D64F09" w:rsidP="00531BD6">
            <w:pPr>
              <w:jc w:val="center"/>
              <w:rPr>
                <w:color w:val="000000" w:themeColor="text1"/>
              </w:rPr>
            </w:pPr>
            <w:r w:rsidRPr="00C06677">
              <w:rPr>
                <w:color w:val="000000" w:themeColor="text1"/>
              </w:rPr>
              <w:t>BIC</w:t>
            </w:r>
          </w:p>
        </w:tc>
        <w:tc>
          <w:tcPr>
            <w:tcW w:w="1085" w:type="dxa"/>
            <w:tcBorders>
              <w:top w:val="nil"/>
            </w:tcBorders>
            <w:vAlign w:val="center"/>
          </w:tcPr>
          <w:p w14:paraId="5AAE7E73" w14:textId="77777777" w:rsidR="00D64F09" w:rsidRPr="00C06677" w:rsidRDefault="00D64F09" w:rsidP="00531BD6">
            <w:pPr>
              <w:jc w:val="center"/>
              <w:rPr>
                <w:color w:val="000000" w:themeColor="text1"/>
              </w:rPr>
            </w:pPr>
            <w:r w:rsidRPr="00C06677">
              <w:rPr>
                <w:color w:val="000000" w:themeColor="text1"/>
              </w:rPr>
              <w:t>Best Fit</w:t>
            </w:r>
          </w:p>
        </w:tc>
      </w:tr>
      <w:tr w:rsidR="00D64F09" w:rsidRPr="00C06677" w14:paraId="1898D2D3" w14:textId="77777777" w:rsidTr="00531BD6">
        <w:trPr>
          <w:jc w:val="center"/>
        </w:trPr>
        <w:tc>
          <w:tcPr>
            <w:tcW w:w="3325" w:type="dxa"/>
            <w:tcBorders>
              <w:bottom w:val="nil"/>
            </w:tcBorders>
            <w:vAlign w:val="center"/>
          </w:tcPr>
          <w:p w14:paraId="73B893C2" w14:textId="77777777" w:rsidR="00D64F09" w:rsidRPr="00C06677" w:rsidRDefault="00D64F09" w:rsidP="00531BD6">
            <w:pPr>
              <w:spacing w:before="120" w:after="120"/>
              <w:jc w:val="right"/>
              <w:rPr>
                <w:color w:val="000000" w:themeColor="text1"/>
              </w:rPr>
            </w:pPr>
            <w:r w:rsidRPr="00C06677">
              <w:rPr>
                <w:color w:val="000000" w:themeColor="text1"/>
              </w:rPr>
              <w:t>Simple</w:t>
            </w:r>
          </w:p>
        </w:tc>
        <w:tc>
          <w:tcPr>
            <w:tcW w:w="1800" w:type="dxa"/>
            <w:tcBorders>
              <w:bottom w:val="nil"/>
            </w:tcBorders>
            <w:vAlign w:val="center"/>
          </w:tcPr>
          <w:p w14:paraId="0B096EE5" w14:textId="77777777" w:rsidR="00D64F09" w:rsidRPr="00C06677" w:rsidRDefault="00D64F09" w:rsidP="00531BD6">
            <w:pPr>
              <w:spacing w:before="120" w:after="120"/>
              <w:jc w:val="center"/>
              <w:rPr>
                <w:color w:val="000000" w:themeColor="text1"/>
              </w:rPr>
            </w:pPr>
            <w:r w:rsidRPr="00C06677">
              <w:rPr>
                <w:color w:val="000000" w:themeColor="text1"/>
              </w:rPr>
              <w:t>4</w:t>
            </w:r>
          </w:p>
        </w:tc>
        <w:tc>
          <w:tcPr>
            <w:tcW w:w="990" w:type="dxa"/>
            <w:tcBorders>
              <w:bottom w:val="nil"/>
            </w:tcBorders>
            <w:vAlign w:val="center"/>
          </w:tcPr>
          <w:p w14:paraId="03EFEC96" w14:textId="77777777" w:rsidR="00D64F09" w:rsidRPr="00C06677" w:rsidRDefault="00D64F09" w:rsidP="00531BD6">
            <w:pPr>
              <w:spacing w:before="120" w:after="120"/>
              <w:jc w:val="center"/>
              <w:rPr>
                <w:color w:val="000000" w:themeColor="text1"/>
              </w:rPr>
            </w:pPr>
            <w:r w:rsidRPr="00C06677">
              <w:rPr>
                <w:color w:val="000000" w:themeColor="text1"/>
              </w:rPr>
              <w:t>0.92</w:t>
            </w:r>
          </w:p>
        </w:tc>
        <w:tc>
          <w:tcPr>
            <w:tcW w:w="990" w:type="dxa"/>
            <w:tcBorders>
              <w:bottom w:val="nil"/>
            </w:tcBorders>
            <w:vAlign w:val="center"/>
          </w:tcPr>
          <w:p w14:paraId="2653DC1C" w14:textId="77777777" w:rsidR="00D64F09" w:rsidRPr="00C06677" w:rsidRDefault="00D64F09" w:rsidP="00531BD6">
            <w:pPr>
              <w:spacing w:before="120" w:after="120"/>
              <w:jc w:val="center"/>
              <w:rPr>
                <w:color w:val="000000" w:themeColor="text1"/>
              </w:rPr>
            </w:pPr>
            <w:r w:rsidRPr="00C06677">
              <w:rPr>
                <w:color w:val="000000" w:themeColor="text1"/>
              </w:rPr>
              <w:t>-207</w:t>
            </w:r>
          </w:p>
        </w:tc>
        <w:tc>
          <w:tcPr>
            <w:tcW w:w="1085" w:type="dxa"/>
            <w:tcBorders>
              <w:bottom w:val="nil"/>
            </w:tcBorders>
            <w:vAlign w:val="center"/>
          </w:tcPr>
          <w:p w14:paraId="7A2FD8B0" w14:textId="77777777" w:rsidR="00D64F09" w:rsidRPr="00C06677" w:rsidRDefault="00D64F09" w:rsidP="00531BD6">
            <w:pPr>
              <w:spacing w:before="120" w:after="120"/>
              <w:jc w:val="center"/>
              <w:rPr>
                <w:color w:val="000000" w:themeColor="text1"/>
              </w:rPr>
            </w:pPr>
          </w:p>
        </w:tc>
      </w:tr>
      <w:tr w:rsidR="00D64F09" w:rsidRPr="00C06677" w14:paraId="1A5018CC" w14:textId="77777777" w:rsidTr="00531BD6">
        <w:trPr>
          <w:jc w:val="center"/>
        </w:trPr>
        <w:tc>
          <w:tcPr>
            <w:tcW w:w="3325" w:type="dxa"/>
            <w:tcBorders>
              <w:top w:val="nil"/>
              <w:bottom w:val="nil"/>
            </w:tcBorders>
            <w:vAlign w:val="center"/>
          </w:tcPr>
          <w:p w14:paraId="39DC97EF" w14:textId="77777777" w:rsidR="00D64F09" w:rsidRPr="00C06677" w:rsidRDefault="00D64F09" w:rsidP="00531BD6">
            <w:pPr>
              <w:spacing w:before="120" w:after="120"/>
              <w:jc w:val="right"/>
              <w:rPr>
                <w:color w:val="000000" w:themeColor="text1"/>
              </w:rPr>
            </w:pPr>
            <w:r w:rsidRPr="00C06677">
              <w:rPr>
                <w:color w:val="000000" w:themeColor="text1"/>
              </w:rPr>
              <w:t>Value Constant</w:t>
            </w:r>
          </w:p>
        </w:tc>
        <w:tc>
          <w:tcPr>
            <w:tcW w:w="1800" w:type="dxa"/>
            <w:tcBorders>
              <w:top w:val="nil"/>
              <w:bottom w:val="nil"/>
            </w:tcBorders>
            <w:vAlign w:val="center"/>
          </w:tcPr>
          <w:p w14:paraId="5EBD76E7" w14:textId="77777777" w:rsidR="00D64F09" w:rsidRPr="00C06677" w:rsidRDefault="00D64F09" w:rsidP="00531BD6">
            <w:pPr>
              <w:spacing w:before="120" w:after="120"/>
              <w:jc w:val="center"/>
              <w:rPr>
                <w:color w:val="000000" w:themeColor="text1"/>
              </w:rPr>
            </w:pPr>
            <w:r w:rsidRPr="00C06677">
              <w:rPr>
                <w:color w:val="000000" w:themeColor="text1"/>
              </w:rPr>
              <w:t>5</w:t>
            </w:r>
          </w:p>
        </w:tc>
        <w:tc>
          <w:tcPr>
            <w:tcW w:w="990" w:type="dxa"/>
            <w:tcBorders>
              <w:top w:val="nil"/>
              <w:bottom w:val="nil"/>
            </w:tcBorders>
            <w:vAlign w:val="center"/>
          </w:tcPr>
          <w:p w14:paraId="258755E9" w14:textId="77777777" w:rsidR="00D64F09" w:rsidRPr="00C06677" w:rsidRDefault="00D64F09" w:rsidP="00531BD6">
            <w:pPr>
              <w:spacing w:before="120" w:after="120"/>
              <w:jc w:val="center"/>
              <w:rPr>
                <w:color w:val="000000" w:themeColor="text1"/>
              </w:rPr>
            </w:pPr>
            <w:r w:rsidRPr="00C06677">
              <w:rPr>
                <w:color w:val="000000" w:themeColor="text1"/>
              </w:rPr>
              <w:t>0.93</w:t>
            </w:r>
          </w:p>
        </w:tc>
        <w:tc>
          <w:tcPr>
            <w:tcW w:w="990" w:type="dxa"/>
            <w:tcBorders>
              <w:top w:val="nil"/>
              <w:bottom w:val="nil"/>
            </w:tcBorders>
            <w:vAlign w:val="center"/>
          </w:tcPr>
          <w:p w14:paraId="53F784E4" w14:textId="77777777" w:rsidR="00D64F09" w:rsidRPr="00C06677" w:rsidRDefault="00D64F09" w:rsidP="00531BD6">
            <w:pPr>
              <w:spacing w:before="120" w:after="120"/>
              <w:jc w:val="center"/>
              <w:rPr>
                <w:color w:val="000000" w:themeColor="text1"/>
              </w:rPr>
            </w:pPr>
            <w:r w:rsidRPr="00C06677">
              <w:rPr>
                <w:color w:val="000000" w:themeColor="text1"/>
              </w:rPr>
              <w:t>-212</w:t>
            </w:r>
          </w:p>
        </w:tc>
        <w:tc>
          <w:tcPr>
            <w:tcW w:w="1085" w:type="dxa"/>
            <w:tcBorders>
              <w:top w:val="nil"/>
              <w:bottom w:val="nil"/>
            </w:tcBorders>
            <w:vAlign w:val="center"/>
          </w:tcPr>
          <w:p w14:paraId="59B1EFF9" w14:textId="77777777" w:rsidR="00D64F09" w:rsidRPr="00C06677" w:rsidRDefault="00D64F09" w:rsidP="00531BD6">
            <w:pPr>
              <w:spacing w:before="120" w:after="120"/>
              <w:jc w:val="center"/>
              <w:rPr>
                <w:color w:val="000000" w:themeColor="text1"/>
              </w:rPr>
            </w:pPr>
          </w:p>
        </w:tc>
      </w:tr>
      <w:tr w:rsidR="00D64F09" w:rsidRPr="00C06677" w14:paraId="56ABFD5A" w14:textId="77777777" w:rsidTr="00531BD6">
        <w:trPr>
          <w:jc w:val="center"/>
        </w:trPr>
        <w:tc>
          <w:tcPr>
            <w:tcW w:w="3325" w:type="dxa"/>
            <w:tcBorders>
              <w:top w:val="nil"/>
              <w:bottom w:val="nil"/>
            </w:tcBorders>
            <w:vAlign w:val="center"/>
          </w:tcPr>
          <w:p w14:paraId="0DD40ED2" w14:textId="77777777" w:rsidR="00D64F09" w:rsidRPr="00C06677" w:rsidRDefault="00D64F09" w:rsidP="00531BD6">
            <w:pPr>
              <w:spacing w:before="120" w:after="120"/>
              <w:jc w:val="right"/>
              <w:rPr>
                <w:color w:val="000000" w:themeColor="text1"/>
              </w:rPr>
            </w:pPr>
            <w:r w:rsidRPr="00C06677">
              <w:rPr>
                <w:color w:val="000000" w:themeColor="text1"/>
              </w:rPr>
              <w:t>Side Bias</w:t>
            </w:r>
          </w:p>
        </w:tc>
        <w:tc>
          <w:tcPr>
            <w:tcW w:w="1800" w:type="dxa"/>
            <w:tcBorders>
              <w:top w:val="nil"/>
              <w:bottom w:val="nil"/>
            </w:tcBorders>
            <w:vAlign w:val="center"/>
          </w:tcPr>
          <w:p w14:paraId="1B49576C" w14:textId="77777777" w:rsidR="00D64F09" w:rsidRPr="00C06677" w:rsidRDefault="00D64F09" w:rsidP="00531BD6">
            <w:pPr>
              <w:spacing w:before="120" w:after="120"/>
              <w:jc w:val="center"/>
              <w:rPr>
                <w:color w:val="000000" w:themeColor="text1"/>
              </w:rPr>
            </w:pPr>
            <w:r w:rsidRPr="00C06677">
              <w:rPr>
                <w:color w:val="000000" w:themeColor="text1"/>
              </w:rPr>
              <w:t>5</w:t>
            </w:r>
          </w:p>
        </w:tc>
        <w:tc>
          <w:tcPr>
            <w:tcW w:w="990" w:type="dxa"/>
            <w:tcBorders>
              <w:top w:val="nil"/>
              <w:bottom w:val="nil"/>
            </w:tcBorders>
            <w:vAlign w:val="center"/>
          </w:tcPr>
          <w:p w14:paraId="67AB887F" w14:textId="77777777" w:rsidR="00D64F09" w:rsidRPr="00C06677" w:rsidRDefault="00D64F09" w:rsidP="00531BD6">
            <w:pPr>
              <w:spacing w:before="120" w:after="120"/>
              <w:jc w:val="center"/>
              <w:rPr>
                <w:color w:val="000000" w:themeColor="text1"/>
              </w:rPr>
            </w:pPr>
            <w:r w:rsidRPr="00C06677">
              <w:rPr>
                <w:color w:val="000000" w:themeColor="text1"/>
              </w:rPr>
              <w:t>0.94</w:t>
            </w:r>
          </w:p>
        </w:tc>
        <w:tc>
          <w:tcPr>
            <w:tcW w:w="990" w:type="dxa"/>
            <w:tcBorders>
              <w:top w:val="nil"/>
              <w:bottom w:val="nil"/>
            </w:tcBorders>
            <w:vAlign w:val="center"/>
          </w:tcPr>
          <w:p w14:paraId="3AA06E2B" w14:textId="77777777" w:rsidR="00D64F09" w:rsidRPr="00C06677" w:rsidRDefault="00D64F09" w:rsidP="00531BD6">
            <w:pPr>
              <w:spacing w:before="120" w:after="120"/>
              <w:jc w:val="center"/>
              <w:rPr>
                <w:color w:val="000000" w:themeColor="text1"/>
              </w:rPr>
            </w:pPr>
            <w:r w:rsidRPr="00C06677">
              <w:rPr>
                <w:color w:val="000000" w:themeColor="text1"/>
              </w:rPr>
              <w:t>-220</w:t>
            </w:r>
          </w:p>
        </w:tc>
        <w:tc>
          <w:tcPr>
            <w:tcW w:w="1085" w:type="dxa"/>
            <w:tcBorders>
              <w:top w:val="nil"/>
              <w:bottom w:val="nil"/>
            </w:tcBorders>
            <w:vAlign w:val="center"/>
          </w:tcPr>
          <w:p w14:paraId="37AF2F07" w14:textId="77777777" w:rsidR="00D64F09" w:rsidRPr="00C06677" w:rsidRDefault="00D64F09" w:rsidP="00531BD6">
            <w:pPr>
              <w:spacing w:before="120" w:after="120"/>
              <w:jc w:val="center"/>
              <w:rPr>
                <w:color w:val="000000" w:themeColor="text1"/>
              </w:rPr>
            </w:pPr>
          </w:p>
        </w:tc>
      </w:tr>
      <w:tr w:rsidR="00D64F09" w:rsidRPr="00C06677" w14:paraId="0073CB02" w14:textId="77777777" w:rsidTr="00531BD6">
        <w:trPr>
          <w:jc w:val="center"/>
        </w:trPr>
        <w:tc>
          <w:tcPr>
            <w:tcW w:w="3325" w:type="dxa"/>
            <w:tcBorders>
              <w:top w:val="nil"/>
              <w:bottom w:val="nil"/>
            </w:tcBorders>
            <w:vAlign w:val="center"/>
          </w:tcPr>
          <w:p w14:paraId="1F234F6C" w14:textId="77777777" w:rsidR="00D64F09" w:rsidRPr="00C06677" w:rsidRDefault="00D64F09" w:rsidP="00531BD6">
            <w:pPr>
              <w:spacing w:before="120" w:after="120"/>
              <w:jc w:val="right"/>
              <w:rPr>
                <w:color w:val="000000" w:themeColor="text1"/>
              </w:rPr>
            </w:pPr>
            <w:r w:rsidRPr="00C06677">
              <w:rPr>
                <w:color w:val="000000" w:themeColor="text1"/>
              </w:rPr>
              <w:t>Value Constant + Side Bias</w:t>
            </w:r>
          </w:p>
        </w:tc>
        <w:tc>
          <w:tcPr>
            <w:tcW w:w="1800" w:type="dxa"/>
            <w:tcBorders>
              <w:top w:val="nil"/>
              <w:bottom w:val="nil"/>
            </w:tcBorders>
            <w:vAlign w:val="center"/>
          </w:tcPr>
          <w:p w14:paraId="28AAA107" w14:textId="77777777" w:rsidR="00D64F09" w:rsidRPr="00C06677" w:rsidRDefault="00D64F09" w:rsidP="00531BD6">
            <w:pPr>
              <w:spacing w:before="120" w:after="120"/>
              <w:jc w:val="center"/>
              <w:rPr>
                <w:color w:val="000000" w:themeColor="text1"/>
              </w:rPr>
            </w:pPr>
            <w:r w:rsidRPr="00C06677">
              <w:rPr>
                <w:color w:val="000000" w:themeColor="text1"/>
              </w:rPr>
              <w:t>6</w:t>
            </w:r>
          </w:p>
        </w:tc>
        <w:tc>
          <w:tcPr>
            <w:tcW w:w="990" w:type="dxa"/>
            <w:tcBorders>
              <w:top w:val="nil"/>
              <w:bottom w:val="nil"/>
            </w:tcBorders>
            <w:vAlign w:val="center"/>
          </w:tcPr>
          <w:p w14:paraId="34F04543" w14:textId="77777777" w:rsidR="00D64F09" w:rsidRPr="00C06677" w:rsidRDefault="00D64F09" w:rsidP="00531BD6">
            <w:pPr>
              <w:spacing w:before="120" w:after="120"/>
              <w:jc w:val="center"/>
              <w:rPr>
                <w:color w:val="000000" w:themeColor="text1"/>
              </w:rPr>
            </w:pPr>
            <w:r w:rsidRPr="00C06677">
              <w:rPr>
                <w:color w:val="000000" w:themeColor="text1"/>
              </w:rPr>
              <w:t>0.95</w:t>
            </w:r>
          </w:p>
        </w:tc>
        <w:tc>
          <w:tcPr>
            <w:tcW w:w="990" w:type="dxa"/>
            <w:tcBorders>
              <w:top w:val="nil"/>
              <w:bottom w:val="nil"/>
            </w:tcBorders>
            <w:vAlign w:val="center"/>
          </w:tcPr>
          <w:p w14:paraId="009DEC44" w14:textId="77777777" w:rsidR="00D64F09" w:rsidRPr="00C06677" w:rsidRDefault="00D64F09" w:rsidP="00531BD6">
            <w:pPr>
              <w:spacing w:before="120" w:after="120"/>
              <w:jc w:val="center"/>
              <w:rPr>
                <w:color w:val="000000" w:themeColor="text1"/>
              </w:rPr>
            </w:pPr>
            <w:r w:rsidRPr="00C06677">
              <w:rPr>
                <w:color w:val="000000" w:themeColor="text1"/>
              </w:rPr>
              <w:t>-232</w:t>
            </w:r>
          </w:p>
        </w:tc>
        <w:tc>
          <w:tcPr>
            <w:tcW w:w="1085" w:type="dxa"/>
            <w:tcBorders>
              <w:top w:val="nil"/>
              <w:bottom w:val="nil"/>
            </w:tcBorders>
            <w:vAlign w:val="center"/>
          </w:tcPr>
          <w:p w14:paraId="457DA6C6" w14:textId="77777777" w:rsidR="00D64F09" w:rsidRPr="00C06677" w:rsidRDefault="00D64F09" w:rsidP="00531BD6">
            <w:pPr>
              <w:spacing w:before="120" w:after="120"/>
              <w:jc w:val="center"/>
              <w:rPr>
                <w:color w:val="000000" w:themeColor="text1"/>
              </w:rPr>
            </w:pPr>
            <w:r w:rsidRPr="00C06677">
              <w:rPr>
                <w:rFonts w:ascii="Segoe UI Symbol" w:hAnsi="Segoe UI Symbol"/>
                <w:b/>
                <w:bCs/>
                <w:color w:val="000000" w:themeColor="text1"/>
              </w:rPr>
              <w:t>✓</w:t>
            </w:r>
          </w:p>
        </w:tc>
      </w:tr>
      <w:tr w:rsidR="00D64F09" w:rsidRPr="00C06677" w14:paraId="58628087" w14:textId="77777777" w:rsidTr="00531BD6">
        <w:trPr>
          <w:jc w:val="center"/>
        </w:trPr>
        <w:tc>
          <w:tcPr>
            <w:tcW w:w="3325" w:type="dxa"/>
            <w:tcBorders>
              <w:top w:val="nil"/>
            </w:tcBorders>
            <w:vAlign w:val="center"/>
          </w:tcPr>
          <w:p w14:paraId="753FB8D5" w14:textId="77777777" w:rsidR="00D64F09" w:rsidRPr="00C06677" w:rsidRDefault="00D64F09" w:rsidP="00531BD6">
            <w:pPr>
              <w:spacing w:before="120" w:after="120"/>
              <w:jc w:val="right"/>
              <w:rPr>
                <w:color w:val="000000" w:themeColor="text1"/>
              </w:rPr>
            </w:pPr>
            <w:r w:rsidRPr="00C06677">
              <w:rPr>
                <w:color w:val="000000" w:themeColor="text1"/>
              </w:rPr>
              <w:t xml:space="preserve">Fixed Experiment 1 </w:t>
            </w:r>
          </w:p>
        </w:tc>
        <w:tc>
          <w:tcPr>
            <w:tcW w:w="1800" w:type="dxa"/>
            <w:tcBorders>
              <w:top w:val="nil"/>
            </w:tcBorders>
            <w:vAlign w:val="center"/>
          </w:tcPr>
          <w:p w14:paraId="28A2AA8F" w14:textId="77777777" w:rsidR="00D64F09" w:rsidRPr="00C06677" w:rsidRDefault="00D64F09" w:rsidP="00531BD6">
            <w:pPr>
              <w:spacing w:before="120" w:after="120"/>
              <w:jc w:val="center"/>
              <w:rPr>
                <w:color w:val="000000" w:themeColor="text1"/>
              </w:rPr>
            </w:pPr>
            <w:r w:rsidRPr="00C06677">
              <w:rPr>
                <w:color w:val="000000" w:themeColor="text1"/>
              </w:rPr>
              <w:t>1</w:t>
            </w:r>
          </w:p>
        </w:tc>
        <w:tc>
          <w:tcPr>
            <w:tcW w:w="990" w:type="dxa"/>
            <w:tcBorders>
              <w:top w:val="nil"/>
            </w:tcBorders>
            <w:vAlign w:val="center"/>
          </w:tcPr>
          <w:p w14:paraId="0375F39D" w14:textId="77777777" w:rsidR="00D64F09" w:rsidRPr="00C06677" w:rsidRDefault="00D64F09" w:rsidP="00531BD6">
            <w:pPr>
              <w:spacing w:before="120" w:after="120"/>
              <w:jc w:val="center"/>
              <w:rPr>
                <w:color w:val="000000" w:themeColor="text1"/>
              </w:rPr>
            </w:pPr>
            <w:r w:rsidRPr="00C06677">
              <w:rPr>
                <w:color w:val="000000" w:themeColor="text1"/>
              </w:rPr>
              <w:t>0.91</w:t>
            </w:r>
          </w:p>
        </w:tc>
        <w:tc>
          <w:tcPr>
            <w:tcW w:w="990" w:type="dxa"/>
            <w:tcBorders>
              <w:top w:val="nil"/>
            </w:tcBorders>
            <w:vAlign w:val="center"/>
          </w:tcPr>
          <w:p w14:paraId="5F0F8255" w14:textId="77777777" w:rsidR="00D64F09" w:rsidRPr="00C06677" w:rsidRDefault="00D64F09" w:rsidP="00531BD6">
            <w:pPr>
              <w:spacing w:before="120" w:after="120"/>
              <w:jc w:val="center"/>
              <w:rPr>
                <w:color w:val="000000" w:themeColor="text1"/>
              </w:rPr>
            </w:pPr>
            <w:r w:rsidRPr="00C06677">
              <w:rPr>
                <w:color w:val="000000" w:themeColor="text1"/>
              </w:rPr>
              <w:t>-213</w:t>
            </w:r>
          </w:p>
        </w:tc>
        <w:tc>
          <w:tcPr>
            <w:tcW w:w="1085" w:type="dxa"/>
            <w:tcBorders>
              <w:top w:val="nil"/>
            </w:tcBorders>
            <w:vAlign w:val="center"/>
          </w:tcPr>
          <w:p w14:paraId="7107EED6" w14:textId="77777777" w:rsidR="00D64F09" w:rsidRPr="00C06677" w:rsidRDefault="00D64F09" w:rsidP="00531BD6">
            <w:pPr>
              <w:spacing w:before="120" w:after="120"/>
              <w:jc w:val="center"/>
              <w:rPr>
                <w:color w:val="000000" w:themeColor="text1"/>
              </w:rPr>
            </w:pPr>
          </w:p>
        </w:tc>
      </w:tr>
      <w:tr w:rsidR="00D64F09" w:rsidRPr="00C06677" w14:paraId="7BE200B4" w14:textId="77777777" w:rsidTr="00531BD6">
        <w:trPr>
          <w:jc w:val="center"/>
        </w:trPr>
        <w:tc>
          <w:tcPr>
            <w:tcW w:w="8190" w:type="dxa"/>
            <w:gridSpan w:val="5"/>
            <w:tcBorders>
              <w:bottom w:val="nil"/>
            </w:tcBorders>
            <w:vAlign w:val="center"/>
          </w:tcPr>
          <w:p w14:paraId="55E98D63" w14:textId="77777777" w:rsidR="00D64F09" w:rsidRPr="00C06677" w:rsidRDefault="00D64F09" w:rsidP="00531BD6">
            <w:pPr>
              <w:spacing w:before="120" w:after="120"/>
              <w:jc w:val="center"/>
              <w:rPr>
                <w:color w:val="000000" w:themeColor="text1"/>
              </w:rPr>
            </w:pPr>
            <w:r w:rsidRPr="00C06677">
              <w:rPr>
                <w:color w:val="000000" w:themeColor="text1"/>
              </w:rPr>
              <w:t>Experiment 3</w:t>
            </w:r>
          </w:p>
        </w:tc>
      </w:tr>
      <w:tr w:rsidR="00D64F09" w:rsidRPr="00C06677" w14:paraId="528C6D01" w14:textId="77777777" w:rsidTr="00531BD6">
        <w:trPr>
          <w:jc w:val="center"/>
        </w:trPr>
        <w:tc>
          <w:tcPr>
            <w:tcW w:w="3325" w:type="dxa"/>
            <w:tcBorders>
              <w:top w:val="nil"/>
            </w:tcBorders>
            <w:vAlign w:val="center"/>
          </w:tcPr>
          <w:p w14:paraId="2841EF41" w14:textId="77777777" w:rsidR="00D64F09" w:rsidRPr="00C06677" w:rsidRDefault="00D64F09" w:rsidP="00531BD6">
            <w:pPr>
              <w:jc w:val="center"/>
              <w:rPr>
                <w:color w:val="000000" w:themeColor="text1"/>
              </w:rPr>
            </w:pPr>
            <w:r w:rsidRPr="00C06677">
              <w:rPr>
                <w:color w:val="000000" w:themeColor="text1"/>
              </w:rPr>
              <w:t>Model</w:t>
            </w:r>
          </w:p>
        </w:tc>
        <w:tc>
          <w:tcPr>
            <w:tcW w:w="1800" w:type="dxa"/>
            <w:tcBorders>
              <w:top w:val="nil"/>
            </w:tcBorders>
            <w:vAlign w:val="center"/>
          </w:tcPr>
          <w:p w14:paraId="04845FD1" w14:textId="77777777" w:rsidR="00D64F09" w:rsidRPr="00C06677" w:rsidRDefault="00D64F09" w:rsidP="00531BD6">
            <w:pPr>
              <w:jc w:val="center"/>
              <w:rPr>
                <w:color w:val="000000" w:themeColor="text1"/>
              </w:rPr>
            </w:pPr>
            <w:r w:rsidRPr="00C06677">
              <w:rPr>
                <w:color w:val="000000" w:themeColor="text1"/>
              </w:rPr>
              <w:t>Free Parameters</w:t>
            </w:r>
          </w:p>
        </w:tc>
        <w:tc>
          <w:tcPr>
            <w:tcW w:w="990" w:type="dxa"/>
            <w:tcBorders>
              <w:top w:val="nil"/>
            </w:tcBorders>
            <w:vAlign w:val="center"/>
          </w:tcPr>
          <w:p w14:paraId="655C882D" w14:textId="77777777" w:rsidR="00D64F09" w:rsidRPr="001969F7" w:rsidRDefault="00D64F09" w:rsidP="00531BD6">
            <w:pPr>
              <w:jc w:val="center"/>
              <w:rPr>
                <w:i/>
                <w:iCs/>
                <w:color w:val="000000" w:themeColor="text1"/>
              </w:rPr>
            </w:pPr>
            <w:r w:rsidRPr="001969F7">
              <w:rPr>
                <w:i/>
                <w:iCs/>
                <w:color w:val="000000" w:themeColor="text1"/>
              </w:rPr>
              <w:t>r</w:t>
            </w:r>
            <w:r w:rsidRPr="001969F7">
              <w:rPr>
                <w:i/>
                <w:iCs/>
                <w:color w:val="000000" w:themeColor="text1"/>
                <w:vertAlign w:val="superscript"/>
              </w:rPr>
              <w:t>2</w:t>
            </w:r>
          </w:p>
        </w:tc>
        <w:tc>
          <w:tcPr>
            <w:tcW w:w="990" w:type="dxa"/>
            <w:tcBorders>
              <w:top w:val="nil"/>
            </w:tcBorders>
            <w:vAlign w:val="center"/>
          </w:tcPr>
          <w:p w14:paraId="29E1097B" w14:textId="77777777" w:rsidR="00D64F09" w:rsidRPr="00C06677" w:rsidRDefault="00D64F09" w:rsidP="00531BD6">
            <w:pPr>
              <w:jc w:val="center"/>
              <w:rPr>
                <w:color w:val="000000" w:themeColor="text1"/>
              </w:rPr>
            </w:pPr>
            <w:r w:rsidRPr="00C06677">
              <w:rPr>
                <w:color w:val="000000" w:themeColor="text1"/>
              </w:rPr>
              <w:t>BIC</w:t>
            </w:r>
          </w:p>
        </w:tc>
        <w:tc>
          <w:tcPr>
            <w:tcW w:w="1085" w:type="dxa"/>
            <w:tcBorders>
              <w:top w:val="nil"/>
            </w:tcBorders>
            <w:vAlign w:val="center"/>
          </w:tcPr>
          <w:p w14:paraId="39357313" w14:textId="77777777" w:rsidR="00D64F09" w:rsidRPr="00C06677" w:rsidRDefault="00D64F09" w:rsidP="00531BD6">
            <w:pPr>
              <w:jc w:val="center"/>
              <w:rPr>
                <w:color w:val="000000" w:themeColor="text1"/>
              </w:rPr>
            </w:pPr>
            <w:r w:rsidRPr="00C06677">
              <w:rPr>
                <w:color w:val="000000" w:themeColor="text1"/>
              </w:rPr>
              <w:t>Best Fit</w:t>
            </w:r>
          </w:p>
        </w:tc>
      </w:tr>
      <w:tr w:rsidR="00D64F09" w:rsidRPr="00C06677" w14:paraId="4DB001BF" w14:textId="77777777" w:rsidTr="00531BD6">
        <w:trPr>
          <w:jc w:val="center"/>
        </w:trPr>
        <w:tc>
          <w:tcPr>
            <w:tcW w:w="3325" w:type="dxa"/>
            <w:tcBorders>
              <w:bottom w:val="nil"/>
            </w:tcBorders>
            <w:vAlign w:val="center"/>
          </w:tcPr>
          <w:p w14:paraId="703E95AE" w14:textId="77777777" w:rsidR="00D64F09" w:rsidRPr="00C06677" w:rsidRDefault="00D64F09" w:rsidP="00531BD6">
            <w:pPr>
              <w:spacing w:before="120" w:after="120"/>
              <w:jc w:val="right"/>
              <w:rPr>
                <w:color w:val="000000" w:themeColor="text1"/>
              </w:rPr>
            </w:pPr>
            <w:r w:rsidRPr="00C06677">
              <w:rPr>
                <w:color w:val="000000" w:themeColor="text1"/>
              </w:rPr>
              <w:t>Value Constant</w:t>
            </w:r>
          </w:p>
        </w:tc>
        <w:tc>
          <w:tcPr>
            <w:tcW w:w="1800" w:type="dxa"/>
            <w:tcBorders>
              <w:bottom w:val="nil"/>
            </w:tcBorders>
            <w:vAlign w:val="center"/>
          </w:tcPr>
          <w:p w14:paraId="2C0117A4" w14:textId="77777777" w:rsidR="00D64F09" w:rsidRPr="00C06677" w:rsidRDefault="00D64F09" w:rsidP="00531BD6">
            <w:pPr>
              <w:spacing w:before="120" w:after="120"/>
              <w:jc w:val="center"/>
              <w:rPr>
                <w:color w:val="000000" w:themeColor="text1"/>
              </w:rPr>
            </w:pPr>
            <w:r w:rsidRPr="00C06677">
              <w:rPr>
                <w:color w:val="000000" w:themeColor="text1"/>
              </w:rPr>
              <w:t>5</w:t>
            </w:r>
          </w:p>
        </w:tc>
        <w:tc>
          <w:tcPr>
            <w:tcW w:w="990" w:type="dxa"/>
            <w:tcBorders>
              <w:bottom w:val="nil"/>
            </w:tcBorders>
            <w:vAlign w:val="center"/>
          </w:tcPr>
          <w:p w14:paraId="40F4C9EA" w14:textId="77777777" w:rsidR="00D64F09" w:rsidRPr="00C06677" w:rsidRDefault="00D64F09" w:rsidP="00531BD6">
            <w:pPr>
              <w:spacing w:before="120" w:after="120"/>
              <w:jc w:val="center"/>
              <w:rPr>
                <w:color w:val="000000" w:themeColor="text1"/>
              </w:rPr>
            </w:pPr>
            <w:r w:rsidRPr="00C06677">
              <w:rPr>
                <w:color w:val="000000" w:themeColor="text1"/>
              </w:rPr>
              <w:t>0.86</w:t>
            </w:r>
          </w:p>
        </w:tc>
        <w:tc>
          <w:tcPr>
            <w:tcW w:w="990" w:type="dxa"/>
            <w:tcBorders>
              <w:bottom w:val="nil"/>
            </w:tcBorders>
            <w:vAlign w:val="center"/>
          </w:tcPr>
          <w:p w14:paraId="09F2FFF6" w14:textId="77777777" w:rsidR="00D64F09" w:rsidRPr="00C06677" w:rsidRDefault="00D64F09" w:rsidP="00531BD6">
            <w:pPr>
              <w:spacing w:before="120" w:after="120"/>
              <w:jc w:val="center"/>
              <w:rPr>
                <w:color w:val="000000" w:themeColor="text1"/>
              </w:rPr>
            </w:pPr>
            <w:r w:rsidRPr="00C06677">
              <w:rPr>
                <w:color w:val="000000" w:themeColor="text1"/>
              </w:rPr>
              <w:t>-228</w:t>
            </w:r>
          </w:p>
        </w:tc>
        <w:tc>
          <w:tcPr>
            <w:tcW w:w="1085" w:type="dxa"/>
            <w:tcBorders>
              <w:bottom w:val="nil"/>
            </w:tcBorders>
            <w:vAlign w:val="center"/>
          </w:tcPr>
          <w:p w14:paraId="4A522DB3" w14:textId="77777777" w:rsidR="00D64F09" w:rsidRPr="00C06677" w:rsidRDefault="00D64F09" w:rsidP="00531BD6">
            <w:pPr>
              <w:spacing w:before="120" w:after="120"/>
              <w:jc w:val="center"/>
              <w:rPr>
                <w:color w:val="000000" w:themeColor="text1"/>
              </w:rPr>
            </w:pPr>
          </w:p>
        </w:tc>
      </w:tr>
      <w:tr w:rsidR="00D64F09" w:rsidRPr="00C06677" w14:paraId="504152E9" w14:textId="77777777" w:rsidTr="00531BD6">
        <w:trPr>
          <w:jc w:val="center"/>
        </w:trPr>
        <w:tc>
          <w:tcPr>
            <w:tcW w:w="3325" w:type="dxa"/>
            <w:tcBorders>
              <w:top w:val="nil"/>
              <w:bottom w:val="nil"/>
            </w:tcBorders>
            <w:vAlign w:val="center"/>
          </w:tcPr>
          <w:p w14:paraId="743FCE6E" w14:textId="77777777" w:rsidR="00D64F09" w:rsidRPr="00C06677" w:rsidRDefault="00D64F09" w:rsidP="00531BD6">
            <w:pPr>
              <w:spacing w:before="120" w:after="120"/>
              <w:jc w:val="right"/>
              <w:rPr>
                <w:color w:val="000000" w:themeColor="text1"/>
              </w:rPr>
            </w:pPr>
            <w:r w:rsidRPr="00C06677">
              <w:rPr>
                <w:color w:val="000000" w:themeColor="text1"/>
              </w:rPr>
              <w:t xml:space="preserve">In-group </w:t>
            </w:r>
            <w:r>
              <w:rPr>
                <w:color w:val="000000" w:themeColor="text1"/>
              </w:rPr>
              <w:t>Start Point</w:t>
            </w:r>
            <w:r w:rsidRPr="00C06677">
              <w:rPr>
                <w:color w:val="000000" w:themeColor="text1"/>
              </w:rPr>
              <w:t xml:space="preserve"> Bias</w:t>
            </w:r>
          </w:p>
        </w:tc>
        <w:tc>
          <w:tcPr>
            <w:tcW w:w="1800" w:type="dxa"/>
            <w:tcBorders>
              <w:top w:val="nil"/>
              <w:bottom w:val="nil"/>
            </w:tcBorders>
            <w:vAlign w:val="center"/>
          </w:tcPr>
          <w:p w14:paraId="4EDF4E31" w14:textId="77777777" w:rsidR="00D64F09" w:rsidRPr="00C06677" w:rsidRDefault="00D64F09" w:rsidP="00531BD6">
            <w:pPr>
              <w:spacing w:before="120" w:after="120"/>
              <w:jc w:val="center"/>
              <w:rPr>
                <w:color w:val="000000" w:themeColor="text1"/>
              </w:rPr>
            </w:pPr>
            <w:r w:rsidRPr="00C06677">
              <w:rPr>
                <w:color w:val="000000" w:themeColor="text1"/>
              </w:rPr>
              <w:t>6</w:t>
            </w:r>
          </w:p>
        </w:tc>
        <w:tc>
          <w:tcPr>
            <w:tcW w:w="990" w:type="dxa"/>
            <w:tcBorders>
              <w:top w:val="nil"/>
              <w:bottom w:val="nil"/>
            </w:tcBorders>
            <w:vAlign w:val="center"/>
          </w:tcPr>
          <w:p w14:paraId="67C78DEF" w14:textId="77777777" w:rsidR="00D64F09" w:rsidRPr="00C06677" w:rsidRDefault="00D64F09" w:rsidP="00531BD6">
            <w:pPr>
              <w:spacing w:before="120" w:after="120"/>
              <w:jc w:val="center"/>
              <w:rPr>
                <w:color w:val="000000" w:themeColor="text1"/>
              </w:rPr>
            </w:pPr>
            <w:r w:rsidRPr="00C06677">
              <w:rPr>
                <w:color w:val="000000" w:themeColor="text1"/>
              </w:rPr>
              <w:t>0.89</w:t>
            </w:r>
          </w:p>
        </w:tc>
        <w:tc>
          <w:tcPr>
            <w:tcW w:w="990" w:type="dxa"/>
            <w:tcBorders>
              <w:top w:val="nil"/>
              <w:bottom w:val="nil"/>
            </w:tcBorders>
            <w:vAlign w:val="center"/>
          </w:tcPr>
          <w:p w14:paraId="6D9CE562" w14:textId="77777777" w:rsidR="00D64F09" w:rsidRPr="00C06677" w:rsidRDefault="00D64F09" w:rsidP="00531BD6">
            <w:pPr>
              <w:spacing w:before="120" w:after="120"/>
              <w:jc w:val="center"/>
              <w:rPr>
                <w:color w:val="000000" w:themeColor="text1"/>
              </w:rPr>
            </w:pPr>
            <w:r w:rsidRPr="00C06677">
              <w:rPr>
                <w:color w:val="000000" w:themeColor="text1"/>
              </w:rPr>
              <w:t>-245</w:t>
            </w:r>
          </w:p>
        </w:tc>
        <w:tc>
          <w:tcPr>
            <w:tcW w:w="1085" w:type="dxa"/>
            <w:tcBorders>
              <w:top w:val="nil"/>
              <w:bottom w:val="nil"/>
            </w:tcBorders>
            <w:vAlign w:val="center"/>
          </w:tcPr>
          <w:p w14:paraId="3718DF75" w14:textId="77777777" w:rsidR="00D64F09" w:rsidRPr="00C06677" w:rsidRDefault="00D64F09" w:rsidP="00531BD6">
            <w:pPr>
              <w:spacing w:before="120" w:after="120"/>
              <w:jc w:val="center"/>
              <w:rPr>
                <w:color w:val="000000" w:themeColor="text1"/>
              </w:rPr>
            </w:pPr>
          </w:p>
        </w:tc>
      </w:tr>
      <w:tr w:rsidR="00D64F09" w:rsidRPr="00C06677" w14:paraId="16EA61CF" w14:textId="77777777" w:rsidTr="00531BD6">
        <w:trPr>
          <w:jc w:val="center"/>
        </w:trPr>
        <w:tc>
          <w:tcPr>
            <w:tcW w:w="3325" w:type="dxa"/>
            <w:tcBorders>
              <w:top w:val="nil"/>
              <w:bottom w:val="nil"/>
            </w:tcBorders>
            <w:vAlign w:val="center"/>
          </w:tcPr>
          <w:p w14:paraId="75169274" w14:textId="77777777" w:rsidR="00D64F09" w:rsidRPr="00C06677" w:rsidRDefault="00D64F09" w:rsidP="00531BD6">
            <w:pPr>
              <w:spacing w:before="120" w:after="120"/>
              <w:jc w:val="right"/>
              <w:rPr>
                <w:color w:val="000000" w:themeColor="text1"/>
              </w:rPr>
            </w:pPr>
            <w:r w:rsidRPr="00C06677">
              <w:rPr>
                <w:color w:val="000000" w:themeColor="text1"/>
              </w:rPr>
              <w:t>In-group Value Change</w:t>
            </w:r>
          </w:p>
        </w:tc>
        <w:tc>
          <w:tcPr>
            <w:tcW w:w="1800" w:type="dxa"/>
            <w:tcBorders>
              <w:top w:val="nil"/>
              <w:bottom w:val="nil"/>
            </w:tcBorders>
            <w:vAlign w:val="center"/>
          </w:tcPr>
          <w:p w14:paraId="7DFD55DC" w14:textId="77777777" w:rsidR="00D64F09" w:rsidRPr="00C06677" w:rsidRDefault="00D64F09" w:rsidP="00531BD6">
            <w:pPr>
              <w:spacing w:before="120" w:after="120"/>
              <w:jc w:val="center"/>
              <w:rPr>
                <w:color w:val="000000" w:themeColor="text1"/>
              </w:rPr>
            </w:pPr>
            <w:r w:rsidRPr="00C06677">
              <w:rPr>
                <w:color w:val="000000" w:themeColor="text1"/>
              </w:rPr>
              <w:t>6</w:t>
            </w:r>
          </w:p>
        </w:tc>
        <w:tc>
          <w:tcPr>
            <w:tcW w:w="990" w:type="dxa"/>
            <w:tcBorders>
              <w:top w:val="nil"/>
              <w:bottom w:val="nil"/>
            </w:tcBorders>
            <w:vAlign w:val="center"/>
          </w:tcPr>
          <w:p w14:paraId="7AD3E483" w14:textId="77777777" w:rsidR="00D64F09" w:rsidRPr="00C06677" w:rsidRDefault="00D64F09" w:rsidP="00531BD6">
            <w:pPr>
              <w:spacing w:before="120" w:after="120"/>
              <w:jc w:val="center"/>
              <w:rPr>
                <w:color w:val="000000" w:themeColor="text1"/>
              </w:rPr>
            </w:pPr>
            <w:r w:rsidRPr="00C06677">
              <w:rPr>
                <w:color w:val="000000" w:themeColor="text1"/>
              </w:rPr>
              <w:t>0.93</w:t>
            </w:r>
          </w:p>
        </w:tc>
        <w:tc>
          <w:tcPr>
            <w:tcW w:w="990" w:type="dxa"/>
            <w:tcBorders>
              <w:top w:val="nil"/>
              <w:bottom w:val="nil"/>
            </w:tcBorders>
            <w:vAlign w:val="center"/>
          </w:tcPr>
          <w:p w14:paraId="2DF25EB7" w14:textId="77777777" w:rsidR="00D64F09" w:rsidRPr="00C06677" w:rsidRDefault="00D64F09" w:rsidP="00531BD6">
            <w:pPr>
              <w:spacing w:before="120" w:after="120"/>
              <w:jc w:val="center"/>
              <w:rPr>
                <w:color w:val="000000" w:themeColor="text1"/>
              </w:rPr>
            </w:pPr>
            <w:r w:rsidRPr="00C06677">
              <w:rPr>
                <w:color w:val="000000" w:themeColor="text1"/>
              </w:rPr>
              <w:t>-273</w:t>
            </w:r>
          </w:p>
        </w:tc>
        <w:tc>
          <w:tcPr>
            <w:tcW w:w="1085" w:type="dxa"/>
            <w:tcBorders>
              <w:top w:val="nil"/>
              <w:bottom w:val="nil"/>
            </w:tcBorders>
            <w:vAlign w:val="center"/>
          </w:tcPr>
          <w:p w14:paraId="46286653" w14:textId="77777777" w:rsidR="00D64F09" w:rsidRPr="00C06677" w:rsidRDefault="00D64F09" w:rsidP="00531BD6">
            <w:pPr>
              <w:spacing w:before="120" w:after="120"/>
              <w:jc w:val="center"/>
              <w:rPr>
                <w:color w:val="000000" w:themeColor="text1"/>
              </w:rPr>
            </w:pPr>
            <w:r w:rsidRPr="00C06677">
              <w:rPr>
                <w:rFonts w:ascii="Segoe UI Symbol" w:hAnsi="Segoe UI Symbol"/>
                <w:b/>
                <w:bCs/>
                <w:color w:val="000000" w:themeColor="text1"/>
              </w:rPr>
              <w:t>✓</w:t>
            </w:r>
          </w:p>
        </w:tc>
      </w:tr>
      <w:tr w:rsidR="00D64F09" w:rsidRPr="00C06677" w14:paraId="6ACE1406" w14:textId="77777777" w:rsidTr="00531BD6">
        <w:trPr>
          <w:jc w:val="center"/>
        </w:trPr>
        <w:tc>
          <w:tcPr>
            <w:tcW w:w="3325" w:type="dxa"/>
            <w:tcBorders>
              <w:top w:val="nil"/>
              <w:bottom w:val="nil"/>
            </w:tcBorders>
            <w:vAlign w:val="center"/>
          </w:tcPr>
          <w:p w14:paraId="38B70C01" w14:textId="77777777" w:rsidR="00D64F09" w:rsidRPr="00C06677" w:rsidRDefault="00D64F09" w:rsidP="00531BD6">
            <w:pPr>
              <w:spacing w:before="120" w:after="120"/>
              <w:jc w:val="right"/>
              <w:rPr>
                <w:color w:val="000000" w:themeColor="text1"/>
              </w:rPr>
            </w:pPr>
            <w:r w:rsidRPr="00C06677">
              <w:rPr>
                <w:color w:val="000000" w:themeColor="text1"/>
              </w:rPr>
              <w:t xml:space="preserve">In-group </w:t>
            </w:r>
            <w:r>
              <w:rPr>
                <w:color w:val="000000" w:themeColor="text1"/>
              </w:rPr>
              <w:t>Start Point</w:t>
            </w:r>
            <w:r w:rsidRPr="00C06677">
              <w:rPr>
                <w:color w:val="000000" w:themeColor="text1"/>
              </w:rPr>
              <w:t xml:space="preserve"> Bias + In</w:t>
            </w:r>
            <w:r>
              <w:rPr>
                <w:color w:val="000000" w:themeColor="text1"/>
              </w:rPr>
              <w:noBreakHyphen/>
            </w:r>
            <w:r w:rsidRPr="00C06677">
              <w:rPr>
                <w:color w:val="000000" w:themeColor="text1"/>
              </w:rPr>
              <w:t>group Value Change</w:t>
            </w:r>
          </w:p>
        </w:tc>
        <w:tc>
          <w:tcPr>
            <w:tcW w:w="1800" w:type="dxa"/>
            <w:tcBorders>
              <w:top w:val="nil"/>
              <w:bottom w:val="nil"/>
            </w:tcBorders>
            <w:vAlign w:val="center"/>
          </w:tcPr>
          <w:p w14:paraId="615458FB" w14:textId="77777777" w:rsidR="00D64F09" w:rsidRPr="00C06677" w:rsidRDefault="00D64F09" w:rsidP="00531BD6">
            <w:pPr>
              <w:spacing w:before="120" w:after="120"/>
              <w:jc w:val="center"/>
              <w:rPr>
                <w:color w:val="000000" w:themeColor="text1"/>
              </w:rPr>
            </w:pPr>
            <w:r w:rsidRPr="00C06677">
              <w:rPr>
                <w:color w:val="000000" w:themeColor="text1"/>
              </w:rPr>
              <w:t>7</w:t>
            </w:r>
          </w:p>
        </w:tc>
        <w:tc>
          <w:tcPr>
            <w:tcW w:w="990" w:type="dxa"/>
            <w:tcBorders>
              <w:top w:val="nil"/>
              <w:bottom w:val="nil"/>
            </w:tcBorders>
            <w:vAlign w:val="center"/>
          </w:tcPr>
          <w:p w14:paraId="7BE66E1F" w14:textId="77777777" w:rsidR="00D64F09" w:rsidRPr="00C06677" w:rsidRDefault="00D64F09" w:rsidP="00531BD6">
            <w:pPr>
              <w:spacing w:before="120" w:after="120"/>
              <w:jc w:val="center"/>
              <w:rPr>
                <w:color w:val="000000" w:themeColor="text1"/>
              </w:rPr>
            </w:pPr>
            <w:r w:rsidRPr="00C06677">
              <w:rPr>
                <w:color w:val="000000" w:themeColor="text1"/>
              </w:rPr>
              <w:t>0.91</w:t>
            </w:r>
          </w:p>
        </w:tc>
        <w:tc>
          <w:tcPr>
            <w:tcW w:w="990" w:type="dxa"/>
            <w:tcBorders>
              <w:top w:val="nil"/>
              <w:bottom w:val="nil"/>
            </w:tcBorders>
            <w:vAlign w:val="center"/>
          </w:tcPr>
          <w:p w14:paraId="521B8C67" w14:textId="77777777" w:rsidR="00D64F09" w:rsidRPr="00C06677" w:rsidRDefault="00D64F09" w:rsidP="00531BD6">
            <w:pPr>
              <w:spacing w:before="120" w:after="120"/>
              <w:jc w:val="center"/>
              <w:rPr>
                <w:color w:val="000000" w:themeColor="text1"/>
              </w:rPr>
            </w:pPr>
            <w:r w:rsidRPr="00C06677">
              <w:rPr>
                <w:color w:val="000000" w:themeColor="text1"/>
              </w:rPr>
              <w:t>-254</w:t>
            </w:r>
          </w:p>
        </w:tc>
        <w:tc>
          <w:tcPr>
            <w:tcW w:w="1085" w:type="dxa"/>
            <w:tcBorders>
              <w:top w:val="nil"/>
              <w:bottom w:val="nil"/>
            </w:tcBorders>
            <w:vAlign w:val="center"/>
          </w:tcPr>
          <w:p w14:paraId="05E6300D" w14:textId="77777777" w:rsidR="00D64F09" w:rsidRPr="00C06677" w:rsidRDefault="00D64F09" w:rsidP="00531BD6">
            <w:pPr>
              <w:spacing w:before="120" w:after="120"/>
              <w:jc w:val="center"/>
              <w:rPr>
                <w:color w:val="000000" w:themeColor="text1"/>
              </w:rPr>
            </w:pPr>
          </w:p>
        </w:tc>
      </w:tr>
      <w:tr w:rsidR="00D64F09" w:rsidRPr="00C06677" w14:paraId="691AA329" w14:textId="77777777" w:rsidTr="00531BD6">
        <w:trPr>
          <w:jc w:val="center"/>
        </w:trPr>
        <w:tc>
          <w:tcPr>
            <w:tcW w:w="8190" w:type="dxa"/>
            <w:gridSpan w:val="5"/>
            <w:tcBorders>
              <w:bottom w:val="nil"/>
            </w:tcBorders>
            <w:vAlign w:val="center"/>
          </w:tcPr>
          <w:p w14:paraId="7EE317F2" w14:textId="77777777" w:rsidR="00D64F09" w:rsidRPr="00C06677" w:rsidRDefault="00D64F09" w:rsidP="00531BD6">
            <w:pPr>
              <w:spacing w:before="120" w:after="120"/>
              <w:jc w:val="center"/>
              <w:rPr>
                <w:color w:val="000000" w:themeColor="text1"/>
              </w:rPr>
            </w:pPr>
            <w:r w:rsidRPr="00C06677">
              <w:rPr>
                <w:color w:val="000000" w:themeColor="text1"/>
              </w:rPr>
              <w:t xml:space="preserve">Experiment </w:t>
            </w:r>
            <w:r>
              <w:rPr>
                <w:color w:val="000000" w:themeColor="text1"/>
              </w:rPr>
              <w:t>4</w:t>
            </w:r>
          </w:p>
        </w:tc>
      </w:tr>
      <w:tr w:rsidR="00D64F09" w:rsidRPr="00C06677" w14:paraId="6211BD6C" w14:textId="77777777" w:rsidTr="00531BD6">
        <w:trPr>
          <w:jc w:val="center"/>
        </w:trPr>
        <w:tc>
          <w:tcPr>
            <w:tcW w:w="3325" w:type="dxa"/>
            <w:tcBorders>
              <w:top w:val="nil"/>
            </w:tcBorders>
            <w:vAlign w:val="center"/>
          </w:tcPr>
          <w:p w14:paraId="3DF24CA9" w14:textId="77777777" w:rsidR="00D64F09" w:rsidRPr="00C06677" w:rsidRDefault="00D64F09" w:rsidP="00531BD6">
            <w:pPr>
              <w:jc w:val="center"/>
              <w:rPr>
                <w:color w:val="000000" w:themeColor="text1"/>
              </w:rPr>
            </w:pPr>
            <w:r w:rsidRPr="00C06677">
              <w:rPr>
                <w:color w:val="000000" w:themeColor="text1"/>
              </w:rPr>
              <w:t>Model</w:t>
            </w:r>
          </w:p>
        </w:tc>
        <w:tc>
          <w:tcPr>
            <w:tcW w:w="1800" w:type="dxa"/>
            <w:tcBorders>
              <w:top w:val="nil"/>
            </w:tcBorders>
            <w:vAlign w:val="center"/>
          </w:tcPr>
          <w:p w14:paraId="1373D766" w14:textId="77777777" w:rsidR="00D64F09" w:rsidRPr="00C06677" w:rsidRDefault="00D64F09" w:rsidP="00531BD6">
            <w:pPr>
              <w:jc w:val="center"/>
              <w:rPr>
                <w:color w:val="000000" w:themeColor="text1"/>
              </w:rPr>
            </w:pPr>
            <w:r w:rsidRPr="00C06677">
              <w:rPr>
                <w:color w:val="000000" w:themeColor="text1"/>
              </w:rPr>
              <w:t>Free Parameters</w:t>
            </w:r>
          </w:p>
        </w:tc>
        <w:tc>
          <w:tcPr>
            <w:tcW w:w="990" w:type="dxa"/>
            <w:tcBorders>
              <w:top w:val="nil"/>
            </w:tcBorders>
            <w:vAlign w:val="center"/>
          </w:tcPr>
          <w:p w14:paraId="5E1B1C06" w14:textId="77777777" w:rsidR="00D64F09" w:rsidRPr="001969F7" w:rsidRDefault="00D64F09" w:rsidP="00531BD6">
            <w:pPr>
              <w:jc w:val="center"/>
              <w:rPr>
                <w:i/>
                <w:iCs/>
                <w:color w:val="000000" w:themeColor="text1"/>
              </w:rPr>
            </w:pPr>
            <w:r w:rsidRPr="001969F7">
              <w:rPr>
                <w:i/>
                <w:iCs/>
                <w:color w:val="000000" w:themeColor="text1"/>
              </w:rPr>
              <w:t>r</w:t>
            </w:r>
            <w:r w:rsidRPr="001969F7">
              <w:rPr>
                <w:i/>
                <w:iCs/>
                <w:color w:val="000000" w:themeColor="text1"/>
                <w:vertAlign w:val="superscript"/>
              </w:rPr>
              <w:t>2</w:t>
            </w:r>
          </w:p>
        </w:tc>
        <w:tc>
          <w:tcPr>
            <w:tcW w:w="990" w:type="dxa"/>
            <w:tcBorders>
              <w:top w:val="nil"/>
            </w:tcBorders>
            <w:vAlign w:val="center"/>
          </w:tcPr>
          <w:p w14:paraId="510F0651" w14:textId="77777777" w:rsidR="00D64F09" w:rsidRPr="00C06677" w:rsidRDefault="00D64F09" w:rsidP="00531BD6">
            <w:pPr>
              <w:jc w:val="center"/>
              <w:rPr>
                <w:color w:val="000000" w:themeColor="text1"/>
              </w:rPr>
            </w:pPr>
            <w:r w:rsidRPr="00C06677">
              <w:rPr>
                <w:color w:val="000000" w:themeColor="text1"/>
              </w:rPr>
              <w:t>BIC</w:t>
            </w:r>
          </w:p>
        </w:tc>
        <w:tc>
          <w:tcPr>
            <w:tcW w:w="1085" w:type="dxa"/>
            <w:tcBorders>
              <w:top w:val="nil"/>
            </w:tcBorders>
            <w:vAlign w:val="center"/>
          </w:tcPr>
          <w:p w14:paraId="48724018" w14:textId="77777777" w:rsidR="00D64F09" w:rsidRPr="00C06677" w:rsidRDefault="00D64F09" w:rsidP="00531BD6">
            <w:pPr>
              <w:jc w:val="center"/>
              <w:rPr>
                <w:color w:val="000000" w:themeColor="text1"/>
              </w:rPr>
            </w:pPr>
            <w:r w:rsidRPr="00C06677">
              <w:rPr>
                <w:color w:val="000000" w:themeColor="text1"/>
              </w:rPr>
              <w:t>Best Fit</w:t>
            </w:r>
          </w:p>
        </w:tc>
      </w:tr>
      <w:tr w:rsidR="00D64F09" w:rsidRPr="00C06677" w14:paraId="0FAD7E9C" w14:textId="77777777" w:rsidTr="00531BD6">
        <w:trPr>
          <w:jc w:val="center"/>
        </w:trPr>
        <w:tc>
          <w:tcPr>
            <w:tcW w:w="3325" w:type="dxa"/>
            <w:tcBorders>
              <w:bottom w:val="nil"/>
            </w:tcBorders>
            <w:vAlign w:val="center"/>
          </w:tcPr>
          <w:p w14:paraId="5D9CB6DE" w14:textId="77777777" w:rsidR="00D64F09" w:rsidRPr="00C06677" w:rsidRDefault="00D64F09" w:rsidP="00531BD6">
            <w:pPr>
              <w:spacing w:before="120" w:after="120"/>
              <w:jc w:val="right"/>
              <w:rPr>
                <w:color w:val="000000" w:themeColor="text1"/>
              </w:rPr>
            </w:pPr>
            <w:r w:rsidRPr="00C06677">
              <w:rPr>
                <w:color w:val="000000" w:themeColor="text1"/>
              </w:rPr>
              <w:t>Value Constant</w:t>
            </w:r>
          </w:p>
        </w:tc>
        <w:tc>
          <w:tcPr>
            <w:tcW w:w="1800" w:type="dxa"/>
            <w:tcBorders>
              <w:bottom w:val="nil"/>
            </w:tcBorders>
            <w:vAlign w:val="center"/>
          </w:tcPr>
          <w:p w14:paraId="60204C4C" w14:textId="77777777" w:rsidR="00D64F09" w:rsidRPr="00C06677" w:rsidRDefault="00D64F09" w:rsidP="00531BD6">
            <w:pPr>
              <w:spacing w:before="120" w:after="120"/>
              <w:jc w:val="center"/>
              <w:rPr>
                <w:color w:val="000000" w:themeColor="text1"/>
              </w:rPr>
            </w:pPr>
            <w:r w:rsidRPr="00C06677">
              <w:rPr>
                <w:color w:val="000000" w:themeColor="text1"/>
              </w:rPr>
              <w:t>5</w:t>
            </w:r>
          </w:p>
        </w:tc>
        <w:tc>
          <w:tcPr>
            <w:tcW w:w="990" w:type="dxa"/>
            <w:tcBorders>
              <w:bottom w:val="nil"/>
            </w:tcBorders>
            <w:vAlign w:val="center"/>
          </w:tcPr>
          <w:p w14:paraId="521BDDCB" w14:textId="77777777" w:rsidR="00D64F09" w:rsidRPr="00C06677" w:rsidRDefault="00D64F09" w:rsidP="00531BD6">
            <w:pPr>
              <w:spacing w:before="120" w:after="120"/>
              <w:jc w:val="center"/>
              <w:rPr>
                <w:color w:val="000000" w:themeColor="text1"/>
              </w:rPr>
            </w:pPr>
            <w:r w:rsidRPr="00C06677">
              <w:rPr>
                <w:color w:val="000000" w:themeColor="text1"/>
              </w:rPr>
              <w:t>0.</w:t>
            </w:r>
            <w:r>
              <w:rPr>
                <w:color w:val="000000" w:themeColor="text1"/>
              </w:rPr>
              <w:t>79</w:t>
            </w:r>
          </w:p>
        </w:tc>
        <w:tc>
          <w:tcPr>
            <w:tcW w:w="990" w:type="dxa"/>
            <w:tcBorders>
              <w:bottom w:val="nil"/>
            </w:tcBorders>
            <w:vAlign w:val="center"/>
          </w:tcPr>
          <w:p w14:paraId="12189AF4" w14:textId="77777777" w:rsidR="00D64F09" w:rsidRPr="00C06677" w:rsidRDefault="00D64F09" w:rsidP="00531BD6">
            <w:pPr>
              <w:spacing w:before="120" w:after="120"/>
              <w:jc w:val="center"/>
              <w:rPr>
                <w:color w:val="000000" w:themeColor="text1"/>
              </w:rPr>
            </w:pPr>
            <w:r w:rsidRPr="00C06677">
              <w:rPr>
                <w:color w:val="000000" w:themeColor="text1"/>
              </w:rPr>
              <w:t>-</w:t>
            </w:r>
            <w:r>
              <w:rPr>
                <w:color w:val="000000" w:themeColor="text1"/>
              </w:rPr>
              <w:t>115</w:t>
            </w:r>
          </w:p>
        </w:tc>
        <w:tc>
          <w:tcPr>
            <w:tcW w:w="1085" w:type="dxa"/>
            <w:tcBorders>
              <w:bottom w:val="nil"/>
            </w:tcBorders>
            <w:vAlign w:val="center"/>
          </w:tcPr>
          <w:p w14:paraId="54FD2CD3" w14:textId="77777777" w:rsidR="00D64F09" w:rsidRPr="00C06677" w:rsidRDefault="00D64F09" w:rsidP="00531BD6">
            <w:pPr>
              <w:spacing w:before="120" w:after="120"/>
              <w:jc w:val="center"/>
              <w:rPr>
                <w:color w:val="000000" w:themeColor="text1"/>
              </w:rPr>
            </w:pPr>
          </w:p>
        </w:tc>
      </w:tr>
      <w:tr w:rsidR="00D64F09" w:rsidRPr="00C06677" w14:paraId="77D11D66" w14:textId="77777777" w:rsidTr="00531BD6">
        <w:trPr>
          <w:jc w:val="center"/>
        </w:trPr>
        <w:tc>
          <w:tcPr>
            <w:tcW w:w="3325" w:type="dxa"/>
            <w:tcBorders>
              <w:top w:val="nil"/>
              <w:bottom w:val="nil"/>
            </w:tcBorders>
            <w:vAlign w:val="center"/>
          </w:tcPr>
          <w:p w14:paraId="0DDEE5FD" w14:textId="77777777" w:rsidR="00D64F09" w:rsidRPr="00C06677" w:rsidRDefault="00D64F09" w:rsidP="00531BD6">
            <w:pPr>
              <w:spacing w:before="120" w:after="120"/>
              <w:jc w:val="right"/>
              <w:rPr>
                <w:color w:val="000000" w:themeColor="text1"/>
              </w:rPr>
            </w:pPr>
            <w:r>
              <w:rPr>
                <w:color w:val="000000" w:themeColor="text1"/>
              </w:rPr>
              <w:t>Start Point</w:t>
            </w:r>
            <w:r w:rsidRPr="00C06677">
              <w:rPr>
                <w:color w:val="000000" w:themeColor="text1"/>
              </w:rPr>
              <w:t xml:space="preserve"> Bias</w:t>
            </w:r>
          </w:p>
        </w:tc>
        <w:tc>
          <w:tcPr>
            <w:tcW w:w="1800" w:type="dxa"/>
            <w:tcBorders>
              <w:top w:val="nil"/>
              <w:bottom w:val="nil"/>
            </w:tcBorders>
            <w:vAlign w:val="center"/>
          </w:tcPr>
          <w:p w14:paraId="3B29E10B" w14:textId="77777777" w:rsidR="00D64F09" w:rsidRPr="00C06677" w:rsidRDefault="00D64F09" w:rsidP="00531BD6">
            <w:pPr>
              <w:spacing w:before="120" w:after="120"/>
              <w:jc w:val="center"/>
              <w:rPr>
                <w:color w:val="000000" w:themeColor="text1"/>
              </w:rPr>
            </w:pPr>
            <w:r w:rsidRPr="00C06677">
              <w:rPr>
                <w:color w:val="000000" w:themeColor="text1"/>
              </w:rPr>
              <w:t>6</w:t>
            </w:r>
          </w:p>
        </w:tc>
        <w:tc>
          <w:tcPr>
            <w:tcW w:w="990" w:type="dxa"/>
            <w:tcBorders>
              <w:top w:val="nil"/>
              <w:bottom w:val="nil"/>
            </w:tcBorders>
            <w:vAlign w:val="center"/>
          </w:tcPr>
          <w:p w14:paraId="50AB3D6F" w14:textId="77777777" w:rsidR="00D64F09" w:rsidRPr="00C06677" w:rsidRDefault="00D64F09" w:rsidP="00531BD6">
            <w:pPr>
              <w:spacing w:before="120" w:after="120"/>
              <w:jc w:val="center"/>
              <w:rPr>
                <w:color w:val="000000" w:themeColor="text1"/>
              </w:rPr>
            </w:pPr>
            <w:r w:rsidRPr="00C06677">
              <w:rPr>
                <w:color w:val="000000" w:themeColor="text1"/>
              </w:rPr>
              <w:t>0.8</w:t>
            </w:r>
            <w:r>
              <w:rPr>
                <w:color w:val="000000" w:themeColor="text1"/>
              </w:rPr>
              <w:t>0</w:t>
            </w:r>
          </w:p>
        </w:tc>
        <w:tc>
          <w:tcPr>
            <w:tcW w:w="990" w:type="dxa"/>
            <w:tcBorders>
              <w:top w:val="nil"/>
              <w:bottom w:val="nil"/>
            </w:tcBorders>
            <w:vAlign w:val="center"/>
          </w:tcPr>
          <w:p w14:paraId="5460AE61" w14:textId="77777777" w:rsidR="00D64F09" w:rsidRPr="00C06677" w:rsidRDefault="00D64F09" w:rsidP="00531BD6">
            <w:pPr>
              <w:spacing w:before="120" w:after="120"/>
              <w:jc w:val="center"/>
              <w:rPr>
                <w:color w:val="000000" w:themeColor="text1"/>
              </w:rPr>
            </w:pPr>
            <w:r w:rsidRPr="00C06677">
              <w:rPr>
                <w:color w:val="000000" w:themeColor="text1"/>
              </w:rPr>
              <w:t>-</w:t>
            </w:r>
            <w:r>
              <w:rPr>
                <w:color w:val="000000" w:themeColor="text1"/>
              </w:rPr>
              <w:t>114</w:t>
            </w:r>
          </w:p>
        </w:tc>
        <w:tc>
          <w:tcPr>
            <w:tcW w:w="1085" w:type="dxa"/>
            <w:tcBorders>
              <w:top w:val="nil"/>
              <w:bottom w:val="nil"/>
            </w:tcBorders>
            <w:vAlign w:val="center"/>
          </w:tcPr>
          <w:p w14:paraId="1C0E9E06" w14:textId="77777777" w:rsidR="00D64F09" w:rsidRPr="00C06677" w:rsidRDefault="00D64F09" w:rsidP="00531BD6">
            <w:pPr>
              <w:spacing w:before="120" w:after="120"/>
              <w:jc w:val="center"/>
              <w:rPr>
                <w:color w:val="000000" w:themeColor="text1"/>
              </w:rPr>
            </w:pPr>
          </w:p>
        </w:tc>
      </w:tr>
      <w:tr w:rsidR="00D64F09" w:rsidRPr="00C06677" w14:paraId="470B5457" w14:textId="77777777" w:rsidTr="002D6464">
        <w:trPr>
          <w:jc w:val="center"/>
        </w:trPr>
        <w:tc>
          <w:tcPr>
            <w:tcW w:w="3325" w:type="dxa"/>
            <w:tcBorders>
              <w:top w:val="nil"/>
              <w:bottom w:val="nil"/>
            </w:tcBorders>
            <w:vAlign w:val="center"/>
          </w:tcPr>
          <w:p w14:paraId="2C61CE5D" w14:textId="77777777" w:rsidR="00D64F09" w:rsidRPr="00C06677" w:rsidRDefault="00D64F09" w:rsidP="00531BD6">
            <w:pPr>
              <w:spacing w:before="120" w:after="120"/>
              <w:jc w:val="right"/>
              <w:rPr>
                <w:color w:val="000000" w:themeColor="text1"/>
              </w:rPr>
            </w:pPr>
            <w:r>
              <w:rPr>
                <w:color w:val="000000" w:themeColor="text1"/>
              </w:rPr>
              <w:t>Dollar</w:t>
            </w:r>
            <w:r w:rsidRPr="00C06677">
              <w:rPr>
                <w:color w:val="000000" w:themeColor="text1"/>
              </w:rPr>
              <w:t xml:space="preserve"> Value Change</w:t>
            </w:r>
          </w:p>
        </w:tc>
        <w:tc>
          <w:tcPr>
            <w:tcW w:w="1800" w:type="dxa"/>
            <w:tcBorders>
              <w:top w:val="nil"/>
              <w:bottom w:val="nil"/>
            </w:tcBorders>
            <w:vAlign w:val="center"/>
          </w:tcPr>
          <w:p w14:paraId="3F368673" w14:textId="77777777" w:rsidR="00D64F09" w:rsidRPr="00C06677" w:rsidRDefault="00D64F09" w:rsidP="00531BD6">
            <w:pPr>
              <w:spacing w:before="120" w:after="120"/>
              <w:jc w:val="center"/>
              <w:rPr>
                <w:color w:val="000000" w:themeColor="text1"/>
              </w:rPr>
            </w:pPr>
            <w:r>
              <w:rPr>
                <w:color w:val="000000" w:themeColor="text1"/>
              </w:rPr>
              <w:t>7</w:t>
            </w:r>
          </w:p>
        </w:tc>
        <w:tc>
          <w:tcPr>
            <w:tcW w:w="990" w:type="dxa"/>
            <w:tcBorders>
              <w:top w:val="nil"/>
              <w:bottom w:val="nil"/>
            </w:tcBorders>
            <w:vAlign w:val="center"/>
          </w:tcPr>
          <w:p w14:paraId="29D0BA41" w14:textId="77777777" w:rsidR="00D64F09" w:rsidRPr="00C06677" w:rsidRDefault="00D64F09" w:rsidP="00531BD6">
            <w:pPr>
              <w:spacing w:before="120" w:after="120"/>
              <w:jc w:val="center"/>
              <w:rPr>
                <w:color w:val="000000" w:themeColor="text1"/>
              </w:rPr>
            </w:pPr>
            <w:r w:rsidRPr="00C06677">
              <w:rPr>
                <w:color w:val="000000" w:themeColor="text1"/>
              </w:rPr>
              <w:t>0.</w:t>
            </w:r>
            <w:r>
              <w:rPr>
                <w:color w:val="000000" w:themeColor="text1"/>
              </w:rPr>
              <w:t>86</w:t>
            </w:r>
          </w:p>
        </w:tc>
        <w:tc>
          <w:tcPr>
            <w:tcW w:w="990" w:type="dxa"/>
            <w:tcBorders>
              <w:top w:val="nil"/>
              <w:bottom w:val="nil"/>
            </w:tcBorders>
            <w:vAlign w:val="center"/>
          </w:tcPr>
          <w:p w14:paraId="4786063C" w14:textId="77777777" w:rsidR="00D64F09" w:rsidRPr="00C06677" w:rsidRDefault="00D64F09" w:rsidP="00531BD6">
            <w:pPr>
              <w:spacing w:before="120" w:after="120"/>
              <w:jc w:val="center"/>
              <w:rPr>
                <w:color w:val="000000" w:themeColor="text1"/>
              </w:rPr>
            </w:pPr>
            <w:r w:rsidRPr="00C06677">
              <w:rPr>
                <w:color w:val="000000" w:themeColor="text1"/>
              </w:rPr>
              <w:t>-</w:t>
            </w:r>
            <w:r>
              <w:rPr>
                <w:color w:val="000000" w:themeColor="text1"/>
              </w:rPr>
              <w:t>133</w:t>
            </w:r>
          </w:p>
        </w:tc>
        <w:tc>
          <w:tcPr>
            <w:tcW w:w="1085" w:type="dxa"/>
            <w:tcBorders>
              <w:top w:val="nil"/>
              <w:bottom w:val="nil"/>
            </w:tcBorders>
            <w:vAlign w:val="center"/>
          </w:tcPr>
          <w:p w14:paraId="7BAA1598" w14:textId="77777777" w:rsidR="00D64F09" w:rsidRPr="00C06677" w:rsidRDefault="00D64F09" w:rsidP="00531BD6">
            <w:pPr>
              <w:spacing w:before="120" w:after="120"/>
              <w:jc w:val="center"/>
              <w:rPr>
                <w:color w:val="000000" w:themeColor="text1"/>
              </w:rPr>
            </w:pPr>
            <w:r w:rsidRPr="00C06677">
              <w:rPr>
                <w:rFonts w:ascii="Segoe UI Symbol" w:hAnsi="Segoe UI Symbol"/>
                <w:b/>
                <w:bCs/>
                <w:color w:val="000000" w:themeColor="text1"/>
              </w:rPr>
              <w:t>✓</w:t>
            </w:r>
          </w:p>
        </w:tc>
      </w:tr>
      <w:tr w:rsidR="00D64F09" w:rsidRPr="00C06677" w14:paraId="1F91144F" w14:textId="77777777" w:rsidTr="002D6464">
        <w:trPr>
          <w:jc w:val="center"/>
        </w:trPr>
        <w:tc>
          <w:tcPr>
            <w:tcW w:w="3325" w:type="dxa"/>
            <w:tcBorders>
              <w:top w:val="nil"/>
              <w:bottom w:val="nil"/>
            </w:tcBorders>
            <w:vAlign w:val="center"/>
          </w:tcPr>
          <w:p w14:paraId="18AF6BA5" w14:textId="77777777" w:rsidR="00D64F09" w:rsidRDefault="00D64F09" w:rsidP="00531BD6">
            <w:pPr>
              <w:spacing w:before="120"/>
              <w:jc w:val="right"/>
              <w:rPr>
                <w:color w:val="000000" w:themeColor="text1"/>
              </w:rPr>
            </w:pPr>
            <w:r>
              <w:rPr>
                <w:color w:val="000000" w:themeColor="text1"/>
              </w:rPr>
              <w:lastRenderedPageBreak/>
              <w:t>Dollar Start Point</w:t>
            </w:r>
            <w:r w:rsidRPr="00C06677">
              <w:rPr>
                <w:color w:val="000000" w:themeColor="text1"/>
              </w:rPr>
              <w:t xml:space="preserve"> Bias</w:t>
            </w:r>
          </w:p>
        </w:tc>
        <w:tc>
          <w:tcPr>
            <w:tcW w:w="1800" w:type="dxa"/>
            <w:tcBorders>
              <w:top w:val="nil"/>
              <w:bottom w:val="nil"/>
            </w:tcBorders>
            <w:vAlign w:val="center"/>
          </w:tcPr>
          <w:p w14:paraId="1CC14AD9" w14:textId="77777777" w:rsidR="00D64F09" w:rsidRDefault="00D64F09" w:rsidP="00531BD6">
            <w:pPr>
              <w:spacing w:before="120" w:after="120"/>
              <w:jc w:val="center"/>
              <w:rPr>
                <w:color w:val="000000" w:themeColor="text1"/>
              </w:rPr>
            </w:pPr>
            <w:r>
              <w:rPr>
                <w:color w:val="000000" w:themeColor="text1"/>
              </w:rPr>
              <w:t>8</w:t>
            </w:r>
          </w:p>
        </w:tc>
        <w:tc>
          <w:tcPr>
            <w:tcW w:w="990" w:type="dxa"/>
            <w:tcBorders>
              <w:top w:val="nil"/>
              <w:bottom w:val="nil"/>
            </w:tcBorders>
            <w:vAlign w:val="center"/>
          </w:tcPr>
          <w:p w14:paraId="3E611942" w14:textId="77777777" w:rsidR="00D64F09" w:rsidRPr="00C06677" w:rsidRDefault="00D64F09" w:rsidP="00531BD6">
            <w:pPr>
              <w:spacing w:before="120" w:after="120"/>
              <w:jc w:val="center"/>
              <w:rPr>
                <w:color w:val="000000" w:themeColor="text1"/>
              </w:rPr>
            </w:pPr>
            <w:r>
              <w:rPr>
                <w:color w:val="000000" w:themeColor="text1"/>
              </w:rPr>
              <w:t>0.86</w:t>
            </w:r>
          </w:p>
        </w:tc>
        <w:tc>
          <w:tcPr>
            <w:tcW w:w="990" w:type="dxa"/>
            <w:tcBorders>
              <w:top w:val="nil"/>
              <w:bottom w:val="nil"/>
            </w:tcBorders>
            <w:vAlign w:val="center"/>
          </w:tcPr>
          <w:p w14:paraId="2E12DC2F" w14:textId="77777777" w:rsidR="00D64F09" w:rsidRPr="00C06677" w:rsidRDefault="00D64F09" w:rsidP="00531BD6">
            <w:pPr>
              <w:spacing w:before="120" w:after="120"/>
              <w:jc w:val="center"/>
              <w:rPr>
                <w:color w:val="000000" w:themeColor="text1"/>
              </w:rPr>
            </w:pPr>
            <w:r>
              <w:rPr>
                <w:color w:val="000000" w:themeColor="text1"/>
              </w:rPr>
              <w:t>-127</w:t>
            </w:r>
          </w:p>
        </w:tc>
        <w:tc>
          <w:tcPr>
            <w:tcW w:w="1085" w:type="dxa"/>
            <w:tcBorders>
              <w:top w:val="nil"/>
              <w:bottom w:val="nil"/>
            </w:tcBorders>
            <w:vAlign w:val="center"/>
          </w:tcPr>
          <w:p w14:paraId="2495BD6F" w14:textId="77777777" w:rsidR="00D64F09" w:rsidRPr="00C06677" w:rsidRDefault="00D64F09" w:rsidP="00531BD6">
            <w:pPr>
              <w:spacing w:before="120" w:after="120"/>
              <w:jc w:val="center"/>
              <w:rPr>
                <w:color w:val="000000" w:themeColor="text1"/>
              </w:rPr>
            </w:pPr>
          </w:p>
        </w:tc>
      </w:tr>
      <w:tr w:rsidR="00D64F09" w:rsidRPr="00C06677" w14:paraId="11893428" w14:textId="77777777" w:rsidTr="002D6464">
        <w:trPr>
          <w:jc w:val="center"/>
        </w:trPr>
        <w:tc>
          <w:tcPr>
            <w:tcW w:w="3325" w:type="dxa"/>
            <w:tcBorders>
              <w:top w:val="nil"/>
              <w:bottom w:val="nil"/>
            </w:tcBorders>
            <w:vAlign w:val="center"/>
          </w:tcPr>
          <w:p w14:paraId="1BC4CB08" w14:textId="77777777" w:rsidR="00D64F09" w:rsidRDefault="00D64F09" w:rsidP="00531BD6">
            <w:pPr>
              <w:spacing w:before="120"/>
              <w:jc w:val="right"/>
              <w:rPr>
                <w:color w:val="000000" w:themeColor="text1"/>
              </w:rPr>
            </w:pPr>
            <w:r>
              <w:rPr>
                <w:color w:val="000000" w:themeColor="text1"/>
              </w:rPr>
              <w:t>Start Point</w:t>
            </w:r>
            <w:r w:rsidRPr="00C06677">
              <w:rPr>
                <w:color w:val="000000" w:themeColor="text1"/>
              </w:rPr>
              <w:t xml:space="preserve"> Bias + </w:t>
            </w:r>
          </w:p>
          <w:p w14:paraId="67ADAB73" w14:textId="77777777" w:rsidR="00D64F09" w:rsidRPr="00C06677" w:rsidRDefault="00D64F09" w:rsidP="00531BD6">
            <w:pPr>
              <w:spacing w:after="120"/>
              <w:jc w:val="right"/>
              <w:rPr>
                <w:color w:val="000000" w:themeColor="text1"/>
              </w:rPr>
            </w:pPr>
            <w:r>
              <w:rPr>
                <w:color w:val="000000" w:themeColor="text1"/>
              </w:rPr>
              <w:t>Dollar</w:t>
            </w:r>
            <w:r w:rsidRPr="00C06677">
              <w:rPr>
                <w:color w:val="000000" w:themeColor="text1"/>
              </w:rPr>
              <w:t xml:space="preserve"> Value Change</w:t>
            </w:r>
          </w:p>
        </w:tc>
        <w:tc>
          <w:tcPr>
            <w:tcW w:w="1800" w:type="dxa"/>
            <w:tcBorders>
              <w:top w:val="nil"/>
              <w:bottom w:val="nil"/>
            </w:tcBorders>
            <w:vAlign w:val="center"/>
          </w:tcPr>
          <w:p w14:paraId="0C9747CD" w14:textId="77777777" w:rsidR="00D64F09" w:rsidRPr="00C06677" w:rsidRDefault="00D64F09" w:rsidP="00531BD6">
            <w:pPr>
              <w:spacing w:before="120" w:after="120"/>
              <w:jc w:val="center"/>
              <w:rPr>
                <w:color w:val="000000" w:themeColor="text1"/>
              </w:rPr>
            </w:pPr>
            <w:r>
              <w:rPr>
                <w:color w:val="000000" w:themeColor="text1"/>
              </w:rPr>
              <w:t>8</w:t>
            </w:r>
          </w:p>
        </w:tc>
        <w:tc>
          <w:tcPr>
            <w:tcW w:w="990" w:type="dxa"/>
            <w:tcBorders>
              <w:top w:val="nil"/>
              <w:bottom w:val="nil"/>
            </w:tcBorders>
            <w:vAlign w:val="center"/>
          </w:tcPr>
          <w:p w14:paraId="22AA41F7" w14:textId="77777777" w:rsidR="00D64F09" w:rsidRPr="00C06677" w:rsidRDefault="00D64F09" w:rsidP="00531BD6">
            <w:pPr>
              <w:spacing w:before="120" w:after="120"/>
              <w:jc w:val="center"/>
              <w:rPr>
                <w:color w:val="000000" w:themeColor="text1"/>
              </w:rPr>
            </w:pPr>
            <w:r w:rsidRPr="00C06677">
              <w:rPr>
                <w:color w:val="000000" w:themeColor="text1"/>
              </w:rPr>
              <w:t>0.</w:t>
            </w:r>
            <w:r>
              <w:rPr>
                <w:color w:val="000000" w:themeColor="text1"/>
              </w:rPr>
              <w:t>86</w:t>
            </w:r>
          </w:p>
        </w:tc>
        <w:tc>
          <w:tcPr>
            <w:tcW w:w="990" w:type="dxa"/>
            <w:tcBorders>
              <w:top w:val="nil"/>
              <w:bottom w:val="nil"/>
            </w:tcBorders>
            <w:vAlign w:val="center"/>
          </w:tcPr>
          <w:p w14:paraId="78B166EF" w14:textId="77777777" w:rsidR="00D64F09" w:rsidRPr="00C06677" w:rsidRDefault="00D64F09" w:rsidP="00531BD6">
            <w:pPr>
              <w:spacing w:before="120" w:after="120"/>
              <w:jc w:val="center"/>
              <w:rPr>
                <w:color w:val="000000" w:themeColor="text1"/>
              </w:rPr>
            </w:pPr>
            <w:r w:rsidRPr="00C06677">
              <w:rPr>
                <w:color w:val="000000" w:themeColor="text1"/>
              </w:rPr>
              <w:t>-</w:t>
            </w:r>
            <w:r>
              <w:rPr>
                <w:color w:val="000000" w:themeColor="text1"/>
              </w:rPr>
              <w:t>128</w:t>
            </w:r>
          </w:p>
        </w:tc>
        <w:tc>
          <w:tcPr>
            <w:tcW w:w="1085" w:type="dxa"/>
            <w:tcBorders>
              <w:top w:val="nil"/>
              <w:bottom w:val="nil"/>
            </w:tcBorders>
            <w:vAlign w:val="center"/>
          </w:tcPr>
          <w:p w14:paraId="48C6E698" w14:textId="77777777" w:rsidR="00D64F09" w:rsidRPr="00C06677" w:rsidRDefault="00D64F09" w:rsidP="00531BD6">
            <w:pPr>
              <w:spacing w:before="120" w:after="120"/>
              <w:jc w:val="center"/>
              <w:rPr>
                <w:color w:val="000000" w:themeColor="text1"/>
              </w:rPr>
            </w:pPr>
          </w:p>
        </w:tc>
      </w:tr>
      <w:tr w:rsidR="00D64F09" w:rsidRPr="00C06677" w14:paraId="7E609967" w14:textId="77777777" w:rsidTr="002D6464">
        <w:trPr>
          <w:jc w:val="center"/>
        </w:trPr>
        <w:tc>
          <w:tcPr>
            <w:tcW w:w="3325" w:type="dxa"/>
            <w:tcBorders>
              <w:top w:val="nil"/>
            </w:tcBorders>
            <w:vAlign w:val="center"/>
          </w:tcPr>
          <w:p w14:paraId="57A29B53" w14:textId="77777777" w:rsidR="00D64F09" w:rsidRDefault="00D64F09" w:rsidP="00531BD6">
            <w:pPr>
              <w:spacing w:before="120"/>
              <w:jc w:val="right"/>
              <w:rPr>
                <w:color w:val="000000" w:themeColor="text1"/>
              </w:rPr>
            </w:pPr>
            <w:r>
              <w:rPr>
                <w:color w:val="000000" w:themeColor="text1"/>
              </w:rPr>
              <w:t>Dollar Start Point</w:t>
            </w:r>
            <w:r w:rsidRPr="00C06677">
              <w:rPr>
                <w:color w:val="000000" w:themeColor="text1"/>
              </w:rPr>
              <w:t xml:space="preserve"> Bias + </w:t>
            </w:r>
          </w:p>
          <w:p w14:paraId="142DB338" w14:textId="77777777" w:rsidR="00D64F09" w:rsidRPr="00C06677" w:rsidRDefault="00D64F09" w:rsidP="00531BD6">
            <w:pPr>
              <w:spacing w:after="120"/>
              <w:jc w:val="right"/>
              <w:rPr>
                <w:color w:val="000000" w:themeColor="text1"/>
              </w:rPr>
            </w:pPr>
            <w:r>
              <w:rPr>
                <w:color w:val="000000" w:themeColor="text1"/>
              </w:rPr>
              <w:t>Dollar</w:t>
            </w:r>
            <w:r w:rsidRPr="00C06677">
              <w:rPr>
                <w:color w:val="000000" w:themeColor="text1"/>
              </w:rPr>
              <w:t xml:space="preserve"> Value Change</w:t>
            </w:r>
          </w:p>
        </w:tc>
        <w:tc>
          <w:tcPr>
            <w:tcW w:w="1800" w:type="dxa"/>
            <w:tcBorders>
              <w:top w:val="nil"/>
            </w:tcBorders>
            <w:vAlign w:val="center"/>
          </w:tcPr>
          <w:p w14:paraId="38412CAF" w14:textId="77777777" w:rsidR="00D64F09" w:rsidRPr="00C06677" w:rsidRDefault="00D64F09" w:rsidP="00531BD6">
            <w:pPr>
              <w:spacing w:before="120" w:after="120"/>
              <w:jc w:val="center"/>
              <w:rPr>
                <w:color w:val="000000" w:themeColor="text1"/>
              </w:rPr>
            </w:pPr>
            <w:r>
              <w:rPr>
                <w:color w:val="000000" w:themeColor="text1"/>
              </w:rPr>
              <w:t>10</w:t>
            </w:r>
          </w:p>
        </w:tc>
        <w:tc>
          <w:tcPr>
            <w:tcW w:w="990" w:type="dxa"/>
            <w:tcBorders>
              <w:top w:val="nil"/>
            </w:tcBorders>
            <w:vAlign w:val="center"/>
          </w:tcPr>
          <w:p w14:paraId="375BF809" w14:textId="77777777" w:rsidR="00D64F09" w:rsidRPr="00C06677" w:rsidRDefault="00D64F09" w:rsidP="00531BD6">
            <w:pPr>
              <w:spacing w:before="120" w:after="120"/>
              <w:jc w:val="center"/>
              <w:rPr>
                <w:color w:val="000000" w:themeColor="text1"/>
              </w:rPr>
            </w:pPr>
            <w:r>
              <w:rPr>
                <w:color w:val="000000" w:themeColor="text1"/>
              </w:rPr>
              <w:t>0.86</w:t>
            </w:r>
          </w:p>
        </w:tc>
        <w:tc>
          <w:tcPr>
            <w:tcW w:w="990" w:type="dxa"/>
            <w:tcBorders>
              <w:top w:val="nil"/>
            </w:tcBorders>
            <w:vAlign w:val="center"/>
          </w:tcPr>
          <w:p w14:paraId="5E474F87" w14:textId="77777777" w:rsidR="00D64F09" w:rsidRPr="00C06677" w:rsidRDefault="00D64F09" w:rsidP="00531BD6">
            <w:pPr>
              <w:spacing w:before="120" w:after="120"/>
              <w:jc w:val="center"/>
              <w:rPr>
                <w:color w:val="000000" w:themeColor="text1"/>
              </w:rPr>
            </w:pPr>
            <w:r>
              <w:rPr>
                <w:color w:val="000000" w:themeColor="text1"/>
              </w:rPr>
              <w:t>-122</w:t>
            </w:r>
          </w:p>
        </w:tc>
        <w:tc>
          <w:tcPr>
            <w:tcW w:w="1085" w:type="dxa"/>
            <w:tcBorders>
              <w:top w:val="nil"/>
            </w:tcBorders>
            <w:vAlign w:val="center"/>
          </w:tcPr>
          <w:p w14:paraId="70C2DB36" w14:textId="77777777" w:rsidR="00D64F09" w:rsidRPr="00C06677" w:rsidRDefault="00D64F09" w:rsidP="00531BD6">
            <w:pPr>
              <w:spacing w:before="120" w:after="120"/>
              <w:jc w:val="center"/>
              <w:rPr>
                <w:color w:val="000000" w:themeColor="text1"/>
              </w:rPr>
            </w:pPr>
          </w:p>
        </w:tc>
      </w:tr>
    </w:tbl>
    <w:p w14:paraId="5AEA0F1C" w14:textId="77777777" w:rsidR="00D64F09" w:rsidRDefault="00D64F09" w:rsidP="00D64F09">
      <w:pPr>
        <w:keepNext/>
        <w:outlineLvl w:val="0"/>
      </w:pPr>
    </w:p>
    <w:p w14:paraId="307D4A48" w14:textId="77777777" w:rsidR="00D64F09" w:rsidRPr="00C06677" w:rsidRDefault="00D64F09" w:rsidP="002D6464">
      <w:pPr>
        <w:keepNext/>
        <w:spacing w:line="480" w:lineRule="auto"/>
        <w:outlineLvl w:val="0"/>
        <w:rPr>
          <w:rFonts w:ascii="TimesNewRomanPSMT" w:hAnsi="TimesNewRomanPSMT"/>
        </w:rPr>
      </w:pPr>
    </w:p>
    <w:p w14:paraId="222D6E8F" w14:textId="6427659F" w:rsidR="004C5AE1" w:rsidRPr="001969F7" w:rsidRDefault="00CB1FE1" w:rsidP="004C5AE1">
      <w:pPr>
        <w:keepNext/>
        <w:spacing w:line="480" w:lineRule="auto"/>
        <w:ind w:firstLine="720"/>
        <w:outlineLvl w:val="0"/>
      </w:pPr>
      <w:r w:rsidRPr="001969F7">
        <w:t xml:space="preserve">Table 1 presents the </w:t>
      </w:r>
      <w:r w:rsidRPr="001969F7">
        <w:rPr>
          <w:i/>
          <w:iCs/>
        </w:rPr>
        <w:t>r</w:t>
      </w:r>
      <w:r w:rsidRPr="001969F7">
        <w:rPr>
          <w:i/>
          <w:iCs/>
          <w:vertAlign w:val="superscript"/>
        </w:rPr>
        <w:t>2</w:t>
      </w:r>
      <w:r w:rsidRPr="001969F7">
        <w:t xml:space="preserve"> and BIC for each model.  </w:t>
      </w:r>
      <w:r w:rsidR="00F84408" w:rsidRPr="001969F7">
        <w:t xml:space="preserve">All models fit the data </w:t>
      </w:r>
      <w:r w:rsidR="0010737E" w:rsidRPr="001969F7">
        <w:t xml:space="preserve">quite </w:t>
      </w:r>
      <w:r w:rsidR="00F84408" w:rsidRPr="001969F7">
        <w:t>well</w:t>
      </w:r>
      <w:r w:rsidRPr="001969F7">
        <w:t xml:space="preserve">, but the </w:t>
      </w:r>
      <w:r w:rsidR="00FC1C43" w:rsidRPr="005F68C8">
        <w:t xml:space="preserve">Value Constant + Side Bias Model </w:t>
      </w:r>
      <w:r w:rsidRPr="001969F7">
        <w:t xml:space="preserve">was the best fit with an </w:t>
      </w:r>
      <w:r w:rsidRPr="001969F7">
        <w:rPr>
          <w:i/>
          <w:iCs/>
        </w:rPr>
        <w:t>r</w:t>
      </w:r>
      <w:r w:rsidRPr="001969F7">
        <w:rPr>
          <w:i/>
          <w:iCs/>
          <w:vertAlign w:val="superscript"/>
        </w:rPr>
        <w:t>2</w:t>
      </w:r>
      <w:r w:rsidRPr="001969F7">
        <w:t xml:space="preserve"> = 0.9</w:t>
      </w:r>
      <w:r w:rsidR="00FC1C43" w:rsidRPr="001969F7">
        <w:t>5</w:t>
      </w:r>
      <w:r w:rsidR="00F84408" w:rsidRPr="001969F7">
        <w:t xml:space="preserve">. </w:t>
      </w:r>
      <w:r w:rsidR="000E0A62" w:rsidRPr="001969F7">
        <w:t xml:space="preserve">The </w:t>
      </w:r>
      <w:r w:rsidR="00220A68">
        <w:t xml:space="preserve">values of the </w:t>
      </w:r>
      <w:r w:rsidR="00FC1C43" w:rsidRPr="001969F7">
        <w:t xml:space="preserve">six </w:t>
      </w:r>
      <w:r w:rsidR="000E0A62" w:rsidRPr="001969F7">
        <w:t xml:space="preserve">free parameters are presented in Table 2. The boundary value represents </w:t>
      </w:r>
      <w:r w:rsidR="00C634D0" w:rsidRPr="001969F7">
        <w:t>0</w:t>
      </w:r>
      <w:r w:rsidR="00437D69" w:rsidRPr="001969F7">
        <w:t>.</w:t>
      </w:r>
      <w:r w:rsidR="00C634D0" w:rsidRPr="001969F7">
        <w:t xml:space="preserve">5 times the </w:t>
      </w:r>
      <w:r w:rsidR="000E0A62" w:rsidRPr="001969F7">
        <w:t xml:space="preserve">separation of the boundaries.  </w:t>
      </w:r>
      <w:r w:rsidR="00173F6D" w:rsidRPr="001969F7">
        <w:t xml:space="preserve">Although </w:t>
      </w:r>
      <w:r w:rsidR="00EB7739">
        <w:t xml:space="preserve">the </w:t>
      </w:r>
      <w:r w:rsidR="000E0A62" w:rsidRPr="001969F7">
        <w:t>boundary value cannot be interpreted in isolation</w:t>
      </w:r>
      <w:r w:rsidR="00173F6D" w:rsidRPr="001969F7">
        <w:t>, changes in boundary values across conditions, stimuli, etc., are meaningful</w:t>
      </w:r>
      <w:r w:rsidR="00973517" w:rsidRPr="001969F7">
        <w:t xml:space="preserve"> (e.g., a larger boundary in Condition A vs</w:t>
      </w:r>
      <w:r w:rsidR="008C794E" w:rsidRPr="001969F7">
        <w:t>.</w:t>
      </w:r>
      <w:r w:rsidR="00973517" w:rsidRPr="001969F7">
        <w:t xml:space="preserve"> Condition B indicates that participants have a greater accuracy bias in Condition A relative to Condition B)</w:t>
      </w:r>
      <w:r w:rsidR="000E0A62" w:rsidRPr="001969F7">
        <w:t xml:space="preserve">.  The positive recency of information effect, </w:t>
      </w:r>
      <w:r w:rsidR="000E0A62" w:rsidRPr="001969F7">
        <w:rPr>
          <w:i/>
          <w:iCs/>
        </w:rPr>
        <w:t>d</w:t>
      </w:r>
      <w:r w:rsidR="000E0A62" w:rsidRPr="001969F7">
        <w:rPr>
          <w:i/>
          <w:iCs/>
          <w:vertAlign w:val="subscript"/>
        </w:rPr>
        <w:t>B</w:t>
      </w:r>
      <w:r w:rsidR="000E0A62" w:rsidRPr="001969F7">
        <w:t xml:space="preserve">, indicates that as information accumulates over time, participants </w:t>
      </w:r>
      <w:r w:rsidR="008C794E" w:rsidRPr="001969F7">
        <w:t xml:space="preserve">placed more </w:t>
      </w:r>
      <w:r w:rsidR="000E0A62" w:rsidRPr="001969F7">
        <w:t>weight</w:t>
      </w:r>
      <w:r w:rsidR="008C794E" w:rsidRPr="001969F7">
        <w:t xml:space="preserve"> on</w:t>
      </w:r>
      <w:r w:rsidR="000E0A62" w:rsidRPr="001969F7">
        <w:t xml:space="preserve"> more recent information </w:t>
      </w:r>
      <w:r w:rsidR="008C794E" w:rsidRPr="001969F7">
        <w:t>than</w:t>
      </w:r>
      <w:r w:rsidR="000E0A62" w:rsidRPr="001969F7">
        <w:t xml:space="preserve"> more distant information.  This is a common finding </w:t>
      </w:r>
      <w:r w:rsidR="00173F6D" w:rsidRPr="001969F7">
        <w:t xml:space="preserve">in value-based decisions </w:t>
      </w:r>
      <w:r w:rsidR="008C794E" w:rsidRPr="001969F7">
        <w:t xml:space="preserve">that </w:t>
      </w:r>
      <w:r w:rsidR="00173F6D" w:rsidRPr="001969F7">
        <w:t xml:space="preserve">we analyze using </w:t>
      </w:r>
      <w:r w:rsidR="000E0A62" w:rsidRPr="001969F7">
        <w:t>the RRW</w:t>
      </w:r>
      <w:r w:rsidR="005965A8" w:rsidRPr="001969F7">
        <w:t xml:space="preserve">, </w:t>
      </w:r>
      <w:r w:rsidR="008C794E" w:rsidRPr="001969F7">
        <w:t>nonetheless,</w:t>
      </w:r>
      <w:r w:rsidR="00FC1C43" w:rsidRPr="001969F7">
        <w:t xml:space="preserve"> the parameter value is</w:t>
      </w:r>
      <w:r w:rsidR="008C794E" w:rsidRPr="001969F7">
        <w:t xml:space="preserve"> still</w:t>
      </w:r>
      <w:r w:rsidR="00FC1C43" w:rsidRPr="001969F7">
        <w:t xml:space="preserve"> quite small.  T</w:t>
      </w:r>
      <w:r w:rsidR="000E0A62" w:rsidRPr="001969F7">
        <w:t xml:space="preserve">he value constant parameter, </w:t>
      </w:r>
      <w:r w:rsidR="000E0A62" w:rsidRPr="001969F7">
        <w:rPr>
          <w:i/>
          <w:iCs/>
        </w:rPr>
        <w:t>vc</w:t>
      </w:r>
      <w:r w:rsidR="000E0A62" w:rsidRPr="001969F7">
        <w:t>, equaled -0.</w:t>
      </w:r>
      <w:r w:rsidR="00FC1C43" w:rsidRPr="001969F7">
        <w:t>04</w:t>
      </w:r>
      <w:r w:rsidR="000E0A62" w:rsidRPr="001969F7">
        <w:t>.  This indicates that</w:t>
      </w:r>
      <w:r w:rsidR="005D1143" w:rsidRPr="001969F7">
        <w:t xml:space="preserve"> the random walk fit best when the Overlaps of all the pairs of items were reduced by about 0.</w:t>
      </w:r>
      <w:r w:rsidR="00FC1C43" w:rsidRPr="001969F7">
        <w:t>04</w:t>
      </w:r>
      <w:r w:rsidR="005D1143" w:rsidRPr="001969F7">
        <w:t xml:space="preserve">.  This, in essence, decreases the value similarity of all the pairs of probes. </w:t>
      </w:r>
      <w:r w:rsidR="00FC1C43" w:rsidRPr="001969F7">
        <w:t xml:space="preserve">Finally, the </w:t>
      </w:r>
      <w:r w:rsidR="00E94067" w:rsidRPr="001969F7">
        <w:t xml:space="preserve">start point parameter, </w:t>
      </w:r>
      <w:r w:rsidR="00E94067" w:rsidRPr="001969F7">
        <w:rPr>
          <w:i/>
          <w:iCs/>
        </w:rPr>
        <w:t>s</w:t>
      </w:r>
      <w:r w:rsidR="00E94067" w:rsidRPr="001969F7">
        <w:t xml:space="preserve">, that codes a </w:t>
      </w:r>
      <w:r w:rsidR="00FC1C43" w:rsidRPr="001969F7">
        <w:t>side bias</w:t>
      </w:r>
      <w:r w:rsidR="00E94067" w:rsidRPr="001969F7">
        <w:t xml:space="preserve"> in th</w:t>
      </w:r>
      <w:r w:rsidR="008C794E" w:rsidRPr="001969F7">
        <w:t>e</w:t>
      </w:r>
      <w:r w:rsidR="00E94067" w:rsidRPr="001969F7">
        <w:t xml:space="preserve"> </w:t>
      </w:r>
      <w:r w:rsidR="00E94067" w:rsidRPr="001969F7">
        <w:lastRenderedPageBreak/>
        <w:t xml:space="preserve">experiment, </w:t>
      </w:r>
      <w:r w:rsidR="00FC1C43" w:rsidRPr="001969F7">
        <w:t xml:space="preserve">equaled </w:t>
      </w:r>
      <w:r w:rsidR="00E94067" w:rsidRPr="001969F7">
        <w:noBreakHyphen/>
      </w:r>
      <w:r w:rsidR="00FC1C43" w:rsidRPr="001969F7">
        <w:t xml:space="preserve">0.07. This indicates that participants had a very slight bias toward a </w:t>
      </w:r>
      <w:r w:rsidR="00FC1C43" w:rsidRPr="001969F7">
        <w:rPr>
          <w:rFonts w:hint="eastAsia"/>
        </w:rPr>
        <w:t>“</w:t>
      </w:r>
      <w:r w:rsidR="00FC1C43" w:rsidRPr="001969F7">
        <w:t>left</w:t>
      </w:r>
      <w:r w:rsidR="00FC1C43" w:rsidRPr="001969F7">
        <w:rPr>
          <w:rFonts w:hint="eastAsia"/>
        </w:rPr>
        <w:t>”</w:t>
      </w:r>
      <w:r w:rsidR="00FC1C43" w:rsidRPr="001969F7">
        <w:t xml:space="preserve"> response (</w:t>
      </w:r>
      <w:r w:rsidR="008C794E" w:rsidRPr="001969F7">
        <w:t>i.e., t</w:t>
      </w:r>
      <w:r w:rsidR="00FC1C43" w:rsidRPr="001969F7">
        <w:t>he start point was about 7% closer to the left item</w:t>
      </w:r>
      <w:r w:rsidR="00FC1C43" w:rsidRPr="001969F7">
        <w:rPr>
          <w:rFonts w:hint="eastAsia"/>
        </w:rPr>
        <w:t>’</w:t>
      </w:r>
      <w:r w:rsidR="00FC1C43" w:rsidRPr="001969F7">
        <w:t>s boundary).</w:t>
      </w:r>
    </w:p>
    <w:p w14:paraId="77303BC3" w14:textId="107199E2" w:rsidR="00AC57A1" w:rsidRDefault="00AC57A1" w:rsidP="00AC57A1">
      <w:pPr>
        <w:keepNext/>
        <w:spacing w:line="480" w:lineRule="auto"/>
        <w:outlineLvl w:val="0"/>
        <w:rPr>
          <w:rFonts w:ascii="TimesNewRomanPSMT" w:hAnsi="TimesNewRomanPSMT"/>
        </w:rPr>
      </w:pPr>
    </w:p>
    <w:p w14:paraId="55602EEA" w14:textId="77777777" w:rsidR="00AC57A1" w:rsidRPr="00C06677" w:rsidRDefault="00AC57A1" w:rsidP="002D6464">
      <w:pPr>
        <w:keepNext/>
        <w:keepLines/>
        <w:rPr>
          <w:color w:val="000000" w:themeColor="text1"/>
        </w:rPr>
      </w:pPr>
      <w:r w:rsidRPr="00C06677">
        <w:rPr>
          <w:color w:val="000000" w:themeColor="text1"/>
        </w:rPr>
        <w:t xml:space="preserve">Table 2: The parameters and </w:t>
      </w:r>
      <w:r w:rsidRPr="001969F7">
        <w:rPr>
          <w:i/>
          <w:iCs/>
          <w:color w:val="000000" w:themeColor="text1"/>
        </w:rPr>
        <w:t>r</w:t>
      </w:r>
      <w:r w:rsidRPr="001969F7">
        <w:rPr>
          <w:i/>
          <w:iCs/>
          <w:color w:val="000000" w:themeColor="text1"/>
          <w:vertAlign w:val="superscript"/>
        </w:rPr>
        <w:t>2</w:t>
      </w:r>
      <w:r w:rsidRPr="00C06677">
        <w:rPr>
          <w:color w:val="000000" w:themeColor="text1"/>
        </w:rPr>
        <w:t xml:space="preserve"> for the best fitting RRW models in Experiments 1 – 3.</w:t>
      </w:r>
    </w:p>
    <w:p w14:paraId="65F4B96C" w14:textId="77777777" w:rsidR="00AC57A1" w:rsidRPr="00C06677" w:rsidRDefault="00AC57A1" w:rsidP="002D6464">
      <w:pPr>
        <w:keepNext/>
        <w:keepLines/>
        <w:rPr>
          <w:color w:val="000000" w:themeColor="text1"/>
        </w:rPr>
      </w:pPr>
    </w:p>
    <w:tbl>
      <w:tblPr>
        <w:tblStyle w:val="TableGrid"/>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1530"/>
        <w:gridCol w:w="726"/>
        <w:gridCol w:w="789"/>
        <w:gridCol w:w="1163"/>
        <w:gridCol w:w="893"/>
        <w:gridCol w:w="1109"/>
        <w:gridCol w:w="1364"/>
        <w:gridCol w:w="976"/>
        <w:gridCol w:w="810"/>
      </w:tblGrid>
      <w:tr w:rsidR="00AC57A1" w:rsidRPr="00C06677" w14:paraId="0758F5C8" w14:textId="77777777" w:rsidTr="000B393A">
        <w:tc>
          <w:tcPr>
            <w:tcW w:w="1530" w:type="dxa"/>
            <w:tcBorders>
              <w:top w:val="nil"/>
              <w:right w:val="nil"/>
            </w:tcBorders>
            <w:vAlign w:val="bottom"/>
          </w:tcPr>
          <w:p w14:paraId="787A4C15" w14:textId="77777777" w:rsidR="00AC57A1" w:rsidRPr="00C06677" w:rsidRDefault="00AC57A1" w:rsidP="002D6464">
            <w:pPr>
              <w:keepNext/>
              <w:keepLines/>
              <w:jc w:val="center"/>
              <w:rPr>
                <w:color w:val="000000" w:themeColor="text1"/>
              </w:rPr>
            </w:pPr>
            <w:r w:rsidRPr="00C06677">
              <w:rPr>
                <w:color w:val="000000" w:themeColor="text1"/>
              </w:rPr>
              <w:t>Experiment</w:t>
            </w:r>
          </w:p>
        </w:tc>
        <w:tc>
          <w:tcPr>
            <w:tcW w:w="726" w:type="dxa"/>
            <w:tcBorders>
              <w:top w:val="nil"/>
              <w:left w:val="nil"/>
              <w:right w:val="nil"/>
            </w:tcBorders>
            <w:vAlign w:val="bottom"/>
          </w:tcPr>
          <w:p w14:paraId="06C5B865" w14:textId="77777777" w:rsidR="00AC57A1" w:rsidRPr="00C06677" w:rsidRDefault="00AC57A1" w:rsidP="002D6464">
            <w:pPr>
              <w:keepNext/>
              <w:keepLines/>
              <w:jc w:val="center"/>
              <w:rPr>
                <w:color w:val="000000" w:themeColor="text1"/>
              </w:rPr>
            </w:pPr>
            <w:r w:rsidRPr="00C06677">
              <w:rPr>
                <w:color w:val="000000" w:themeColor="text1"/>
              </w:rPr>
              <w:t>T</w:t>
            </w:r>
            <w:r w:rsidRPr="00C06677">
              <w:rPr>
                <w:color w:val="000000" w:themeColor="text1"/>
                <w:vertAlign w:val="subscript"/>
              </w:rPr>
              <w:t>er</w:t>
            </w:r>
          </w:p>
        </w:tc>
        <w:tc>
          <w:tcPr>
            <w:tcW w:w="789" w:type="dxa"/>
            <w:tcBorders>
              <w:top w:val="nil"/>
              <w:left w:val="nil"/>
              <w:right w:val="nil"/>
            </w:tcBorders>
            <w:vAlign w:val="bottom"/>
          </w:tcPr>
          <w:p w14:paraId="6A3FAA6B" w14:textId="77777777" w:rsidR="00AC57A1" w:rsidRPr="00C06677" w:rsidRDefault="00AC57A1" w:rsidP="002D6464">
            <w:pPr>
              <w:keepNext/>
              <w:keepLines/>
              <w:jc w:val="center"/>
              <w:rPr>
                <w:color w:val="000000" w:themeColor="text1"/>
              </w:rPr>
            </w:pPr>
            <w:r w:rsidRPr="00C06677">
              <w:rPr>
                <w:color w:val="000000" w:themeColor="text1"/>
              </w:rPr>
              <w:t>N</w:t>
            </w:r>
            <w:r w:rsidRPr="00C06677">
              <w:rPr>
                <w:color w:val="000000" w:themeColor="text1"/>
                <w:vertAlign w:val="subscript"/>
              </w:rPr>
              <w:t>SD</w:t>
            </w:r>
          </w:p>
        </w:tc>
        <w:tc>
          <w:tcPr>
            <w:tcW w:w="1163" w:type="dxa"/>
            <w:tcBorders>
              <w:top w:val="nil"/>
              <w:left w:val="nil"/>
              <w:right w:val="nil"/>
            </w:tcBorders>
            <w:vAlign w:val="bottom"/>
          </w:tcPr>
          <w:p w14:paraId="2779BFC3" w14:textId="77777777" w:rsidR="00AC57A1" w:rsidRPr="00C06677" w:rsidRDefault="00AC57A1" w:rsidP="002D6464">
            <w:pPr>
              <w:keepNext/>
              <w:keepLines/>
              <w:jc w:val="center"/>
              <w:rPr>
                <w:color w:val="000000" w:themeColor="text1"/>
              </w:rPr>
            </w:pPr>
            <w:r w:rsidRPr="00C06677">
              <w:rPr>
                <w:color w:val="000000" w:themeColor="text1"/>
              </w:rPr>
              <w:t>Boundary</w:t>
            </w:r>
          </w:p>
        </w:tc>
        <w:tc>
          <w:tcPr>
            <w:tcW w:w="893" w:type="dxa"/>
            <w:tcBorders>
              <w:top w:val="nil"/>
              <w:left w:val="nil"/>
              <w:right w:val="nil"/>
            </w:tcBorders>
            <w:vAlign w:val="bottom"/>
          </w:tcPr>
          <w:p w14:paraId="04BE5D1B" w14:textId="77777777" w:rsidR="00AC57A1" w:rsidRPr="00C06677" w:rsidRDefault="00AC57A1" w:rsidP="002D6464">
            <w:pPr>
              <w:keepNext/>
              <w:keepLines/>
              <w:jc w:val="center"/>
              <w:rPr>
                <w:color w:val="000000" w:themeColor="text1"/>
              </w:rPr>
            </w:pPr>
            <w:r w:rsidRPr="00C06677">
              <w:rPr>
                <w:color w:val="000000" w:themeColor="text1"/>
              </w:rPr>
              <w:t>d</w:t>
            </w:r>
            <w:r w:rsidRPr="00C06677">
              <w:rPr>
                <w:color w:val="000000" w:themeColor="text1"/>
                <w:vertAlign w:val="subscript"/>
              </w:rPr>
              <w:t>B</w:t>
            </w:r>
          </w:p>
        </w:tc>
        <w:tc>
          <w:tcPr>
            <w:tcW w:w="1109" w:type="dxa"/>
            <w:tcBorders>
              <w:top w:val="nil"/>
              <w:left w:val="nil"/>
              <w:right w:val="nil"/>
            </w:tcBorders>
            <w:vAlign w:val="bottom"/>
          </w:tcPr>
          <w:p w14:paraId="1606904E" w14:textId="7E757899" w:rsidR="00AC57A1" w:rsidRPr="00C06677" w:rsidRDefault="00220A68" w:rsidP="002D6464">
            <w:pPr>
              <w:keepNext/>
              <w:keepLines/>
              <w:jc w:val="center"/>
              <w:rPr>
                <w:color w:val="000000" w:themeColor="text1"/>
              </w:rPr>
            </w:pPr>
            <w:r w:rsidRPr="00C06677">
              <w:rPr>
                <w:color w:val="000000" w:themeColor="text1"/>
              </w:rPr>
              <w:t>S</w:t>
            </w:r>
          </w:p>
        </w:tc>
        <w:tc>
          <w:tcPr>
            <w:tcW w:w="1364" w:type="dxa"/>
            <w:tcBorders>
              <w:top w:val="nil"/>
              <w:left w:val="nil"/>
              <w:right w:val="nil"/>
            </w:tcBorders>
            <w:vAlign w:val="bottom"/>
          </w:tcPr>
          <w:p w14:paraId="14DABC5B" w14:textId="1E89E0EA" w:rsidR="00AC57A1" w:rsidRPr="00C06677" w:rsidRDefault="00DB3699" w:rsidP="002D6464">
            <w:pPr>
              <w:keepNext/>
              <w:keepLines/>
              <w:jc w:val="center"/>
              <w:rPr>
                <w:color w:val="000000" w:themeColor="text1"/>
              </w:rPr>
            </w:pPr>
            <w:r w:rsidRPr="00C06677">
              <w:rPr>
                <w:color w:val="000000" w:themeColor="text1"/>
              </w:rPr>
              <w:t>V</w:t>
            </w:r>
            <w:r w:rsidR="00AC57A1" w:rsidRPr="00C06677">
              <w:rPr>
                <w:color w:val="000000" w:themeColor="text1"/>
              </w:rPr>
              <w:t>c</w:t>
            </w:r>
          </w:p>
        </w:tc>
        <w:tc>
          <w:tcPr>
            <w:tcW w:w="976" w:type="dxa"/>
            <w:tcBorders>
              <w:top w:val="nil"/>
              <w:left w:val="nil"/>
              <w:right w:val="nil"/>
            </w:tcBorders>
            <w:vAlign w:val="bottom"/>
          </w:tcPr>
          <w:p w14:paraId="2678B57E" w14:textId="77777777" w:rsidR="00AC57A1" w:rsidRPr="00C06677" w:rsidRDefault="00AC57A1" w:rsidP="002D6464">
            <w:pPr>
              <w:keepNext/>
              <w:keepLines/>
              <w:jc w:val="center"/>
              <w:rPr>
                <w:color w:val="000000" w:themeColor="text1"/>
              </w:rPr>
            </w:pPr>
            <w:r w:rsidRPr="00C06677">
              <w:rPr>
                <w:color w:val="000000" w:themeColor="text1"/>
              </w:rPr>
              <w:t xml:space="preserve">Ingroup vc </w:t>
            </w:r>
          </w:p>
        </w:tc>
        <w:tc>
          <w:tcPr>
            <w:tcW w:w="810" w:type="dxa"/>
            <w:tcBorders>
              <w:top w:val="nil"/>
              <w:left w:val="nil"/>
            </w:tcBorders>
            <w:vAlign w:val="bottom"/>
          </w:tcPr>
          <w:p w14:paraId="7FD772B8" w14:textId="77777777" w:rsidR="00AC57A1" w:rsidRPr="001969F7" w:rsidRDefault="00AC57A1" w:rsidP="002D6464">
            <w:pPr>
              <w:keepNext/>
              <w:keepLines/>
              <w:jc w:val="center"/>
              <w:rPr>
                <w:i/>
                <w:iCs/>
                <w:color w:val="000000" w:themeColor="text1"/>
              </w:rPr>
            </w:pPr>
            <w:r w:rsidRPr="001969F7">
              <w:rPr>
                <w:i/>
                <w:iCs/>
                <w:color w:val="000000" w:themeColor="text1"/>
              </w:rPr>
              <w:t>r</w:t>
            </w:r>
            <w:r w:rsidRPr="001969F7">
              <w:rPr>
                <w:i/>
                <w:iCs/>
                <w:color w:val="000000" w:themeColor="text1"/>
                <w:vertAlign w:val="superscript"/>
              </w:rPr>
              <w:t>2</w:t>
            </w:r>
          </w:p>
        </w:tc>
      </w:tr>
      <w:tr w:rsidR="00AC57A1" w:rsidRPr="00C06677" w14:paraId="2EDD71C7" w14:textId="77777777" w:rsidTr="000B393A">
        <w:tc>
          <w:tcPr>
            <w:tcW w:w="1530" w:type="dxa"/>
            <w:tcBorders>
              <w:bottom w:val="nil"/>
              <w:right w:val="nil"/>
            </w:tcBorders>
          </w:tcPr>
          <w:p w14:paraId="7AD9B3B9" w14:textId="77777777" w:rsidR="00AC57A1" w:rsidRPr="00C06677" w:rsidRDefault="00AC57A1" w:rsidP="002D6464">
            <w:pPr>
              <w:keepNext/>
              <w:keepLines/>
              <w:spacing w:before="120" w:after="120"/>
              <w:jc w:val="center"/>
              <w:rPr>
                <w:color w:val="000000" w:themeColor="text1"/>
              </w:rPr>
            </w:pPr>
            <w:r w:rsidRPr="00C06677">
              <w:rPr>
                <w:color w:val="000000" w:themeColor="text1"/>
              </w:rPr>
              <w:t>Experiment 1</w:t>
            </w:r>
          </w:p>
        </w:tc>
        <w:tc>
          <w:tcPr>
            <w:tcW w:w="726" w:type="dxa"/>
            <w:tcBorders>
              <w:left w:val="nil"/>
              <w:bottom w:val="nil"/>
              <w:right w:val="nil"/>
            </w:tcBorders>
          </w:tcPr>
          <w:p w14:paraId="0CD0B7A5" w14:textId="77777777" w:rsidR="00AC57A1" w:rsidRPr="00C06677" w:rsidRDefault="00AC57A1" w:rsidP="002D6464">
            <w:pPr>
              <w:keepNext/>
              <w:keepLines/>
              <w:spacing w:before="120" w:after="120"/>
              <w:jc w:val="center"/>
              <w:rPr>
                <w:color w:val="000000" w:themeColor="text1"/>
              </w:rPr>
            </w:pPr>
            <w:r w:rsidRPr="00C06677">
              <w:rPr>
                <w:color w:val="000000" w:themeColor="text1"/>
              </w:rPr>
              <w:t>-0.43</w:t>
            </w:r>
          </w:p>
        </w:tc>
        <w:tc>
          <w:tcPr>
            <w:tcW w:w="789" w:type="dxa"/>
            <w:tcBorders>
              <w:left w:val="nil"/>
              <w:bottom w:val="nil"/>
              <w:right w:val="nil"/>
            </w:tcBorders>
          </w:tcPr>
          <w:p w14:paraId="3E21FD19" w14:textId="77777777" w:rsidR="00AC57A1" w:rsidRPr="00C06677" w:rsidRDefault="00AC57A1" w:rsidP="002D6464">
            <w:pPr>
              <w:keepNext/>
              <w:keepLines/>
              <w:spacing w:before="120" w:after="120"/>
              <w:jc w:val="center"/>
              <w:rPr>
                <w:color w:val="000000" w:themeColor="text1"/>
              </w:rPr>
            </w:pPr>
            <w:r w:rsidRPr="00C06677">
              <w:rPr>
                <w:color w:val="000000" w:themeColor="text1"/>
              </w:rPr>
              <w:t>4.25</w:t>
            </w:r>
          </w:p>
        </w:tc>
        <w:tc>
          <w:tcPr>
            <w:tcW w:w="1163" w:type="dxa"/>
            <w:tcBorders>
              <w:left w:val="nil"/>
              <w:bottom w:val="nil"/>
              <w:right w:val="nil"/>
            </w:tcBorders>
          </w:tcPr>
          <w:p w14:paraId="38F77EDA" w14:textId="77777777" w:rsidR="00AC57A1" w:rsidRPr="00C06677" w:rsidRDefault="00AC57A1" w:rsidP="002D6464">
            <w:pPr>
              <w:keepNext/>
              <w:keepLines/>
              <w:spacing w:before="120" w:after="120"/>
              <w:jc w:val="center"/>
              <w:rPr>
                <w:color w:val="000000" w:themeColor="text1"/>
              </w:rPr>
            </w:pPr>
            <w:r w:rsidRPr="00C06677">
              <w:rPr>
                <w:color w:val="000000" w:themeColor="text1"/>
              </w:rPr>
              <w:t>51.9</w:t>
            </w:r>
          </w:p>
        </w:tc>
        <w:tc>
          <w:tcPr>
            <w:tcW w:w="893" w:type="dxa"/>
            <w:tcBorders>
              <w:left w:val="nil"/>
              <w:bottom w:val="nil"/>
              <w:right w:val="nil"/>
            </w:tcBorders>
          </w:tcPr>
          <w:p w14:paraId="09CA31B6" w14:textId="77777777" w:rsidR="00AC57A1" w:rsidRPr="00C06677" w:rsidRDefault="00AC57A1" w:rsidP="002D6464">
            <w:pPr>
              <w:keepNext/>
              <w:keepLines/>
              <w:spacing w:before="120" w:after="120"/>
              <w:jc w:val="center"/>
              <w:rPr>
                <w:color w:val="000000" w:themeColor="text1"/>
              </w:rPr>
            </w:pPr>
            <w:r w:rsidRPr="00C06677">
              <w:rPr>
                <w:color w:val="000000" w:themeColor="text1"/>
              </w:rPr>
              <w:t>0.003</w:t>
            </w:r>
          </w:p>
        </w:tc>
        <w:tc>
          <w:tcPr>
            <w:tcW w:w="1109" w:type="dxa"/>
            <w:tcBorders>
              <w:left w:val="nil"/>
              <w:right w:val="nil"/>
            </w:tcBorders>
          </w:tcPr>
          <w:p w14:paraId="2CE1D5A8" w14:textId="77777777" w:rsidR="00AC57A1" w:rsidRPr="00C06677" w:rsidRDefault="00AC57A1" w:rsidP="002D6464">
            <w:pPr>
              <w:keepNext/>
              <w:keepLines/>
              <w:spacing w:before="120" w:after="120"/>
              <w:jc w:val="center"/>
              <w:rPr>
                <w:color w:val="000000" w:themeColor="text1"/>
              </w:rPr>
            </w:pPr>
            <w:r w:rsidRPr="00C06677">
              <w:rPr>
                <w:color w:val="000000" w:themeColor="text1"/>
              </w:rPr>
              <w:t>-0.07</w:t>
            </w:r>
          </w:p>
        </w:tc>
        <w:tc>
          <w:tcPr>
            <w:tcW w:w="1364" w:type="dxa"/>
            <w:tcBorders>
              <w:left w:val="nil"/>
              <w:right w:val="nil"/>
            </w:tcBorders>
          </w:tcPr>
          <w:p w14:paraId="6ECE4CE5" w14:textId="77777777" w:rsidR="00AC57A1" w:rsidRPr="00C06677" w:rsidRDefault="00AC57A1" w:rsidP="002D6464">
            <w:pPr>
              <w:keepNext/>
              <w:keepLines/>
              <w:spacing w:before="120" w:after="120"/>
              <w:jc w:val="center"/>
              <w:rPr>
                <w:color w:val="000000" w:themeColor="text1"/>
              </w:rPr>
            </w:pPr>
            <w:r w:rsidRPr="00C06677">
              <w:rPr>
                <w:color w:val="000000" w:themeColor="text1"/>
              </w:rPr>
              <w:t>-0.04</w:t>
            </w:r>
          </w:p>
        </w:tc>
        <w:tc>
          <w:tcPr>
            <w:tcW w:w="976" w:type="dxa"/>
            <w:tcBorders>
              <w:left w:val="nil"/>
              <w:right w:val="nil"/>
            </w:tcBorders>
          </w:tcPr>
          <w:p w14:paraId="7B68D63D" w14:textId="77777777" w:rsidR="00AC57A1" w:rsidRPr="00C06677" w:rsidRDefault="00AC57A1" w:rsidP="002D6464">
            <w:pPr>
              <w:keepNext/>
              <w:keepLines/>
              <w:spacing w:before="120" w:after="120"/>
              <w:jc w:val="center"/>
              <w:rPr>
                <w:color w:val="000000" w:themeColor="text1"/>
              </w:rPr>
            </w:pPr>
            <w:r w:rsidRPr="00C06677">
              <w:rPr>
                <w:color w:val="000000" w:themeColor="text1"/>
              </w:rPr>
              <w:t>NA</w:t>
            </w:r>
          </w:p>
        </w:tc>
        <w:tc>
          <w:tcPr>
            <w:tcW w:w="810" w:type="dxa"/>
            <w:tcBorders>
              <w:left w:val="nil"/>
              <w:bottom w:val="nil"/>
            </w:tcBorders>
          </w:tcPr>
          <w:p w14:paraId="7FEFD579" w14:textId="77777777" w:rsidR="00AC57A1" w:rsidRPr="00C06677" w:rsidRDefault="00AC57A1" w:rsidP="002D6464">
            <w:pPr>
              <w:keepNext/>
              <w:keepLines/>
              <w:spacing w:before="120" w:after="120"/>
              <w:jc w:val="center"/>
              <w:rPr>
                <w:color w:val="000000" w:themeColor="text1"/>
              </w:rPr>
            </w:pPr>
            <w:r w:rsidRPr="00C06677">
              <w:rPr>
                <w:color w:val="000000" w:themeColor="text1"/>
              </w:rPr>
              <w:t>0.95</w:t>
            </w:r>
          </w:p>
        </w:tc>
      </w:tr>
      <w:tr w:rsidR="00AC57A1" w:rsidRPr="00C06677" w14:paraId="637FAC40" w14:textId="77777777" w:rsidTr="000B393A">
        <w:tc>
          <w:tcPr>
            <w:tcW w:w="1530" w:type="dxa"/>
            <w:tcBorders>
              <w:top w:val="nil"/>
              <w:right w:val="nil"/>
            </w:tcBorders>
          </w:tcPr>
          <w:p w14:paraId="0062ABA6" w14:textId="77777777" w:rsidR="00AC57A1" w:rsidRPr="00C06677" w:rsidRDefault="00AC57A1" w:rsidP="002D6464">
            <w:pPr>
              <w:keepNext/>
              <w:keepLines/>
              <w:spacing w:before="120" w:after="120"/>
              <w:jc w:val="center"/>
              <w:rPr>
                <w:color w:val="000000" w:themeColor="text1"/>
              </w:rPr>
            </w:pPr>
            <w:r w:rsidRPr="00C06677">
              <w:rPr>
                <w:color w:val="000000" w:themeColor="text1"/>
              </w:rPr>
              <w:t>Experiment 2</w:t>
            </w:r>
          </w:p>
        </w:tc>
        <w:tc>
          <w:tcPr>
            <w:tcW w:w="726" w:type="dxa"/>
            <w:tcBorders>
              <w:top w:val="nil"/>
              <w:left w:val="nil"/>
              <w:right w:val="nil"/>
            </w:tcBorders>
          </w:tcPr>
          <w:p w14:paraId="645FB64D" w14:textId="77777777" w:rsidR="00AC57A1" w:rsidRPr="00C06677" w:rsidRDefault="00AC57A1" w:rsidP="002D6464">
            <w:pPr>
              <w:keepNext/>
              <w:keepLines/>
              <w:spacing w:before="120" w:after="120"/>
              <w:jc w:val="center"/>
              <w:rPr>
                <w:color w:val="000000" w:themeColor="text1"/>
              </w:rPr>
            </w:pPr>
            <w:r w:rsidRPr="00C06677">
              <w:rPr>
                <w:color w:val="000000" w:themeColor="text1"/>
              </w:rPr>
              <w:t>-0.23</w:t>
            </w:r>
          </w:p>
        </w:tc>
        <w:tc>
          <w:tcPr>
            <w:tcW w:w="789" w:type="dxa"/>
            <w:tcBorders>
              <w:top w:val="nil"/>
              <w:left w:val="nil"/>
              <w:right w:val="nil"/>
            </w:tcBorders>
          </w:tcPr>
          <w:p w14:paraId="46E18E40" w14:textId="77777777" w:rsidR="00AC57A1" w:rsidRPr="00C06677" w:rsidRDefault="00AC57A1" w:rsidP="002D6464">
            <w:pPr>
              <w:keepNext/>
              <w:keepLines/>
              <w:spacing w:before="120" w:after="120"/>
              <w:jc w:val="center"/>
              <w:rPr>
                <w:color w:val="000000" w:themeColor="text1"/>
              </w:rPr>
            </w:pPr>
            <w:r w:rsidRPr="00C06677">
              <w:rPr>
                <w:color w:val="000000" w:themeColor="text1"/>
              </w:rPr>
              <w:t>5.25</w:t>
            </w:r>
          </w:p>
        </w:tc>
        <w:tc>
          <w:tcPr>
            <w:tcW w:w="1163" w:type="dxa"/>
            <w:tcBorders>
              <w:top w:val="nil"/>
              <w:left w:val="nil"/>
              <w:right w:val="nil"/>
            </w:tcBorders>
          </w:tcPr>
          <w:p w14:paraId="561B1327" w14:textId="77777777" w:rsidR="00AC57A1" w:rsidRPr="00C06677" w:rsidRDefault="00AC57A1" w:rsidP="002D6464">
            <w:pPr>
              <w:keepNext/>
              <w:keepLines/>
              <w:spacing w:before="120" w:after="120"/>
              <w:jc w:val="center"/>
              <w:rPr>
                <w:color w:val="000000" w:themeColor="text1"/>
              </w:rPr>
            </w:pPr>
            <w:r w:rsidRPr="00C06677">
              <w:rPr>
                <w:color w:val="000000" w:themeColor="text1"/>
              </w:rPr>
              <w:t>56.7</w:t>
            </w:r>
          </w:p>
        </w:tc>
        <w:tc>
          <w:tcPr>
            <w:tcW w:w="893" w:type="dxa"/>
            <w:tcBorders>
              <w:top w:val="nil"/>
              <w:left w:val="nil"/>
              <w:right w:val="nil"/>
            </w:tcBorders>
          </w:tcPr>
          <w:p w14:paraId="67BA9A34" w14:textId="77777777" w:rsidR="00AC57A1" w:rsidRPr="00C06677" w:rsidRDefault="00AC57A1" w:rsidP="002D6464">
            <w:pPr>
              <w:keepNext/>
              <w:keepLines/>
              <w:spacing w:before="120" w:after="120"/>
              <w:jc w:val="center"/>
              <w:rPr>
                <w:color w:val="000000" w:themeColor="text1"/>
              </w:rPr>
            </w:pPr>
            <w:r w:rsidRPr="00C06677">
              <w:rPr>
                <w:color w:val="000000" w:themeColor="text1"/>
              </w:rPr>
              <w:t>0.0</w:t>
            </w:r>
          </w:p>
        </w:tc>
        <w:tc>
          <w:tcPr>
            <w:tcW w:w="1109" w:type="dxa"/>
            <w:tcBorders>
              <w:left w:val="nil"/>
              <w:right w:val="nil"/>
            </w:tcBorders>
          </w:tcPr>
          <w:p w14:paraId="7CBAB153" w14:textId="77777777" w:rsidR="00AC57A1" w:rsidRPr="00C06677" w:rsidRDefault="00AC57A1" w:rsidP="002D6464">
            <w:pPr>
              <w:keepNext/>
              <w:keepLines/>
              <w:spacing w:before="120" w:after="120"/>
              <w:jc w:val="center"/>
              <w:rPr>
                <w:color w:val="000000" w:themeColor="text1"/>
              </w:rPr>
            </w:pPr>
            <w:r w:rsidRPr="00C06677">
              <w:rPr>
                <w:color w:val="000000" w:themeColor="text1"/>
              </w:rPr>
              <w:t>-0.06</w:t>
            </w:r>
          </w:p>
        </w:tc>
        <w:tc>
          <w:tcPr>
            <w:tcW w:w="1364" w:type="dxa"/>
            <w:tcBorders>
              <w:left w:val="nil"/>
              <w:right w:val="nil"/>
            </w:tcBorders>
          </w:tcPr>
          <w:p w14:paraId="2131C7B2" w14:textId="77777777" w:rsidR="00AC57A1" w:rsidRPr="00C06677" w:rsidRDefault="00AC57A1" w:rsidP="002D6464">
            <w:pPr>
              <w:keepNext/>
              <w:keepLines/>
              <w:spacing w:before="120" w:after="120"/>
              <w:jc w:val="center"/>
              <w:rPr>
                <w:color w:val="000000" w:themeColor="text1"/>
              </w:rPr>
            </w:pPr>
            <w:r w:rsidRPr="00C06677">
              <w:rPr>
                <w:color w:val="000000" w:themeColor="text1"/>
              </w:rPr>
              <w:t>-0.05</w:t>
            </w:r>
          </w:p>
        </w:tc>
        <w:tc>
          <w:tcPr>
            <w:tcW w:w="976" w:type="dxa"/>
            <w:tcBorders>
              <w:left w:val="nil"/>
              <w:right w:val="nil"/>
            </w:tcBorders>
          </w:tcPr>
          <w:p w14:paraId="0DC6CBF6" w14:textId="77777777" w:rsidR="00AC57A1" w:rsidRPr="00C06677" w:rsidRDefault="00AC57A1" w:rsidP="002D6464">
            <w:pPr>
              <w:keepNext/>
              <w:keepLines/>
              <w:spacing w:before="120" w:after="120"/>
              <w:jc w:val="center"/>
              <w:rPr>
                <w:color w:val="000000" w:themeColor="text1"/>
              </w:rPr>
            </w:pPr>
            <w:r w:rsidRPr="00C06677">
              <w:rPr>
                <w:color w:val="000000" w:themeColor="text1"/>
              </w:rPr>
              <w:t>NA</w:t>
            </w:r>
          </w:p>
        </w:tc>
        <w:tc>
          <w:tcPr>
            <w:tcW w:w="810" w:type="dxa"/>
            <w:tcBorders>
              <w:top w:val="nil"/>
              <w:left w:val="nil"/>
            </w:tcBorders>
          </w:tcPr>
          <w:p w14:paraId="1E8B5D1C" w14:textId="77777777" w:rsidR="00AC57A1" w:rsidRPr="00C06677" w:rsidRDefault="00AC57A1" w:rsidP="002D6464">
            <w:pPr>
              <w:keepNext/>
              <w:keepLines/>
              <w:spacing w:before="120" w:after="120"/>
              <w:jc w:val="center"/>
              <w:rPr>
                <w:color w:val="000000" w:themeColor="text1"/>
              </w:rPr>
            </w:pPr>
            <w:r w:rsidRPr="00C06677">
              <w:rPr>
                <w:color w:val="000000" w:themeColor="text1"/>
              </w:rPr>
              <w:t>0.95</w:t>
            </w:r>
          </w:p>
        </w:tc>
      </w:tr>
      <w:tr w:rsidR="00AC57A1" w:rsidRPr="00C06677" w14:paraId="54F13E99" w14:textId="77777777" w:rsidTr="000B393A">
        <w:tc>
          <w:tcPr>
            <w:tcW w:w="1530" w:type="dxa"/>
            <w:tcBorders>
              <w:top w:val="nil"/>
              <w:right w:val="nil"/>
            </w:tcBorders>
          </w:tcPr>
          <w:p w14:paraId="33FFEC1E" w14:textId="77777777" w:rsidR="00AC57A1" w:rsidRPr="00C06677" w:rsidRDefault="00AC57A1" w:rsidP="002D6464">
            <w:pPr>
              <w:keepNext/>
              <w:keepLines/>
              <w:spacing w:before="120" w:after="120"/>
              <w:jc w:val="center"/>
              <w:rPr>
                <w:color w:val="000000" w:themeColor="text1"/>
              </w:rPr>
            </w:pPr>
            <w:r w:rsidRPr="00C06677">
              <w:rPr>
                <w:color w:val="000000" w:themeColor="text1"/>
              </w:rPr>
              <w:t>Experiment 3</w:t>
            </w:r>
          </w:p>
        </w:tc>
        <w:tc>
          <w:tcPr>
            <w:tcW w:w="726" w:type="dxa"/>
            <w:tcBorders>
              <w:top w:val="nil"/>
              <w:left w:val="nil"/>
              <w:right w:val="nil"/>
            </w:tcBorders>
          </w:tcPr>
          <w:p w14:paraId="7C11FEB5" w14:textId="77777777" w:rsidR="00AC57A1" w:rsidRPr="00C06677" w:rsidRDefault="00AC57A1" w:rsidP="002D6464">
            <w:pPr>
              <w:keepNext/>
              <w:keepLines/>
              <w:spacing w:before="120" w:after="120"/>
              <w:jc w:val="center"/>
              <w:rPr>
                <w:color w:val="000000" w:themeColor="text1"/>
              </w:rPr>
            </w:pPr>
            <w:r w:rsidRPr="00C06677">
              <w:rPr>
                <w:color w:val="000000" w:themeColor="text1"/>
              </w:rPr>
              <w:t>-0.41</w:t>
            </w:r>
          </w:p>
        </w:tc>
        <w:tc>
          <w:tcPr>
            <w:tcW w:w="789" w:type="dxa"/>
            <w:tcBorders>
              <w:top w:val="nil"/>
              <w:left w:val="nil"/>
              <w:right w:val="nil"/>
            </w:tcBorders>
          </w:tcPr>
          <w:p w14:paraId="59654E5A" w14:textId="77777777" w:rsidR="00AC57A1" w:rsidRPr="00C06677" w:rsidRDefault="00AC57A1" w:rsidP="002D6464">
            <w:pPr>
              <w:keepNext/>
              <w:keepLines/>
              <w:spacing w:before="120" w:after="120"/>
              <w:jc w:val="center"/>
              <w:rPr>
                <w:color w:val="000000" w:themeColor="text1"/>
              </w:rPr>
            </w:pPr>
            <w:r w:rsidRPr="00C06677">
              <w:rPr>
                <w:color w:val="000000" w:themeColor="text1"/>
              </w:rPr>
              <w:t>4.00</w:t>
            </w:r>
          </w:p>
        </w:tc>
        <w:tc>
          <w:tcPr>
            <w:tcW w:w="1163" w:type="dxa"/>
            <w:tcBorders>
              <w:top w:val="nil"/>
              <w:left w:val="nil"/>
              <w:right w:val="nil"/>
            </w:tcBorders>
          </w:tcPr>
          <w:p w14:paraId="1E7BC26A" w14:textId="77777777" w:rsidR="00AC57A1" w:rsidRPr="00C06677" w:rsidRDefault="00AC57A1" w:rsidP="002D6464">
            <w:pPr>
              <w:keepNext/>
              <w:keepLines/>
              <w:spacing w:before="120" w:after="120"/>
              <w:jc w:val="center"/>
              <w:rPr>
                <w:color w:val="000000" w:themeColor="text1"/>
              </w:rPr>
            </w:pPr>
            <w:r w:rsidRPr="00C06677">
              <w:rPr>
                <w:color w:val="000000" w:themeColor="text1"/>
              </w:rPr>
              <w:t>39.0</w:t>
            </w:r>
          </w:p>
        </w:tc>
        <w:tc>
          <w:tcPr>
            <w:tcW w:w="893" w:type="dxa"/>
            <w:tcBorders>
              <w:top w:val="nil"/>
              <w:left w:val="nil"/>
              <w:right w:val="nil"/>
            </w:tcBorders>
          </w:tcPr>
          <w:p w14:paraId="0CDE2FAF" w14:textId="77777777" w:rsidR="00AC57A1" w:rsidRPr="00C06677" w:rsidRDefault="00AC57A1" w:rsidP="002D6464">
            <w:pPr>
              <w:keepNext/>
              <w:keepLines/>
              <w:spacing w:before="120" w:after="120"/>
              <w:jc w:val="center"/>
              <w:rPr>
                <w:color w:val="000000" w:themeColor="text1"/>
              </w:rPr>
            </w:pPr>
            <w:r w:rsidRPr="00C06677">
              <w:rPr>
                <w:color w:val="000000" w:themeColor="text1"/>
              </w:rPr>
              <w:t>0.006</w:t>
            </w:r>
          </w:p>
        </w:tc>
        <w:tc>
          <w:tcPr>
            <w:tcW w:w="1109" w:type="dxa"/>
            <w:tcBorders>
              <w:left w:val="nil"/>
              <w:right w:val="nil"/>
            </w:tcBorders>
          </w:tcPr>
          <w:p w14:paraId="42D7F184" w14:textId="77777777" w:rsidR="00AC57A1" w:rsidRPr="00C06677" w:rsidRDefault="00AC57A1" w:rsidP="002D6464">
            <w:pPr>
              <w:keepNext/>
              <w:keepLines/>
              <w:spacing w:before="120" w:after="120"/>
              <w:jc w:val="center"/>
              <w:rPr>
                <w:color w:val="000000" w:themeColor="text1"/>
              </w:rPr>
            </w:pPr>
            <w:r w:rsidRPr="00C06677">
              <w:rPr>
                <w:color w:val="000000" w:themeColor="text1"/>
              </w:rPr>
              <w:t>NA</w:t>
            </w:r>
          </w:p>
        </w:tc>
        <w:tc>
          <w:tcPr>
            <w:tcW w:w="1364" w:type="dxa"/>
            <w:tcBorders>
              <w:left w:val="nil"/>
              <w:right w:val="nil"/>
            </w:tcBorders>
          </w:tcPr>
          <w:p w14:paraId="71591D7B" w14:textId="77777777" w:rsidR="00AC57A1" w:rsidRPr="00C06677" w:rsidRDefault="00AC57A1" w:rsidP="002D6464">
            <w:pPr>
              <w:keepNext/>
              <w:keepLines/>
              <w:spacing w:before="120" w:after="120"/>
              <w:jc w:val="center"/>
              <w:rPr>
                <w:color w:val="000000" w:themeColor="text1"/>
              </w:rPr>
            </w:pPr>
            <w:r w:rsidRPr="00C06677">
              <w:rPr>
                <w:color w:val="000000" w:themeColor="text1"/>
              </w:rPr>
              <w:t>-0.02</w:t>
            </w:r>
          </w:p>
        </w:tc>
        <w:tc>
          <w:tcPr>
            <w:tcW w:w="976" w:type="dxa"/>
            <w:tcBorders>
              <w:left w:val="nil"/>
              <w:right w:val="nil"/>
            </w:tcBorders>
          </w:tcPr>
          <w:p w14:paraId="02CCF14C" w14:textId="77777777" w:rsidR="00AC57A1" w:rsidRPr="00C06677" w:rsidRDefault="00AC57A1" w:rsidP="002D6464">
            <w:pPr>
              <w:keepNext/>
              <w:keepLines/>
              <w:spacing w:before="120" w:after="120"/>
              <w:jc w:val="center"/>
              <w:rPr>
                <w:color w:val="000000" w:themeColor="text1"/>
              </w:rPr>
            </w:pPr>
            <w:r w:rsidRPr="00C06677">
              <w:rPr>
                <w:color w:val="000000" w:themeColor="text1"/>
              </w:rPr>
              <w:t>-0.10</w:t>
            </w:r>
          </w:p>
        </w:tc>
        <w:tc>
          <w:tcPr>
            <w:tcW w:w="810" w:type="dxa"/>
            <w:tcBorders>
              <w:top w:val="nil"/>
              <w:left w:val="nil"/>
            </w:tcBorders>
          </w:tcPr>
          <w:p w14:paraId="0B519C99" w14:textId="77777777" w:rsidR="00AC57A1" w:rsidRPr="00C06677" w:rsidRDefault="00AC57A1" w:rsidP="002D6464">
            <w:pPr>
              <w:keepNext/>
              <w:keepLines/>
              <w:spacing w:before="120" w:after="120"/>
              <w:jc w:val="center"/>
              <w:rPr>
                <w:color w:val="000000" w:themeColor="text1"/>
              </w:rPr>
            </w:pPr>
            <w:r w:rsidRPr="00C06677">
              <w:rPr>
                <w:color w:val="000000" w:themeColor="text1"/>
              </w:rPr>
              <w:t>0.93</w:t>
            </w:r>
          </w:p>
        </w:tc>
      </w:tr>
    </w:tbl>
    <w:p w14:paraId="1A423209" w14:textId="77777777" w:rsidR="00C8545A" w:rsidRPr="00C06677" w:rsidRDefault="00C8545A" w:rsidP="00AC57A1">
      <w:pPr>
        <w:keepNext/>
        <w:spacing w:line="480" w:lineRule="auto"/>
        <w:outlineLvl w:val="0"/>
        <w:rPr>
          <w:rFonts w:ascii="TimesNewRomanPSMT" w:hAnsi="TimesNewRomanPSMT"/>
        </w:rPr>
      </w:pPr>
    </w:p>
    <w:p w14:paraId="44754AB2" w14:textId="476F8F2A" w:rsidR="000A5279" w:rsidRPr="00C06677" w:rsidRDefault="00CF2AFA" w:rsidP="00B256D9">
      <w:pPr>
        <w:keepNext/>
        <w:spacing w:line="480" w:lineRule="auto"/>
        <w:ind w:firstLine="720"/>
        <w:outlineLvl w:val="0"/>
      </w:pPr>
      <w:r w:rsidRPr="00C06677">
        <w:t>In</w:t>
      </w:r>
      <w:r w:rsidR="00AB5587" w:rsidRPr="00C06677">
        <w:t xml:space="preserve"> sum, the r</w:t>
      </w:r>
      <w:r w:rsidRPr="00C06677">
        <w:t xml:space="preserve">esults showed </w:t>
      </w:r>
      <w:r w:rsidR="00286AE7" w:rsidRPr="00C06677">
        <w:t xml:space="preserve">that PVT accounted </w:t>
      </w:r>
      <w:r w:rsidRPr="00C06677">
        <w:t>for 9</w:t>
      </w:r>
      <w:r w:rsidR="00D4125C" w:rsidRPr="00C06677">
        <w:t>5</w:t>
      </w:r>
      <w:r w:rsidRPr="00C06677">
        <w:t>% of variance in response choice and 9</w:t>
      </w:r>
      <w:r w:rsidR="00D4125C" w:rsidRPr="00C06677">
        <w:t>7</w:t>
      </w:r>
      <w:r w:rsidRPr="00C06677">
        <w:t>% of variance in RT</w:t>
      </w:r>
      <w:r w:rsidR="005D1143" w:rsidRPr="00C06677">
        <w:t xml:space="preserve"> when analyzed using regressions</w:t>
      </w:r>
      <w:r w:rsidRPr="00C06677">
        <w:t xml:space="preserve">. </w:t>
      </w:r>
      <w:r w:rsidR="00AB5587" w:rsidRPr="00C06677">
        <w:t>Mo</w:t>
      </w:r>
      <w:r w:rsidR="005D1143" w:rsidRPr="00C06677">
        <w:t>r</w:t>
      </w:r>
      <w:r w:rsidR="00AB5587" w:rsidRPr="00C06677">
        <w:t>eover</w:t>
      </w:r>
      <w:r w:rsidR="00286AE7" w:rsidRPr="00C06677">
        <w:t xml:space="preserve">, we </w:t>
      </w:r>
      <w:r w:rsidRPr="00C06677">
        <w:t>tested</w:t>
      </w:r>
      <w:r w:rsidR="00724D54" w:rsidRPr="00C06677">
        <w:t xml:space="preserve"> four </w:t>
      </w:r>
      <w:r w:rsidR="00B750BD" w:rsidRPr="00C06677">
        <w:t xml:space="preserve">versions of the random walk process and discovered that </w:t>
      </w:r>
      <w:r w:rsidR="00D4125C" w:rsidRPr="00C06677">
        <w:t>Value Constant + Side Bias Model</w:t>
      </w:r>
      <w:r w:rsidR="00B750BD" w:rsidRPr="00C06677">
        <w:t xml:space="preserve"> </w:t>
      </w:r>
      <w:r w:rsidR="005F1D7E" w:rsidRPr="00C06677">
        <w:t xml:space="preserve">best fit the data </w:t>
      </w:r>
      <w:r w:rsidR="000A5279" w:rsidRPr="00C06677">
        <w:t xml:space="preserve">accounted for </w:t>
      </w:r>
      <w:r w:rsidR="00C634D0" w:rsidRPr="00C06677">
        <w:t>9</w:t>
      </w:r>
      <w:r w:rsidR="00D4125C" w:rsidRPr="00C06677">
        <w:t>5</w:t>
      </w:r>
      <w:r w:rsidR="000A5279" w:rsidRPr="00C06677">
        <w:t xml:space="preserve">% of variance in </w:t>
      </w:r>
      <w:r w:rsidR="002278E6" w:rsidRPr="00C06677">
        <w:t>the RT</w:t>
      </w:r>
      <w:r w:rsidR="005D1143" w:rsidRPr="00C06677">
        <w:rPr>
          <w:vertAlign w:val="subscript"/>
        </w:rPr>
        <w:t>HVO</w:t>
      </w:r>
      <w:r w:rsidR="005D1143" w:rsidRPr="00C06677">
        <w:t>, RT</w:t>
      </w:r>
      <w:r w:rsidR="005D1143" w:rsidRPr="00C06677">
        <w:rPr>
          <w:vertAlign w:val="subscript"/>
        </w:rPr>
        <w:t>LVO</w:t>
      </w:r>
      <w:r w:rsidR="005D1143" w:rsidRPr="00C06677">
        <w:t>,</w:t>
      </w:r>
      <w:r w:rsidR="002278E6" w:rsidRPr="00C06677">
        <w:t xml:space="preserve"> and </w:t>
      </w:r>
      <w:r w:rsidR="002278E6" w:rsidRPr="00C06677">
        <w:rPr>
          <w:i/>
          <w:iCs/>
        </w:rPr>
        <w:t>p</w:t>
      </w:r>
      <w:r w:rsidR="002278E6" w:rsidRPr="00C06677">
        <w:t>(</w:t>
      </w:r>
      <w:r w:rsidR="005D1143" w:rsidRPr="00C06677">
        <w:t>HVO</w:t>
      </w:r>
      <w:r w:rsidR="002278E6" w:rsidRPr="00C06677">
        <w:t>) simultaneously</w:t>
      </w:r>
      <w:r w:rsidR="00B750BD" w:rsidRPr="00C06677">
        <w:t>.</w:t>
      </w:r>
      <w:r w:rsidR="00E051DA" w:rsidRPr="00C06677">
        <w:t xml:space="preserve"> </w:t>
      </w:r>
      <w:r w:rsidR="00973517" w:rsidRPr="00C06677">
        <w:t>These results show that</w:t>
      </w:r>
      <w:r w:rsidR="00CF5BCE" w:rsidRPr="00C06677">
        <w:t>, as predicted by PVT,</w:t>
      </w:r>
      <w:r w:rsidR="00973517" w:rsidRPr="00C06677">
        <w:t xml:space="preserve"> the value of the receiver to the giver is the primary driver of choice when presented with charitable scenarios. </w:t>
      </w:r>
      <w:r w:rsidR="00E051DA" w:rsidRPr="00C06677">
        <w:t>Further discussion of the</w:t>
      </w:r>
      <w:r w:rsidR="00286AE7" w:rsidRPr="00C06677">
        <w:t>se</w:t>
      </w:r>
      <w:r w:rsidR="002F6394" w:rsidRPr="00C06677">
        <w:t xml:space="preserve"> results and </w:t>
      </w:r>
      <w:r w:rsidR="00E051DA" w:rsidRPr="00C06677">
        <w:t xml:space="preserve">their </w:t>
      </w:r>
      <w:r w:rsidR="002F6394" w:rsidRPr="00C06677">
        <w:t xml:space="preserve">implications </w:t>
      </w:r>
      <w:r w:rsidR="00E051DA" w:rsidRPr="00C06677">
        <w:t xml:space="preserve">is included in the </w:t>
      </w:r>
      <w:r w:rsidR="002F6394" w:rsidRPr="00C06677">
        <w:t>General Discussion.</w:t>
      </w:r>
    </w:p>
    <w:p w14:paraId="168C178B" w14:textId="77777777" w:rsidR="00DE555B" w:rsidRPr="00C06677" w:rsidRDefault="00DE555B" w:rsidP="00DE555B">
      <w:pPr>
        <w:keepNext/>
        <w:spacing w:line="480" w:lineRule="auto"/>
        <w:jc w:val="center"/>
        <w:outlineLvl w:val="0"/>
        <w:rPr>
          <w:b/>
          <w:bCs/>
        </w:rPr>
      </w:pPr>
      <w:r w:rsidRPr="00C06677">
        <w:rPr>
          <w:b/>
          <w:bCs/>
        </w:rPr>
        <w:t>Experiment 2</w:t>
      </w:r>
    </w:p>
    <w:p w14:paraId="2B38A7A7" w14:textId="663144CB" w:rsidR="00DE555B" w:rsidRPr="00C06677" w:rsidRDefault="00DE555B" w:rsidP="00A92CDB">
      <w:pPr>
        <w:keepNext/>
        <w:spacing w:line="480" w:lineRule="auto"/>
        <w:rPr>
          <w:color w:val="000000" w:themeColor="text1"/>
        </w:rPr>
      </w:pPr>
      <w:r w:rsidRPr="00C06677">
        <w:tab/>
        <w:t xml:space="preserve">In Experiment 1, we demonstrated that </w:t>
      </w:r>
      <w:r w:rsidR="00973517" w:rsidRPr="00C06677">
        <w:t xml:space="preserve">the </w:t>
      </w:r>
      <w:r w:rsidR="00E33329">
        <w:t>Psychological Value</w:t>
      </w:r>
      <w:r w:rsidR="00E33329" w:rsidRPr="00C06677">
        <w:t xml:space="preserve"> </w:t>
      </w:r>
      <w:r w:rsidR="00973517" w:rsidRPr="00C06677">
        <w:t xml:space="preserve">of the receiver to the giver </w:t>
      </w:r>
      <w:r w:rsidRPr="00C06677">
        <w:t>predicts charitable donation behavior with a high degree of precision</w:t>
      </w:r>
      <w:r w:rsidR="00973517" w:rsidRPr="00C06677">
        <w:t>, when modeled with PVT</w:t>
      </w:r>
      <w:r w:rsidRPr="00C06677">
        <w:t xml:space="preserve">. In Experiment 2, we </w:t>
      </w:r>
      <w:r w:rsidR="00663DE2" w:rsidRPr="00C06677">
        <w:t>replicate and extend the results of Experiment 1</w:t>
      </w:r>
      <w:r w:rsidR="00CF5BCE" w:rsidRPr="00C06677">
        <w:t xml:space="preserve"> in the following way</w:t>
      </w:r>
      <w:r w:rsidR="00663DE2" w:rsidRPr="00C06677">
        <w:t>.  Specifically, our charity scenarios have a formulaic structure: two people are in need because of [</w:t>
      </w:r>
      <w:r w:rsidR="00663DE2" w:rsidRPr="00C06677">
        <w:rPr>
          <w:i/>
          <w:iCs/>
        </w:rPr>
        <w:t>reason X</w:t>
      </w:r>
      <w:r w:rsidR="00663DE2" w:rsidRPr="00C06677">
        <w:t xml:space="preserve">] and a third party is collecting </w:t>
      </w:r>
      <w:r w:rsidR="00AA3627" w:rsidRPr="00C06677">
        <w:t xml:space="preserve">the </w:t>
      </w:r>
      <w:r w:rsidR="00663DE2" w:rsidRPr="00C06677">
        <w:t xml:space="preserve">donation.  The participant is asked who they would donate to.  Here, we assess whether PVT can successfully predict the data when the reason for </w:t>
      </w:r>
      <w:r w:rsidR="00EF583E" w:rsidRPr="00C06677">
        <w:t xml:space="preserve">the need is removed. Furthermore, because the scenario is simplified, we were able to collect </w:t>
      </w:r>
      <w:r w:rsidR="00EF583E" w:rsidRPr="00C06677">
        <w:lastRenderedPageBreak/>
        <w:t xml:space="preserve">enough data to examine whether individual participants exhibit the same pattern of behavior as is </w:t>
      </w:r>
      <w:r w:rsidR="00220A68">
        <w:t>reflected in</w:t>
      </w:r>
      <w:r w:rsidR="00EF583E" w:rsidRPr="00C06677">
        <w:t xml:space="preserve"> the group data.  </w:t>
      </w:r>
    </w:p>
    <w:p w14:paraId="3784709C" w14:textId="77777777" w:rsidR="00DE555B" w:rsidRPr="00C06677" w:rsidRDefault="00DE555B" w:rsidP="00DE555B">
      <w:pPr>
        <w:keepNext/>
        <w:spacing w:line="480" w:lineRule="auto"/>
        <w:jc w:val="center"/>
        <w:rPr>
          <w:b/>
          <w:bCs/>
        </w:rPr>
      </w:pPr>
      <w:r w:rsidRPr="00C06677">
        <w:rPr>
          <w:b/>
          <w:bCs/>
        </w:rPr>
        <w:t>Method</w:t>
      </w:r>
    </w:p>
    <w:p w14:paraId="6EE0DA53" w14:textId="77777777" w:rsidR="00DE555B" w:rsidRPr="00C06677" w:rsidRDefault="00DE555B" w:rsidP="00DE555B">
      <w:pPr>
        <w:keepNext/>
        <w:spacing w:line="480" w:lineRule="auto"/>
        <w:rPr>
          <w:b/>
          <w:color w:val="000000" w:themeColor="text1"/>
        </w:rPr>
      </w:pPr>
      <w:r w:rsidRPr="00C06677">
        <w:rPr>
          <w:b/>
          <w:color w:val="000000" w:themeColor="text1"/>
        </w:rPr>
        <w:t>Participants</w:t>
      </w:r>
    </w:p>
    <w:p w14:paraId="43249132" w14:textId="6916A7C7" w:rsidR="00DE555B" w:rsidRPr="00C06677" w:rsidRDefault="00DE555B" w:rsidP="00DE555B">
      <w:pPr>
        <w:spacing w:line="480" w:lineRule="auto"/>
        <w:ind w:firstLine="720"/>
      </w:pPr>
      <w:r w:rsidRPr="00C06677">
        <w:rPr>
          <w:color w:val="000000" w:themeColor="text1"/>
        </w:rPr>
        <w:t xml:space="preserve">Participants included </w:t>
      </w:r>
      <w:r w:rsidR="00EE148F">
        <w:rPr>
          <w:color w:val="000000" w:themeColor="text1"/>
        </w:rPr>
        <w:t>93</w:t>
      </w:r>
      <w:r w:rsidR="00EE148F" w:rsidRPr="00C06677">
        <w:rPr>
          <w:color w:val="000000" w:themeColor="text1"/>
        </w:rPr>
        <w:t xml:space="preserve"> </w:t>
      </w:r>
      <w:r w:rsidRPr="00C06677">
        <w:rPr>
          <w:color w:val="000000" w:themeColor="text1"/>
        </w:rPr>
        <w:t xml:space="preserve">undergraduate students who received partial credit towards a course requirement. </w:t>
      </w:r>
      <w:r w:rsidRPr="00C06677">
        <w:t xml:space="preserve">Sample size was determined by </w:t>
      </w:r>
      <w:r w:rsidR="00A87DD0" w:rsidRPr="00C06677">
        <w:t>the same procedure used in Experiment 1</w:t>
      </w:r>
      <w:r w:rsidRPr="00C06677">
        <w:t>.</w:t>
      </w:r>
    </w:p>
    <w:p w14:paraId="6CE30C7E" w14:textId="77777777" w:rsidR="00DE555B" w:rsidRPr="00C06677" w:rsidRDefault="00DE555B" w:rsidP="00DE555B">
      <w:pPr>
        <w:spacing w:line="480" w:lineRule="auto"/>
        <w:rPr>
          <w:b/>
          <w:color w:val="000000" w:themeColor="text1"/>
        </w:rPr>
      </w:pPr>
      <w:r w:rsidRPr="00C06677">
        <w:rPr>
          <w:b/>
          <w:color w:val="000000" w:themeColor="text1"/>
        </w:rPr>
        <w:t>Design and materials</w:t>
      </w:r>
    </w:p>
    <w:p w14:paraId="5D633C1A" w14:textId="1D3A0805" w:rsidR="00DE555B" w:rsidRPr="00C06677" w:rsidRDefault="00DE555B" w:rsidP="00DE555B">
      <w:pPr>
        <w:spacing w:line="480" w:lineRule="auto"/>
        <w:rPr>
          <w:color w:val="000000" w:themeColor="text1"/>
        </w:rPr>
      </w:pPr>
      <w:r w:rsidRPr="00C06677">
        <w:rPr>
          <w:color w:val="000000" w:themeColor="text1"/>
        </w:rPr>
        <w:tab/>
        <w:t>The apparatus and stimuli were the same as in Experiment 1 with one exception</w:t>
      </w:r>
      <w:r w:rsidR="00EF583E" w:rsidRPr="00C06677">
        <w:rPr>
          <w:color w:val="000000" w:themeColor="text1"/>
        </w:rPr>
        <w:t>: a single simplified scenario was used throughout</w:t>
      </w:r>
      <w:r w:rsidRPr="00C06677">
        <w:t>.</w:t>
      </w:r>
      <w:r w:rsidRPr="00C06677">
        <w:rPr>
          <w:color w:val="000000" w:themeColor="text1"/>
        </w:rPr>
        <w:t xml:space="preserve"> </w:t>
      </w:r>
      <w:r w:rsidR="00EF583E" w:rsidRPr="00C06677">
        <w:rPr>
          <w:color w:val="000000" w:themeColor="text1"/>
        </w:rPr>
        <w:t>The scenario was as follows:</w:t>
      </w:r>
    </w:p>
    <w:p w14:paraId="348D0F7E" w14:textId="77777777" w:rsidR="00EF583E" w:rsidRPr="00C06677" w:rsidRDefault="00EF583E" w:rsidP="00A92CDB">
      <w:pPr>
        <w:spacing w:line="480" w:lineRule="auto"/>
        <w:jc w:val="center"/>
        <w:rPr>
          <w:i/>
          <w:color w:val="000000" w:themeColor="text1"/>
        </w:rPr>
      </w:pPr>
      <w:r w:rsidRPr="00C06677">
        <w:rPr>
          <w:i/>
          <w:color w:val="000000" w:themeColor="text1"/>
        </w:rPr>
        <w:t>Through circumstances out of their control,</w:t>
      </w:r>
    </w:p>
    <w:p w14:paraId="22981883" w14:textId="2711170C" w:rsidR="00EF583E" w:rsidRPr="00C06677" w:rsidRDefault="00EF583E" w:rsidP="00EF583E">
      <w:pPr>
        <w:spacing w:line="480" w:lineRule="auto"/>
        <w:jc w:val="center"/>
        <w:rPr>
          <w:i/>
          <w:color w:val="000000" w:themeColor="text1"/>
        </w:rPr>
      </w:pPr>
      <w:r w:rsidRPr="00C06677">
        <w:rPr>
          <w:bCs/>
          <w:i/>
          <w:color w:val="000000" w:themeColor="text1"/>
        </w:rPr>
        <w:t>Item A</w:t>
      </w:r>
      <w:r w:rsidRPr="00C06677">
        <w:rPr>
          <w:bCs/>
          <w:i/>
          <w:color w:val="000000" w:themeColor="text1"/>
        </w:rPr>
        <w:tab/>
      </w:r>
      <w:r w:rsidRPr="00C06677">
        <w:rPr>
          <w:bCs/>
          <w:i/>
          <w:color w:val="000000" w:themeColor="text1"/>
        </w:rPr>
        <w:tab/>
        <w:t xml:space="preserve"> </w:t>
      </w:r>
      <w:r w:rsidRPr="00C06677">
        <w:rPr>
          <w:i/>
          <w:color w:val="000000" w:themeColor="text1"/>
        </w:rPr>
        <w:t xml:space="preserve">and </w:t>
      </w:r>
      <w:r w:rsidRPr="00C06677">
        <w:rPr>
          <w:i/>
          <w:color w:val="000000" w:themeColor="text1"/>
        </w:rPr>
        <w:tab/>
      </w:r>
      <w:r w:rsidRPr="00C06677">
        <w:rPr>
          <w:bCs/>
          <w:i/>
          <w:color w:val="000000" w:themeColor="text1"/>
        </w:rPr>
        <w:tab/>
        <w:t>Item B</w:t>
      </w:r>
    </w:p>
    <w:p w14:paraId="1EBA0966" w14:textId="6D2AB497" w:rsidR="00EF583E" w:rsidRPr="00C06677" w:rsidRDefault="00EF583E" w:rsidP="00A92CDB">
      <w:pPr>
        <w:spacing w:line="480" w:lineRule="auto"/>
        <w:jc w:val="center"/>
        <w:rPr>
          <w:i/>
          <w:color w:val="000000" w:themeColor="text1"/>
        </w:rPr>
      </w:pPr>
      <w:r w:rsidRPr="00C06677">
        <w:rPr>
          <w:i/>
          <w:color w:val="000000" w:themeColor="text1"/>
        </w:rPr>
        <w:t>are</w:t>
      </w:r>
      <w:r w:rsidRPr="00C06677">
        <w:rPr>
          <w:i/>
          <w:color w:val="000000" w:themeColor="text1"/>
          <w:vertAlign w:val="subscript"/>
        </w:rPr>
        <w:t> </w:t>
      </w:r>
      <w:r w:rsidRPr="00C06677">
        <w:rPr>
          <w:i/>
          <w:color w:val="000000" w:themeColor="text1"/>
        </w:rPr>
        <w:t>in</w:t>
      </w:r>
      <w:r w:rsidRPr="00C06677">
        <w:rPr>
          <w:i/>
          <w:color w:val="000000" w:themeColor="text1"/>
          <w:vertAlign w:val="subscript"/>
        </w:rPr>
        <w:t> </w:t>
      </w:r>
      <w:r w:rsidRPr="00C06677">
        <w:rPr>
          <w:i/>
          <w:color w:val="000000" w:themeColor="text1"/>
        </w:rPr>
        <w:t>need</w:t>
      </w:r>
      <w:r w:rsidRPr="00C06677">
        <w:rPr>
          <w:i/>
          <w:color w:val="000000" w:themeColor="text1"/>
          <w:vertAlign w:val="subscript"/>
        </w:rPr>
        <w:t> </w:t>
      </w:r>
      <w:r w:rsidRPr="00C06677">
        <w:rPr>
          <w:i/>
          <w:color w:val="000000" w:themeColor="text1"/>
        </w:rPr>
        <w:t>of</w:t>
      </w:r>
      <w:r w:rsidRPr="00C06677">
        <w:rPr>
          <w:i/>
          <w:color w:val="000000" w:themeColor="text1"/>
          <w:vertAlign w:val="subscript"/>
        </w:rPr>
        <w:t> </w:t>
      </w:r>
      <w:r w:rsidRPr="00C06677">
        <w:rPr>
          <w:i/>
          <w:color w:val="000000" w:themeColor="text1"/>
        </w:rPr>
        <w:t>aid.</w:t>
      </w:r>
      <w:r w:rsidRPr="00C06677">
        <w:rPr>
          <w:i/>
          <w:color w:val="000000" w:themeColor="text1"/>
          <w:vertAlign w:val="subscript"/>
        </w:rPr>
        <w:t> </w:t>
      </w:r>
      <w:r w:rsidRPr="00C06677">
        <w:rPr>
          <w:i/>
          <w:color w:val="000000" w:themeColor="text1"/>
        </w:rPr>
        <w:t>A</w:t>
      </w:r>
      <w:r w:rsidRPr="00C06677">
        <w:rPr>
          <w:i/>
          <w:color w:val="000000" w:themeColor="text1"/>
          <w:vertAlign w:val="subscript"/>
        </w:rPr>
        <w:t> </w:t>
      </w:r>
      <w:r w:rsidRPr="00C06677">
        <w:rPr>
          <w:i/>
          <w:color w:val="000000" w:themeColor="text1"/>
        </w:rPr>
        <w:t>third</w:t>
      </w:r>
      <w:r w:rsidRPr="00C06677">
        <w:rPr>
          <w:i/>
          <w:color w:val="000000" w:themeColor="text1"/>
          <w:vertAlign w:val="subscript"/>
        </w:rPr>
        <w:t> </w:t>
      </w:r>
      <w:r w:rsidRPr="00C06677">
        <w:rPr>
          <w:i/>
          <w:color w:val="000000" w:themeColor="text1"/>
        </w:rPr>
        <w:t>party</w:t>
      </w:r>
      <w:r w:rsidRPr="00C06677">
        <w:rPr>
          <w:i/>
          <w:color w:val="000000" w:themeColor="text1"/>
          <w:vertAlign w:val="subscript"/>
        </w:rPr>
        <w:t> </w:t>
      </w:r>
      <w:r w:rsidRPr="00C06677">
        <w:rPr>
          <w:i/>
          <w:color w:val="000000" w:themeColor="text1"/>
        </w:rPr>
        <w:t>is</w:t>
      </w:r>
      <w:r w:rsidRPr="00C06677">
        <w:rPr>
          <w:i/>
          <w:color w:val="000000" w:themeColor="text1"/>
          <w:vertAlign w:val="subscript"/>
        </w:rPr>
        <w:t> </w:t>
      </w:r>
      <w:r w:rsidRPr="00C06677">
        <w:rPr>
          <w:i/>
          <w:color w:val="000000" w:themeColor="text1"/>
        </w:rPr>
        <w:t>collecting</w:t>
      </w:r>
      <w:r w:rsidRPr="00C06677">
        <w:rPr>
          <w:i/>
          <w:color w:val="000000" w:themeColor="text1"/>
          <w:vertAlign w:val="subscript"/>
        </w:rPr>
        <w:t> </w:t>
      </w:r>
      <w:r w:rsidRPr="00C06677">
        <w:rPr>
          <w:i/>
          <w:color w:val="000000" w:themeColor="text1"/>
        </w:rPr>
        <w:t>charitable</w:t>
      </w:r>
      <w:r w:rsidRPr="00C06677">
        <w:rPr>
          <w:i/>
          <w:color w:val="000000" w:themeColor="text1"/>
          <w:vertAlign w:val="subscript"/>
        </w:rPr>
        <w:t> </w:t>
      </w:r>
      <w:r w:rsidRPr="00C06677">
        <w:rPr>
          <w:i/>
          <w:color w:val="000000" w:themeColor="text1"/>
        </w:rPr>
        <w:t>donations</w:t>
      </w:r>
      <w:r w:rsidRPr="00C06677">
        <w:rPr>
          <w:i/>
          <w:color w:val="000000" w:themeColor="text1"/>
          <w:vertAlign w:val="subscript"/>
        </w:rPr>
        <w:t> </w:t>
      </w:r>
      <w:r w:rsidRPr="00C06677">
        <w:rPr>
          <w:i/>
          <w:color w:val="000000" w:themeColor="text1"/>
        </w:rPr>
        <w:t>for</w:t>
      </w:r>
      <w:r w:rsidRPr="00C06677">
        <w:rPr>
          <w:i/>
          <w:color w:val="000000" w:themeColor="text1"/>
          <w:vertAlign w:val="subscript"/>
        </w:rPr>
        <w:t> </w:t>
      </w:r>
      <w:r w:rsidRPr="00C06677">
        <w:rPr>
          <w:i/>
          <w:color w:val="000000" w:themeColor="text1"/>
        </w:rPr>
        <w:t>each</w:t>
      </w:r>
      <w:r w:rsidRPr="00C06677">
        <w:rPr>
          <w:i/>
          <w:color w:val="000000" w:themeColor="text1"/>
          <w:vertAlign w:val="subscript"/>
        </w:rPr>
        <w:t> </w:t>
      </w:r>
      <w:r w:rsidRPr="00C06677">
        <w:rPr>
          <w:i/>
          <w:color w:val="000000" w:themeColor="text1"/>
        </w:rPr>
        <w:t>person.</w:t>
      </w:r>
    </w:p>
    <w:p w14:paraId="620760D9" w14:textId="2B687FF6" w:rsidR="00EF583E" w:rsidRPr="00C06677" w:rsidRDefault="00EF583E" w:rsidP="00A92CDB">
      <w:pPr>
        <w:spacing w:line="480" w:lineRule="auto"/>
        <w:jc w:val="center"/>
        <w:outlineLvl w:val="0"/>
        <w:rPr>
          <w:i/>
          <w:color w:val="000000" w:themeColor="text1"/>
        </w:rPr>
      </w:pPr>
      <w:r w:rsidRPr="00C06677">
        <w:rPr>
          <w:i/>
          <w:color w:val="000000" w:themeColor="text1"/>
        </w:rPr>
        <w:t>Would you donate to</w:t>
      </w:r>
    </w:p>
    <w:p w14:paraId="501B5A05" w14:textId="77777777" w:rsidR="00EF583E" w:rsidRPr="00C06677" w:rsidRDefault="00EF583E" w:rsidP="00EF583E">
      <w:pPr>
        <w:spacing w:line="480" w:lineRule="auto"/>
        <w:jc w:val="center"/>
        <w:rPr>
          <w:bCs/>
          <w:i/>
          <w:color w:val="000000" w:themeColor="text1"/>
        </w:rPr>
      </w:pPr>
      <w:r w:rsidRPr="00C06677">
        <w:rPr>
          <w:bCs/>
          <w:i/>
          <w:color w:val="000000" w:themeColor="text1"/>
        </w:rPr>
        <w:t>Item A</w:t>
      </w:r>
      <w:r w:rsidRPr="00C06677">
        <w:rPr>
          <w:bCs/>
          <w:i/>
          <w:color w:val="000000" w:themeColor="text1"/>
        </w:rPr>
        <w:tab/>
      </w:r>
      <w:r w:rsidRPr="00C06677">
        <w:rPr>
          <w:bCs/>
          <w:i/>
          <w:color w:val="000000" w:themeColor="text1"/>
        </w:rPr>
        <w:tab/>
        <w:t xml:space="preserve"> </w:t>
      </w:r>
      <w:r w:rsidRPr="00C06677">
        <w:rPr>
          <w:i/>
          <w:color w:val="000000" w:themeColor="text1"/>
        </w:rPr>
        <w:t xml:space="preserve">or </w:t>
      </w:r>
      <w:r w:rsidRPr="00C06677">
        <w:rPr>
          <w:i/>
          <w:color w:val="000000" w:themeColor="text1"/>
        </w:rPr>
        <w:tab/>
      </w:r>
      <w:r w:rsidRPr="00C06677">
        <w:rPr>
          <w:bCs/>
          <w:i/>
          <w:color w:val="000000" w:themeColor="text1"/>
        </w:rPr>
        <w:tab/>
        <w:t>Item B?</w:t>
      </w:r>
    </w:p>
    <w:p w14:paraId="1F786606" w14:textId="77777777" w:rsidR="00DE555B" w:rsidRPr="00C06677" w:rsidRDefault="00DE555B" w:rsidP="00DE555B">
      <w:pPr>
        <w:keepNext/>
        <w:spacing w:line="480" w:lineRule="auto"/>
        <w:rPr>
          <w:b/>
        </w:rPr>
      </w:pPr>
      <w:r w:rsidRPr="00C06677">
        <w:rPr>
          <w:b/>
        </w:rPr>
        <w:t>Procedure</w:t>
      </w:r>
    </w:p>
    <w:p w14:paraId="68EEC999" w14:textId="7F3D1136" w:rsidR="00DE555B" w:rsidRPr="00C06677" w:rsidRDefault="00DE555B" w:rsidP="00130070">
      <w:pPr>
        <w:keepNext/>
        <w:spacing w:line="480" w:lineRule="auto"/>
        <w:ind w:firstLine="720"/>
        <w:outlineLvl w:val="0"/>
        <w:rPr>
          <w:bCs/>
        </w:rPr>
      </w:pPr>
      <w:r w:rsidRPr="00C06677">
        <w:tab/>
        <w:t xml:space="preserve">The procedure of Experiment 2 was identical to that of Experiment 1. Participants completed an average of </w:t>
      </w:r>
      <w:r w:rsidR="00EF583E" w:rsidRPr="00C06677">
        <w:t>266</w:t>
      </w:r>
      <w:r w:rsidRPr="00C06677">
        <w:t xml:space="preserve"> tr</w:t>
      </w:r>
      <w:r w:rsidR="00AA3627" w:rsidRPr="00C06677">
        <w:t>ia</w:t>
      </w:r>
      <w:r w:rsidRPr="00C06677">
        <w:t xml:space="preserve">ls (SD = </w:t>
      </w:r>
      <w:r w:rsidR="00EF583E" w:rsidRPr="00C06677">
        <w:t>31</w:t>
      </w:r>
      <w:r w:rsidRPr="00C06677">
        <w:t>) in the experimental session.</w:t>
      </w:r>
      <w:r w:rsidR="00130070" w:rsidRPr="00C06677">
        <w:t xml:space="preserve"> </w:t>
      </w:r>
    </w:p>
    <w:p w14:paraId="64CA37C8" w14:textId="24833C29" w:rsidR="00130070" w:rsidRPr="00C06677" w:rsidRDefault="00130070" w:rsidP="00130070">
      <w:pPr>
        <w:keepNext/>
        <w:spacing w:line="480" w:lineRule="auto"/>
        <w:ind w:firstLine="720"/>
        <w:outlineLvl w:val="0"/>
        <w:rPr>
          <w:bCs/>
        </w:rPr>
      </w:pPr>
      <w:r w:rsidRPr="00C06677">
        <w:rPr>
          <w:bCs/>
        </w:rPr>
        <w:t xml:space="preserve">All procedures were approved by the </w:t>
      </w:r>
      <w:r w:rsidR="00511D2B">
        <w:rPr>
          <w:bCs/>
        </w:rPr>
        <w:t>UNC Wilmington</w:t>
      </w:r>
      <w:r w:rsidRPr="00C06677">
        <w:rPr>
          <w:bCs/>
        </w:rPr>
        <w:t xml:space="preserve"> IRB, protocol# 16-0210. The data and R code for the analysis of Experiment 2 can be downloaded at:</w:t>
      </w:r>
      <w:r w:rsidRPr="00C06677">
        <w:rPr>
          <w:bCs/>
        </w:rPr>
        <w:br/>
      </w:r>
      <w:hyperlink r:id="rId16" w:history="1">
        <w:r w:rsidRPr="00C06677">
          <w:rPr>
            <w:rStyle w:val="Hyperlink"/>
            <w:bCs/>
          </w:rPr>
          <w:t>https://github.com/ccpluncw/ccpl_data_PVTcharity2021.git</w:t>
        </w:r>
      </w:hyperlink>
      <w:r w:rsidRPr="00C06677">
        <w:rPr>
          <w:bCs/>
        </w:rPr>
        <w:t xml:space="preserve">. </w:t>
      </w:r>
      <w:r w:rsidR="00491DDF" w:rsidRPr="00C06677">
        <w:rPr>
          <w:bCs/>
        </w:rPr>
        <w:t xml:space="preserve">The stimuli and instructions can be found in the Supplemental </w:t>
      </w:r>
      <w:r w:rsidR="00784FF6">
        <w:rPr>
          <w:bCs/>
        </w:rPr>
        <w:t>Information</w:t>
      </w:r>
      <w:r w:rsidR="00491DDF" w:rsidRPr="00C06677">
        <w:rPr>
          <w:bCs/>
        </w:rPr>
        <w:t xml:space="preserve">. </w:t>
      </w:r>
      <w:r w:rsidRPr="00C06677">
        <w:rPr>
          <w:bCs/>
        </w:rPr>
        <w:t xml:space="preserve">The experimental presentation code is proprietary and is </w:t>
      </w:r>
      <w:r w:rsidRPr="00C06677">
        <w:rPr>
          <w:bCs/>
        </w:rPr>
        <w:lastRenderedPageBreak/>
        <w:t>not open sourced. The experiment was not pre-registered.</w:t>
      </w:r>
      <w:r w:rsidR="00110493" w:rsidRPr="00110493">
        <w:rPr>
          <w:bCs/>
        </w:rPr>
        <w:t xml:space="preserve"> In these studies, we report all measures, manipulations and exclusions.</w:t>
      </w:r>
    </w:p>
    <w:p w14:paraId="2BB8CF1F" w14:textId="77777777" w:rsidR="00DE555B" w:rsidRPr="00C06677" w:rsidRDefault="00DE555B" w:rsidP="00DA27B8">
      <w:pPr>
        <w:keepNext/>
        <w:spacing w:line="480" w:lineRule="auto"/>
        <w:jc w:val="center"/>
        <w:rPr>
          <w:b/>
        </w:rPr>
      </w:pPr>
      <w:r w:rsidRPr="00C06677">
        <w:rPr>
          <w:b/>
        </w:rPr>
        <w:t xml:space="preserve">Results and Discussion </w:t>
      </w:r>
    </w:p>
    <w:p w14:paraId="3B53ADBC" w14:textId="3C0D2F5E" w:rsidR="00DE555B" w:rsidRPr="00C06677" w:rsidRDefault="00DE555B" w:rsidP="0069116E">
      <w:pPr>
        <w:spacing w:line="480" w:lineRule="auto"/>
      </w:pPr>
      <w:r w:rsidRPr="00C06677">
        <w:rPr>
          <w:b/>
        </w:rPr>
        <w:tab/>
      </w:r>
      <w:r w:rsidRPr="00C06677">
        <w:t xml:space="preserve">Five participants were removed due to issues with computers during the experiment. We filtered the data in Experiment 2 using the same process as Experiment 1. </w:t>
      </w:r>
      <w:r w:rsidR="00D4125C" w:rsidRPr="00C06677">
        <w:t xml:space="preserve">Again, we removed the 5% participants with the largest CVs (5 participants). </w:t>
      </w:r>
      <w:r w:rsidRPr="00C06677">
        <w:t xml:space="preserve">The final participant sample comprised </w:t>
      </w:r>
      <w:r w:rsidR="00EF583E" w:rsidRPr="00C06677">
        <w:t>8</w:t>
      </w:r>
      <w:r w:rsidR="00D4125C" w:rsidRPr="00C06677">
        <w:t>3</w:t>
      </w:r>
      <w:r w:rsidRPr="00C06677">
        <w:t xml:space="preserve"> individuals.</w:t>
      </w:r>
      <w:r w:rsidR="00D25E68" w:rsidRPr="00C06677">
        <w:t xml:space="preserve"> </w:t>
      </w:r>
      <w:r w:rsidR="00D4125C" w:rsidRPr="00C06677">
        <w:t>For each O</w:t>
      </w:r>
      <w:r w:rsidR="00D4125C" w:rsidRPr="00C06677">
        <w:rPr>
          <w:vertAlign w:val="subscript"/>
        </w:rPr>
        <w:t>0.1</w:t>
      </w:r>
      <w:r w:rsidR="00D4125C" w:rsidRPr="00C06677">
        <w:t xml:space="preserve"> bin, we removed individual trials with the slowest and fastest 2.5% of the RTs.  Finally, </w:t>
      </w:r>
      <w:r w:rsidR="00D25E68" w:rsidRPr="00C06677">
        <w:t>w</w:t>
      </w:r>
      <w:r w:rsidRPr="00C06677">
        <w:t xml:space="preserve">e removed the influence of learning from the RT data by fitting the same learning function to </w:t>
      </w:r>
      <w:r w:rsidR="00EF583E" w:rsidRPr="00C06677">
        <w:t>each participant’s</w:t>
      </w:r>
      <w:r w:rsidRPr="00C06677">
        <w:t xml:space="preserve"> data and the corresponding RT residuals were used in the following analyses. </w:t>
      </w:r>
    </w:p>
    <w:p w14:paraId="143CE116" w14:textId="77777777" w:rsidR="00DE555B" w:rsidRPr="00C06677" w:rsidRDefault="00DE555B" w:rsidP="00DE555B">
      <w:pPr>
        <w:spacing w:line="480" w:lineRule="auto"/>
        <w:rPr>
          <w:b/>
        </w:rPr>
      </w:pPr>
      <w:r w:rsidRPr="00C06677">
        <w:rPr>
          <w:b/>
        </w:rPr>
        <w:t>Regression Analysis</w:t>
      </w:r>
      <w:r w:rsidRPr="00C06677">
        <w:rPr>
          <w:b/>
        </w:rPr>
        <w:tab/>
      </w:r>
    </w:p>
    <w:p w14:paraId="7E93D005" w14:textId="2447FE8D" w:rsidR="00DE555B" w:rsidRDefault="00DE555B" w:rsidP="00DE555B">
      <w:pPr>
        <w:spacing w:line="480" w:lineRule="auto"/>
        <w:ind w:firstLine="720"/>
      </w:pPr>
      <w:r w:rsidRPr="00C06677">
        <w:t xml:space="preserve">We analyzed the data in Experiment 2 using the same process as Experiment 1 (see Figure </w:t>
      </w:r>
      <w:r w:rsidR="00A4465E" w:rsidRPr="00C06677">
        <w:t>6</w:t>
      </w:r>
      <w:r w:rsidRPr="00C06677">
        <w:t xml:space="preserve">).  There was a significant relation between Overlap and </w:t>
      </w:r>
      <w:r w:rsidRPr="00C06677">
        <w:rPr>
          <w:i/>
          <w:iCs/>
        </w:rPr>
        <w:t>p</w:t>
      </w:r>
      <w:r w:rsidRPr="00C06677">
        <w:t>(HVO), (</w:t>
      </w:r>
      <w:r w:rsidRPr="00C06677">
        <w:rPr>
          <w:i/>
        </w:rPr>
        <w:t>b</w:t>
      </w:r>
      <w:r w:rsidRPr="00C06677">
        <w:t xml:space="preserve"> = 2.</w:t>
      </w:r>
      <w:r w:rsidR="00D4125C" w:rsidRPr="00C06677">
        <w:t>13</w:t>
      </w:r>
      <w:r w:rsidRPr="00C06677">
        <w:t xml:space="preserve">), </w:t>
      </w:r>
      <w:r w:rsidRPr="00C06677">
        <w:rPr>
          <w:i/>
        </w:rPr>
        <w:t>t</w:t>
      </w:r>
      <w:r w:rsidRPr="00C06677">
        <w:t xml:space="preserve"> = </w:t>
      </w:r>
      <w:r w:rsidR="00D4125C" w:rsidRPr="00C06677">
        <w:t>18.2</w:t>
      </w:r>
      <w:r w:rsidRPr="00C06677">
        <w:t xml:space="preserve">, </w:t>
      </w:r>
      <w:r w:rsidRPr="00C06677">
        <w:rPr>
          <w:i/>
        </w:rPr>
        <w:t>p</w:t>
      </w:r>
      <w:r w:rsidRPr="00C06677">
        <w:t xml:space="preserve"> &lt; .001, </w:t>
      </w:r>
      <w:r w:rsidRPr="00C06677">
        <w:rPr>
          <w:i/>
        </w:rPr>
        <w:t>r</w:t>
      </w:r>
      <w:r w:rsidRPr="00C06677">
        <w:rPr>
          <w:i/>
          <w:vertAlign w:val="superscript"/>
        </w:rPr>
        <w:t>2</w:t>
      </w:r>
      <w:r w:rsidRPr="00C06677">
        <w:t xml:space="preserve"> = 0.9</w:t>
      </w:r>
      <w:r w:rsidR="00D4125C" w:rsidRPr="00C06677">
        <w:t>8</w:t>
      </w:r>
      <w:r w:rsidR="00A4465E" w:rsidRPr="00C06677">
        <w:t>, and t</w:t>
      </w:r>
      <w:r w:rsidRPr="00C06677">
        <w:t>here was a statistically significant linear relation between Overlap and RT</w:t>
      </w:r>
      <w:r w:rsidRPr="00C06677">
        <w:rPr>
          <w:vertAlign w:val="subscript"/>
        </w:rPr>
        <w:t>res</w:t>
      </w:r>
      <w:r w:rsidRPr="00C06677">
        <w:t xml:space="preserve">, </w:t>
      </w:r>
      <w:r w:rsidRPr="00C06677">
        <w:rPr>
          <w:i/>
          <w:iCs/>
        </w:rPr>
        <w:t>F</w:t>
      </w:r>
      <w:r w:rsidRPr="00C06677">
        <w:t xml:space="preserve">(1, 8) = </w:t>
      </w:r>
      <w:r w:rsidR="00D4125C" w:rsidRPr="00C06677">
        <w:t>328</w:t>
      </w:r>
      <w:r w:rsidRPr="00C06677">
        <w:t xml:space="preserve">, </w:t>
      </w:r>
      <w:r w:rsidRPr="00C06677">
        <w:rPr>
          <w:i/>
        </w:rPr>
        <w:t>p</w:t>
      </w:r>
      <w:r w:rsidRPr="00C06677">
        <w:t xml:space="preserve"> &lt; .001, </w:t>
      </w:r>
      <w:r w:rsidRPr="00C06677">
        <w:rPr>
          <w:i/>
        </w:rPr>
        <w:t>r</w:t>
      </w:r>
      <w:r w:rsidRPr="00C06677">
        <w:rPr>
          <w:i/>
          <w:vertAlign w:val="superscript"/>
        </w:rPr>
        <w:t>2</w:t>
      </w:r>
      <w:r w:rsidRPr="00C06677">
        <w:t xml:space="preserve"> = 0.9</w:t>
      </w:r>
      <w:r w:rsidR="00D4125C" w:rsidRPr="00C06677">
        <w:t>8</w:t>
      </w:r>
      <w:r w:rsidRPr="00C06677">
        <w:t>. Both the intercept (</w:t>
      </w:r>
      <w:r w:rsidRPr="00C06677">
        <w:rPr>
          <w:i/>
          <w:iCs/>
        </w:rPr>
        <w:t>a</w:t>
      </w:r>
      <w:r w:rsidRPr="00C06677">
        <w:t xml:space="preserve"> = –0.</w:t>
      </w:r>
      <w:r w:rsidR="0089167C" w:rsidRPr="00C06677">
        <w:t>1</w:t>
      </w:r>
      <w:r w:rsidR="00D4125C" w:rsidRPr="00C06677">
        <w:t>4</w:t>
      </w:r>
      <w:r w:rsidRPr="00C06677">
        <w:t>) and the slope (</w:t>
      </w:r>
      <w:r w:rsidRPr="00C06677">
        <w:rPr>
          <w:i/>
        </w:rPr>
        <w:t>b</w:t>
      </w:r>
      <w:r w:rsidRPr="00C06677">
        <w:t xml:space="preserve"> = 0.</w:t>
      </w:r>
      <w:r w:rsidR="0089167C" w:rsidRPr="00C06677">
        <w:t>29</w:t>
      </w:r>
      <w:r w:rsidRPr="00C06677">
        <w:t>) were statistically reliabl</w:t>
      </w:r>
      <w:r w:rsidR="008C794E" w:rsidRPr="00C06677">
        <w:t>y different from 0,</w:t>
      </w:r>
      <w:r w:rsidRPr="00C06677">
        <w:t xml:space="preserve"> </w:t>
      </w:r>
      <w:r w:rsidRPr="00C06677">
        <w:rPr>
          <w:i/>
        </w:rPr>
        <w:t>t</w:t>
      </w:r>
      <w:r w:rsidRPr="00C06677">
        <w:t xml:space="preserve">’s &gt; </w:t>
      </w:r>
      <w:r w:rsidR="0089167C" w:rsidRPr="00C06677">
        <w:t>1</w:t>
      </w:r>
      <w:r w:rsidR="00D4125C" w:rsidRPr="00C06677">
        <w:t>5</w:t>
      </w:r>
      <w:r w:rsidRPr="00C06677">
        <w:t xml:space="preserve">, </w:t>
      </w:r>
      <w:r w:rsidRPr="00C06677">
        <w:rPr>
          <w:i/>
        </w:rPr>
        <w:t>p</w:t>
      </w:r>
      <w:r w:rsidRPr="00C06677">
        <w:t xml:space="preserve">’s &lt; .001.  </w:t>
      </w:r>
      <w:r w:rsidR="00AC42AF">
        <w:t xml:space="preserve">Both analyses had an </w:t>
      </w:r>
      <w:r w:rsidR="00AC42AF" w:rsidRPr="00AC42AF">
        <w:t xml:space="preserve">80% power to detect an effect size of </w:t>
      </w:r>
      <w:r w:rsidR="00AC42AF" w:rsidRPr="001969F7">
        <w:rPr>
          <w:i/>
          <w:iCs/>
        </w:rPr>
        <w:t>f</w:t>
      </w:r>
      <w:r w:rsidR="00AC42AF" w:rsidRPr="001969F7">
        <w:rPr>
          <w:i/>
          <w:iCs/>
          <w:vertAlign w:val="superscript"/>
        </w:rPr>
        <w:t>2</w:t>
      </w:r>
      <w:r w:rsidR="00AC42AF" w:rsidRPr="001969F7">
        <w:rPr>
          <w:i/>
          <w:iCs/>
        </w:rPr>
        <w:t xml:space="preserve"> </w:t>
      </w:r>
      <w:r w:rsidR="00AC42AF" w:rsidRPr="00AC42AF">
        <w:t xml:space="preserve">= </w:t>
      </w:r>
      <w:r w:rsidR="00AC42AF">
        <w:t>1.0.</w:t>
      </w:r>
    </w:p>
    <w:p w14:paraId="3312DD26" w14:textId="75BAD158" w:rsidR="0007076B" w:rsidRDefault="0007076B" w:rsidP="0007076B">
      <w:pPr>
        <w:spacing w:line="480" w:lineRule="auto"/>
      </w:pPr>
    </w:p>
    <w:p w14:paraId="20842063" w14:textId="77777777" w:rsidR="0007076B" w:rsidRPr="00C06677" w:rsidRDefault="0007076B" w:rsidP="0007076B">
      <w:pPr>
        <w:spacing w:line="480" w:lineRule="auto"/>
        <w:jc w:val="center"/>
        <w:outlineLvl w:val="0"/>
        <w:rPr>
          <w:bCs/>
        </w:rPr>
      </w:pPr>
      <w:r w:rsidRPr="00C06677">
        <w:rPr>
          <w:bCs/>
          <w:noProof/>
        </w:rPr>
        <w:lastRenderedPageBreak/>
        <w:drawing>
          <wp:inline distT="0" distB="0" distL="0" distR="0" wp14:anchorId="01721BF4" wp14:editId="11A71E49">
            <wp:extent cx="5295900" cy="447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5900" cy="4470400"/>
                    </a:xfrm>
                    <a:prstGeom prst="rect">
                      <a:avLst/>
                    </a:prstGeom>
                  </pic:spPr>
                </pic:pic>
              </a:graphicData>
            </a:graphic>
          </wp:inline>
        </w:drawing>
      </w:r>
      <w:r w:rsidRPr="00C06677">
        <w:rPr>
          <w:noProof/>
        </w:rPr>
        <w:t xml:space="preserve">  </w:t>
      </w:r>
    </w:p>
    <w:p w14:paraId="5DDECEB2" w14:textId="3C4A7B6F" w:rsidR="00715BBD" w:rsidRDefault="0007076B" w:rsidP="0007076B">
      <w:pPr>
        <w:outlineLvl w:val="0"/>
        <w:rPr>
          <w:bCs/>
        </w:rPr>
      </w:pPr>
      <w:r w:rsidRPr="00C06677">
        <w:rPr>
          <w:b/>
        </w:rPr>
        <w:t xml:space="preserve">Figure 6. Experiment 2 regression and RRW results. </w:t>
      </w:r>
      <w:r w:rsidRPr="00C06677">
        <w:rPr>
          <w:bCs/>
        </w:rPr>
        <w:t xml:space="preserve">The </w:t>
      </w:r>
      <w:r w:rsidR="00157868">
        <w:rPr>
          <w:bCs/>
        </w:rPr>
        <w:t xml:space="preserve">left column contains the </w:t>
      </w:r>
      <w:r w:rsidRPr="00702607">
        <w:rPr>
          <w:bCs/>
          <w:i/>
          <w:iCs/>
        </w:rPr>
        <w:t>p</w:t>
      </w:r>
      <w:r w:rsidRPr="00C06677">
        <w:rPr>
          <w:bCs/>
        </w:rPr>
        <w:t xml:space="preserve">(HVO) and RT fit using separate regressions. </w:t>
      </w:r>
      <w:r w:rsidR="003206D9" w:rsidRPr="00C06677">
        <w:rPr>
          <w:bCs/>
        </w:rPr>
        <w:t xml:space="preserve">The </w:t>
      </w:r>
      <w:r w:rsidR="00157868">
        <w:rPr>
          <w:bCs/>
        </w:rPr>
        <w:t xml:space="preserve">right column contains the </w:t>
      </w:r>
      <w:r w:rsidR="003206D9" w:rsidRPr="00C06677">
        <w:rPr>
          <w:bCs/>
        </w:rPr>
        <w:t>p(HVO) (top), RT</w:t>
      </w:r>
      <w:r w:rsidR="003206D9" w:rsidRPr="00C06677">
        <w:rPr>
          <w:bCs/>
          <w:vertAlign w:val="subscript"/>
        </w:rPr>
        <w:t>HVO</w:t>
      </w:r>
      <w:r w:rsidR="003206D9" w:rsidRPr="00C06677">
        <w:rPr>
          <w:bCs/>
        </w:rPr>
        <w:t xml:space="preserve"> (bottom</w:t>
      </w:r>
      <w:r w:rsidR="003206D9">
        <w:rPr>
          <w:bCs/>
        </w:rPr>
        <w:t xml:space="preserve"> circles</w:t>
      </w:r>
      <w:r w:rsidR="003206D9" w:rsidRPr="00C06677">
        <w:rPr>
          <w:bCs/>
        </w:rPr>
        <w:t>), and RT</w:t>
      </w:r>
      <w:r w:rsidR="003206D9" w:rsidRPr="00C06677">
        <w:rPr>
          <w:bCs/>
          <w:vertAlign w:val="subscript"/>
        </w:rPr>
        <w:t>LVO</w:t>
      </w:r>
      <w:r w:rsidR="003206D9" w:rsidRPr="00C06677">
        <w:rPr>
          <w:bCs/>
        </w:rPr>
        <w:t xml:space="preserve"> (bottom</w:t>
      </w:r>
      <w:r w:rsidR="003206D9">
        <w:rPr>
          <w:bCs/>
        </w:rPr>
        <w:t xml:space="preserve"> “x”s</w:t>
      </w:r>
      <w:r w:rsidR="003206D9" w:rsidRPr="00C06677">
        <w:rPr>
          <w:bCs/>
        </w:rPr>
        <w:t xml:space="preserve">) fit simultaneously using the RRW. </w:t>
      </w:r>
    </w:p>
    <w:p w14:paraId="07DB41A5" w14:textId="6B87A91F" w:rsidR="0007076B" w:rsidRPr="00C06677" w:rsidRDefault="00157868" w:rsidP="001969F7">
      <w:pPr>
        <w:ind w:firstLine="720"/>
        <w:outlineLvl w:val="0"/>
        <w:rPr>
          <w:bCs/>
        </w:rPr>
      </w:pPr>
      <w:r>
        <w:rPr>
          <w:bCs/>
        </w:rPr>
        <w:t>For the RRW, t</w:t>
      </w:r>
      <w:r w:rsidRPr="00C06677">
        <w:rPr>
          <w:bCs/>
        </w:rPr>
        <w:t xml:space="preserve">he </w:t>
      </w:r>
      <w:r w:rsidR="003206D9">
        <w:rPr>
          <w:bCs/>
        </w:rPr>
        <w:t>black lines</w:t>
      </w:r>
      <w:r>
        <w:rPr>
          <w:bCs/>
        </w:rPr>
        <w:t xml:space="preserve"> and </w:t>
      </w:r>
      <w:r w:rsidR="003206D9">
        <w:rPr>
          <w:bCs/>
        </w:rPr>
        <w:t>symbols</w:t>
      </w:r>
      <w:r w:rsidR="003206D9" w:rsidRPr="00C06677">
        <w:rPr>
          <w:bCs/>
        </w:rPr>
        <w:t xml:space="preserve"> represent responses to the </w:t>
      </w:r>
      <w:r w:rsidR="003206D9">
        <w:rPr>
          <w:bCs/>
        </w:rPr>
        <w:t>Left</w:t>
      </w:r>
      <w:r w:rsidR="003206D9" w:rsidRPr="00531BD6">
        <w:rPr>
          <w:bCs/>
          <w:vertAlign w:val="subscript"/>
        </w:rPr>
        <w:t>HVO</w:t>
      </w:r>
      <w:r w:rsidR="003206D9">
        <w:rPr>
          <w:bCs/>
        </w:rPr>
        <w:t xml:space="preserve"> trials</w:t>
      </w:r>
      <w:r w:rsidR="003206D9" w:rsidRPr="00C06677">
        <w:rPr>
          <w:bCs/>
        </w:rPr>
        <w:t xml:space="preserve">, and the </w:t>
      </w:r>
      <w:r w:rsidR="003206D9">
        <w:rPr>
          <w:bCs/>
        </w:rPr>
        <w:t xml:space="preserve">grey </w:t>
      </w:r>
      <w:r>
        <w:rPr>
          <w:bCs/>
        </w:rPr>
        <w:t xml:space="preserve">dashed </w:t>
      </w:r>
      <w:r w:rsidR="003206D9">
        <w:rPr>
          <w:bCs/>
        </w:rPr>
        <w:t>lines</w:t>
      </w:r>
      <w:r>
        <w:rPr>
          <w:bCs/>
        </w:rPr>
        <w:t xml:space="preserve"> and </w:t>
      </w:r>
      <w:r w:rsidR="003206D9">
        <w:rPr>
          <w:bCs/>
        </w:rPr>
        <w:t>symbols</w:t>
      </w:r>
      <w:r w:rsidR="003206D9" w:rsidRPr="00C06677">
        <w:rPr>
          <w:bCs/>
        </w:rPr>
        <w:t xml:space="preserve"> represent responses to the </w:t>
      </w:r>
      <w:r w:rsidR="003206D9">
        <w:rPr>
          <w:bCs/>
        </w:rPr>
        <w:t>Left</w:t>
      </w:r>
      <w:r w:rsidR="003206D9">
        <w:rPr>
          <w:bCs/>
          <w:vertAlign w:val="subscript"/>
        </w:rPr>
        <w:t>L</w:t>
      </w:r>
      <w:r w:rsidR="003206D9" w:rsidRPr="00531BD6">
        <w:rPr>
          <w:bCs/>
          <w:vertAlign w:val="subscript"/>
        </w:rPr>
        <w:t>VO</w:t>
      </w:r>
      <w:r w:rsidR="003206D9">
        <w:rPr>
          <w:bCs/>
        </w:rPr>
        <w:t xml:space="preserve"> trials</w:t>
      </w:r>
      <w:r w:rsidR="003206D9" w:rsidRPr="00C06677">
        <w:rPr>
          <w:bCs/>
        </w:rPr>
        <w:t xml:space="preserve">. The </w:t>
      </w:r>
      <w:r>
        <w:rPr>
          <w:bCs/>
        </w:rPr>
        <w:t xml:space="preserve">very thin </w:t>
      </w:r>
      <w:r w:rsidR="003206D9" w:rsidRPr="00C06677">
        <w:rPr>
          <w:bCs/>
        </w:rPr>
        <w:t>light gray lines represent 40 individual iterations of the RRW with parameters from the best fit model</w:t>
      </w:r>
      <w:r>
        <w:rPr>
          <w:bCs/>
        </w:rPr>
        <w:t xml:space="preserve">. </w:t>
      </w:r>
      <w:r w:rsidR="003206D9" w:rsidRPr="00C06677">
        <w:rPr>
          <w:bCs/>
        </w:rPr>
        <w:t xml:space="preserve">The </w:t>
      </w:r>
      <w:r w:rsidR="002D629B">
        <w:rPr>
          <w:bCs/>
        </w:rPr>
        <w:t xml:space="preserve">thicker </w:t>
      </w:r>
      <w:r w:rsidR="003206D9">
        <w:rPr>
          <w:bCs/>
        </w:rPr>
        <w:t>solid</w:t>
      </w:r>
      <w:r w:rsidR="003206D9" w:rsidRPr="00C06677">
        <w:rPr>
          <w:bCs/>
        </w:rPr>
        <w:t xml:space="preserve"> line shows the average fit of those 40 lines.</w:t>
      </w:r>
      <w:r w:rsidR="00715BBD">
        <w:rPr>
          <w:bCs/>
        </w:rPr>
        <w:t xml:space="preserve"> The </w:t>
      </w:r>
      <w:r w:rsidR="00715BBD" w:rsidRPr="00C06677">
        <w:rPr>
          <w:bCs/>
        </w:rPr>
        <w:t>40 individual iterations</w:t>
      </w:r>
      <w:r w:rsidR="00715BBD">
        <w:rPr>
          <w:bCs/>
        </w:rPr>
        <w:t xml:space="preserve"> are visible on the RT graph, but fall </w:t>
      </w:r>
      <w:r w:rsidR="00885E2A">
        <w:rPr>
          <w:bCs/>
        </w:rPr>
        <w:t>directly on the average fit lines on the p(HVO) graph.</w:t>
      </w:r>
    </w:p>
    <w:p w14:paraId="1AFE154E" w14:textId="77777777" w:rsidR="0007076B" w:rsidRPr="00C06677" w:rsidRDefault="0007076B" w:rsidP="0007076B">
      <w:pPr>
        <w:spacing w:line="480" w:lineRule="auto"/>
      </w:pPr>
    </w:p>
    <w:p w14:paraId="28C43537" w14:textId="5621183B" w:rsidR="000C6F03" w:rsidRDefault="000C6F03" w:rsidP="000C6F03">
      <w:pPr>
        <w:spacing w:line="480" w:lineRule="auto"/>
        <w:ind w:firstLine="720"/>
      </w:pPr>
      <w:r w:rsidRPr="00C06677">
        <w:t xml:space="preserve">To assess whether individual participant’s data were well predicted by PVT, we fit the same RT and </w:t>
      </w:r>
      <w:r w:rsidRPr="00702607">
        <w:rPr>
          <w:i/>
          <w:iCs/>
        </w:rPr>
        <w:t>p</w:t>
      </w:r>
      <w:r w:rsidRPr="00C06677">
        <w:t xml:space="preserve">(HVO) functions to each </w:t>
      </w:r>
      <w:r w:rsidR="004629D7" w:rsidRPr="00C06677">
        <w:t xml:space="preserve">individual </w:t>
      </w:r>
      <w:r w:rsidRPr="00C06677">
        <w:t xml:space="preserve">participant’s data. Figure </w:t>
      </w:r>
      <w:r w:rsidR="00321649" w:rsidRPr="00C06677">
        <w:t xml:space="preserve">7 </w:t>
      </w:r>
      <w:r w:rsidRPr="00C06677">
        <w:t xml:space="preserve">(top left and top right) presents the best fit RT and </w:t>
      </w:r>
      <w:r w:rsidRPr="00702607">
        <w:rPr>
          <w:i/>
          <w:iCs/>
        </w:rPr>
        <w:t>p</w:t>
      </w:r>
      <w:r w:rsidRPr="00C06677">
        <w:t xml:space="preserve">(HVO) functions for each participant.  The shade of gray of the line is determined by the </w:t>
      </w:r>
      <w:r w:rsidRPr="00C06677">
        <w:rPr>
          <w:i/>
          <w:iCs/>
        </w:rPr>
        <w:t>r</w:t>
      </w:r>
      <w:r w:rsidRPr="00C06677">
        <w:rPr>
          <w:i/>
          <w:iCs/>
          <w:vertAlign w:val="superscript"/>
        </w:rPr>
        <w:t>2</w:t>
      </w:r>
      <w:r w:rsidRPr="00C06677">
        <w:t xml:space="preserve"> of the fit, whereby an </w:t>
      </w:r>
      <w:r w:rsidRPr="00C06677">
        <w:rPr>
          <w:i/>
          <w:iCs/>
        </w:rPr>
        <w:t>r</w:t>
      </w:r>
      <w:r w:rsidR="00AA3627" w:rsidRPr="00C06677">
        <w:rPr>
          <w:i/>
          <w:iCs/>
        </w:rPr>
        <w:t xml:space="preserve"> </w:t>
      </w:r>
      <w:r w:rsidRPr="00C06677">
        <w:rPr>
          <w:i/>
          <w:iCs/>
          <w:vertAlign w:val="superscript"/>
        </w:rPr>
        <w:t>2</w:t>
      </w:r>
      <w:r w:rsidRPr="00C06677">
        <w:t>=</w:t>
      </w:r>
      <w:r w:rsidR="00AA3627" w:rsidRPr="00C06677">
        <w:t xml:space="preserve"> </w:t>
      </w:r>
      <w:r w:rsidRPr="00C06677">
        <w:t xml:space="preserve">0 was plotted in white, with the shade </w:t>
      </w:r>
      <w:r w:rsidRPr="00C06677">
        <w:lastRenderedPageBreak/>
        <w:t xml:space="preserve">of gray transitioning linearly to black when </w:t>
      </w:r>
      <w:r w:rsidRPr="00C06677">
        <w:rPr>
          <w:i/>
          <w:iCs/>
        </w:rPr>
        <w:t>r</w:t>
      </w:r>
      <w:r w:rsidRPr="00C06677">
        <w:rPr>
          <w:i/>
          <w:iCs/>
          <w:vertAlign w:val="superscript"/>
        </w:rPr>
        <w:t>2</w:t>
      </w:r>
      <w:r w:rsidR="00AA3627" w:rsidRPr="00C06677">
        <w:t xml:space="preserve"> </w:t>
      </w:r>
      <w:r w:rsidRPr="00C06677">
        <w:t>=</w:t>
      </w:r>
      <w:r w:rsidR="00AA3627" w:rsidRPr="00C06677">
        <w:t xml:space="preserve"> </w:t>
      </w:r>
      <w:r w:rsidRPr="00C06677">
        <w:t xml:space="preserve">1. The </w:t>
      </w:r>
      <w:r w:rsidRPr="00C06677">
        <w:rPr>
          <w:i/>
          <w:iCs/>
        </w:rPr>
        <w:t>r</w:t>
      </w:r>
      <w:r w:rsidRPr="00C06677">
        <w:rPr>
          <w:i/>
          <w:iCs/>
          <w:vertAlign w:val="superscript"/>
        </w:rPr>
        <w:t>2</w:t>
      </w:r>
      <w:r w:rsidRPr="00C06677">
        <w:t xml:space="preserve"> for each participant’s RT and </w:t>
      </w:r>
      <w:r w:rsidRPr="00702607">
        <w:rPr>
          <w:i/>
          <w:iCs/>
        </w:rPr>
        <w:t>p</w:t>
      </w:r>
      <w:r w:rsidRPr="00C06677">
        <w:t xml:space="preserve">(HVO) function is presented in the bottom row of Figure </w:t>
      </w:r>
      <w:r w:rsidR="00321649" w:rsidRPr="00C06677">
        <w:t>7</w:t>
      </w:r>
      <w:r w:rsidRPr="00C06677">
        <w:t xml:space="preserve">.  </w:t>
      </w:r>
    </w:p>
    <w:p w14:paraId="4EAB66A6" w14:textId="208DD8A1" w:rsidR="0007076B" w:rsidRDefault="0007076B" w:rsidP="0007076B">
      <w:pPr>
        <w:spacing w:line="480" w:lineRule="auto"/>
      </w:pPr>
    </w:p>
    <w:p w14:paraId="630802DE" w14:textId="1E03496A" w:rsidR="0007076B" w:rsidRPr="00C06677" w:rsidRDefault="0007076B" w:rsidP="0007076B">
      <w:pPr>
        <w:rPr>
          <w:bCs/>
        </w:rPr>
      </w:pPr>
      <w:r w:rsidRPr="00C06677">
        <w:rPr>
          <w:bCs/>
          <w:noProof/>
        </w:rPr>
        <w:drawing>
          <wp:inline distT="0" distB="0" distL="0" distR="0" wp14:anchorId="33E75491" wp14:editId="4CA4160B">
            <wp:extent cx="5943600" cy="4379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79595"/>
                    </a:xfrm>
                    <a:prstGeom prst="rect">
                      <a:avLst/>
                    </a:prstGeom>
                  </pic:spPr>
                </pic:pic>
              </a:graphicData>
            </a:graphic>
          </wp:inline>
        </w:drawing>
      </w:r>
    </w:p>
    <w:p w14:paraId="4562F902" w14:textId="77777777" w:rsidR="0007076B" w:rsidRPr="00C06677" w:rsidRDefault="0007076B" w:rsidP="0007076B">
      <w:pPr>
        <w:rPr>
          <w:bCs/>
        </w:rPr>
      </w:pPr>
    </w:p>
    <w:p w14:paraId="00F78CF5" w14:textId="49D634DB" w:rsidR="0007076B" w:rsidRPr="00C06677" w:rsidRDefault="0007076B" w:rsidP="0007076B">
      <w:pPr>
        <w:outlineLvl w:val="0"/>
      </w:pPr>
      <w:r w:rsidRPr="00C06677">
        <w:rPr>
          <w:b/>
          <w:bCs/>
        </w:rPr>
        <w:t>Figure 7:  The data of individual participants in Experiments 2.</w:t>
      </w:r>
      <w:r w:rsidRPr="00C06677">
        <w:t xml:space="preserve">  The </w:t>
      </w:r>
      <w:r w:rsidR="001F221F">
        <w:t xml:space="preserve">upper two </w:t>
      </w:r>
      <w:r w:rsidRPr="00C06677">
        <w:t xml:space="preserve">graphs present each participant’s best fit function for RT (left) and </w:t>
      </w:r>
      <w:r w:rsidRPr="00702607">
        <w:rPr>
          <w:i/>
          <w:iCs/>
        </w:rPr>
        <w:t>p</w:t>
      </w:r>
      <w:r w:rsidRPr="00C06677">
        <w:t xml:space="preserve">(HVO) (right).  The shade of grey of the line indicates </w:t>
      </w:r>
      <w:r w:rsidRPr="001969F7">
        <w:rPr>
          <w:i/>
          <w:iCs/>
        </w:rPr>
        <w:t>r</w:t>
      </w:r>
      <w:r w:rsidRPr="001969F7">
        <w:rPr>
          <w:i/>
          <w:iCs/>
          <w:vertAlign w:val="superscript"/>
        </w:rPr>
        <w:t>2</w:t>
      </w:r>
      <w:r w:rsidRPr="00C06677">
        <w:t xml:space="preserve"> value, where darker grey corresponds to higher </w:t>
      </w:r>
      <w:r w:rsidRPr="001969F7">
        <w:rPr>
          <w:i/>
          <w:iCs/>
        </w:rPr>
        <w:t>r</w:t>
      </w:r>
      <w:r w:rsidRPr="001969F7">
        <w:rPr>
          <w:i/>
          <w:iCs/>
          <w:vertAlign w:val="superscript"/>
        </w:rPr>
        <w:t>2</w:t>
      </w:r>
      <w:r w:rsidRPr="00C06677">
        <w:t xml:space="preserve">.  The graphs on the bottom present the </w:t>
      </w:r>
      <w:r w:rsidRPr="001969F7">
        <w:rPr>
          <w:i/>
          <w:iCs/>
        </w:rPr>
        <w:t>r</w:t>
      </w:r>
      <w:r w:rsidRPr="001969F7">
        <w:rPr>
          <w:i/>
          <w:iCs/>
          <w:vertAlign w:val="superscript"/>
        </w:rPr>
        <w:t>2</w:t>
      </w:r>
      <w:r w:rsidRPr="00C06677">
        <w:t xml:space="preserve"> of each participant’s best fit function for RT (left) and </w:t>
      </w:r>
      <w:r w:rsidRPr="00702607">
        <w:rPr>
          <w:i/>
          <w:iCs/>
        </w:rPr>
        <w:t>p</w:t>
      </w:r>
      <w:r w:rsidRPr="00C06677">
        <w:t xml:space="preserve">(HVO) (right).  The </w:t>
      </w:r>
      <w:r w:rsidRPr="001969F7">
        <w:rPr>
          <w:i/>
          <w:iCs/>
        </w:rPr>
        <w:t>r</w:t>
      </w:r>
      <w:r w:rsidRPr="001969F7">
        <w:rPr>
          <w:i/>
          <w:iCs/>
          <w:vertAlign w:val="superscript"/>
        </w:rPr>
        <w:t>2</w:t>
      </w:r>
      <w:r w:rsidRPr="00C06677">
        <w:t xml:space="preserve"> for RT is signed, whereby the </w:t>
      </w:r>
      <w:r w:rsidRPr="001969F7">
        <w:rPr>
          <w:i/>
          <w:iCs/>
        </w:rPr>
        <w:t>r</w:t>
      </w:r>
      <w:r w:rsidRPr="001969F7">
        <w:rPr>
          <w:i/>
          <w:iCs/>
          <w:vertAlign w:val="superscript"/>
        </w:rPr>
        <w:t>2</w:t>
      </w:r>
      <w:r w:rsidRPr="00C06677">
        <w:t xml:space="preserve"> is assigned the same sign as the slope.    </w:t>
      </w:r>
    </w:p>
    <w:p w14:paraId="7CBC68A8" w14:textId="77777777" w:rsidR="0007076B" w:rsidRPr="00C06677" w:rsidRDefault="0007076B" w:rsidP="0007076B">
      <w:pPr>
        <w:spacing w:line="480" w:lineRule="auto"/>
      </w:pPr>
    </w:p>
    <w:p w14:paraId="07A05784" w14:textId="4611314E" w:rsidR="00DE555B" w:rsidRPr="00C06677" w:rsidRDefault="00E730C9" w:rsidP="00292D3A">
      <w:pPr>
        <w:spacing w:line="480" w:lineRule="auto"/>
        <w:ind w:firstLine="720"/>
      </w:pPr>
      <w:r w:rsidRPr="00C06677">
        <w:t>T</w:t>
      </w:r>
      <w:r w:rsidR="000C6F03" w:rsidRPr="00C06677">
        <w:t>o determine whether the parameter values and</w:t>
      </w:r>
      <w:r w:rsidR="000C6F03" w:rsidRPr="00C06677">
        <w:rPr>
          <w:i/>
          <w:iCs/>
        </w:rPr>
        <w:t xml:space="preserve"> r</w:t>
      </w:r>
      <w:r w:rsidR="000C6F03" w:rsidRPr="00C06677">
        <w:rPr>
          <w:i/>
          <w:iCs/>
          <w:vertAlign w:val="superscript"/>
        </w:rPr>
        <w:t>2</w:t>
      </w:r>
      <w:r w:rsidR="000C6F03" w:rsidRPr="00C06677">
        <w:t xml:space="preserve"> values differed significantly from 0</w:t>
      </w:r>
      <w:r w:rsidRPr="00C06677">
        <w:t xml:space="preserve">, we </w:t>
      </w:r>
      <w:r w:rsidR="00AA3627" w:rsidRPr="00C06677">
        <w:t>ran appropriate</w:t>
      </w:r>
      <w:r w:rsidRPr="00C06677">
        <w:t xml:space="preserve"> </w:t>
      </w:r>
      <w:r w:rsidRPr="00C06677">
        <w:rPr>
          <w:i/>
          <w:iCs/>
        </w:rPr>
        <w:t>t</w:t>
      </w:r>
      <w:r w:rsidRPr="00C06677">
        <w:t>-tests</w:t>
      </w:r>
      <w:r w:rsidR="00B57921">
        <w:t xml:space="preserve"> (</w:t>
      </w:r>
      <w:r w:rsidR="00B57921" w:rsidRPr="00B57921">
        <w:t xml:space="preserve">80% power to detect an effect size of </w:t>
      </w:r>
      <w:r w:rsidR="00B57921">
        <w:t>Cohen’s d</w:t>
      </w:r>
      <w:r w:rsidR="00B57921" w:rsidRPr="00B57921">
        <w:t xml:space="preserve"> = </w:t>
      </w:r>
      <w:r w:rsidR="00B57921">
        <w:t>0.31)</w:t>
      </w:r>
      <w:r w:rsidR="000C6F03" w:rsidRPr="00C06677">
        <w:t>. The average intercept of the linear relation between RT and Overlap</w:t>
      </w:r>
      <w:r w:rsidR="000C6F03" w:rsidRPr="00C06677" w:rsidDel="00995860">
        <w:t xml:space="preserve"> </w:t>
      </w:r>
      <w:r w:rsidRPr="00C06677">
        <w:t xml:space="preserve">(M = </w:t>
      </w:r>
      <w:r w:rsidRPr="00C06677">
        <w:noBreakHyphen/>
        <w:t>0.1</w:t>
      </w:r>
      <w:r w:rsidR="00D4125C" w:rsidRPr="00C06677">
        <w:t>4</w:t>
      </w:r>
      <w:r w:rsidRPr="00C06677">
        <w:t>, SD = 0.</w:t>
      </w:r>
      <w:r w:rsidR="00D4125C" w:rsidRPr="00C06677">
        <w:t>09</w:t>
      </w:r>
      <w:r w:rsidRPr="00C06677">
        <w:t xml:space="preserve">) </w:t>
      </w:r>
      <w:r w:rsidR="000C6F03" w:rsidRPr="00C06677">
        <w:t xml:space="preserve">was significantly less than </w:t>
      </w:r>
      <w:r w:rsidR="008C794E" w:rsidRPr="00C06677">
        <w:t>0</w:t>
      </w:r>
      <w:r w:rsidR="000C6F03" w:rsidRPr="00C06677">
        <w:t>,</w:t>
      </w:r>
      <w:r w:rsidR="000C6F03" w:rsidRPr="00C06677">
        <w:rPr>
          <w:i/>
          <w:iCs/>
        </w:rPr>
        <w:t xml:space="preserve"> t</w:t>
      </w:r>
      <w:r w:rsidR="000C6F03" w:rsidRPr="00C06677">
        <w:t>(</w:t>
      </w:r>
      <w:r w:rsidR="00D4125C" w:rsidRPr="00C06677">
        <w:t>82</w:t>
      </w:r>
      <w:r w:rsidR="000C6F03" w:rsidRPr="00C06677">
        <w:t xml:space="preserve">) = </w:t>
      </w:r>
      <w:r w:rsidR="00D4125C" w:rsidRPr="00C06677">
        <w:t>-14.2</w:t>
      </w:r>
      <w:r w:rsidR="000C6F03" w:rsidRPr="00C06677">
        <w:t xml:space="preserve">, </w:t>
      </w:r>
      <w:r w:rsidR="000C6F03" w:rsidRPr="00C06677">
        <w:rPr>
          <w:i/>
          <w:iCs/>
        </w:rPr>
        <w:t>p</w:t>
      </w:r>
      <w:r w:rsidR="000C6F03" w:rsidRPr="00C06677">
        <w:t xml:space="preserve"> &lt; 0.001.   The average slope of the linear relation between RT and </w:t>
      </w:r>
      <w:r w:rsidR="000C6F03" w:rsidRPr="00C06677">
        <w:lastRenderedPageBreak/>
        <w:t>Overlap</w:t>
      </w:r>
      <w:r w:rsidR="000C6F03" w:rsidRPr="00C06677" w:rsidDel="00B2480A">
        <w:t xml:space="preserve"> </w:t>
      </w:r>
      <w:r w:rsidRPr="00C06677">
        <w:t>(M = 0.</w:t>
      </w:r>
      <w:r w:rsidR="00D4125C" w:rsidRPr="00C06677">
        <w:t>29</w:t>
      </w:r>
      <w:r w:rsidRPr="00C06677">
        <w:t>, SD = 0.</w:t>
      </w:r>
      <w:r w:rsidR="00D4125C" w:rsidRPr="00C06677">
        <w:t>19</w:t>
      </w:r>
      <w:r w:rsidRPr="00C06677">
        <w:t xml:space="preserve">) </w:t>
      </w:r>
      <w:r w:rsidR="000C6F03" w:rsidRPr="00C06677">
        <w:t xml:space="preserve">was significantly greater than zero, </w:t>
      </w:r>
      <w:r w:rsidR="000C6F03" w:rsidRPr="00C06677">
        <w:rPr>
          <w:i/>
          <w:iCs/>
        </w:rPr>
        <w:t>t</w:t>
      </w:r>
      <w:r w:rsidR="000C6F03" w:rsidRPr="00C06677">
        <w:t>(</w:t>
      </w:r>
      <w:r w:rsidR="00D4125C" w:rsidRPr="00C06677">
        <w:t>82</w:t>
      </w:r>
      <w:r w:rsidR="000C6F03" w:rsidRPr="00C06677">
        <w:t xml:space="preserve">) = </w:t>
      </w:r>
      <w:r w:rsidR="00D4125C" w:rsidRPr="00C06677">
        <w:t>14.3</w:t>
      </w:r>
      <w:r w:rsidR="000C6F03" w:rsidRPr="00C06677">
        <w:t xml:space="preserve">, </w:t>
      </w:r>
      <w:r w:rsidR="000C6F03" w:rsidRPr="00C06677">
        <w:rPr>
          <w:i/>
          <w:iCs/>
        </w:rPr>
        <w:t>p</w:t>
      </w:r>
      <w:r w:rsidR="000C6F03" w:rsidRPr="00C06677">
        <w:t xml:space="preserve"> &lt; 0.001.   </w:t>
      </w:r>
      <w:r w:rsidRPr="00C06677">
        <w:t xml:space="preserve">Because PVT makes directional predictions, we transformed </w:t>
      </w:r>
      <w:r w:rsidRPr="00C06677">
        <w:rPr>
          <w:i/>
          <w:iCs/>
        </w:rPr>
        <w:t>r</w:t>
      </w:r>
      <w:r w:rsidRPr="00C06677">
        <w:rPr>
          <w:i/>
          <w:iCs/>
          <w:vertAlign w:val="superscript"/>
        </w:rPr>
        <w:t>2</w:t>
      </w:r>
      <w:r w:rsidRPr="00C06677">
        <w:t xml:space="preserve"> </w:t>
      </w:r>
      <w:r w:rsidR="000C6F03" w:rsidRPr="00C06677">
        <w:t>to reflect the direction of the slope</w:t>
      </w:r>
      <w:r w:rsidRPr="00C06677">
        <w:t xml:space="preserve"> by multiplying </w:t>
      </w:r>
      <w:r w:rsidRPr="00C06677">
        <w:rPr>
          <w:i/>
          <w:iCs/>
        </w:rPr>
        <w:t>r</w:t>
      </w:r>
      <w:r w:rsidRPr="00C06677">
        <w:rPr>
          <w:i/>
          <w:iCs/>
          <w:vertAlign w:val="superscript"/>
        </w:rPr>
        <w:t>2</w:t>
      </w:r>
      <w:r w:rsidRPr="00C06677">
        <w:t xml:space="preserve"> by -1 if </w:t>
      </w:r>
      <w:r w:rsidR="000C6F03" w:rsidRPr="00C06677">
        <w:t xml:space="preserve">the slope associated with a particular </w:t>
      </w:r>
      <w:r w:rsidR="000C6F03" w:rsidRPr="00C06677">
        <w:rPr>
          <w:i/>
          <w:iCs/>
        </w:rPr>
        <w:t>r</w:t>
      </w:r>
      <w:r w:rsidR="000C6F03" w:rsidRPr="00C06677">
        <w:rPr>
          <w:i/>
          <w:iCs/>
          <w:vertAlign w:val="superscript"/>
        </w:rPr>
        <w:t>2</w:t>
      </w:r>
      <w:r w:rsidR="000C6F03" w:rsidRPr="00C06677">
        <w:t xml:space="preserve"> was negative.  We termed this transformed measure, </w:t>
      </w:r>
      <w:r w:rsidR="000C6F03" w:rsidRPr="00C06677">
        <w:rPr>
          <w:i/>
          <w:iCs/>
        </w:rPr>
        <w:t>r</w:t>
      </w:r>
      <w:r w:rsidR="000C6F03" w:rsidRPr="00C06677">
        <w:rPr>
          <w:i/>
          <w:iCs/>
          <w:vertAlign w:val="superscript"/>
        </w:rPr>
        <w:t>2</w:t>
      </w:r>
      <w:r w:rsidR="000C6F03" w:rsidRPr="00C06677">
        <w:rPr>
          <w:i/>
          <w:iCs/>
          <w:vertAlign w:val="subscript"/>
        </w:rPr>
        <w:t>signed</w:t>
      </w:r>
      <w:r w:rsidR="000C6F03" w:rsidRPr="00C06677">
        <w:t xml:space="preserve">. This transformation </w:t>
      </w:r>
      <w:r w:rsidR="00DB3F7B" w:rsidRPr="00C06677">
        <w:t xml:space="preserve">weights negative slopes heavily against the average effect size </w:t>
      </w:r>
      <w:r w:rsidR="005965A8" w:rsidRPr="00C06677">
        <w:t xml:space="preserve">(which is the opposite of our prediction) </w:t>
      </w:r>
      <w:r w:rsidR="00DB3F7B" w:rsidRPr="00C06677">
        <w:t xml:space="preserve">and </w:t>
      </w:r>
      <w:r w:rsidR="000C6F03" w:rsidRPr="00C06677">
        <w:t xml:space="preserve">would result in an average </w:t>
      </w:r>
      <w:r w:rsidR="000C6F03" w:rsidRPr="00C06677">
        <w:rPr>
          <w:i/>
          <w:iCs/>
        </w:rPr>
        <w:t>r</w:t>
      </w:r>
      <w:r w:rsidR="000C6F03" w:rsidRPr="00C06677">
        <w:rPr>
          <w:i/>
          <w:iCs/>
          <w:vertAlign w:val="superscript"/>
        </w:rPr>
        <w:t>2</w:t>
      </w:r>
      <w:r w:rsidR="000C6F03" w:rsidRPr="00C06677">
        <w:rPr>
          <w:i/>
          <w:iCs/>
          <w:vertAlign w:val="subscript"/>
        </w:rPr>
        <w:t>signed</w:t>
      </w:r>
      <w:r w:rsidR="000C6F03" w:rsidRPr="00C06677">
        <w:rPr>
          <w:i/>
          <w:iCs/>
        </w:rPr>
        <w:t xml:space="preserve"> </w:t>
      </w:r>
      <w:r w:rsidR="000C6F03" w:rsidRPr="00C06677">
        <w:t xml:space="preserve">of </w:t>
      </w:r>
      <w:r w:rsidR="008C794E" w:rsidRPr="00C06677">
        <w:t>0</w:t>
      </w:r>
      <w:r w:rsidR="000C6F03" w:rsidRPr="00C06677">
        <w:t xml:space="preserve"> if the slopes of the best fit lines were distributed randomly around </w:t>
      </w:r>
      <w:r w:rsidR="008C794E" w:rsidRPr="00C06677">
        <w:t>0</w:t>
      </w:r>
      <w:r w:rsidR="000C6F03" w:rsidRPr="00C06677">
        <w:t xml:space="preserve">. </w:t>
      </w:r>
      <w:r w:rsidRPr="00C06677">
        <w:t xml:space="preserve"> </w:t>
      </w:r>
      <w:r w:rsidR="000C6F03" w:rsidRPr="00C06677">
        <w:t xml:space="preserve">The average </w:t>
      </w:r>
      <w:r w:rsidR="000C6F03" w:rsidRPr="00C06677">
        <w:rPr>
          <w:i/>
          <w:iCs/>
        </w:rPr>
        <w:t>r</w:t>
      </w:r>
      <w:r w:rsidR="000C6F03" w:rsidRPr="00C06677">
        <w:rPr>
          <w:i/>
          <w:iCs/>
          <w:vertAlign w:val="superscript"/>
        </w:rPr>
        <w:t>2</w:t>
      </w:r>
      <w:r w:rsidR="000C6F03" w:rsidRPr="00C06677">
        <w:rPr>
          <w:i/>
          <w:iCs/>
          <w:vertAlign w:val="subscript"/>
        </w:rPr>
        <w:t>signed</w:t>
      </w:r>
      <w:r w:rsidR="000C6F03" w:rsidRPr="00C06677">
        <w:t xml:space="preserve"> of the linear relation between RT and Overlap</w:t>
      </w:r>
      <w:r w:rsidR="000C6F03" w:rsidRPr="00C06677" w:rsidDel="00B2480A">
        <w:t xml:space="preserve"> </w:t>
      </w:r>
      <w:r w:rsidRPr="00C06677">
        <w:t>(M = 0.5</w:t>
      </w:r>
      <w:r w:rsidR="00D4125C" w:rsidRPr="00C06677">
        <w:t>7</w:t>
      </w:r>
      <w:r w:rsidRPr="00C06677">
        <w:t>, SD = 0.2</w:t>
      </w:r>
      <w:r w:rsidR="00D4125C" w:rsidRPr="00C06677">
        <w:t>7</w:t>
      </w:r>
      <w:r w:rsidRPr="00C06677">
        <w:t xml:space="preserve">) </w:t>
      </w:r>
      <w:r w:rsidR="000C6F03" w:rsidRPr="00C06677">
        <w:t>was significantly greater than</w:t>
      </w:r>
      <w:r w:rsidR="008C794E" w:rsidRPr="00C06677">
        <w:t xml:space="preserve"> 0</w:t>
      </w:r>
      <w:r w:rsidR="000C6F03" w:rsidRPr="00C06677">
        <w:t xml:space="preserve">, </w:t>
      </w:r>
      <w:r w:rsidR="000C6F03" w:rsidRPr="00C06677">
        <w:rPr>
          <w:i/>
          <w:iCs/>
        </w:rPr>
        <w:t>t</w:t>
      </w:r>
      <w:r w:rsidR="000C6F03" w:rsidRPr="00C06677">
        <w:t>(8</w:t>
      </w:r>
      <w:r w:rsidR="00D4125C" w:rsidRPr="00C06677">
        <w:t>2</w:t>
      </w:r>
      <w:r w:rsidR="000C6F03" w:rsidRPr="00C06677">
        <w:t xml:space="preserve">) = </w:t>
      </w:r>
      <w:r w:rsidR="00D4125C" w:rsidRPr="00C06677">
        <w:t>18.9</w:t>
      </w:r>
      <w:r w:rsidR="000C6F03" w:rsidRPr="00C06677">
        <w:t xml:space="preserve">, </w:t>
      </w:r>
      <w:r w:rsidR="000C6F03" w:rsidRPr="00C06677">
        <w:rPr>
          <w:i/>
          <w:iCs/>
        </w:rPr>
        <w:t>p</w:t>
      </w:r>
      <w:r w:rsidR="000C6F03" w:rsidRPr="00C06677">
        <w:t xml:space="preserve"> &lt; 0.001. The average beta of the exponential decay relation between </w:t>
      </w:r>
      <w:r w:rsidR="000C6F03" w:rsidRPr="00702607">
        <w:rPr>
          <w:i/>
          <w:iCs/>
        </w:rPr>
        <w:t>p</w:t>
      </w:r>
      <w:r w:rsidR="000C6F03" w:rsidRPr="00C06677">
        <w:t xml:space="preserve">(HVO) and Overlap </w:t>
      </w:r>
      <w:r w:rsidRPr="00C06677">
        <w:t xml:space="preserve">(M = </w:t>
      </w:r>
      <w:r w:rsidR="00D4125C" w:rsidRPr="00C06677">
        <w:t>2.76</w:t>
      </w:r>
      <w:r w:rsidRPr="00C06677">
        <w:t xml:space="preserve">, SD = </w:t>
      </w:r>
      <w:r w:rsidR="00D4125C" w:rsidRPr="00C06677">
        <w:t>1.82</w:t>
      </w:r>
      <w:r w:rsidRPr="00C06677">
        <w:t xml:space="preserve">) </w:t>
      </w:r>
      <w:r w:rsidR="000C6F03" w:rsidRPr="00C06677">
        <w:t xml:space="preserve">was significantly greater than zero, </w:t>
      </w:r>
      <w:r w:rsidR="000C6F03" w:rsidRPr="00C06677">
        <w:rPr>
          <w:i/>
          <w:iCs/>
        </w:rPr>
        <w:t>t</w:t>
      </w:r>
      <w:r w:rsidR="000C6F03" w:rsidRPr="00C06677">
        <w:t>(</w:t>
      </w:r>
      <w:r w:rsidR="00D4125C" w:rsidRPr="00C06677">
        <w:t>82</w:t>
      </w:r>
      <w:r w:rsidR="000C6F03" w:rsidRPr="00C06677">
        <w:t xml:space="preserve">) = </w:t>
      </w:r>
      <w:r w:rsidR="00D4125C" w:rsidRPr="00C06677">
        <w:t>13.8</w:t>
      </w:r>
      <w:r w:rsidR="000C6F03" w:rsidRPr="00C06677">
        <w:t xml:space="preserve">, </w:t>
      </w:r>
      <w:r w:rsidR="000C6F03" w:rsidRPr="00C06677">
        <w:rPr>
          <w:i/>
        </w:rPr>
        <w:t>p</w:t>
      </w:r>
      <w:r w:rsidR="000C6F03" w:rsidRPr="00C06677">
        <w:t xml:space="preserve"> &lt; 0.001. The average </w:t>
      </w:r>
      <w:r w:rsidR="000C6F03" w:rsidRPr="00C06677">
        <w:rPr>
          <w:i/>
          <w:iCs/>
        </w:rPr>
        <w:t>r</w:t>
      </w:r>
      <w:r w:rsidR="000C6F03" w:rsidRPr="00C06677">
        <w:rPr>
          <w:i/>
          <w:iCs/>
          <w:vertAlign w:val="superscript"/>
        </w:rPr>
        <w:t>2</w:t>
      </w:r>
      <w:r w:rsidR="000C6F03" w:rsidRPr="00C06677">
        <w:t xml:space="preserve"> of the exponential decay relation between </w:t>
      </w:r>
      <w:r w:rsidR="000C6F03" w:rsidRPr="00702607">
        <w:rPr>
          <w:i/>
          <w:iCs/>
        </w:rPr>
        <w:t>p</w:t>
      </w:r>
      <w:r w:rsidR="000C6F03" w:rsidRPr="00C06677">
        <w:t xml:space="preserve">(HVO) and Overlap </w:t>
      </w:r>
      <w:r w:rsidRPr="00C06677">
        <w:t>(M = 0.</w:t>
      </w:r>
      <w:r w:rsidR="00D4125C" w:rsidRPr="00C06677">
        <w:t>75</w:t>
      </w:r>
      <w:r w:rsidRPr="00C06677">
        <w:t>, SD = 0.</w:t>
      </w:r>
      <w:r w:rsidR="00D4125C" w:rsidRPr="00C06677">
        <w:t>21</w:t>
      </w:r>
      <w:r w:rsidRPr="00C06677">
        <w:t xml:space="preserve">) </w:t>
      </w:r>
      <w:r w:rsidR="000C6F03" w:rsidRPr="00C06677">
        <w:t xml:space="preserve">was significantly greater than zero, </w:t>
      </w:r>
      <w:r w:rsidR="000C6F03" w:rsidRPr="00C06677">
        <w:rPr>
          <w:i/>
          <w:iCs/>
        </w:rPr>
        <w:t>t</w:t>
      </w:r>
      <w:r w:rsidR="000C6F03" w:rsidRPr="00C06677">
        <w:t>(</w:t>
      </w:r>
      <w:r w:rsidR="00D4125C" w:rsidRPr="00C06677">
        <w:t>82</w:t>
      </w:r>
      <w:r w:rsidR="000C6F03" w:rsidRPr="00C06677">
        <w:t xml:space="preserve">) = </w:t>
      </w:r>
      <w:r w:rsidR="00D4125C" w:rsidRPr="00C06677">
        <w:t>32.9</w:t>
      </w:r>
      <w:r w:rsidR="000C6F03" w:rsidRPr="00C06677">
        <w:t xml:space="preserve">, </w:t>
      </w:r>
      <w:r w:rsidR="000C6F03" w:rsidRPr="00C06677">
        <w:rPr>
          <w:i/>
        </w:rPr>
        <w:t>p</w:t>
      </w:r>
      <w:r w:rsidR="000C6F03" w:rsidRPr="00C06677">
        <w:t xml:space="preserve"> &lt; 0.001.  </w:t>
      </w:r>
      <w:r w:rsidR="00AA3627" w:rsidRPr="00C06677">
        <w:t>Consequently, t</w:t>
      </w:r>
      <w:r w:rsidRPr="00C06677">
        <w:t>hese</w:t>
      </w:r>
      <w:r w:rsidR="00292D3A" w:rsidRPr="00C06677">
        <w:t xml:space="preserve"> findings show</w:t>
      </w:r>
      <w:r w:rsidRPr="00C06677">
        <w:t xml:space="preserve"> that individual participant’s data were well predicted by PVT. </w:t>
      </w:r>
    </w:p>
    <w:p w14:paraId="2D4A14A2" w14:textId="7D182254" w:rsidR="00DE555B" w:rsidRPr="00C06677" w:rsidRDefault="00DE555B" w:rsidP="00A92CDB">
      <w:pPr>
        <w:keepNext/>
        <w:spacing w:line="480" w:lineRule="auto"/>
      </w:pPr>
      <w:r w:rsidRPr="00C06677">
        <w:rPr>
          <w:b/>
        </w:rPr>
        <w:t>R</w:t>
      </w:r>
      <w:r w:rsidR="00CF5BCE" w:rsidRPr="00C06677">
        <w:rPr>
          <w:b/>
        </w:rPr>
        <w:t>RW</w:t>
      </w:r>
      <w:r w:rsidRPr="00C06677">
        <w:rPr>
          <w:b/>
        </w:rPr>
        <w:t xml:space="preserve"> Analysis</w:t>
      </w:r>
    </w:p>
    <w:p w14:paraId="0F7F7528" w14:textId="41EEC50F" w:rsidR="00DE555B" w:rsidRPr="00C06677" w:rsidRDefault="00557142" w:rsidP="00A92CDB">
      <w:pPr>
        <w:keepNext/>
        <w:spacing w:line="480" w:lineRule="auto"/>
        <w:ind w:firstLine="720"/>
        <w:outlineLvl w:val="0"/>
      </w:pPr>
      <w:r w:rsidRPr="00C06677">
        <w:t xml:space="preserve">We fit the same models </w:t>
      </w:r>
      <w:r w:rsidR="00C76AAB" w:rsidRPr="00C06677">
        <w:t xml:space="preserve">to the data from Experiment 2 as we used </w:t>
      </w:r>
      <w:r w:rsidR="00DE555B" w:rsidRPr="00C06677">
        <w:t>Experiment 1</w:t>
      </w:r>
      <w:r w:rsidR="00C76AAB" w:rsidRPr="00C06677">
        <w:t>, with one addition</w:t>
      </w:r>
      <w:r w:rsidR="00225559" w:rsidRPr="00C06677">
        <w:t xml:space="preserve">: the Fixed </w:t>
      </w:r>
      <w:r w:rsidR="00E069DB" w:rsidRPr="00C06677">
        <w:t>Value Constant model</w:t>
      </w:r>
      <w:r w:rsidR="00225559" w:rsidRPr="00C06677">
        <w:t>.</w:t>
      </w:r>
      <w:r w:rsidR="00C76AAB" w:rsidRPr="00C06677">
        <w:t xml:space="preserve"> </w:t>
      </w:r>
      <w:r w:rsidR="00E069DB" w:rsidRPr="00C06677">
        <w:t xml:space="preserve">This is a simple variant of the Value Constant model </w:t>
      </w:r>
      <w:r w:rsidR="00C514F8" w:rsidRPr="00C06677">
        <w:t xml:space="preserve">from Experiment 1, but now </w:t>
      </w:r>
      <w:r w:rsidR="00E069DB" w:rsidRPr="00C06677">
        <w:t xml:space="preserve">we </w:t>
      </w:r>
      <w:r w:rsidR="00C76AAB" w:rsidRPr="00C06677">
        <w:t>fixed all parameters to the values estimated in Experiment 1, with the exception of the non-decision time (</w:t>
      </w:r>
      <w:r w:rsidR="00C76AAB" w:rsidRPr="00C06677">
        <w:rPr>
          <w:i/>
          <w:iCs/>
        </w:rPr>
        <w:t>T</w:t>
      </w:r>
      <w:r w:rsidR="00C76AAB" w:rsidRPr="00C06677">
        <w:rPr>
          <w:i/>
          <w:iCs/>
          <w:vertAlign w:val="subscript"/>
        </w:rPr>
        <w:t>er</w:t>
      </w:r>
      <w:r w:rsidR="00C76AAB" w:rsidRPr="00C06677">
        <w:t>) parameter</w:t>
      </w:r>
      <w:r w:rsidR="00C514F8" w:rsidRPr="00C06677">
        <w:t>, that was free to vary</w:t>
      </w:r>
      <w:r w:rsidR="00C76AAB" w:rsidRPr="00C06677">
        <w:t xml:space="preserve">.  </w:t>
      </w:r>
    </w:p>
    <w:p w14:paraId="1D319FBF" w14:textId="5D64CB89" w:rsidR="00DC49C3" w:rsidRPr="001969F7" w:rsidRDefault="00DE555B" w:rsidP="002D6464">
      <w:pPr>
        <w:keepNext/>
        <w:spacing w:line="480" w:lineRule="auto"/>
        <w:ind w:firstLine="720"/>
        <w:outlineLvl w:val="0"/>
      </w:pPr>
      <w:r w:rsidRPr="001969F7">
        <w:t xml:space="preserve">Table 1 presents the </w:t>
      </w:r>
      <w:r w:rsidRPr="001969F7">
        <w:rPr>
          <w:i/>
          <w:iCs/>
        </w:rPr>
        <w:t>r</w:t>
      </w:r>
      <w:r w:rsidRPr="001969F7">
        <w:rPr>
          <w:i/>
          <w:iCs/>
          <w:vertAlign w:val="superscript"/>
        </w:rPr>
        <w:t>2</w:t>
      </w:r>
      <w:r w:rsidRPr="001969F7">
        <w:t xml:space="preserve"> and BIC for each model.  All models fit the data </w:t>
      </w:r>
      <w:r w:rsidR="00A4465E" w:rsidRPr="001969F7">
        <w:t xml:space="preserve">reasonably </w:t>
      </w:r>
      <w:r w:rsidRPr="001969F7">
        <w:t xml:space="preserve">well, but the Value </w:t>
      </w:r>
      <w:r w:rsidR="00225559" w:rsidRPr="001969F7">
        <w:t>Constant + Side bias</w:t>
      </w:r>
      <w:r w:rsidRPr="001969F7">
        <w:t xml:space="preserve"> model </w:t>
      </w:r>
      <w:r w:rsidR="00041198" w:rsidRPr="001969F7">
        <w:t>(BIC = -</w:t>
      </w:r>
      <w:r w:rsidR="00D4125C" w:rsidRPr="001969F7">
        <w:t>232</w:t>
      </w:r>
      <w:r w:rsidR="00041198" w:rsidRPr="001969F7">
        <w:t xml:space="preserve">; </w:t>
      </w:r>
      <w:r w:rsidR="00041198" w:rsidRPr="001969F7">
        <w:rPr>
          <w:i/>
          <w:iCs/>
        </w:rPr>
        <w:t>r</w:t>
      </w:r>
      <w:r w:rsidR="00041198" w:rsidRPr="001969F7">
        <w:rPr>
          <w:i/>
          <w:iCs/>
          <w:vertAlign w:val="superscript"/>
        </w:rPr>
        <w:t>2</w:t>
      </w:r>
      <w:r w:rsidR="00041198" w:rsidRPr="001969F7">
        <w:t xml:space="preserve"> = 0.9</w:t>
      </w:r>
      <w:r w:rsidR="00D4125C" w:rsidRPr="001969F7">
        <w:t>5</w:t>
      </w:r>
      <w:r w:rsidR="00041198" w:rsidRPr="001969F7">
        <w:t xml:space="preserve">) </w:t>
      </w:r>
      <w:r w:rsidR="00A4465E" w:rsidRPr="001969F7">
        <w:t xml:space="preserve">provided </w:t>
      </w:r>
      <w:r w:rsidR="00D4125C" w:rsidRPr="001969F7">
        <w:t xml:space="preserve">the best </w:t>
      </w:r>
      <w:r w:rsidR="00A4465E" w:rsidRPr="001969F7">
        <w:t>fit</w:t>
      </w:r>
      <w:r w:rsidR="00B73C67" w:rsidRPr="001969F7">
        <w:t xml:space="preserve"> (see Table 2 for parameter values)</w:t>
      </w:r>
      <w:r w:rsidR="00A4465E" w:rsidRPr="001969F7">
        <w:t xml:space="preserve">. </w:t>
      </w:r>
      <w:r w:rsidR="00D4125C" w:rsidRPr="001969F7">
        <w:t xml:space="preserve">Although the fixed parameter model did not provide the best fit, the finding that the data from Experiments 1 and 2 were fit best with the same model </w:t>
      </w:r>
      <w:r w:rsidR="00041198" w:rsidRPr="001969F7">
        <w:t>demonstrates the robust nature of PVT</w:t>
      </w:r>
      <w:r w:rsidR="00D4125C" w:rsidRPr="001969F7">
        <w:t>. This result provides</w:t>
      </w:r>
      <w:r w:rsidR="00A87DD0" w:rsidRPr="001969F7">
        <w:t xml:space="preserve"> confirm</w:t>
      </w:r>
      <w:r w:rsidR="00D4125C" w:rsidRPr="001969F7">
        <w:t>ing evidence</w:t>
      </w:r>
      <w:r w:rsidR="00A87DD0" w:rsidRPr="001969F7">
        <w:t xml:space="preserve"> that the value of the receiver </w:t>
      </w:r>
      <w:r w:rsidR="00A87DD0" w:rsidRPr="001969F7">
        <w:lastRenderedPageBreak/>
        <w:t>to the giver is driving our participants</w:t>
      </w:r>
      <w:r w:rsidR="00A87DD0" w:rsidRPr="001969F7">
        <w:rPr>
          <w:rFonts w:hint="eastAsia"/>
        </w:rPr>
        <w:t>’</w:t>
      </w:r>
      <w:r w:rsidR="00A87DD0" w:rsidRPr="001969F7">
        <w:t xml:space="preserve"> decisions.</w:t>
      </w:r>
      <w:r w:rsidR="00A4465E" w:rsidRPr="001969F7">
        <w:t xml:space="preserve"> Critically the model provides compelling fits for the data both averaged over participants and for individual participants alike.</w:t>
      </w:r>
    </w:p>
    <w:p w14:paraId="4FC2B6BA" w14:textId="090B79EB" w:rsidR="00E14FB7" w:rsidRPr="00C06677" w:rsidRDefault="004615E6" w:rsidP="00E14FB7">
      <w:pPr>
        <w:keepNext/>
        <w:spacing w:line="480" w:lineRule="auto"/>
        <w:jc w:val="center"/>
        <w:outlineLvl w:val="0"/>
        <w:rPr>
          <w:b/>
          <w:bCs/>
        </w:rPr>
      </w:pPr>
      <w:r w:rsidRPr="00C06677">
        <w:rPr>
          <w:b/>
          <w:bCs/>
        </w:rPr>
        <w:t xml:space="preserve">Experiment </w:t>
      </w:r>
      <w:r w:rsidR="00DE555B" w:rsidRPr="00C06677">
        <w:rPr>
          <w:b/>
          <w:bCs/>
        </w:rPr>
        <w:t>3</w:t>
      </w:r>
    </w:p>
    <w:p w14:paraId="67F0BAAC" w14:textId="1CFA0890" w:rsidR="00062BF0" w:rsidRDefault="00FB466C" w:rsidP="00546198">
      <w:pPr>
        <w:keepNext/>
        <w:spacing w:line="480" w:lineRule="auto"/>
      </w:pPr>
      <w:r w:rsidRPr="00C06677">
        <w:tab/>
      </w:r>
      <w:r w:rsidR="00FB5B96" w:rsidRPr="00C06677">
        <w:t xml:space="preserve">In </w:t>
      </w:r>
      <w:r w:rsidR="00D40D1A" w:rsidRPr="00C06677">
        <w:t>E</w:t>
      </w:r>
      <w:r w:rsidR="00FB5B96" w:rsidRPr="00C06677">
        <w:t>xperiment</w:t>
      </w:r>
      <w:r w:rsidR="00041198" w:rsidRPr="00C06677">
        <w:t>s</w:t>
      </w:r>
      <w:r w:rsidR="00FB5B96" w:rsidRPr="00C06677">
        <w:t xml:space="preserve"> 1</w:t>
      </w:r>
      <w:r w:rsidR="00041198" w:rsidRPr="00C06677">
        <w:t xml:space="preserve"> and 2</w:t>
      </w:r>
      <w:r w:rsidR="00FB5B96" w:rsidRPr="00C06677">
        <w:t xml:space="preserve">, we </w:t>
      </w:r>
      <w:r w:rsidR="00292D3A" w:rsidRPr="00C06677">
        <w:t xml:space="preserve">have shown that PVT </w:t>
      </w:r>
      <w:r w:rsidR="00FB5B96" w:rsidRPr="00C06677">
        <w:t>predict</w:t>
      </w:r>
      <w:r w:rsidR="00286AE7" w:rsidRPr="00C06677">
        <w:t>s</w:t>
      </w:r>
      <w:r w:rsidR="00FB5B96" w:rsidRPr="00C06677">
        <w:t xml:space="preserve"> charitable donation behavior</w:t>
      </w:r>
      <w:r w:rsidR="00286AE7" w:rsidRPr="00C06677">
        <w:t xml:space="preserve"> </w:t>
      </w:r>
      <w:r w:rsidR="00400A49" w:rsidRPr="00C06677">
        <w:t>as a function of the perceived Psychological Value of the receiver</w:t>
      </w:r>
      <w:r w:rsidR="00FB5B96" w:rsidRPr="00C06677">
        <w:t>.</w:t>
      </w:r>
      <w:r w:rsidR="00FF79A2" w:rsidRPr="00C06677">
        <w:t xml:space="preserve"> However, PVT is far more wide</w:t>
      </w:r>
      <w:r w:rsidR="00CF5BCE" w:rsidRPr="00C06677">
        <w:t>-</w:t>
      </w:r>
      <w:r w:rsidR="00FF79A2" w:rsidRPr="00C06677">
        <w:t>reaching than this</w:t>
      </w:r>
      <w:r w:rsidR="00062BF0">
        <w:t xml:space="preserve">.  We do not claim that the Psychological Value of the receiver is the only factor that can influence charitable giving.  Rather, we claim that Psychological Value is </w:t>
      </w:r>
      <w:r w:rsidR="00062BF0" w:rsidRPr="009E7FC8">
        <w:rPr>
          <w:i/>
          <w:iCs/>
        </w:rPr>
        <w:t>the</w:t>
      </w:r>
      <w:r w:rsidR="00062BF0">
        <w:t xml:space="preserve"> primary factor that influences preferential choice (of which charitable giving is one type), and that PVT provides a framework for the precise study of how other factors influence the choice of interest.  </w:t>
      </w:r>
    </w:p>
    <w:p w14:paraId="4AD89A36" w14:textId="2847F5E3" w:rsidR="00FF3A59" w:rsidRPr="00C06677" w:rsidRDefault="00FF3A59" w:rsidP="00401046">
      <w:pPr>
        <w:keepNext/>
        <w:spacing w:line="480" w:lineRule="auto"/>
        <w:ind w:firstLine="720"/>
      </w:pPr>
      <w:r>
        <w:t>I</w:t>
      </w:r>
      <w:r w:rsidRPr="00C06677">
        <w:t xml:space="preserve">n Experiment 3, we </w:t>
      </w:r>
      <w:r>
        <w:t xml:space="preserve">demonstrate </w:t>
      </w:r>
      <w:r w:rsidRPr="00C06677">
        <w:t>PVT</w:t>
      </w:r>
      <w:r>
        <w:t>’s ability to identify the source of a feature</w:t>
      </w:r>
      <w:r w:rsidR="008C712D">
        <w:t>’</w:t>
      </w:r>
      <w:r>
        <w:t xml:space="preserve">s influence on choice by assessing the influence of </w:t>
      </w:r>
      <w:r w:rsidRPr="00C06677">
        <w:t xml:space="preserve">in-group favoritism in preferential choice tasks. It is well-established that people are more likely to donate to members of in-groups than out-groups (e.g., Ockenfels &amp; Werner, </w:t>
      </w:r>
      <w:r w:rsidRPr="00C06677">
        <w:fldChar w:fldCharType="begin"/>
      </w:r>
      <w:r w:rsidR="0019503B">
        <w:instrText xml:space="preserve"> ADDIN EN.CITE &lt;EndNote&gt;&lt;Cite&gt;&lt;Author&gt;Ockenfels&lt;/Author&gt;&lt;Year&gt;2014&lt;/Year&gt;&lt;RecNum&gt;2445&lt;/RecNum&gt;&lt;DisplayText&gt;2014&lt;/DisplayText&gt;&lt;record&gt;&lt;rec-number&gt;2445&lt;/rec-number&gt;&lt;foreign-keys&gt;&lt;key app="EN" db-id="w0tztzf0h2dft0eaewxxtpr4exwxf90s525w" timestamp="1659025441" guid="6b20ae5e-c695-45cf-a195-bfa838647e36"&gt;2445&lt;/key&gt;&lt;/foreign-keys&gt;&lt;ref-type name="Journal Article"&gt;17&lt;/ref-type&gt;&lt;contributors&gt;&lt;authors&gt;&lt;author&gt;Ockenfels, A&lt;/author&gt;&lt;author&gt;Werner, P&lt;/author&gt;&lt;/authors&gt;&lt;/contributors&gt;&lt;titles&gt;&lt;title&gt;Beliefs and ingroup favoritism&lt;/title&gt;&lt;secondary-title&gt;Journal of Economic Behavior and Organization&lt;/secondary-title&gt;&lt;/titles&gt;&lt;periodical&gt;&lt;full-title&gt;Journal of Economic Behavior and Organization&lt;/full-title&gt;&lt;/periodical&gt;&lt;pages&gt;453-462&lt;/pages&gt;&lt;volume&gt;108&lt;/volume&gt;&lt;dates&gt;&lt;year&gt;2014&lt;/year&gt;&lt;/dates&gt;&lt;urls&gt;&lt;/urls&gt;&lt;electronic-resource-num&gt;http://dx.doi.org/10.1016/j.jebo.2013.12.003&lt;/electronic-resource-num&gt;&lt;/record&gt;&lt;/Cite&gt;&lt;/EndNote&gt;</w:instrText>
      </w:r>
      <w:r w:rsidRPr="00C06677">
        <w:fldChar w:fldCharType="separate"/>
      </w:r>
      <w:r w:rsidRPr="00C06677">
        <w:rPr>
          <w:noProof/>
        </w:rPr>
        <w:t>2014</w:t>
      </w:r>
      <w:r w:rsidRPr="00C06677">
        <w:fldChar w:fldCharType="end"/>
      </w:r>
      <w:r w:rsidRPr="00C06677">
        <w:t>).  Evidence for in-group favoritism</w:t>
      </w:r>
      <w:r w:rsidR="00220A68">
        <w:t>, in general,</w:t>
      </w:r>
      <w:r w:rsidRPr="00C06677">
        <w:t xml:space="preserve"> is persuasive: It occurs when an in-group/out-group distinction is drawn arbitrarily (Billig &amp; Tajfel, </w:t>
      </w:r>
      <w:r w:rsidRPr="00C06677">
        <w:fldChar w:fldCharType="begin"/>
      </w:r>
      <w:r w:rsidR="0019503B">
        <w:instrText xml:space="preserve"> ADDIN EN.CITE &lt;EndNote&gt;&lt;Cite&gt;&lt;Author&gt;Billig&lt;/Author&gt;&lt;Year&gt;1973&lt;/Year&gt;&lt;RecNum&gt;2378&lt;/RecNum&gt;&lt;DisplayText&gt;1973&lt;/DisplayText&gt;&lt;record&gt;&lt;rec-number&gt;2378&lt;/rec-number&gt;&lt;foreign-keys&gt;&lt;key app="EN" db-id="w0tztzf0h2dft0eaewxxtpr4exwxf90s525w" timestamp="1659025439" guid="cd7e0ab7-3a99-4dd7-ad85-57f6ecac2eaa"&gt;2378&lt;/key&gt;&lt;/foreign-keys&gt;&lt;ref-type name="Journal Article"&gt;17&lt;/ref-type&gt;&lt;contributors&gt;&lt;authors&gt;&lt;author&gt;Billig, M&lt;/author&gt;&lt;author&gt;Tajfel, H&lt;/author&gt;&lt;/authors&gt;&lt;/contributors&gt;&lt;titles&gt;&lt;title&gt;Social categorization and similarity in intergroup behaviour&lt;/title&gt;&lt;secondary-title&gt;European Journal of Social Psychology&lt;/secondary-title&gt;&lt;/titles&gt;&lt;periodical&gt;&lt;full-title&gt;European Journal of Social Psychology&lt;/full-title&gt;&lt;abbr-1&gt;Eur. J. Soc. Psychol.&lt;/abbr-1&gt;&lt;/periodical&gt;&lt;pages&gt;27-52&lt;/pages&gt;&lt;volume&gt;3&lt;/volume&gt;&lt;dates&gt;&lt;year&gt;1973&lt;/year&gt;&lt;/dates&gt;&lt;urls&gt;&lt;/urls&gt;&lt;electronic-resource-num&gt;https://doi.org/10.1002/ejsp.2420030103&lt;/electronic-resource-num&gt;&lt;/record&gt;&lt;/Cite&gt;&lt;/EndNote&gt;</w:instrText>
      </w:r>
      <w:r w:rsidRPr="00C06677">
        <w:fldChar w:fldCharType="separate"/>
      </w:r>
      <w:r w:rsidRPr="00C06677">
        <w:rPr>
          <w:noProof/>
        </w:rPr>
        <w:t>1973</w:t>
      </w:r>
      <w:r w:rsidRPr="00C06677">
        <w:fldChar w:fldCharType="end"/>
      </w:r>
      <w:r w:rsidRPr="00C06677">
        <w:t xml:space="preserve">; Tajfel, </w:t>
      </w:r>
      <w:r w:rsidRPr="00C06677">
        <w:fldChar w:fldCharType="begin"/>
      </w:r>
      <w:r w:rsidR="0019503B">
        <w:instrText xml:space="preserve"> ADDIN EN.CITE &lt;EndNote&gt;&lt;Cite&gt;&lt;Author&gt;Tajfel&lt;/Author&gt;&lt;Year&gt;1970&lt;/Year&gt;&lt;RecNum&gt;2379&lt;/RecNum&gt;&lt;DisplayText&gt;1970&lt;/DisplayText&gt;&lt;record&gt;&lt;rec-number&gt;2379&lt;/rec-number&gt;&lt;foreign-keys&gt;&lt;key app="EN" db-id="w0tztzf0h2dft0eaewxxtpr4exwxf90s525w" timestamp="1659025439" guid="dc6eb7d9-8ee7-48fa-9553-bd52793d53d8"&gt;2379&lt;/key&gt;&lt;/foreign-keys&gt;&lt;ref-type name="Journal Article"&gt;17&lt;/ref-type&gt;&lt;contributors&gt;&lt;authors&gt;&lt;author&gt;Tajfel, H&lt;/author&gt;&lt;/authors&gt;&lt;/contributors&gt;&lt;titles&gt;&lt;title&gt;Experiments in intergroup discrimination&lt;/title&gt;&lt;secondary-title&gt;Scientific American&lt;/secondary-title&gt;&lt;/titles&gt;&lt;periodical&gt;&lt;full-title&gt;Scientific American&lt;/full-title&gt;&lt;abbr-1&gt;Sci. Am.&lt;/abbr-1&gt;&lt;abbr-2&gt;Sci Am&lt;/abbr-2&gt;&lt;/periodical&gt;&lt;pages&gt;96-103&lt;/pages&gt;&lt;volume&gt;223&lt;/volume&gt;&lt;dates&gt;&lt;year&gt;1970&lt;/year&gt;&lt;/dates&gt;&lt;urls&gt;&lt;/urls&gt;&lt;electronic-resource-num&gt;https://www.jstor.org/stable/10.2307/24927662&lt;/electronic-resource-num&gt;&lt;/record&gt;&lt;/Cite&gt;&lt;/EndNote&gt;</w:instrText>
      </w:r>
      <w:r w:rsidRPr="00C06677">
        <w:fldChar w:fldCharType="separate"/>
      </w:r>
      <w:r w:rsidRPr="00C06677">
        <w:rPr>
          <w:noProof/>
        </w:rPr>
        <w:t>1970</w:t>
      </w:r>
      <w:r w:rsidRPr="00C06677">
        <w:fldChar w:fldCharType="end"/>
      </w:r>
      <w:r w:rsidRPr="00C06677">
        <w:t>; Tajfel</w:t>
      </w:r>
      <w:r w:rsidR="00BE3658">
        <w:t xml:space="preserve"> et al.</w:t>
      </w:r>
      <w:r w:rsidRPr="00C06677">
        <w:t xml:space="preserve">, </w:t>
      </w:r>
      <w:r w:rsidRPr="00C06677">
        <w:fldChar w:fldCharType="begin"/>
      </w:r>
      <w:r w:rsidR="0019503B">
        <w:instrText xml:space="preserve"> ADDIN EN.CITE &lt;EndNote&gt;&lt;Cite&gt;&lt;Author&gt;Tajfel&lt;/Author&gt;&lt;Year&gt;1971&lt;/Year&gt;&lt;RecNum&gt;2380&lt;/RecNum&gt;&lt;DisplayText&gt;1971&lt;/DisplayText&gt;&lt;record&gt;&lt;rec-number&gt;2380&lt;/rec-number&gt;&lt;foreign-keys&gt;&lt;key app="EN" db-id="w0tztzf0h2dft0eaewxxtpr4exwxf90s525w" timestamp="1659025439" guid="b3efe44c-b37e-43c5-8ae5-4fbafd44d7b3"&gt;2380&lt;/key&gt;&lt;/foreign-keys&gt;&lt;ref-type name="Journal Article"&gt;17&lt;/ref-type&gt;&lt;contributors&gt;&lt;authors&gt;&lt;author&gt;Tajfel, H&lt;/author&gt;&lt;author&gt;Billig, M&lt;/author&gt;&lt;author&gt;Bundy, R. P&lt;/author&gt;&lt;author&gt;Flament, C&lt;/author&gt;&lt;/authors&gt;&lt;/contributors&gt;&lt;titles&gt;&lt;title&gt;Social categorization and intergroup behaviour&lt;/title&gt;&lt;secondary-title&gt;European Journal of Social Psychology&lt;/secondary-title&gt;&lt;/titles&gt;&lt;periodical&gt;&lt;full-title&gt;European Journal of Social Psychology&lt;/full-title&gt;&lt;abbr-1&gt;Eur. J. Soc. Psychol.&lt;/abbr-1&gt;&lt;/periodical&gt;&lt;pages&gt;149-178&lt;/pages&gt;&lt;volume&gt;1&lt;/volume&gt;&lt;dates&gt;&lt;year&gt;1971&lt;/year&gt;&lt;/dates&gt;&lt;urls&gt;&lt;/urls&gt;&lt;electronic-resource-num&gt;http://dx.doi.org/10.1002/ejsp.2420010202&lt;/electronic-resource-num&gt;&lt;/record&gt;&lt;/Cite&gt;&lt;/EndNote&gt;</w:instrText>
      </w:r>
      <w:r w:rsidRPr="00C06677">
        <w:fldChar w:fldCharType="separate"/>
      </w:r>
      <w:r w:rsidRPr="00C06677">
        <w:rPr>
          <w:noProof/>
        </w:rPr>
        <w:t>1971</w:t>
      </w:r>
      <w:r w:rsidRPr="00C06677">
        <w:fldChar w:fldCharType="end"/>
      </w:r>
      <w:r w:rsidRPr="00C06677">
        <w:t>), or in cases where the distinction is extant, for example, amongst those with shared sexual orientation (Simon</w:t>
      </w:r>
      <w:r w:rsidR="00BE3658">
        <w:t xml:space="preserve"> et al.</w:t>
      </w:r>
      <w:r w:rsidRPr="00C06677">
        <w:t xml:space="preserve">, </w:t>
      </w:r>
      <w:r w:rsidRPr="00C06677">
        <w:fldChar w:fldCharType="begin"/>
      </w:r>
      <w:r w:rsidR="0019503B">
        <w:instrText xml:space="preserve"> ADDIN EN.CITE &lt;EndNote&gt;&lt;Cite&gt;&lt;Author&gt;Simon&lt;/Author&gt;&lt;Year&gt;2000&lt;/Year&gt;&lt;RecNum&gt;2602&lt;/RecNum&gt;&lt;DisplayText&gt;2000&lt;/DisplayText&gt;&lt;record&gt;&lt;rec-number&gt;2602&lt;/rec-number&gt;&lt;foreign-keys&gt;&lt;key app="EN" db-id="w0tztzf0h2dft0eaewxxtpr4exwxf90s525w" timestamp="1659025445" guid="361ebcff-1319-443e-b8af-bc1491ca8908"&gt;2602&lt;/key&gt;&lt;/foreign-keys&gt;&lt;ref-type name="Journal Article"&gt;17&lt;/ref-type&gt;&lt;contributors&gt;&lt;authors&gt;&lt;author&gt;Simon, B&lt;/author&gt;&lt;author&gt;Stürmer, S&lt;/author&gt;&lt;author&gt;Steffens, K&lt;/author&gt;&lt;/authors&gt;&lt;/contributors&gt;&lt;titles&gt;&lt;title&gt;Helping individuals or group members? The role of individual and collective identification in AIDS volunteerism&lt;/title&gt;&lt;secondary-title&gt;Personality &amp;amp; Social Psychology Bulletin&lt;/secondary-title&gt;&lt;/titles&gt;&lt;periodical&gt;&lt;full-title&gt;Personality and Social Psychology Bulletin&lt;/full-title&gt;&lt;abbr-1&gt;Pers. Soc. Psychol. Bull.&lt;/abbr-1&gt;&lt;abbr-2&gt;Pers Soc Psychol Bull&lt;/abbr-2&gt;&lt;abbr-3&gt;Personality &amp;amp; Social Psychology Bulletin&lt;/abbr-3&gt;&lt;/periodical&gt;&lt;pages&gt;5-16&lt;/pages&gt;&lt;volume&gt;26&lt;/volume&gt;&lt;dates&gt;&lt;year&gt;2000&lt;/year&gt;&lt;/dates&gt;&lt;urls&gt;&lt;/urls&gt;&lt;electronic-resource-num&gt;http://dx.doi.org/10.1177/0146167200266008&lt;/electronic-resource-num&gt;&lt;/record&gt;&lt;/Cite&gt;&lt;/EndNote&gt;</w:instrText>
      </w:r>
      <w:r w:rsidRPr="00C06677">
        <w:fldChar w:fldCharType="separate"/>
      </w:r>
      <w:r w:rsidRPr="00C06677">
        <w:rPr>
          <w:noProof/>
        </w:rPr>
        <w:t>2000</w:t>
      </w:r>
      <w:r w:rsidRPr="00C06677">
        <w:fldChar w:fldCharType="end"/>
      </w:r>
      <w:r w:rsidRPr="00C06677">
        <w:t xml:space="preserve">), national identity (Reed &amp; Aquino, </w:t>
      </w:r>
      <w:r w:rsidRPr="00C06677">
        <w:fldChar w:fldCharType="begin"/>
      </w:r>
      <w:r w:rsidR="0019503B">
        <w:instrText xml:space="preserve"> ADDIN EN.CITE &lt;EndNote&gt;&lt;Cite&gt;&lt;Author&gt;Reed II&lt;/Author&gt;&lt;Year&gt;2003&lt;/Year&gt;&lt;RecNum&gt;2381&lt;/RecNum&gt;&lt;DisplayText&gt;2003&lt;/DisplayText&gt;&lt;record&gt;&lt;rec-number&gt;2381&lt;/rec-number&gt;&lt;foreign-keys&gt;&lt;key app="EN" db-id="w0tztzf0h2dft0eaewxxtpr4exwxf90s525w" timestamp="1659025439" guid="60093d9c-8594-4362-afbb-e94de1a8262f"&gt;2381&lt;/key&gt;&lt;/foreign-keys&gt;&lt;ref-type name="Journal Article"&gt;17&lt;/ref-type&gt;&lt;contributors&gt;&lt;authors&gt;&lt;author&gt;Reed II, A&lt;/author&gt;&lt;author&gt;Aquino, K. F&lt;/author&gt;&lt;/authors&gt;&lt;/contributors&gt;&lt;titles&gt;&lt;title&gt;Moral identity and the expanding circle of moral regard toward out-groups&lt;/title&gt;&lt;secondary-title&gt;Journal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1270-1286&lt;/pages&gt;&lt;volume&gt;84&lt;/volume&gt;&lt;dates&gt;&lt;year&gt;2003&lt;/year&gt;&lt;/dates&gt;&lt;urls&gt;&lt;/urls&gt;&lt;electronic-resource-num&gt;http://dx.doi.org/10.1037/0022-3514.84.6.1270&lt;/electronic-resource-num&gt;&lt;/record&gt;&lt;/Cite&gt;&lt;/EndNote&gt;</w:instrText>
      </w:r>
      <w:r w:rsidRPr="00C06677">
        <w:fldChar w:fldCharType="separate"/>
      </w:r>
      <w:r w:rsidRPr="00C06677">
        <w:rPr>
          <w:noProof/>
        </w:rPr>
        <w:t>2003</w:t>
      </w:r>
      <w:r w:rsidRPr="00C06677">
        <w:fldChar w:fldCharType="end"/>
      </w:r>
      <w:r w:rsidRPr="00C06677">
        <w:t xml:space="preserve">), group affiliation (Levine, et al., 2015), religious beliefs (Preston &amp; Ritter, </w:t>
      </w:r>
      <w:r w:rsidRPr="00C06677">
        <w:fldChar w:fldCharType="begin"/>
      </w:r>
      <w:r w:rsidR="0019503B">
        <w:instrText xml:space="preserve"> ADDIN EN.CITE &lt;EndNote&gt;&lt;Cite&gt;&lt;Author&gt;Preston&lt;/Author&gt;&lt;Year&gt;2013&lt;/Year&gt;&lt;RecNum&gt;2382&lt;/RecNum&gt;&lt;DisplayText&gt;2013&lt;/DisplayText&gt;&lt;record&gt;&lt;rec-number&gt;2382&lt;/rec-number&gt;&lt;foreign-keys&gt;&lt;key app="EN" db-id="w0tztzf0h2dft0eaewxxtpr4exwxf90s525w" timestamp="1659025439" guid="4dd7c033-21c0-4df8-a636-2e20693d3b09"&gt;2382&lt;/key&gt;&lt;/foreign-keys&gt;&lt;ref-type name="Journal Article"&gt;17&lt;/ref-type&gt;&lt;contributors&gt;&lt;authors&gt;&lt;author&gt;Preston, J. L&lt;/author&gt;&lt;author&gt;Ritter, R.S&lt;/author&gt;&lt;/authors&gt;&lt;/contributors&gt;&lt;titles&gt;&lt;title&gt;Different effects of religion and God on prosociality with the ingroup and outgroup&lt;/title&gt;&lt;secondary-title&gt;Personality and Social Psychology Bulletin&lt;/secondary-title&gt;&lt;/titles&gt;&lt;periodical&gt;&lt;full-title&gt;Personality and Social Psychology Bulletin&lt;/full-title&gt;&lt;abbr-1&gt;Pers. Soc. Psychol. Bull.&lt;/abbr-1&gt;&lt;abbr-2&gt;Pers Soc Psychol Bull&lt;/abbr-2&gt;&lt;abbr-3&gt;Personality &amp;amp; Social Psychology Bulletin&lt;/abbr-3&gt;&lt;/periodical&gt;&lt;pages&gt;1471-1483&lt;/pages&gt;&lt;volume&gt;39&lt;/volume&gt;&lt;dates&gt;&lt;year&gt;2013&lt;/year&gt;&lt;/dates&gt;&lt;urls&gt;&lt;/urls&gt;&lt;electronic-resource-num&gt;http://dx.doi.org/10.1177/0146167213499937&lt;/electronic-resource-num&gt;&lt;/record&gt;&lt;/Cite&gt;&lt;/EndNote&gt;</w:instrText>
      </w:r>
      <w:r w:rsidRPr="00C06677">
        <w:fldChar w:fldCharType="separate"/>
      </w:r>
      <w:r w:rsidRPr="00C06677">
        <w:rPr>
          <w:noProof/>
        </w:rPr>
        <w:t>2013</w:t>
      </w:r>
      <w:r w:rsidRPr="00C06677">
        <w:fldChar w:fldCharType="end"/>
      </w:r>
      <w:r w:rsidRPr="00C06677">
        <w:t>), political parties (Misc</w:t>
      </w:r>
      <w:r w:rsidR="00BE3658">
        <w:t>h et al.,</w:t>
      </w:r>
      <w:r w:rsidRPr="00C06677">
        <w:t xml:space="preserve"> </w:t>
      </w:r>
      <w:r w:rsidRPr="00C06677">
        <w:fldChar w:fldCharType="begin"/>
      </w:r>
      <w:r w:rsidR="0019503B">
        <w:instrText xml:space="preserve"> ADDIN EN.CITE &lt;EndNote&gt;&lt;Cite&gt;&lt;Author&gt;Misch&lt;/Author&gt;&lt;Year&gt;2018&lt;/Year&gt;&lt;RecNum&gt;2383&lt;/RecNum&gt;&lt;DisplayText&gt;2018&lt;/DisplayText&gt;&lt;record&gt;&lt;rec-number&gt;2383&lt;/rec-number&gt;&lt;foreign-keys&gt;&lt;key app="EN" db-id="w0tztzf0h2dft0eaewxxtpr4exwxf90s525w" timestamp="1659025439" guid="4a5e0147-225d-4715-b663-4330e90423b2"&gt;2383&lt;/key&gt;&lt;/foreign-keys&gt;&lt;ref-type name="Journal Article"&gt;17&lt;/ref-type&gt;&lt;contributors&gt;&lt;authors&gt;&lt;author&gt;Misch, A&lt;/author&gt;&lt;author&gt;Fergusson, G&lt;/author&gt;&lt;author&gt;Dunham, Y&lt;/author&gt;&lt;/authors&gt;&lt;/contributors&gt;&lt;titles&gt;&lt;title&gt;Temporal dynamics of partisan identity fusion and prosociality during the 2016 US presidential election&lt;/title&gt;&lt;secondary-title&gt;Self and Identity&lt;/secondary-title&gt;&lt;/titles&gt;&lt;periodical&gt;&lt;full-title&gt;Self and Identity&lt;/full-title&gt;&lt;/periodical&gt;&lt;pages&gt;531-548&lt;/pages&gt;&lt;volume&gt;17&lt;/volume&gt;&lt;dates&gt;&lt;year&gt;2018&lt;/year&gt;&lt;/dates&gt;&lt;urls&gt;&lt;/urls&gt;&lt;electronic-resource-num&gt;https://doi.org/10.1080/15298868.2018.1430063&lt;/electronic-resource-num&gt;&lt;/record&gt;&lt;/Cite&gt;&lt;/EndNote&gt;</w:instrText>
      </w:r>
      <w:r w:rsidRPr="00C06677">
        <w:fldChar w:fldCharType="separate"/>
      </w:r>
      <w:r w:rsidRPr="00C06677">
        <w:rPr>
          <w:noProof/>
        </w:rPr>
        <w:t>2018</w:t>
      </w:r>
      <w:r w:rsidRPr="00C06677">
        <w:fldChar w:fldCharType="end"/>
      </w:r>
      <w:r w:rsidRPr="00C06677">
        <w:t>), and smoking status (Furnham</w:t>
      </w:r>
      <w:r w:rsidR="00BE3658">
        <w:t xml:space="preserve"> et al., </w:t>
      </w:r>
      <w:r w:rsidRPr="00C06677">
        <w:fldChar w:fldCharType="begin"/>
      </w:r>
      <w:r w:rsidR="0019503B">
        <w:instrText xml:space="preserve"> ADDIN EN.CITE &lt;EndNote&gt;&lt;Cite&gt;&lt;Author&gt;Furnham&lt;/Author&gt;&lt;Year&gt;2000&lt;/Year&gt;&lt;RecNum&gt;2384&lt;/RecNum&gt;&lt;DisplayText&gt;2000&lt;/DisplayText&gt;&lt;record&gt;&lt;rec-number&gt;2384&lt;/rec-number&gt;&lt;foreign-keys&gt;&lt;key app="EN" db-id="w0tztzf0h2dft0eaewxxtpr4exwxf90s525w" timestamp="1659025439" guid="51671f94-543d-495a-9f2f-9925ce7a1594"&gt;2384&lt;/key&gt;&lt;/foreign-keys&gt;&lt;ref-type name="Journal Article"&gt;17&lt;/ref-type&gt;&lt;contributors&gt;&lt;authors&gt;&lt;author&gt;Furnham, A&lt;/author&gt;&lt;author&gt;Simmons, K&lt;/author&gt;&lt;author&gt;McClelland, A&lt;/author&gt;&lt;/authors&gt;&lt;/contributors&gt;&lt;titles&gt;&lt;title&gt;Decisions concerning the allocation of scarce medical resources.&lt;/title&gt;&lt;secondary-title&gt;Journal of Social Behavior and Personality&lt;/secondary-title&gt;&lt;/titles&gt;&lt;periodical&gt;&lt;full-title&gt;Journal of Social Behavior and Personality&lt;/full-title&gt;&lt;/periodical&gt;&lt;pages&gt;185-200&lt;/pages&gt;&lt;dates&gt;&lt;year&gt;2000&lt;/year&gt;&lt;/dates&gt;&lt;urls&gt;&lt;/urls&gt;&lt;/record&gt;&lt;/Cite&gt;&lt;/EndNote&gt;</w:instrText>
      </w:r>
      <w:r w:rsidRPr="00C06677">
        <w:fldChar w:fldCharType="separate"/>
      </w:r>
      <w:r w:rsidRPr="00C06677">
        <w:rPr>
          <w:noProof/>
        </w:rPr>
        <w:t>2000</w:t>
      </w:r>
      <w:r w:rsidRPr="00C06677">
        <w:fldChar w:fldCharType="end"/>
      </w:r>
      <w:r w:rsidRPr="00C06677">
        <w:t xml:space="preserve">). In such cases, people are demonstrably more likely to donate, more willing to donate, or produce prosocial behavior towards members of their own in-group rather than the out-group. Such in-group favoritism also has been found in the Dictator Game where a robust finding is that generosity towards the other is enhanced when the other is a member of the participants in-group relative to </w:t>
      </w:r>
      <w:r w:rsidRPr="00C06677">
        <w:lastRenderedPageBreak/>
        <w:t>when the other is a member of the out-group (Misch</w:t>
      </w:r>
      <w:r w:rsidR="00BE3658">
        <w:t xml:space="preserve"> et al., </w:t>
      </w:r>
      <w:r w:rsidRPr="00C06677">
        <w:t>2018; see also Fehr</w:t>
      </w:r>
      <w:r w:rsidR="00BE3658">
        <w:t xml:space="preserve"> et al.,</w:t>
      </w:r>
      <w:r w:rsidRPr="00C06677">
        <w:t xml:space="preserve"> </w:t>
      </w:r>
      <w:r w:rsidRPr="00C06677">
        <w:fldChar w:fldCharType="begin"/>
      </w:r>
      <w:r w:rsidR="0019503B">
        <w:instrText xml:space="preserve"> ADDIN EN.CITE &lt;EndNote&gt;&lt;Cite&gt;&lt;Author&gt;Fehr&lt;/Author&gt;&lt;Year&gt;2008&lt;/Year&gt;&lt;RecNum&gt;2385&lt;/RecNum&gt;&lt;DisplayText&gt;2008&lt;/DisplayText&gt;&lt;record&gt;&lt;rec-number&gt;2385&lt;/rec-number&gt;&lt;foreign-keys&gt;&lt;key app="EN" db-id="w0tztzf0h2dft0eaewxxtpr4exwxf90s525w" timestamp="1659025439" guid="8ee95a6e-2510-4422-aaa5-4fd3b1f3d22f"&gt;2385&lt;/key&gt;&lt;/foreign-keys&gt;&lt;ref-type name="Journal Article"&gt;17&lt;/ref-type&gt;&lt;contributors&gt;&lt;authors&gt;&lt;author&gt;Fehr, E&lt;/author&gt;&lt;author&gt;Bernhard, H&lt;/author&gt;&lt;author&gt;Rockenbach, B&lt;/author&gt;&lt;/authors&gt;&lt;/contributors&gt;&lt;titles&gt;&lt;title&gt;Egalitarianism in young children&lt;/title&gt;&lt;secondary-title&gt;Nature&lt;/secondary-title&gt;&lt;/titles&gt;&lt;periodical&gt;&lt;full-title&gt;Nature&lt;/full-title&gt;&lt;abbr-1&gt;Nature&lt;/abbr-1&gt;&lt;abbr-2&gt;Nature&lt;/abbr-2&gt;&lt;/periodical&gt;&lt;pages&gt;1079-1083&lt;/pages&gt;&lt;volume&gt;454&lt;/volume&gt;&lt;dates&gt;&lt;year&gt;2008&lt;/year&gt;&lt;/dates&gt;&lt;urls&gt;&lt;/urls&gt;&lt;electronic-resource-num&gt;https://doi.org/10.1038/nature07155&lt;/electronic-resource-num&gt;&lt;/record&gt;&lt;/Cite&gt;&lt;/EndNote&gt;</w:instrText>
      </w:r>
      <w:r w:rsidRPr="00C06677">
        <w:fldChar w:fldCharType="separate"/>
      </w:r>
      <w:r w:rsidRPr="00C06677">
        <w:rPr>
          <w:noProof/>
        </w:rPr>
        <w:t>2008</w:t>
      </w:r>
      <w:r w:rsidRPr="00C06677">
        <w:fldChar w:fldCharType="end"/>
      </w:r>
      <w:r w:rsidRPr="00C06677">
        <w:t>, for developmental evidence for this).</w:t>
      </w:r>
    </w:p>
    <w:p w14:paraId="19F4C75E" w14:textId="6B74B19B" w:rsidR="00023F7A" w:rsidRDefault="00FF3A59" w:rsidP="00401046">
      <w:pPr>
        <w:spacing w:line="480" w:lineRule="auto"/>
        <w:ind w:firstLine="720"/>
      </w:pPr>
      <w:r w:rsidRPr="00C06677">
        <w:t xml:space="preserve">Such in-group favoritism is more generally discussed in terms of </w:t>
      </w:r>
      <w:r w:rsidRPr="00C06677">
        <w:rPr>
          <w:i/>
          <w:iCs/>
        </w:rPr>
        <w:t>in-group bias</w:t>
      </w:r>
      <w:r w:rsidRPr="00C06677">
        <w:t xml:space="preserve"> (Brewer, </w:t>
      </w:r>
      <w:r w:rsidRPr="00C06677">
        <w:fldChar w:fldCharType="begin"/>
      </w:r>
      <w:r w:rsidR="0019503B">
        <w:instrText xml:space="preserve"> ADDIN EN.CITE &lt;EndNote&gt;&lt;Cite&gt;&lt;Author&gt;Brewer&lt;/Author&gt;&lt;Year&gt;1979&lt;/Year&gt;&lt;RecNum&gt;2386&lt;/RecNum&gt;&lt;DisplayText&gt;1979&lt;/DisplayText&gt;&lt;record&gt;&lt;rec-number&gt;2386&lt;/rec-number&gt;&lt;foreign-keys&gt;&lt;key app="EN" db-id="w0tztzf0h2dft0eaewxxtpr4exwxf90s525w" timestamp="1659025439" guid="582af2b9-4106-4875-9956-f271e5d9c48a"&gt;2386&lt;/key&gt;&lt;/foreign-keys&gt;&lt;ref-type name="Journal Article"&gt;17&lt;/ref-type&gt;&lt;contributors&gt;&lt;authors&gt;&lt;author&gt;Brewer, M. B&lt;/author&gt;&lt;/authors&gt;&lt;/contributors&gt;&lt;titles&gt;&lt;title&gt;In-group bias in the minimal intergroup situation: A cognitive-motivational analysis&lt;/title&gt;&lt;secondary-title&gt;Psychological Bulletin&lt;/secondary-title&gt;&lt;/titles&gt;&lt;periodical&gt;&lt;full-title&gt;Psychological Bulletin&lt;/full-title&gt;&lt;abbr-1&gt;Psychol. Bull.&lt;/abbr-1&gt;&lt;abbr-2&gt;Psychol Bull&lt;/abbr-2&gt;&lt;/periodical&gt;&lt;pages&gt;307-324&lt;/pages&gt;&lt;volume&gt;86&lt;/volume&gt;&lt;dates&gt;&lt;year&gt;1979&lt;/year&gt;&lt;/dates&gt;&lt;urls&gt;&lt;/urls&gt;&lt;electronic-resource-num&gt;https://doi.org/10.1037/0033-2909.86.2.307&lt;/electronic-resource-num&gt;&lt;/record&gt;&lt;/Cite&gt;&lt;/EndNote&gt;</w:instrText>
      </w:r>
      <w:r w:rsidRPr="00C06677">
        <w:fldChar w:fldCharType="separate"/>
      </w:r>
      <w:r w:rsidRPr="00C06677">
        <w:rPr>
          <w:noProof/>
        </w:rPr>
        <w:t>1979</w:t>
      </w:r>
      <w:r w:rsidRPr="00C06677">
        <w:fldChar w:fldCharType="end"/>
      </w:r>
      <w:r w:rsidRPr="00C06677">
        <w:t xml:space="preserve">), but this gives rise to the question of </w:t>
      </w:r>
      <w:r>
        <w:t>exactly how the in-group specification influences the charitable giving process</w:t>
      </w:r>
      <w:r w:rsidRPr="00C06677">
        <w:t xml:space="preserve">. </w:t>
      </w:r>
      <w:r w:rsidR="00062BF0">
        <w:t xml:space="preserve">Within the framework of PVT (and other decision theories founded in sequential sampling procedures), there are several avenues for factors to influence choice.  The primary avenue is through changing the Psychological Value of </w:t>
      </w:r>
      <w:r w:rsidR="001A15F9">
        <w:t xml:space="preserve">one or both </w:t>
      </w:r>
      <w:r w:rsidR="00062BF0">
        <w:t>stimuli</w:t>
      </w:r>
      <w:r w:rsidR="00C5611D">
        <w:t xml:space="preserve"> (see Figure </w:t>
      </w:r>
      <w:r w:rsidR="00894C27">
        <w:t>8</w:t>
      </w:r>
      <w:r w:rsidR="00C5611D">
        <w:t>)</w:t>
      </w:r>
      <w:r w:rsidR="00062BF0">
        <w:t xml:space="preserve">. </w:t>
      </w:r>
      <w:r w:rsidR="001A15F9">
        <w:t>PVT holds that Psychological Value is perceived</w:t>
      </w:r>
      <w:r w:rsidR="00037899">
        <w:t>, therefore a change in Psychological Value results in a change in the phenomenological experience of the stimulus.  Because the</w:t>
      </w:r>
      <w:r w:rsidR="001A15F9">
        <w:t xml:space="preserve"> perception </w:t>
      </w:r>
      <w:r w:rsidR="00037899">
        <w:t xml:space="preserve">of Psychological Value </w:t>
      </w:r>
      <w:r w:rsidR="001A15F9">
        <w:t>is automatic and pre-attentive</w:t>
      </w:r>
      <w:r w:rsidR="00037899">
        <w:t xml:space="preserve">, any </w:t>
      </w:r>
      <w:r w:rsidR="001A15F9">
        <w:t xml:space="preserve">manipulation </w:t>
      </w:r>
      <w:r w:rsidR="00037899">
        <w:t>that</w:t>
      </w:r>
      <w:r w:rsidR="001A15F9">
        <w:t xml:space="preserve"> change</w:t>
      </w:r>
      <w:r w:rsidR="00037899">
        <w:t>s</w:t>
      </w:r>
      <w:r w:rsidR="001A15F9">
        <w:t xml:space="preserve"> the Psychological Value of a stimulus will be doing so </w:t>
      </w:r>
      <w:r w:rsidR="00037899">
        <w:t>outside</w:t>
      </w:r>
      <w:r w:rsidR="001A15F9">
        <w:t xml:space="preserve"> the cognitive control of the </w:t>
      </w:r>
      <w:r w:rsidR="006B0A8F">
        <w:t xml:space="preserve">viewer.  </w:t>
      </w:r>
      <w:r w:rsidR="00037899">
        <w:t>This</w:t>
      </w:r>
      <w:r w:rsidR="006B0A8F">
        <w:t xml:space="preserve"> implies that the manipulation taps into either an evolutionarily important </w:t>
      </w:r>
      <w:r w:rsidR="00E33329">
        <w:t>and/</w:t>
      </w:r>
      <w:r w:rsidR="006B0A8F">
        <w:t xml:space="preserve">or highly learned feature.  </w:t>
      </w:r>
      <w:r w:rsidR="00023F7A">
        <w:t>As an analogy, facial symmetry is positively related to attractiveness (</w:t>
      </w:r>
      <w:r w:rsidR="00472B26">
        <w:t>Thornhill &amp; Gangestad,</w:t>
      </w:r>
      <w:r w:rsidR="00FA1204">
        <w:t xml:space="preserve"> </w:t>
      </w:r>
      <w:r w:rsidR="00FA1204">
        <w:fldChar w:fldCharType="begin"/>
      </w:r>
      <w:r w:rsidR="0019503B">
        <w:instrText xml:space="preserve"> ADDIN EN.CITE &lt;EndNote&gt;&lt;Cite&gt;&lt;Author&gt;Thornhill&lt;/Author&gt;&lt;Year&gt;1999&lt;/Year&gt;&lt;RecNum&gt;2677&lt;/RecNum&gt;&lt;DisplayText&gt;1999&lt;/DisplayText&gt;&lt;record&gt;&lt;rec-number&gt;2677&lt;/rec-number&gt;&lt;foreign-keys&gt;&lt;key app="EN" db-id="w0tztzf0h2dft0eaewxxtpr4exwxf90s525w" timestamp="1660044261" guid="b5a90453-dd7e-4c52-9bc4-b46d0274a96b"&gt;2677&lt;/key&gt;&lt;/foreign-keys&gt;&lt;ref-type name="Journal Article"&gt;17&lt;/ref-type&gt;&lt;contributors&gt;&lt;authors&gt;&lt;author&gt;Thornhill, R&lt;/author&gt;&lt;author&gt;Gangstad, S. W&lt;/author&gt;&lt;/authors&gt;&lt;/contributors&gt;&lt;titles&gt;&lt;title&gt;Facial attractiveness&lt;/title&gt;&lt;secondary-title&gt;Trends in Cognitive Sciences&lt;/secondary-title&gt;&lt;/titles&gt;&lt;periodical&gt;&lt;full-title&gt;Trends in Cognitive Sciences&lt;/full-title&gt;&lt;abbr-1&gt;Trends Cognit. Sci.&lt;/abbr-1&gt;&lt;/periodical&gt;&lt;pages&gt;452-460&lt;/pages&gt;&lt;volume&gt;3&lt;/volume&gt;&lt;dates&gt;&lt;year&gt;1999&lt;/year&gt;&lt;/dates&gt;&lt;urls&gt;&lt;/urls&gt;&lt;electronic-resource-num&gt;https://doi.org/10.1016/S1364-6613(99)01403-5&lt;/electronic-resource-num&gt;&lt;/record&gt;&lt;/Cite&gt;&lt;/EndNote&gt;</w:instrText>
      </w:r>
      <w:r w:rsidR="00FA1204">
        <w:fldChar w:fldCharType="separate"/>
      </w:r>
      <w:r w:rsidR="00FA1204">
        <w:rPr>
          <w:noProof/>
        </w:rPr>
        <w:t>1999</w:t>
      </w:r>
      <w:r w:rsidR="00FA1204">
        <w:fldChar w:fldCharType="end"/>
      </w:r>
      <w:r w:rsidR="00FA1204">
        <w:t>)</w:t>
      </w:r>
      <w:r w:rsidR="00C1138E">
        <w:t>, therefore a</w:t>
      </w:r>
      <w:r w:rsidR="00C12FAD">
        <w:t xml:space="preserve">ny manipulation that influences facial symmetry (e.g., </w:t>
      </w:r>
      <w:r w:rsidR="00220A68">
        <w:t xml:space="preserve">the wearing of </w:t>
      </w:r>
      <w:r w:rsidR="00C12FAD">
        <w:t xml:space="preserve">jewelry, etc.) will also </w:t>
      </w:r>
      <w:r w:rsidR="0014253D">
        <w:t>pre-attentively influence</w:t>
      </w:r>
      <w:r w:rsidR="00023F7A">
        <w:t xml:space="preserve"> </w:t>
      </w:r>
      <w:r w:rsidR="00FA1204">
        <w:t>the</w:t>
      </w:r>
      <w:r w:rsidR="00023F7A">
        <w:t xml:space="preserve"> pheno</w:t>
      </w:r>
      <w:r w:rsidR="0014253D">
        <w:t>men</w:t>
      </w:r>
      <w:r w:rsidR="00023F7A">
        <w:t>o</w:t>
      </w:r>
      <w:r w:rsidR="0014253D">
        <w:t>logical experience</w:t>
      </w:r>
      <w:r w:rsidR="00FA1204">
        <w:t xml:space="preserve"> of</w:t>
      </w:r>
      <w:r w:rsidR="00023F7A">
        <w:t xml:space="preserve"> attractiveness. </w:t>
      </w:r>
    </w:p>
    <w:p w14:paraId="4AFC13A4" w14:textId="600459FC" w:rsidR="00443EB5" w:rsidRDefault="00443EB5" w:rsidP="00546198">
      <w:pPr>
        <w:keepNext/>
        <w:spacing w:line="480" w:lineRule="auto"/>
      </w:pPr>
      <w:r w:rsidRPr="00443EB5">
        <w:rPr>
          <w:noProof/>
        </w:rPr>
        <w:lastRenderedPageBreak/>
        <w:drawing>
          <wp:inline distT="0" distB="0" distL="0" distR="0" wp14:anchorId="2A831B97" wp14:editId="3BC0FC38">
            <wp:extent cx="5715452" cy="70539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8221" cy="7069702"/>
                    </a:xfrm>
                    <a:prstGeom prst="rect">
                      <a:avLst/>
                    </a:prstGeom>
                  </pic:spPr>
                </pic:pic>
              </a:graphicData>
            </a:graphic>
          </wp:inline>
        </w:drawing>
      </w:r>
    </w:p>
    <w:p w14:paraId="078EF0D5" w14:textId="442139B4" w:rsidR="00443EB5" w:rsidRDefault="00443EB5" w:rsidP="00443EB5">
      <w:pPr>
        <w:keepNext/>
      </w:pPr>
      <w:r w:rsidRPr="00C06677">
        <w:rPr>
          <w:b/>
          <w:bCs/>
          <w:iCs/>
        </w:rPr>
        <w:t xml:space="preserve">Figure </w:t>
      </w:r>
      <w:r w:rsidR="00894C27">
        <w:rPr>
          <w:b/>
          <w:bCs/>
          <w:iCs/>
        </w:rPr>
        <w:t>8</w:t>
      </w:r>
      <w:r w:rsidRPr="00C06677">
        <w:rPr>
          <w:b/>
          <w:bCs/>
          <w:iCs/>
        </w:rPr>
        <w:t xml:space="preserve">. </w:t>
      </w:r>
      <w:r>
        <w:t>This figure illustrates</w:t>
      </w:r>
      <w:r w:rsidRPr="002D6464">
        <w:t xml:space="preserve"> how in-group status </w:t>
      </w:r>
      <w:r>
        <w:t>might change the</w:t>
      </w:r>
      <w:r w:rsidRPr="002D6464">
        <w:t xml:space="preserve"> Psychological Value</w:t>
      </w:r>
      <w:r>
        <w:t xml:space="preserve"> of the item it modifies. </w:t>
      </w:r>
      <w:r w:rsidR="00971BE1">
        <w:t xml:space="preserve">Imagine a choice between two Items. One is the HVO and one is the LVO, by definition. </w:t>
      </w:r>
      <w:r>
        <w:t xml:space="preserve">The top figure illustrates the change that occurs when the in-group status is applied to the </w:t>
      </w:r>
      <w:r w:rsidR="00971BE1">
        <w:t xml:space="preserve">LVO </w:t>
      </w:r>
      <w:r>
        <w:t>item</w:t>
      </w:r>
      <w:r w:rsidR="00971BE1">
        <w:t xml:space="preserve">.  Here, the Psychological Value of that Item is increased, thus increasing the overlap between itself and the HVO.  This greater overlap would produce slower, less accurate </w:t>
      </w:r>
      <w:r w:rsidR="00971BE1">
        <w:lastRenderedPageBreak/>
        <w:t>responses.</w:t>
      </w:r>
      <w:r w:rsidR="00971BE1" w:rsidRPr="00971BE1">
        <w:t xml:space="preserve"> </w:t>
      </w:r>
      <w:r w:rsidR="00971BE1">
        <w:t xml:space="preserve">The bottom figure illustrates the change that occurs when the in-group status is applied to the HVO item.  Here, the Psychological Value of that Item is increased, thus decreasing the overlap between itself and the LVO.  This smaller overlap would produce faster, more accurate responses.  </w:t>
      </w:r>
    </w:p>
    <w:p w14:paraId="4631438B" w14:textId="77777777" w:rsidR="00443EB5" w:rsidRDefault="00443EB5" w:rsidP="00546198">
      <w:pPr>
        <w:keepNext/>
        <w:spacing w:line="480" w:lineRule="auto"/>
      </w:pPr>
    </w:p>
    <w:p w14:paraId="66AF2831" w14:textId="5464C5FB" w:rsidR="00486BF4" w:rsidRDefault="00486BF4" w:rsidP="00486BF4">
      <w:pPr>
        <w:keepNext/>
        <w:spacing w:line="480" w:lineRule="auto"/>
      </w:pPr>
      <w:r>
        <w:tab/>
        <w:t xml:space="preserve">Another </w:t>
      </w:r>
      <w:r w:rsidR="00FA1204">
        <w:t>way in which</w:t>
      </w:r>
      <w:r>
        <w:t xml:space="preserve"> factors </w:t>
      </w:r>
      <w:r w:rsidR="0042157D">
        <w:t xml:space="preserve">of interest </w:t>
      </w:r>
      <w:r w:rsidR="00FA1204">
        <w:t>may</w:t>
      </w:r>
      <w:r>
        <w:t xml:space="preserve"> influence choice is through response bias. A response bias is independent of the Psychological Value of the stimulus.  As such, factors that influence response biases do not change </w:t>
      </w:r>
      <w:r w:rsidR="00FA1204">
        <w:t>the</w:t>
      </w:r>
      <w:r>
        <w:t xml:space="preserve"> phenomenological experience of the stimulus.  Response biases are under cognitive control, and therefore can be </w:t>
      </w:r>
      <w:r w:rsidR="00037899">
        <w:t>controlled</w:t>
      </w:r>
      <w:r>
        <w:t xml:space="preserve"> through instructional or context manipulations.  There are two primary routes for response biases to manifest within PVT</w:t>
      </w:r>
      <w:r w:rsidR="00EB7739">
        <w:t>, namely,</w:t>
      </w:r>
      <w:r>
        <w:t xml:space="preserve"> </w:t>
      </w:r>
      <w:r w:rsidR="0060295C">
        <w:t xml:space="preserve">a boundary separation bias and </w:t>
      </w:r>
      <w:r>
        <w:t xml:space="preserve">a start point bias.  </w:t>
      </w:r>
      <w:r w:rsidR="00BE723B">
        <w:t xml:space="preserve">A boundary separation bias refers to a change in the distance between the two boundaries.  </w:t>
      </w:r>
      <w:r w:rsidR="00920FFE">
        <w:t>Changes in boundary separation generally model s</w:t>
      </w:r>
      <w:r w:rsidR="002C40AD">
        <w:t xml:space="preserve">peed/accuracy tradeoffs. </w:t>
      </w:r>
      <w:r w:rsidR="00BE723B">
        <w:t xml:space="preserve">When the </w:t>
      </w:r>
      <w:r w:rsidR="002C40AD">
        <w:t>boundary separation</w:t>
      </w:r>
      <w:r w:rsidR="00BE723B">
        <w:t xml:space="preserve"> is small, </w:t>
      </w:r>
      <w:r w:rsidR="002C40AD">
        <w:t xml:space="preserve">it takes fewer steps for </w:t>
      </w:r>
      <w:r w:rsidR="00BE723B">
        <w:t xml:space="preserve">the </w:t>
      </w:r>
      <w:r w:rsidR="002C40AD">
        <w:t xml:space="preserve">accumulated evidence to reach a boundary than when the boundary separation is large.  As a result, a </w:t>
      </w:r>
      <w:r w:rsidR="00790286">
        <w:t>small boundary separation</w:t>
      </w:r>
      <w:r w:rsidR="002C40AD">
        <w:t xml:space="preserve"> translates into a fast, but less accurate response.  </w:t>
      </w:r>
      <w:r w:rsidR="00790286">
        <w:t>The reverse is true for a large boundary separation. Boundary separation biases are easily induced through instructional manipulations, such as asking the participant to emphasize speed vs</w:t>
      </w:r>
      <w:r w:rsidR="009078B0">
        <w:t>.</w:t>
      </w:r>
      <w:r w:rsidR="00790286">
        <w:t xml:space="preserve"> emphasizing accuracy (</w:t>
      </w:r>
      <w:r w:rsidR="00FA1204">
        <w:t>Ratcliff</w:t>
      </w:r>
      <w:r w:rsidR="00D9207D">
        <w:t xml:space="preserve"> et al.,</w:t>
      </w:r>
      <w:r w:rsidR="00FA1204">
        <w:t xml:space="preserve"> </w:t>
      </w:r>
      <w:r w:rsidR="005C56BD">
        <w:fldChar w:fldCharType="begin"/>
      </w:r>
      <w:r w:rsidR="0019503B">
        <w:instrText xml:space="preserve"> ADDIN EN.CITE &lt;EndNote&gt;&lt;Cite&gt;&lt;Author&gt;Ratcliff&lt;/Author&gt;&lt;Year&gt;2015&lt;/Year&gt;&lt;RecNum&gt;2678&lt;/RecNum&gt;&lt;DisplayText&gt;2015&lt;/DisplayText&gt;&lt;record&gt;&lt;rec-number&gt;2678&lt;/rec-number&gt;&lt;foreign-keys&gt;&lt;key app="EN" db-id="w0tztzf0h2dft0eaewxxtpr4exwxf90s525w" timestamp="1660045021" guid="78301ac5-f672-4528-88d2-1fd3e207add0"&gt;2678&lt;/key&gt;&lt;/foreign-keys&gt;&lt;ref-type name="Journal Article"&gt;17&lt;/ref-type&gt;&lt;contributors&gt;&lt;authors&gt;&lt;author&gt;Ratcliff, R.&lt;/author&gt;&lt;author&gt;Smith, P. L.&lt;/author&gt;&lt;author&gt;McKoon, G.&lt;/author&gt;&lt;/authors&gt;&lt;/contributors&gt;&lt;titles&gt;&lt;title&gt;Modeling regularities in response time and accuracy data with the diffusion model&lt;/title&gt;&lt;secondary-title&gt;Current Directions in Psychological Science&lt;/secondary-title&gt;&lt;/titles&gt;&lt;periodical&gt;&lt;full-title&gt;Current Directions in Psychological Science&lt;/full-title&gt;&lt;abbr-1&gt;Curr. Dir. Psychol. Sci.&lt;/abbr-1&gt;&lt;/periodical&gt;&lt;pages&gt;458-470&lt;/pages&gt;&lt;volume&gt;24&lt;/volume&gt;&lt;dates&gt;&lt;year&gt;2015&lt;/year&gt;&lt;/dates&gt;&lt;urls&gt;&lt;/urls&gt;&lt;electronic-resource-num&gt;http://dx.doi.org/10.1177/0963721415596228&lt;/electronic-resource-num&gt;&lt;/record&gt;&lt;/Cite&gt;&lt;/EndNote&gt;</w:instrText>
      </w:r>
      <w:r w:rsidR="005C56BD">
        <w:fldChar w:fldCharType="separate"/>
      </w:r>
      <w:r w:rsidR="005C56BD">
        <w:rPr>
          <w:noProof/>
        </w:rPr>
        <w:t>2015</w:t>
      </w:r>
      <w:r w:rsidR="005C56BD">
        <w:fldChar w:fldCharType="end"/>
      </w:r>
      <w:r w:rsidR="00790286">
        <w:t xml:space="preserve">).  In this way, boundary separation biases influence the </w:t>
      </w:r>
      <w:r w:rsidR="00DF269D">
        <w:t>choice, but</w:t>
      </w:r>
      <w:r w:rsidR="00790286">
        <w:t xml:space="preserve"> do not influence the phenomenological experience of the Psychological Value of the stimulus.</w:t>
      </w:r>
    </w:p>
    <w:p w14:paraId="567AE859" w14:textId="77777777" w:rsidR="00F04686" w:rsidRDefault="00DF269D" w:rsidP="00C8383C">
      <w:pPr>
        <w:keepNext/>
        <w:spacing w:line="480" w:lineRule="auto"/>
      </w:pPr>
      <w:r>
        <w:tab/>
        <w:t>A start point bias refers to the relative position between the two boundaries that the evidence begins to accumulate</w:t>
      </w:r>
      <w:r w:rsidR="00894C27">
        <w:t xml:space="preserve"> (see Figure 9)</w:t>
      </w:r>
      <w:r>
        <w:t xml:space="preserve">. When the start point is equal distance between the boundaries, it is termed an unbiased start point.  </w:t>
      </w:r>
      <w:r w:rsidR="00920FFE">
        <w:t>When the start point is shifted closer to one boundary than the other, the</w:t>
      </w:r>
      <w:r w:rsidR="000E7C59">
        <w:t xml:space="preserve"> start point is </w:t>
      </w:r>
      <w:r w:rsidR="00920FFE" w:rsidRPr="002D6464">
        <w:rPr>
          <w:i/>
          <w:iCs/>
        </w:rPr>
        <w:t>biased</w:t>
      </w:r>
      <w:r w:rsidR="000E7C59">
        <w:t xml:space="preserve">.  </w:t>
      </w:r>
      <w:r w:rsidR="00920FFE">
        <w:t>Start point biases</w:t>
      </w:r>
      <w:r w:rsidR="00BE14BD">
        <w:t xml:space="preserve"> model the case</w:t>
      </w:r>
      <w:r w:rsidR="00920FFE">
        <w:t>s</w:t>
      </w:r>
      <w:r w:rsidR="00BE14BD">
        <w:t xml:space="preserve"> whereby the observer has a preference for a particular option or </w:t>
      </w:r>
      <w:r w:rsidR="002827DA">
        <w:t xml:space="preserve">stimulus class.  </w:t>
      </w:r>
      <w:r w:rsidR="00504B58">
        <w:t xml:space="preserve">Here, both the start point and </w:t>
      </w:r>
      <w:r w:rsidR="00504B58">
        <w:lastRenderedPageBreak/>
        <w:t>the relative Psychological Values of the two options will influence which boundary</w:t>
      </w:r>
      <w:r w:rsidR="00A92AD4">
        <w:t xml:space="preserve"> is eventually reached and how long such a process will take</w:t>
      </w:r>
      <w:r w:rsidR="00504B58">
        <w:t xml:space="preserve">.  </w:t>
      </w:r>
      <w:r w:rsidR="00C75287">
        <w:t xml:space="preserve">Because </w:t>
      </w:r>
      <w:r w:rsidR="006055E2">
        <w:t xml:space="preserve">the start point is closer to the </w:t>
      </w:r>
      <w:r w:rsidR="00920FFE">
        <w:t>preferred</w:t>
      </w:r>
      <w:r w:rsidR="006055E2">
        <w:t xml:space="preserve"> boundary than the </w:t>
      </w:r>
      <w:r w:rsidR="00920FFE">
        <w:t>non-preferred boundary</w:t>
      </w:r>
      <w:r w:rsidR="006055E2">
        <w:t xml:space="preserve">, </w:t>
      </w:r>
      <w:r w:rsidR="00C75287">
        <w:t xml:space="preserve">for </w:t>
      </w:r>
      <w:r w:rsidR="004E20FD">
        <w:t>a specific distributional overlap</w:t>
      </w:r>
      <w:r w:rsidR="00A92AD4">
        <w:t>,</w:t>
      </w:r>
      <w:r w:rsidR="004E20FD">
        <w:t xml:space="preserve"> </w:t>
      </w:r>
      <w:r w:rsidR="006055E2">
        <w:t xml:space="preserve">the evidence has a higher probability of crossing the preferred boundary than the non-preferred boundary.  Furthermore, those trials where the preferred boundary is reached will be faster than those trials where the non-preferred boundary is crossed. </w:t>
      </w:r>
      <w:r w:rsidR="004E20FD">
        <w:t>Thus</w:t>
      </w:r>
      <w:r w:rsidR="001C54D8">
        <w:t>,</w:t>
      </w:r>
      <w:r w:rsidR="006055E2">
        <w:t xml:space="preserve"> </w:t>
      </w:r>
      <w:r w:rsidR="001C54D8">
        <w:t xml:space="preserve">factors that influence </w:t>
      </w:r>
      <w:r w:rsidR="006055E2">
        <w:t xml:space="preserve">the </w:t>
      </w:r>
      <w:r w:rsidR="001C54D8">
        <w:t xml:space="preserve">position of the </w:t>
      </w:r>
      <w:r w:rsidR="006055E2">
        <w:t xml:space="preserve">start point </w:t>
      </w:r>
      <w:r w:rsidR="001C54D8">
        <w:t>will</w:t>
      </w:r>
      <w:r w:rsidR="006055E2">
        <w:t xml:space="preserve"> influence</w:t>
      </w:r>
      <w:r w:rsidR="001C54D8">
        <w:t xml:space="preserve"> the </w:t>
      </w:r>
      <w:r w:rsidR="004E20FD">
        <w:t xml:space="preserve">eventual </w:t>
      </w:r>
      <w:r w:rsidR="006055E2">
        <w:t>response choice</w:t>
      </w:r>
      <w:r w:rsidR="001C54D8">
        <w:t>.  Nevertheless, they</w:t>
      </w:r>
      <w:r w:rsidR="006055E2">
        <w:t xml:space="preserve"> do not influence the phenomenological experience of the Psychological Value of the stimulus. </w:t>
      </w:r>
      <w:r w:rsidR="001C54D8">
        <w:t>That is, the underlying distributions driving the random walk process remain unchanged.</w:t>
      </w:r>
      <w:r w:rsidR="006055E2">
        <w:t xml:space="preserve"> </w:t>
      </w:r>
    </w:p>
    <w:p w14:paraId="2A10C24D" w14:textId="1EB6662F" w:rsidR="00DF269D" w:rsidRDefault="004E20FD" w:rsidP="009E7FC8">
      <w:pPr>
        <w:keepNext/>
        <w:spacing w:line="480" w:lineRule="auto"/>
        <w:ind w:firstLine="720"/>
      </w:pPr>
      <w:r>
        <w:t xml:space="preserve">As an </w:t>
      </w:r>
      <w:r w:rsidR="002827DA">
        <w:t xml:space="preserve">example, </w:t>
      </w:r>
      <w:r w:rsidR="001D764F">
        <w:t xml:space="preserve">imagine </w:t>
      </w:r>
      <w:r w:rsidR="002827DA">
        <w:t>being presented with a series of choices whereby you will be given a free meal at one of two restaurants</w:t>
      </w:r>
      <w:r w:rsidR="00755C37">
        <w:t xml:space="preserve"> that</w:t>
      </w:r>
      <w:r w:rsidR="002827DA">
        <w:t xml:space="preserve"> can be </w:t>
      </w:r>
      <w:r>
        <w:t xml:space="preserve">either </w:t>
      </w:r>
      <w:r w:rsidR="002827DA">
        <w:t xml:space="preserve">near your house or far away.  </w:t>
      </w:r>
      <w:r w:rsidR="001C54D8">
        <w:t>Further imagine that</w:t>
      </w:r>
      <w:r w:rsidR="00C8383C">
        <w:t xml:space="preserve">, even before seeing the options, you are inclined to choose the restaurant that is closer to you.  This </w:t>
      </w:r>
      <w:r w:rsidR="00C8383C" w:rsidRPr="001969F7">
        <w:rPr>
          <w:i/>
          <w:iCs/>
        </w:rPr>
        <w:t>pre-choice inclination</w:t>
      </w:r>
      <w:r w:rsidR="00C8383C">
        <w:t xml:space="preserve"> is quantitatively modeled </w:t>
      </w:r>
      <w:r w:rsidR="00834763">
        <w:t xml:space="preserve">in an SSP like PVT </w:t>
      </w:r>
      <w:r w:rsidR="00C8383C">
        <w:t xml:space="preserve">as a </w:t>
      </w:r>
      <w:r w:rsidR="001D764F">
        <w:t>start point bias to choose the restaurant near your house</w:t>
      </w:r>
      <w:r w:rsidR="001C54D8">
        <w:t>.  Although</w:t>
      </w:r>
      <w:r w:rsidR="00041F5D">
        <w:t>,</w:t>
      </w:r>
      <w:r w:rsidR="001D764F">
        <w:t xml:space="preserve"> in general, you will choose the restaurant with the better food</w:t>
      </w:r>
      <w:r w:rsidR="001C54D8">
        <w:t xml:space="preserve">, those restaurants that are near your house will have an advantage.  Therefore, </w:t>
      </w:r>
      <w:r w:rsidR="00DD3ABB">
        <w:t>a distant</w:t>
      </w:r>
      <w:r w:rsidR="001C54D8">
        <w:t xml:space="preserve"> </w:t>
      </w:r>
      <w:r w:rsidR="005D62F5">
        <w:t>r</w:t>
      </w:r>
      <w:r w:rsidR="00041F5D">
        <w:t xml:space="preserve">estaurant </w:t>
      </w:r>
      <w:r>
        <w:t xml:space="preserve">with </w:t>
      </w:r>
      <w:r w:rsidR="00041F5D">
        <w:t xml:space="preserve">slightly better food </w:t>
      </w:r>
      <w:r>
        <w:t xml:space="preserve">than a nearby restaurant will likely be </w:t>
      </w:r>
      <w:r w:rsidR="00702607">
        <w:t>declined</w:t>
      </w:r>
      <w:r w:rsidR="00702607" w:rsidDel="004E20FD">
        <w:t>.</w:t>
      </w:r>
      <w:r w:rsidR="00DD3ABB">
        <w:t xml:space="preserve"> Indeed, if your start point bias toward nearby restaurant</w:t>
      </w:r>
      <w:r w:rsidR="005D62F5">
        <w:t>s</w:t>
      </w:r>
      <w:r w:rsidR="00DD3ABB">
        <w:t xml:space="preserve"> is very strong, even a distant restaurant with much better food </w:t>
      </w:r>
      <w:r w:rsidR="007B3DBF">
        <w:t xml:space="preserve">than a nearby restaurant </w:t>
      </w:r>
      <w:r w:rsidR="00DD3ABB">
        <w:t xml:space="preserve">may be declined.  </w:t>
      </w:r>
      <w:r w:rsidR="005D62F5">
        <w:t>Critically, the start point bias</w:t>
      </w:r>
      <w:r w:rsidR="00DD3ABB">
        <w:t xml:space="preserve"> does </w:t>
      </w:r>
      <w:r w:rsidR="005D62F5">
        <w:t>not</w:t>
      </w:r>
      <w:r w:rsidR="00DD3ABB">
        <w:t xml:space="preserve"> result in you perceiving the </w:t>
      </w:r>
      <w:r w:rsidR="00AF4D9B">
        <w:t xml:space="preserve">mediocre </w:t>
      </w:r>
      <w:r w:rsidR="00DD3ABB">
        <w:t xml:space="preserve">nearby restaurant as having </w:t>
      </w:r>
      <w:r w:rsidR="00DD3ABB">
        <w:lastRenderedPageBreak/>
        <w:t>better food</w:t>
      </w:r>
      <w:r w:rsidR="00AF4D9B">
        <w:t xml:space="preserve"> than the tasty distant restaurant</w:t>
      </w:r>
      <w:r w:rsidR="00DD3ABB">
        <w:t>.  Rather, it is a cognitively controlled compromise you make because you prefer to eat close to home.</w:t>
      </w:r>
    </w:p>
    <w:p w14:paraId="2078881F" w14:textId="253465D1" w:rsidR="00CF1CF5" w:rsidRDefault="00CF1CF5" w:rsidP="00401046">
      <w:pPr>
        <w:keepNext/>
        <w:spacing w:line="480" w:lineRule="auto"/>
        <w:jc w:val="center"/>
      </w:pPr>
      <w:r w:rsidRPr="00CF1CF5">
        <w:rPr>
          <w:noProof/>
        </w:rPr>
        <w:drawing>
          <wp:inline distT="0" distB="0" distL="0" distR="0" wp14:anchorId="628DFBEA" wp14:editId="4B266C81">
            <wp:extent cx="5490639" cy="675536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5042" cy="6773084"/>
                    </a:xfrm>
                    <a:prstGeom prst="rect">
                      <a:avLst/>
                    </a:prstGeom>
                  </pic:spPr>
                </pic:pic>
              </a:graphicData>
            </a:graphic>
          </wp:inline>
        </w:drawing>
      </w:r>
    </w:p>
    <w:p w14:paraId="5FF1EF56" w14:textId="224C0C25" w:rsidR="00CF1CF5" w:rsidRDefault="00CF1CF5" w:rsidP="002D6464">
      <w:pPr>
        <w:keepNext/>
      </w:pPr>
      <w:r w:rsidRPr="00C06677">
        <w:rPr>
          <w:b/>
          <w:bCs/>
          <w:iCs/>
        </w:rPr>
        <w:t xml:space="preserve">Figure </w:t>
      </w:r>
      <w:r w:rsidR="00746179">
        <w:rPr>
          <w:b/>
          <w:bCs/>
          <w:iCs/>
        </w:rPr>
        <w:t>9</w:t>
      </w:r>
      <w:r w:rsidRPr="00C06677">
        <w:rPr>
          <w:b/>
          <w:bCs/>
          <w:iCs/>
        </w:rPr>
        <w:t xml:space="preserve">. </w:t>
      </w:r>
      <w:r>
        <w:t>This figure illustrates</w:t>
      </w:r>
      <w:r w:rsidRPr="00531BD6">
        <w:t xml:space="preserve"> how in-group status </w:t>
      </w:r>
      <w:r>
        <w:t>might change the</w:t>
      </w:r>
      <w:r w:rsidRPr="00531BD6">
        <w:t xml:space="preserve"> </w:t>
      </w:r>
      <w:r>
        <w:t>start point of the item it modifies. Imagine a choice between two Items</w:t>
      </w:r>
      <w:r w:rsidR="005544E7">
        <w:t>, one is the HVO and one is the LVO</w:t>
      </w:r>
      <w:r>
        <w:t xml:space="preserve">. </w:t>
      </w:r>
      <w:r w:rsidR="005544E7">
        <w:t xml:space="preserve">When the respondent has a start point bias towards the in-group item, then the evidence will start to </w:t>
      </w:r>
      <w:r w:rsidR="005544E7">
        <w:lastRenderedPageBreak/>
        <w:t xml:space="preserve">accumulate closer to the item that is modified by the in-group status, than the one that is not modified by the in-group status. </w:t>
      </w:r>
      <w:r>
        <w:t xml:space="preserve">The top figure illustrates the </w:t>
      </w:r>
      <w:r w:rsidR="005544E7">
        <w:t>start point position</w:t>
      </w:r>
      <w:r>
        <w:t xml:space="preserve"> when the in-group status is applied to the LVO item.  Here, the </w:t>
      </w:r>
      <w:r w:rsidR="005544E7">
        <w:t xml:space="preserve">evidence begins to accumulate closer to the LVO threshold than the HVO threshold. This produces LVO responses that are faster and more frequent than expected by an unbiased start point. Similarly, the HVO responses are slower and less frequent than expected by an unbiased start point.  </w:t>
      </w:r>
      <w:r>
        <w:t xml:space="preserve">The bottom figure illustrates the </w:t>
      </w:r>
      <w:r w:rsidR="00B25A7A">
        <w:t>equivalent set of conditions when the in-group status is applied to the HVO item</w:t>
      </w:r>
      <w:r>
        <w:t xml:space="preserve">.  </w:t>
      </w:r>
    </w:p>
    <w:p w14:paraId="4D3D53C2" w14:textId="77777777" w:rsidR="00FF3A59" w:rsidRPr="00C06677" w:rsidRDefault="00FF3A59" w:rsidP="00401046">
      <w:pPr>
        <w:keepNext/>
        <w:spacing w:line="480" w:lineRule="auto"/>
        <w:rPr>
          <w:color w:val="000000" w:themeColor="text1"/>
        </w:rPr>
      </w:pPr>
    </w:p>
    <w:p w14:paraId="503837A8" w14:textId="4BC1B35E" w:rsidR="007524B2" w:rsidRPr="00C06677" w:rsidRDefault="004B143F" w:rsidP="00401046">
      <w:pPr>
        <w:spacing w:line="480" w:lineRule="auto"/>
        <w:ind w:firstLine="720"/>
        <w:contextualSpacing/>
        <w:rPr>
          <w:color w:val="000000" w:themeColor="text1"/>
        </w:rPr>
      </w:pPr>
      <w:r w:rsidRPr="00C06677">
        <w:t xml:space="preserve">In our </w:t>
      </w:r>
      <w:r w:rsidR="00041198" w:rsidRPr="00C06677">
        <w:t xml:space="preserve">third </w:t>
      </w:r>
      <w:r w:rsidRPr="00C06677">
        <w:t>experiment</w:t>
      </w:r>
      <w:r w:rsidR="00D64E83" w:rsidRPr="00C06677">
        <w:t xml:space="preserve">, </w:t>
      </w:r>
      <w:r w:rsidR="00FF3A59">
        <w:t>we assess whether in-group favoritism is a result of a change in the Psychological Value of the stimuli or a start point bias. I</w:t>
      </w:r>
      <w:r w:rsidR="00E040B9" w:rsidRPr="00C06677">
        <w:t xml:space="preserve">n each scenario, </w:t>
      </w:r>
      <w:r w:rsidR="00FF3A59">
        <w:t xml:space="preserve">we presented </w:t>
      </w:r>
      <w:r w:rsidR="00E040B9" w:rsidRPr="00C06677">
        <w:t>participant</w:t>
      </w:r>
      <w:r w:rsidR="00D40D1A" w:rsidRPr="00C06677">
        <w:t>s</w:t>
      </w:r>
      <w:r w:rsidR="00E040B9" w:rsidRPr="00C06677">
        <w:t xml:space="preserve"> with </w:t>
      </w:r>
      <w:r w:rsidRPr="00C06677">
        <w:t>a choice</w:t>
      </w:r>
      <w:r w:rsidR="00E040B9" w:rsidRPr="00C06677">
        <w:t xml:space="preserve"> to donate money to one of two i</w:t>
      </w:r>
      <w:r w:rsidR="00D64E83" w:rsidRPr="00C06677">
        <w:t>ndividuals</w:t>
      </w:r>
      <w:r w:rsidR="00654F74">
        <w:t>, each of which labeled</w:t>
      </w:r>
      <w:r w:rsidRPr="00C06677">
        <w:t xml:space="preserve"> </w:t>
      </w:r>
      <w:r w:rsidR="00E040B9" w:rsidRPr="00C06677">
        <w:t xml:space="preserve">with the college </w:t>
      </w:r>
      <w:r w:rsidR="00654F74">
        <w:t>that</w:t>
      </w:r>
      <w:r w:rsidR="00E040B9" w:rsidRPr="00C06677">
        <w:t xml:space="preserve"> the i</w:t>
      </w:r>
      <w:r w:rsidR="00D64E83" w:rsidRPr="00C06677">
        <w:t>ndividual</w:t>
      </w:r>
      <w:r w:rsidR="00E040B9" w:rsidRPr="00C06677">
        <w:t xml:space="preserve"> attended. I</w:t>
      </w:r>
      <w:r w:rsidR="00D64E83" w:rsidRPr="00C06677">
        <w:t>ndividuals</w:t>
      </w:r>
      <w:r w:rsidR="00E040B9" w:rsidRPr="00C06677">
        <w:t xml:space="preserve"> classified as </w:t>
      </w:r>
      <w:r w:rsidR="00511D2B">
        <w:rPr>
          <w:bCs/>
        </w:rPr>
        <w:t>UNC Wilmington</w:t>
      </w:r>
      <w:r w:rsidR="005A0C1D">
        <w:t xml:space="preserve"> </w:t>
      </w:r>
      <w:r w:rsidR="00E040B9" w:rsidRPr="00C06677">
        <w:t>alum</w:t>
      </w:r>
      <w:r w:rsidR="00D64E83" w:rsidRPr="00C06677">
        <w:t>ni</w:t>
      </w:r>
      <w:r w:rsidR="00E040B9" w:rsidRPr="00C06677">
        <w:t xml:space="preserve"> were </w:t>
      </w:r>
      <w:r w:rsidR="00FE71C0" w:rsidRPr="00C06677">
        <w:t>designated as</w:t>
      </w:r>
      <w:r w:rsidR="00E040B9" w:rsidRPr="00C06677">
        <w:t xml:space="preserve"> a </w:t>
      </w:r>
      <w:r w:rsidR="00FE71C0" w:rsidRPr="00C06677">
        <w:t>member</w:t>
      </w:r>
      <w:r w:rsidR="00E040B9" w:rsidRPr="00C06677">
        <w:t xml:space="preserve"> of participants’ in</w:t>
      </w:r>
      <w:r w:rsidR="00D64E83" w:rsidRPr="00C06677">
        <w:t>-</w:t>
      </w:r>
      <w:r w:rsidR="00E040B9" w:rsidRPr="00C06677">
        <w:t xml:space="preserve">group, </w:t>
      </w:r>
      <w:r w:rsidR="00B36300" w:rsidRPr="00C06677">
        <w:t xml:space="preserve">because </w:t>
      </w:r>
      <w:r w:rsidR="00E040B9" w:rsidRPr="00C06677">
        <w:t xml:space="preserve">they </w:t>
      </w:r>
      <w:r w:rsidR="00B36300" w:rsidRPr="00C06677">
        <w:t xml:space="preserve">were aligned with the </w:t>
      </w:r>
      <w:r w:rsidR="00E040B9" w:rsidRPr="00C06677">
        <w:t>same university a</w:t>
      </w:r>
      <w:r w:rsidR="000C00C3" w:rsidRPr="00C06677">
        <w:t>s the</w:t>
      </w:r>
      <w:r w:rsidR="00E040B9" w:rsidRPr="00C06677">
        <w:t xml:space="preserve"> participants. </w:t>
      </w:r>
      <w:r w:rsidR="00D64E83" w:rsidRPr="00C06677">
        <w:t xml:space="preserve">Individuals </w:t>
      </w:r>
      <w:r w:rsidR="00E040B9" w:rsidRPr="00C06677">
        <w:t xml:space="preserve">classified as alumni of another college were therefore </w:t>
      </w:r>
      <w:r w:rsidR="00B36300" w:rsidRPr="00C06677">
        <w:t xml:space="preserve">designated as out-group </w:t>
      </w:r>
      <w:r w:rsidR="00E040B9" w:rsidRPr="00C06677">
        <w:t xml:space="preserve">members. </w:t>
      </w:r>
      <w:r w:rsidR="009F761C" w:rsidRPr="00C06677">
        <w:t xml:space="preserve">This allowed us to create </w:t>
      </w:r>
      <w:r w:rsidR="009F761C" w:rsidRPr="00C06677">
        <w:rPr>
          <w:color w:val="000000" w:themeColor="text1"/>
        </w:rPr>
        <w:t xml:space="preserve">three different types of trials: </w:t>
      </w:r>
      <w:r w:rsidR="009F761C" w:rsidRPr="001969F7">
        <w:rPr>
          <w:i/>
          <w:iCs/>
          <w:color w:val="000000" w:themeColor="text1"/>
        </w:rPr>
        <w:t>Compatible</w:t>
      </w:r>
      <w:r w:rsidR="009F761C" w:rsidRPr="00C06677">
        <w:rPr>
          <w:color w:val="000000" w:themeColor="text1"/>
        </w:rPr>
        <w:t xml:space="preserve">, </w:t>
      </w:r>
      <w:r w:rsidR="009F761C" w:rsidRPr="001969F7">
        <w:rPr>
          <w:i/>
          <w:iCs/>
          <w:color w:val="000000" w:themeColor="text1"/>
        </w:rPr>
        <w:t>Incompatible</w:t>
      </w:r>
      <w:r w:rsidR="009F761C" w:rsidRPr="00C06677">
        <w:rPr>
          <w:color w:val="000000" w:themeColor="text1"/>
        </w:rPr>
        <w:t xml:space="preserve">, and </w:t>
      </w:r>
      <w:r w:rsidR="009F761C" w:rsidRPr="001969F7">
        <w:rPr>
          <w:i/>
          <w:iCs/>
          <w:color w:val="000000" w:themeColor="text1"/>
        </w:rPr>
        <w:t>Neutral.</w:t>
      </w:r>
      <w:r w:rsidR="009F761C" w:rsidRPr="00C06677">
        <w:rPr>
          <w:color w:val="000000" w:themeColor="text1"/>
        </w:rPr>
        <w:t xml:space="preserve"> </w:t>
      </w:r>
      <w:r w:rsidR="009F761C" w:rsidRPr="00C06677">
        <w:t xml:space="preserve">First, there are Compatible trials, in which </w:t>
      </w:r>
      <w:r w:rsidR="009F761C" w:rsidRPr="00C06677">
        <w:rPr>
          <w:color w:val="000000" w:themeColor="text1"/>
        </w:rPr>
        <w:t xml:space="preserve">the HVO (higher valued option) belonged to the donor’s in-group and the LVO (lower valued option) belonged to the donor’s out-group. Second, there are the Incompatible </w:t>
      </w:r>
      <w:r w:rsidR="009F761C" w:rsidRPr="00C06677">
        <w:t xml:space="preserve">trials in which </w:t>
      </w:r>
      <w:r w:rsidR="009F761C" w:rsidRPr="00C06677">
        <w:rPr>
          <w:color w:val="000000" w:themeColor="text1"/>
        </w:rPr>
        <w:t xml:space="preserve">the HVO belonged to the donor’s out-group and the LVO belonged to the donor’s in-group. Finally, there are Neutral trials </w:t>
      </w:r>
      <w:r w:rsidR="009F761C" w:rsidRPr="00C06677">
        <w:t xml:space="preserve">in which both options belonged to the in-group or both belonged to the out-group. </w:t>
      </w:r>
      <w:r w:rsidR="00F26CA3" w:rsidRPr="00C06677">
        <w:rPr>
          <w:color w:val="000000" w:themeColor="text1"/>
        </w:rPr>
        <w:t>Different predictions follow depending on whether the influence of group identifiers is modelled via a shift in the start position of the random walk</w:t>
      </w:r>
      <w:r w:rsidR="004F5B59" w:rsidRPr="00C06677">
        <w:rPr>
          <w:color w:val="000000" w:themeColor="text1"/>
        </w:rPr>
        <w:t>,</w:t>
      </w:r>
      <w:r w:rsidR="00F26CA3" w:rsidRPr="00C06677">
        <w:rPr>
          <w:color w:val="000000" w:themeColor="text1"/>
        </w:rPr>
        <w:t xml:space="preserve"> or</w:t>
      </w:r>
      <w:r w:rsidR="00654F74">
        <w:rPr>
          <w:color w:val="000000" w:themeColor="text1"/>
        </w:rPr>
        <w:t xml:space="preserve"> </w:t>
      </w:r>
      <w:r w:rsidR="00F26CA3" w:rsidRPr="00C06677">
        <w:rPr>
          <w:color w:val="000000" w:themeColor="text1"/>
        </w:rPr>
        <w:t xml:space="preserve">a change in the relative </w:t>
      </w:r>
      <w:r w:rsidR="009F761C" w:rsidRPr="00C06677">
        <w:rPr>
          <w:color w:val="000000" w:themeColor="text1"/>
        </w:rPr>
        <w:t>Psychological Values</w:t>
      </w:r>
      <w:r w:rsidR="00F26CA3" w:rsidRPr="00C06677">
        <w:rPr>
          <w:color w:val="000000" w:themeColor="text1"/>
        </w:rPr>
        <w:t xml:space="preserve"> of the individuals given their group allegiance</w:t>
      </w:r>
      <w:r w:rsidR="00AB0824">
        <w:rPr>
          <w:color w:val="000000" w:themeColor="text1"/>
        </w:rPr>
        <w:t xml:space="preserve"> (e.g., Figures 8 vs 9)</w:t>
      </w:r>
      <w:r w:rsidR="00F26CA3" w:rsidRPr="00C06677">
        <w:rPr>
          <w:color w:val="000000" w:themeColor="text1"/>
        </w:rPr>
        <w:t xml:space="preserve">. </w:t>
      </w:r>
    </w:p>
    <w:p w14:paraId="086D6C30" w14:textId="06C96DFF" w:rsidR="00E14FB7" w:rsidRPr="00C06677" w:rsidRDefault="00E14FB7" w:rsidP="004615E6">
      <w:pPr>
        <w:keepNext/>
        <w:spacing w:line="480" w:lineRule="auto"/>
        <w:jc w:val="center"/>
        <w:rPr>
          <w:b/>
          <w:bCs/>
        </w:rPr>
      </w:pPr>
      <w:r w:rsidRPr="00C06677">
        <w:rPr>
          <w:b/>
          <w:bCs/>
        </w:rPr>
        <w:t>Method</w:t>
      </w:r>
    </w:p>
    <w:p w14:paraId="223D5A31" w14:textId="2F84D175" w:rsidR="005D4561" w:rsidRPr="00C06677" w:rsidRDefault="005D4561" w:rsidP="004615E6">
      <w:pPr>
        <w:keepNext/>
        <w:spacing w:line="480" w:lineRule="auto"/>
        <w:rPr>
          <w:b/>
          <w:color w:val="000000" w:themeColor="text1"/>
        </w:rPr>
      </w:pPr>
      <w:r w:rsidRPr="00C06677">
        <w:rPr>
          <w:b/>
          <w:color w:val="000000" w:themeColor="text1"/>
        </w:rPr>
        <w:t>Participants</w:t>
      </w:r>
    </w:p>
    <w:p w14:paraId="167B9CA0" w14:textId="0BDB9AF4" w:rsidR="005856FB" w:rsidRPr="00C06677" w:rsidRDefault="005D4561" w:rsidP="006115AE">
      <w:pPr>
        <w:spacing w:line="480" w:lineRule="auto"/>
        <w:ind w:firstLine="720"/>
      </w:pPr>
      <w:r w:rsidRPr="00C06677">
        <w:rPr>
          <w:color w:val="000000" w:themeColor="text1"/>
        </w:rPr>
        <w:t xml:space="preserve">Participants </w:t>
      </w:r>
      <w:r w:rsidR="002C3351" w:rsidRPr="00C06677">
        <w:rPr>
          <w:color w:val="000000" w:themeColor="text1"/>
        </w:rPr>
        <w:t xml:space="preserve">included </w:t>
      </w:r>
      <w:r w:rsidR="009E5D53" w:rsidRPr="00C06677">
        <w:rPr>
          <w:color w:val="000000" w:themeColor="text1"/>
        </w:rPr>
        <w:t>1</w:t>
      </w:r>
      <w:r w:rsidR="00B87C3D" w:rsidRPr="00C06677">
        <w:rPr>
          <w:color w:val="000000" w:themeColor="text1"/>
        </w:rPr>
        <w:t>21</w:t>
      </w:r>
      <w:r w:rsidRPr="00C06677">
        <w:rPr>
          <w:color w:val="000000" w:themeColor="text1"/>
        </w:rPr>
        <w:t xml:space="preserve"> undergraduate students </w:t>
      </w:r>
      <w:r w:rsidR="002C3351" w:rsidRPr="00C06677">
        <w:rPr>
          <w:color w:val="000000" w:themeColor="text1"/>
        </w:rPr>
        <w:t xml:space="preserve">who received partial credit towards a course requirement. </w:t>
      </w:r>
      <w:r w:rsidR="005856FB" w:rsidRPr="00C06677">
        <w:t xml:space="preserve">Sample size was determined by </w:t>
      </w:r>
      <w:r w:rsidR="00D8726C" w:rsidRPr="00C06677">
        <w:t>the same procedure as Experiment 1</w:t>
      </w:r>
      <w:r w:rsidR="00C10C34" w:rsidRPr="00C06677">
        <w:t xml:space="preserve">, with </w:t>
      </w:r>
      <w:r w:rsidR="00C10C34" w:rsidRPr="00C06677">
        <w:lastRenderedPageBreak/>
        <w:t>the minimum sample size set at 80 (because ingroup/outgroup effect increased the number cells in the RRW analysis)</w:t>
      </w:r>
      <w:r w:rsidR="005856FB" w:rsidRPr="00C06677">
        <w:t>.</w:t>
      </w:r>
    </w:p>
    <w:p w14:paraId="6A40F57C" w14:textId="78006C1E" w:rsidR="005D4561" w:rsidRPr="00C06677" w:rsidRDefault="00820D50" w:rsidP="00843163">
      <w:pPr>
        <w:keepNext/>
        <w:spacing w:line="480" w:lineRule="auto"/>
        <w:rPr>
          <w:b/>
          <w:color w:val="000000" w:themeColor="text1"/>
        </w:rPr>
      </w:pPr>
      <w:r w:rsidRPr="00C06677">
        <w:rPr>
          <w:b/>
          <w:color w:val="000000" w:themeColor="text1"/>
        </w:rPr>
        <w:t>Design and materials</w:t>
      </w:r>
    </w:p>
    <w:p w14:paraId="223A6A18" w14:textId="28D68165" w:rsidR="00820D50" w:rsidRPr="00C06677" w:rsidRDefault="00174106" w:rsidP="005E0084">
      <w:pPr>
        <w:spacing w:line="480" w:lineRule="auto"/>
        <w:rPr>
          <w:color w:val="000000" w:themeColor="text1"/>
        </w:rPr>
      </w:pPr>
      <w:r w:rsidRPr="00C06677">
        <w:rPr>
          <w:color w:val="000000" w:themeColor="text1"/>
        </w:rPr>
        <w:tab/>
        <w:t>The apparatus and stimuli w</w:t>
      </w:r>
      <w:r w:rsidR="004A3B06" w:rsidRPr="00C06677">
        <w:rPr>
          <w:color w:val="000000" w:themeColor="text1"/>
        </w:rPr>
        <w:t>ere</w:t>
      </w:r>
      <w:r w:rsidRPr="00C06677">
        <w:rPr>
          <w:color w:val="000000" w:themeColor="text1"/>
        </w:rPr>
        <w:t xml:space="preserve"> the same as</w:t>
      </w:r>
      <w:r w:rsidR="00E3654C" w:rsidRPr="00C06677">
        <w:rPr>
          <w:color w:val="000000" w:themeColor="text1"/>
        </w:rPr>
        <w:t xml:space="preserve"> in Experiment 1</w:t>
      </w:r>
      <w:r w:rsidR="007D7E6F" w:rsidRPr="00C06677">
        <w:rPr>
          <w:color w:val="000000" w:themeColor="text1"/>
        </w:rPr>
        <w:t xml:space="preserve"> with one exception: </w:t>
      </w:r>
      <w:r w:rsidR="00E3654C" w:rsidRPr="00C06677">
        <w:rPr>
          <w:color w:val="000000" w:themeColor="text1"/>
        </w:rPr>
        <w:t>the options</w:t>
      </w:r>
      <w:r w:rsidR="007D7E6F" w:rsidRPr="00C06677">
        <w:rPr>
          <w:color w:val="000000" w:themeColor="text1"/>
        </w:rPr>
        <w:t xml:space="preserve"> w</w:t>
      </w:r>
      <w:r w:rsidR="004A3B06" w:rsidRPr="00C06677">
        <w:rPr>
          <w:color w:val="000000" w:themeColor="text1"/>
        </w:rPr>
        <w:t>ere</w:t>
      </w:r>
      <w:r w:rsidR="007D7E6F" w:rsidRPr="00C06677">
        <w:rPr>
          <w:color w:val="000000" w:themeColor="text1"/>
        </w:rPr>
        <w:t xml:space="preserve"> presented with </w:t>
      </w:r>
      <w:r w:rsidR="005B5DE5" w:rsidRPr="00C06677">
        <w:rPr>
          <w:color w:val="000000" w:themeColor="text1"/>
        </w:rPr>
        <w:t xml:space="preserve">either an in-group or outgroup qualifier. As all participants </w:t>
      </w:r>
      <w:r w:rsidR="004A3B06" w:rsidRPr="00C06677">
        <w:rPr>
          <w:color w:val="000000" w:themeColor="text1"/>
        </w:rPr>
        <w:t xml:space="preserve">were </w:t>
      </w:r>
      <w:r w:rsidR="005B5DE5" w:rsidRPr="00C06677">
        <w:rPr>
          <w:color w:val="000000" w:themeColor="text1"/>
        </w:rPr>
        <w:t>colleg</w:t>
      </w:r>
      <w:r w:rsidR="005B5DE5" w:rsidRPr="00C06677">
        <w:t xml:space="preserve">e students attending the University of North Carolina </w:t>
      </w:r>
      <w:r w:rsidR="00511D2B">
        <w:t>Wilmington</w:t>
      </w:r>
      <w:r w:rsidR="005B5DE5" w:rsidRPr="00C06677">
        <w:t xml:space="preserve">, </w:t>
      </w:r>
      <w:r w:rsidR="002B66C5" w:rsidRPr="00C06677">
        <w:t xml:space="preserve">the shared in-group across participants </w:t>
      </w:r>
      <w:r w:rsidR="004A3B06" w:rsidRPr="00C06677">
        <w:t>was</w:t>
      </w:r>
      <w:r w:rsidR="002B66C5" w:rsidRPr="00C06677">
        <w:t xml:space="preserve"> the school they attend. As such, </w:t>
      </w:r>
      <w:r w:rsidR="005B5DE5" w:rsidRPr="00C06677">
        <w:t>items in the in-group w</w:t>
      </w:r>
      <w:r w:rsidR="00957BCC" w:rsidRPr="00C06677">
        <w:t>ere</w:t>
      </w:r>
      <w:r w:rsidR="005B5DE5" w:rsidRPr="00C06677">
        <w:t xml:space="preserve"> identified as </w:t>
      </w:r>
      <w:r w:rsidR="00E260F8" w:rsidRPr="00C06677">
        <w:t>“</w:t>
      </w:r>
      <w:r w:rsidR="00511D2B">
        <w:rPr>
          <w:bCs/>
        </w:rPr>
        <w:t>UNC Wilmington</w:t>
      </w:r>
      <w:r w:rsidR="005A0C1D">
        <w:t xml:space="preserve"> </w:t>
      </w:r>
      <w:r w:rsidR="005B5DE5" w:rsidRPr="00C06677">
        <w:t>alumnus</w:t>
      </w:r>
      <w:r w:rsidR="003B6E02" w:rsidRPr="00C06677">
        <w:t>.</w:t>
      </w:r>
      <w:r w:rsidR="00E260F8" w:rsidRPr="00C06677">
        <w:t>”</w:t>
      </w:r>
      <w:r w:rsidR="005B5DE5" w:rsidRPr="00C06677">
        <w:t xml:space="preserve"> Out</w:t>
      </w:r>
      <w:r w:rsidR="00E3654C" w:rsidRPr="00C06677">
        <w:t>-</w:t>
      </w:r>
      <w:r w:rsidR="005B5DE5" w:rsidRPr="00C06677">
        <w:t xml:space="preserve">group items </w:t>
      </w:r>
      <w:r w:rsidR="00957BCC" w:rsidRPr="00C06677">
        <w:t>were</w:t>
      </w:r>
      <w:r w:rsidR="005B5DE5" w:rsidRPr="00C06677">
        <w:t xml:space="preserve"> described as </w:t>
      </w:r>
      <w:r w:rsidR="00555A66" w:rsidRPr="00C06677">
        <w:t>one of</w:t>
      </w:r>
      <w:r w:rsidR="00DA4B97" w:rsidRPr="00C06677">
        <w:t xml:space="preserve"> 13 different</w:t>
      </w:r>
      <w:r w:rsidR="00957BCC" w:rsidRPr="00C06677">
        <w:t xml:space="preserve"> colleges</w:t>
      </w:r>
      <w:r w:rsidR="00DA4B97" w:rsidRPr="00C06677">
        <w:t xml:space="preserve"> or universities</w:t>
      </w:r>
      <w:r w:rsidR="00957BCC" w:rsidRPr="00C06677">
        <w:t xml:space="preserve">. </w:t>
      </w:r>
      <w:r w:rsidR="00511D2B">
        <w:rPr>
          <w:bCs/>
        </w:rPr>
        <w:t>UNC Wilmington</w:t>
      </w:r>
      <w:r w:rsidR="005A0C1D">
        <w:t xml:space="preserve"> </w:t>
      </w:r>
      <w:r w:rsidR="00B465F7" w:rsidRPr="00C06677">
        <w:t>is ranked #14 in Regional Universities South by the U.S. News &amp;</w:t>
      </w:r>
      <w:r w:rsidR="00DF1F66" w:rsidRPr="00C06677">
        <w:t xml:space="preserve"> World Report Rankings; </w:t>
      </w:r>
      <w:r w:rsidR="006759B3" w:rsidRPr="00C06677">
        <w:t>the</w:t>
      </w:r>
      <w:r w:rsidR="00DA4B97" w:rsidRPr="00C06677">
        <w:t xml:space="preserve"> 13 </w:t>
      </w:r>
      <w:r w:rsidR="006759B3" w:rsidRPr="00C06677">
        <w:t>out</w:t>
      </w:r>
      <w:r w:rsidR="00E3654C" w:rsidRPr="00C06677">
        <w:t>-</w:t>
      </w:r>
      <w:r w:rsidR="006759B3" w:rsidRPr="00C06677">
        <w:t>groups were</w:t>
      </w:r>
      <w:r w:rsidR="00B465F7" w:rsidRPr="00C06677">
        <w:t xml:space="preserve"> school</w:t>
      </w:r>
      <w:r w:rsidR="006759B3" w:rsidRPr="00C06677">
        <w:t>s</w:t>
      </w:r>
      <w:r w:rsidR="00B465F7" w:rsidRPr="00C06677">
        <w:t xml:space="preserve"> of comparable </w:t>
      </w:r>
      <w:r w:rsidR="005B5DE5" w:rsidRPr="00C06677">
        <w:t>academic</w:t>
      </w:r>
      <w:r w:rsidR="002B66C5" w:rsidRPr="00C06677">
        <w:t xml:space="preserve"> ranking</w:t>
      </w:r>
      <w:r w:rsidR="006759B3" w:rsidRPr="00C06677">
        <w:t>s</w:t>
      </w:r>
      <w:r w:rsidR="00DF1F66" w:rsidRPr="00C06677">
        <w:t>.</w:t>
      </w:r>
      <w:r w:rsidR="002B66C5" w:rsidRPr="00C06677">
        <w:t xml:space="preserve"> </w:t>
      </w:r>
      <w:r w:rsidR="00D26A71" w:rsidRPr="00C06677">
        <w:t>Further, “</w:t>
      </w:r>
      <w:r w:rsidR="00511D2B">
        <w:rPr>
          <w:bCs/>
        </w:rPr>
        <w:t>UNC Wilmington</w:t>
      </w:r>
      <w:r w:rsidR="00D26A71" w:rsidRPr="00C06677">
        <w:t>” and</w:t>
      </w:r>
      <w:r w:rsidR="006F37B8" w:rsidRPr="00C06677">
        <w:t xml:space="preserve"> the </w:t>
      </w:r>
      <w:r w:rsidR="00DA4B97" w:rsidRPr="00C06677">
        <w:t>13</w:t>
      </w:r>
      <w:r w:rsidR="006F37B8" w:rsidRPr="00C06677">
        <w:t xml:space="preserve"> out</w:t>
      </w:r>
      <w:r w:rsidR="00E3654C" w:rsidRPr="00C06677">
        <w:t>-</w:t>
      </w:r>
      <w:r w:rsidR="006F37B8" w:rsidRPr="00C06677">
        <w:t>groups contain a similar number of characters (</w:t>
      </w:r>
      <w:r w:rsidR="00866E7F" w:rsidRPr="00C06677">
        <w:t>12 – 15</w:t>
      </w:r>
      <w:r w:rsidR="006F37B8" w:rsidRPr="00C06677">
        <w:t xml:space="preserve">) </w:t>
      </w:r>
      <w:r w:rsidR="00D26A71" w:rsidRPr="00C06677">
        <w:t xml:space="preserve">and therefore </w:t>
      </w:r>
      <w:r w:rsidR="006F37B8" w:rsidRPr="00C06677">
        <w:t>were</w:t>
      </w:r>
      <w:r w:rsidR="00D26A71" w:rsidRPr="00C06677">
        <w:t xml:space="preserve"> </w:t>
      </w:r>
      <w:r w:rsidR="006F37B8" w:rsidRPr="00C06677">
        <w:t xml:space="preserve">uniform and difficult to distinguish </w:t>
      </w:r>
      <w:r w:rsidR="00D26A71" w:rsidRPr="00C06677">
        <w:t>when masked.</w:t>
      </w:r>
      <w:r w:rsidR="00820D50" w:rsidRPr="00C06677">
        <w:rPr>
          <w:color w:val="000000" w:themeColor="text1"/>
        </w:rPr>
        <w:t xml:space="preserve"> </w:t>
      </w:r>
    </w:p>
    <w:p w14:paraId="6D172BF8" w14:textId="7EFD5D75" w:rsidR="00CC047E" w:rsidRPr="00C06677" w:rsidRDefault="00E3654C" w:rsidP="00FF3BC0">
      <w:pPr>
        <w:spacing w:line="480" w:lineRule="auto"/>
        <w:ind w:firstLine="720"/>
      </w:pPr>
      <w:r w:rsidRPr="00C06677">
        <w:rPr>
          <w:color w:val="000000" w:themeColor="text1"/>
        </w:rPr>
        <w:t>T</w:t>
      </w:r>
      <w:r w:rsidR="00FF3BC0" w:rsidRPr="00C06677">
        <w:rPr>
          <w:color w:val="000000" w:themeColor="text1"/>
        </w:rPr>
        <w:t xml:space="preserve">hree different types of trials were presented. </w:t>
      </w:r>
      <w:r w:rsidR="00CC047E" w:rsidRPr="00C06677">
        <w:t xml:space="preserve">First, there are Compatible trials, in which </w:t>
      </w:r>
      <w:r w:rsidR="00CC047E" w:rsidRPr="00C06677">
        <w:rPr>
          <w:color w:val="000000" w:themeColor="text1"/>
        </w:rPr>
        <w:t>the HV</w:t>
      </w:r>
      <w:r w:rsidR="00B85181" w:rsidRPr="00C06677">
        <w:rPr>
          <w:color w:val="000000" w:themeColor="text1"/>
        </w:rPr>
        <w:t>O</w:t>
      </w:r>
      <w:r w:rsidR="00CC047E" w:rsidRPr="00C06677">
        <w:rPr>
          <w:color w:val="000000" w:themeColor="text1"/>
        </w:rPr>
        <w:t xml:space="preserve"> </w:t>
      </w:r>
      <w:r w:rsidR="008B4B9C" w:rsidRPr="00C06677">
        <w:rPr>
          <w:color w:val="000000" w:themeColor="text1"/>
        </w:rPr>
        <w:t xml:space="preserve">belonged to the </w:t>
      </w:r>
      <w:r w:rsidR="00CC047E" w:rsidRPr="00C06677">
        <w:rPr>
          <w:color w:val="000000" w:themeColor="text1"/>
        </w:rPr>
        <w:t>donor’s in-group and the LV</w:t>
      </w:r>
      <w:r w:rsidR="00B85181" w:rsidRPr="00C06677">
        <w:rPr>
          <w:color w:val="000000" w:themeColor="text1"/>
        </w:rPr>
        <w:t>O</w:t>
      </w:r>
      <w:r w:rsidR="00CC047E" w:rsidRPr="00C06677">
        <w:rPr>
          <w:color w:val="000000" w:themeColor="text1"/>
        </w:rPr>
        <w:t xml:space="preserve"> </w:t>
      </w:r>
      <w:r w:rsidR="008B4B9C" w:rsidRPr="00C06677">
        <w:rPr>
          <w:color w:val="000000" w:themeColor="text1"/>
        </w:rPr>
        <w:t xml:space="preserve">belonged to the </w:t>
      </w:r>
      <w:r w:rsidR="00CC047E" w:rsidRPr="00C06677">
        <w:rPr>
          <w:color w:val="000000" w:themeColor="text1"/>
        </w:rPr>
        <w:t xml:space="preserve">donor’s out-group. Second, there are the Incompatible </w:t>
      </w:r>
      <w:r w:rsidR="00CC047E" w:rsidRPr="00C06677">
        <w:t xml:space="preserve">trials in which </w:t>
      </w:r>
      <w:r w:rsidR="00CC047E" w:rsidRPr="00C06677">
        <w:rPr>
          <w:color w:val="000000" w:themeColor="text1"/>
        </w:rPr>
        <w:t>the HV</w:t>
      </w:r>
      <w:r w:rsidR="00B85181" w:rsidRPr="00C06677">
        <w:rPr>
          <w:color w:val="000000" w:themeColor="text1"/>
        </w:rPr>
        <w:t>O</w:t>
      </w:r>
      <w:r w:rsidR="00CC047E" w:rsidRPr="00C06677">
        <w:rPr>
          <w:color w:val="000000" w:themeColor="text1"/>
        </w:rPr>
        <w:t xml:space="preserve"> </w:t>
      </w:r>
      <w:r w:rsidR="008B4B9C" w:rsidRPr="00C06677">
        <w:rPr>
          <w:color w:val="000000" w:themeColor="text1"/>
        </w:rPr>
        <w:t xml:space="preserve">belonged to </w:t>
      </w:r>
      <w:r w:rsidR="00CC047E" w:rsidRPr="00C06677">
        <w:rPr>
          <w:color w:val="000000" w:themeColor="text1"/>
        </w:rPr>
        <w:t xml:space="preserve">the donor’s out-group </w:t>
      </w:r>
      <w:r w:rsidR="00FD02B8" w:rsidRPr="00C06677">
        <w:rPr>
          <w:color w:val="000000" w:themeColor="text1"/>
        </w:rPr>
        <w:t>and</w:t>
      </w:r>
      <w:r w:rsidR="00CC047E" w:rsidRPr="00C06677">
        <w:rPr>
          <w:color w:val="000000" w:themeColor="text1"/>
        </w:rPr>
        <w:t xml:space="preserve"> the LV</w:t>
      </w:r>
      <w:r w:rsidR="00B85181" w:rsidRPr="00C06677">
        <w:rPr>
          <w:color w:val="000000" w:themeColor="text1"/>
        </w:rPr>
        <w:t>O</w:t>
      </w:r>
      <w:r w:rsidR="00CC047E" w:rsidRPr="00C06677">
        <w:rPr>
          <w:color w:val="000000" w:themeColor="text1"/>
        </w:rPr>
        <w:t xml:space="preserve"> </w:t>
      </w:r>
      <w:r w:rsidR="00FD02B8" w:rsidRPr="00C06677">
        <w:rPr>
          <w:color w:val="000000" w:themeColor="text1"/>
        </w:rPr>
        <w:t xml:space="preserve">belonged to the </w:t>
      </w:r>
      <w:r w:rsidR="00CC047E" w:rsidRPr="00C06677">
        <w:rPr>
          <w:color w:val="000000" w:themeColor="text1"/>
        </w:rPr>
        <w:t xml:space="preserve">donor’s in-group. Finally, there are Neutral trials </w:t>
      </w:r>
      <w:r w:rsidR="00CC047E" w:rsidRPr="00C06677">
        <w:t xml:space="preserve">in which both </w:t>
      </w:r>
      <w:r w:rsidR="00FD02B8" w:rsidRPr="00C06677">
        <w:t xml:space="preserve">options belonged to the in-group or both belonged to the out-group. </w:t>
      </w:r>
    </w:p>
    <w:p w14:paraId="3DB59816" w14:textId="47D7CE07" w:rsidR="00DF1F66" w:rsidRPr="00C06677" w:rsidRDefault="00DF1F66" w:rsidP="005E0084">
      <w:pPr>
        <w:spacing w:line="480" w:lineRule="auto"/>
        <w:ind w:firstLine="720"/>
        <w:rPr>
          <w:color w:val="000000" w:themeColor="text1"/>
        </w:rPr>
      </w:pPr>
      <w:r w:rsidRPr="00C06677">
        <w:t>Participants respond</w:t>
      </w:r>
      <w:r w:rsidR="006E7B46" w:rsidRPr="00C06677">
        <w:t>ed</w:t>
      </w:r>
      <w:r w:rsidRPr="00C06677">
        <w:t xml:space="preserve"> to the same 10 scenarios used in Experiment 1 and</w:t>
      </w:r>
      <w:r w:rsidRPr="00C06677">
        <w:rPr>
          <w:color w:val="000000" w:themeColor="text1"/>
        </w:rPr>
        <w:t xml:space="preserve"> c</w:t>
      </w:r>
      <w:r w:rsidR="006E7B46" w:rsidRPr="00C06677">
        <w:rPr>
          <w:color w:val="000000" w:themeColor="text1"/>
        </w:rPr>
        <w:t>h</w:t>
      </w:r>
      <w:r w:rsidRPr="00C06677">
        <w:rPr>
          <w:color w:val="000000" w:themeColor="text1"/>
        </w:rPr>
        <w:t>ose to donate $10 to one of the two accounts aiding one person. The people and reasons for needing donations var</w:t>
      </w:r>
      <w:r w:rsidR="006E7B46" w:rsidRPr="00C06677">
        <w:rPr>
          <w:color w:val="000000" w:themeColor="text1"/>
        </w:rPr>
        <w:t>ied</w:t>
      </w:r>
      <w:r w:rsidRPr="00C06677">
        <w:rPr>
          <w:color w:val="000000" w:themeColor="text1"/>
        </w:rPr>
        <w:t xml:space="preserve"> per trial and scenario, and the colleges which describe</w:t>
      </w:r>
      <w:r w:rsidR="006E7B46" w:rsidRPr="00C06677">
        <w:rPr>
          <w:color w:val="000000" w:themeColor="text1"/>
        </w:rPr>
        <w:t>d</w:t>
      </w:r>
      <w:r w:rsidRPr="00C06677">
        <w:rPr>
          <w:color w:val="000000" w:themeColor="text1"/>
        </w:rPr>
        <w:t xml:space="preserve"> each </w:t>
      </w:r>
      <w:r w:rsidR="003F7AEA" w:rsidRPr="00C06677">
        <w:rPr>
          <w:color w:val="000000" w:themeColor="text1"/>
        </w:rPr>
        <w:t>item</w:t>
      </w:r>
      <w:r w:rsidRPr="00C06677">
        <w:rPr>
          <w:color w:val="000000" w:themeColor="text1"/>
        </w:rPr>
        <w:t xml:space="preserve"> w</w:t>
      </w:r>
      <w:r w:rsidR="006E7B46" w:rsidRPr="00C06677">
        <w:rPr>
          <w:color w:val="000000" w:themeColor="text1"/>
        </w:rPr>
        <w:t>ere</w:t>
      </w:r>
      <w:r w:rsidRPr="00C06677">
        <w:rPr>
          <w:color w:val="000000" w:themeColor="text1"/>
        </w:rPr>
        <w:t xml:space="preserve"> randomized. As such, </w:t>
      </w:r>
      <w:r w:rsidR="006E7B46" w:rsidRPr="00C06677">
        <w:rPr>
          <w:color w:val="000000" w:themeColor="text1"/>
        </w:rPr>
        <w:t xml:space="preserve">both items could be </w:t>
      </w:r>
      <w:r w:rsidRPr="00C06677">
        <w:rPr>
          <w:color w:val="000000" w:themeColor="text1"/>
        </w:rPr>
        <w:t>described as an “</w:t>
      </w:r>
      <w:r w:rsidR="00511D2B">
        <w:rPr>
          <w:bCs/>
        </w:rPr>
        <w:t>UNC Wilmington</w:t>
      </w:r>
      <w:r w:rsidR="005A0C1D">
        <w:t xml:space="preserve"> </w:t>
      </w:r>
      <w:r w:rsidRPr="00C06677">
        <w:rPr>
          <w:color w:val="000000" w:themeColor="text1"/>
        </w:rPr>
        <w:t>alumnus</w:t>
      </w:r>
      <w:r w:rsidR="003B6E02" w:rsidRPr="00C06677">
        <w:rPr>
          <w:color w:val="000000" w:themeColor="text1"/>
        </w:rPr>
        <w:t>,</w:t>
      </w:r>
      <w:r w:rsidRPr="00C06677">
        <w:rPr>
          <w:color w:val="000000" w:themeColor="text1"/>
        </w:rPr>
        <w:t>” both as a</w:t>
      </w:r>
      <w:r w:rsidR="006E7B46" w:rsidRPr="00C06677">
        <w:rPr>
          <w:color w:val="000000" w:themeColor="text1"/>
        </w:rPr>
        <w:t xml:space="preserve">n alumnus from one of the thirteen outgroups, </w:t>
      </w:r>
      <w:r w:rsidRPr="00C06677">
        <w:rPr>
          <w:color w:val="000000" w:themeColor="text1"/>
        </w:rPr>
        <w:t xml:space="preserve">or one from each college. </w:t>
      </w:r>
      <w:r w:rsidR="00D758F4" w:rsidRPr="00C06677">
        <w:rPr>
          <w:color w:val="000000" w:themeColor="text1"/>
        </w:rPr>
        <w:t>An example of a trial in Experiment 2 is:</w:t>
      </w:r>
    </w:p>
    <w:p w14:paraId="7C27839F" w14:textId="046D40DE" w:rsidR="00D758F4" w:rsidRPr="00C06677" w:rsidRDefault="00D758F4" w:rsidP="004C2436">
      <w:pPr>
        <w:keepNext/>
        <w:keepLines/>
        <w:ind w:left="720"/>
        <w:rPr>
          <w:i/>
          <w:color w:val="000000" w:themeColor="text1"/>
        </w:rPr>
      </w:pPr>
      <w:r w:rsidRPr="00C06677">
        <w:rPr>
          <w:i/>
          <w:color w:val="000000" w:themeColor="text1"/>
        </w:rPr>
        <w:lastRenderedPageBreak/>
        <w:t>Through circumstances out of their control,</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900"/>
        <w:gridCol w:w="3775"/>
      </w:tblGrid>
      <w:tr w:rsidR="00D758F4" w:rsidRPr="00C06677" w14:paraId="39F11062" w14:textId="77777777" w:rsidTr="00707FE0">
        <w:trPr>
          <w:trHeight w:val="377"/>
        </w:trPr>
        <w:tc>
          <w:tcPr>
            <w:tcW w:w="3605" w:type="dxa"/>
            <w:shd w:val="clear" w:color="auto" w:fill="auto"/>
          </w:tcPr>
          <w:p w14:paraId="6E03087C" w14:textId="157D8A79" w:rsidR="00D758F4" w:rsidRPr="00C06677" w:rsidRDefault="00D758F4" w:rsidP="004C2436">
            <w:pPr>
              <w:keepNext/>
              <w:keepLines/>
              <w:jc w:val="center"/>
              <w:rPr>
                <w:bCs/>
                <w:i/>
                <w:color w:val="000000" w:themeColor="text1"/>
              </w:rPr>
            </w:pPr>
            <w:r w:rsidRPr="00C06677">
              <w:rPr>
                <w:bCs/>
                <w:i/>
                <w:color w:val="000000" w:themeColor="text1"/>
              </w:rPr>
              <w:t>a soldier</w:t>
            </w:r>
          </w:p>
        </w:tc>
        <w:tc>
          <w:tcPr>
            <w:tcW w:w="900" w:type="dxa"/>
            <w:shd w:val="clear" w:color="auto" w:fill="auto"/>
          </w:tcPr>
          <w:p w14:paraId="056970BD" w14:textId="77777777" w:rsidR="00D758F4" w:rsidRPr="00C06677" w:rsidRDefault="00D758F4" w:rsidP="004C2436">
            <w:pPr>
              <w:keepNext/>
              <w:keepLines/>
              <w:jc w:val="center"/>
              <w:rPr>
                <w:bCs/>
                <w:i/>
                <w:color w:val="000000" w:themeColor="text1"/>
              </w:rPr>
            </w:pPr>
          </w:p>
        </w:tc>
        <w:tc>
          <w:tcPr>
            <w:tcW w:w="3775" w:type="dxa"/>
            <w:shd w:val="clear" w:color="auto" w:fill="auto"/>
          </w:tcPr>
          <w:p w14:paraId="3916C785" w14:textId="71CED845" w:rsidR="00D758F4" w:rsidRPr="00C06677" w:rsidRDefault="00D758F4" w:rsidP="004C2436">
            <w:pPr>
              <w:keepNext/>
              <w:keepLines/>
              <w:jc w:val="center"/>
              <w:rPr>
                <w:bCs/>
                <w:i/>
                <w:color w:val="000000" w:themeColor="text1"/>
              </w:rPr>
            </w:pPr>
            <w:r w:rsidRPr="00C06677">
              <w:rPr>
                <w:bCs/>
                <w:i/>
                <w:color w:val="000000" w:themeColor="text1"/>
              </w:rPr>
              <w:t>a congressman</w:t>
            </w:r>
          </w:p>
        </w:tc>
      </w:tr>
      <w:tr w:rsidR="00D758F4" w:rsidRPr="00C06677" w14:paraId="309AE9C7" w14:textId="77777777" w:rsidTr="00707FE0">
        <w:tc>
          <w:tcPr>
            <w:tcW w:w="3605" w:type="dxa"/>
            <w:shd w:val="clear" w:color="auto" w:fill="auto"/>
          </w:tcPr>
          <w:p w14:paraId="700E5BFC" w14:textId="6C6B51ED" w:rsidR="00D758F4" w:rsidRPr="00C06677" w:rsidRDefault="00511D2B" w:rsidP="004C2436">
            <w:pPr>
              <w:keepNext/>
              <w:keepLines/>
              <w:jc w:val="center"/>
              <w:rPr>
                <w:bCs/>
                <w:i/>
                <w:color w:val="000000" w:themeColor="text1"/>
              </w:rPr>
            </w:pPr>
            <w:r>
              <w:rPr>
                <w:bCs/>
              </w:rPr>
              <w:t>UNC Wilmington</w:t>
            </w:r>
          </w:p>
        </w:tc>
        <w:tc>
          <w:tcPr>
            <w:tcW w:w="900" w:type="dxa"/>
            <w:shd w:val="clear" w:color="auto" w:fill="auto"/>
          </w:tcPr>
          <w:p w14:paraId="71EBD153" w14:textId="1343AC45" w:rsidR="00D758F4" w:rsidRPr="00C06677" w:rsidRDefault="005676D6" w:rsidP="004C2436">
            <w:pPr>
              <w:keepNext/>
              <w:keepLines/>
              <w:jc w:val="center"/>
              <w:rPr>
                <w:bCs/>
                <w:i/>
                <w:color w:val="000000" w:themeColor="text1"/>
              </w:rPr>
            </w:pPr>
            <w:r w:rsidRPr="00C06677">
              <w:rPr>
                <w:bCs/>
                <w:i/>
                <w:color w:val="000000" w:themeColor="text1"/>
              </w:rPr>
              <w:t>A</w:t>
            </w:r>
            <w:r w:rsidR="00D758F4" w:rsidRPr="00C06677">
              <w:rPr>
                <w:bCs/>
                <w:i/>
                <w:color w:val="000000" w:themeColor="text1"/>
              </w:rPr>
              <w:t>nd</w:t>
            </w:r>
          </w:p>
        </w:tc>
        <w:tc>
          <w:tcPr>
            <w:tcW w:w="3775" w:type="dxa"/>
            <w:shd w:val="clear" w:color="auto" w:fill="auto"/>
          </w:tcPr>
          <w:p w14:paraId="7ECA43E0" w14:textId="6ADE9532" w:rsidR="00D758F4" w:rsidRPr="00C06677" w:rsidRDefault="00D758F4" w:rsidP="004C2436">
            <w:pPr>
              <w:keepNext/>
              <w:keepLines/>
              <w:jc w:val="center"/>
              <w:rPr>
                <w:bCs/>
                <w:i/>
                <w:color w:val="000000" w:themeColor="text1"/>
              </w:rPr>
            </w:pPr>
            <w:r w:rsidRPr="00C06677">
              <w:rPr>
                <w:bCs/>
                <w:i/>
                <w:color w:val="000000" w:themeColor="text1"/>
              </w:rPr>
              <w:t>Simmons College</w:t>
            </w:r>
          </w:p>
        </w:tc>
      </w:tr>
      <w:tr w:rsidR="00D758F4" w:rsidRPr="00C06677" w14:paraId="4C3981A2" w14:textId="77777777" w:rsidTr="00707FE0">
        <w:tc>
          <w:tcPr>
            <w:tcW w:w="3605" w:type="dxa"/>
            <w:shd w:val="clear" w:color="auto" w:fill="auto"/>
          </w:tcPr>
          <w:p w14:paraId="42074572" w14:textId="63D878E6" w:rsidR="00D758F4" w:rsidRPr="00C06677" w:rsidRDefault="004F5B59" w:rsidP="004C2436">
            <w:pPr>
              <w:keepNext/>
              <w:keepLines/>
              <w:jc w:val="center"/>
              <w:rPr>
                <w:bCs/>
                <w:i/>
                <w:color w:val="000000" w:themeColor="text1"/>
              </w:rPr>
            </w:pPr>
            <w:r w:rsidRPr="00C06677">
              <w:rPr>
                <w:bCs/>
                <w:i/>
                <w:color w:val="000000" w:themeColor="text1"/>
              </w:rPr>
              <w:t>A</w:t>
            </w:r>
            <w:r w:rsidR="00D758F4" w:rsidRPr="00C06677">
              <w:rPr>
                <w:bCs/>
                <w:i/>
                <w:color w:val="000000" w:themeColor="text1"/>
              </w:rPr>
              <w:t>lumnus</w:t>
            </w:r>
          </w:p>
        </w:tc>
        <w:tc>
          <w:tcPr>
            <w:tcW w:w="900" w:type="dxa"/>
            <w:shd w:val="clear" w:color="auto" w:fill="auto"/>
          </w:tcPr>
          <w:p w14:paraId="2BFFEB33" w14:textId="77777777" w:rsidR="00D758F4" w:rsidRPr="00C06677" w:rsidRDefault="00D758F4" w:rsidP="004C2436">
            <w:pPr>
              <w:keepNext/>
              <w:keepLines/>
              <w:jc w:val="center"/>
              <w:rPr>
                <w:bCs/>
                <w:i/>
                <w:color w:val="000000" w:themeColor="text1"/>
              </w:rPr>
            </w:pPr>
          </w:p>
        </w:tc>
        <w:tc>
          <w:tcPr>
            <w:tcW w:w="3775" w:type="dxa"/>
            <w:shd w:val="clear" w:color="auto" w:fill="auto"/>
          </w:tcPr>
          <w:p w14:paraId="13EED3A1" w14:textId="58553658" w:rsidR="00D758F4" w:rsidRPr="00C06677" w:rsidRDefault="004F5B59" w:rsidP="004C2436">
            <w:pPr>
              <w:keepNext/>
              <w:keepLines/>
              <w:jc w:val="center"/>
              <w:rPr>
                <w:bCs/>
                <w:i/>
                <w:color w:val="000000" w:themeColor="text1"/>
              </w:rPr>
            </w:pPr>
            <w:r w:rsidRPr="00C06677">
              <w:rPr>
                <w:bCs/>
                <w:i/>
                <w:color w:val="000000" w:themeColor="text1"/>
              </w:rPr>
              <w:t>A</w:t>
            </w:r>
            <w:r w:rsidR="00D758F4" w:rsidRPr="00C06677">
              <w:rPr>
                <w:bCs/>
                <w:i/>
                <w:color w:val="000000" w:themeColor="text1"/>
              </w:rPr>
              <w:t>lumnus</w:t>
            </w:r>
          </w:p>
        </w:tc>
      </w:tr>
    </w:tbl>
    <w:p w14:paraId="794DB5A6" w14:textId="066FB746" w:rsidR="00D758F4" w:rsidRPr="00C06677" w:rsidRDefault="00D758F4" w:rsidP="005E0084">
      <w:pPr>
        <w:spacing w:line="480" w:lineRule="auto"/>
        <w:rPr>
          <w:bCs/>
          <w:i/>
          <w:color w:val="000000" w:themeColor="text1"/>
        </w:rPr>
      </w:pPr>
    </w:p>
    <w:p w14:paraId="7D3D828B" w14:textId="235095A7" w:rsidR="00D758F4" w:rsidRPr="00C06677" w:rsidRDefault="00F7649F" w:rsidP="005E0084">
      <w:pPr>
        <w:spacing w:line="480" w:lineRule="auto"/>
        <w:ind w:left="720"/>
        <w:rPr>
          <w:i/>
          <w:color w:val="000000" w:themeColor="text1"/>
        </w:rPr>
      </w:pPr>
      <w:r w:rsidRPr="00C06677">
        <w:rPr>
          <w:i/>
          <w:color w:val="000000" w:themeColor="text1"/>
        </w:rPr>
        <w:t>both require physical therapy</w:t>
      </w:r>
      <w:r w:rsidR="00D758F4" w:rsidRPr="00C06677">
        <w:rPr>
          <w:i/>
          <w:color w:val="000000" w:themeColor="text1"/>
        </w:rPr>
        <w:t xml:space="preserve">. A third party has created a GoFundMe account for each person to pay for their physical therapy. You have $10 which you can donate to only one of these GoFundMe accounts. </w:t>
      </w:r>
    </w:p>
    <w:p w14:paraId="64A3BE86" w14:textId="46146B65" w:rsidR="00D758F4" w:rsidRPr="00C06677" w:rsidRDefault="00D758F4" w:rsidP="005E0084">
      <w:pPr>
        <w:spacing w:line="480" w:lineRule="auto"/>
        <w:ind w:left="720"/>
        <w:outlineLvl w:val="0"/>
        <w:rPr>
          <w:i/>
          <w:color w:val="000000" w:themeColor="text1"/>
        </w:rPr>
      </w:pPr>
    </w:p>
    <w:p w14:paraId="22539929" w14:textId="4AA6AD1A" w:rsidR="00D758F4" w:rsidRPr="00C06677" w:rsidRDefault="00D758F4" w:rsidP="005E0084">
      <w:pPr>
        <w:spacing w:line="480" w:lineRule="auto"/>
        <w:ind w:left="720"/>
        <w:outlineLvl w:val="0"/>
        <w:rPr>
          <w:i/>
          <w:color w:val="000000" w:themeColor="text1"/>
        </w:rPr>
      </w:pPr>
      <w:r w:rsidRPr="00C06677">
        <w:rPr>
          <w:i/>
          <w:color w:val="000000" w:themeColor="text1"/>
        </w:rPr>
        <w:t>Would you prefer to donate the $10 to help pay for the physical therapy of</w:t>
      </w:r>
    </w:p>
    <w:tbl>
      <w:tblPr>
        <w:tblStyle w:val="TableGrid"/>
        <w:tblW w:w="0" w:type="auto"/>
        <w:tblInd w:w="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900"/>
        <w:gridCol w:w="3775"/>
      </w:tblGrid>
      <w:tr w:rsidR="00D758F4" w:rsidRPr="00C06677" w14:paraId="06C97425" w14:textId="77777777" w:rsidTr="00707FE0">
        <w:trPr>
          <w:trHeight w:val="377"/>
        </w:trPr>
        <w:tc>
          <w:tcPr>
            <w:tcW w:w="3605" w:type="dxa"/>
            <w:shd w:val="clear" w:color="auto" w:fill="auto"/>
          </w:tcPr>
          <w:p w14:paraId="701D5774" w14:textId="77777777" w:rsidR="00D758F4" w:rsidRPr="00C06677" w:rsidRDefault="00D758F4" w:rsidP="005E0084">
            <w:pPr>
              <w:spacing w:line="360" w:lineRule="auto"/>
              <w:jc w:val="center"/>
              <w:rPr>
                <w:bCs/>
                <w:i/>
                <w:color w:val="000000" w:themeColor="text1"/>
              </w:rPr>
            </w:pPr>
            <w:r w:rsidRPr="00C06677">
              <w:rPr>
                <w:bCs/>
                <w:i/>
                <w:color w:val="000000" w:themeColor="text1"/>
              </w:rPr>
              <w:t>a soldier</w:t>
            </w:r>
          </w:p>
        </w:tc>
        <w:tc>
          <w:tcPr>
            <w:tcW w:w="900" w:type="dxa"/>
            <w:shd w:val="clear" w:color="auto" w:fill="auto"/>
          </w:tcPr>
          <w:p w14:paraId="30B0E943" w14:textId="77777777" w:rsidR="00D758F4" w:rsidRPr="00C06677" w:rsidRDefault="00D758F4" w:rsidP="005E0084">
            <w:pPr>
              <w:spacing w:line="360" w:lineRule="auto"/>
              <w:jc w:val="center"/>
              <w:rPr>
                <w:bCs/>
                <w:i/>
                <w:color w:val="000000" w:themeColor="text1"/>
              </w:rPr>
            </w:pPr>
          </w:p>
        </w:tc>
        <w:tc>
          <w:tcPr>
            <w:tcW w:w="3775" w:type="dxa"/>
            <w:shd w:val="clear" w:color="auto" w:fill="auto"/>
          </w:tcPr>
          <w:p w14:paraId="0DF18D61" w14:textId="77777777" w:rsidR="00D758F4" w:rsidRPr="00C06677" w:rsidRDefault="00D758F4" w:rsidP="005E0084">
            <w:pPr>
              <w:spacing w:line="360" w:lineRule="auto"/>
              <w:jc w:val="center"/>
              <w:rPr>
                <w:bCs/>
                <w:i/>
                <w:color w:val="000000" w:themeColor="text1"/>
              </w:rPr>
            </w:pPr>
            <w:r w:rsidRPr="00C06677">
              <w:rPr>
                <w:bCs/>
                <w:i/>
                <w:color w:val="000000" w:themeColor="text1"/>
              </w:rPr>
              <w:t>a congressman</w:t>
            </w:r>
          </w:p>
        </w:tc>
      </w:tr>
      <w:tr w:rsidR="00D758F4" w:rsidRPr="00C06677" w14:paraId="68585F59" w14:textId="77777777" w:rsidTr="00D758F4">
        <w:tc>
          <w:tcPr>
            <w:tcW w:w="3605" w:type="dxa"/>
            <w:shd w:val="clear" w:color="auto" w:fill="auto"/>
          </w:tcPr>
          <w:p w14:paraId="797961DD" w14:textId="788B3249" w:rsidR="00D758F4" w:rsidRPr="00C06677" w:rsidRDefault="00511D2B" w:rsidP="005E0084">
            <w:pPr>
              <w:spacing w:line="360" w:lineRule="auto"/>
              <w:jc w:val="center"/>
              <w:rPr>
                <w:bCs/>
                <w:i/>
                <w:color w:val="000000" w:themeColor="text1"/>
              </w:rPr>
            </w:pPr>
            <w:r>
              <w:rPr>
                <w:bCs/>
              </w:rPr>
              <w:t>UNC Wilmington</w:t>
            </w:r>
          </w:p>
        </w:tc>
        <w:tc>
          <w:tcPr>
            <w:tcW w:w="900" w:type="dxa"/>
            <w:shd w:val="clear" w:color="auto" w:fill="auto"/>
          </w:tcPr>
          <w:p w14:paraId="40AC64DB" w14:textId="4A451B35" w:rsidR="00D758F4" w:rsidRPr="00C06677" w:rsidRDefault="005676D6" w:rsidP="005E0084">
            <w:pPr>
              <w:spacing w:line="360" w:lineRule="auto"/>
              <w:jc w:val="center"/>
              <w:rPr>
                <w:bCs/>
                <w:i/>
                <w:color w:val="000000" w:themeColor="text1"/>
              </w:rPr>
            </w:pPr>
            <w:r w:rsidRPr="00C06677">
              <w:rPr>
                <w:bCs/>
                <w:i/>
                <w:color w:val="000000" w:themeColor="text1"/>
              </w:rPr>
              <w:t>O</w:t>
            </w:r>
            <w:r w:rsidR="00D758F4" w:rsidRPr="00C06677">
              <w:rPr>
                <w:bCs/>
                <w:i/>
                <w:color w:val="000000" w:themeColor="text1"/>
              </w:rPr>
              <w:t>r</w:t>
            </w:r>
          </w:p>
        </w:tc>
        <w:tc>
          <w:tcPr>
            <w:tcW w:w="3775" w:type="dxa"/>
            <w:shd w:val="clear" w:color="auto" w:fill="auto"/>
          </w:tcPr>
          <w:p w14:paraId="30A5EBEB" w14:textId="77777777" w:rsidR="00D758F4" w:rsidRPr="00C06677" w:rsidRDefault="00D758F4" w:rsidP="005E0084">
            <w:pPr>
              <w:spacing w:line="360" w:lineRule="auto"/>
              <w:jc w:val="center"/>
              <w:rPr>
                <w:bCs/>
                <w:i/>
                <w:color w:val="000000" w:themeColor="text1"/>
              </w:rPr>
            </w:pPr>
            <w:r w:rsidRPr="00C06677">
              <w:rPr>
                <w:bCs/>
                <w:i/>
                <w:color w:val="000000" w:themeColor="text1"/>
              </w:rPr>
              <w:t>Simmons College</w:t>
            </w:r>
          </w:p>
        </w:tc>
      </w:tr>
      <w:tr w:rsidR="00D758F4" w:rsidRPr="00C06677" w14:paraId="44105AC3" w14:textId="77777777" w:rsidTr="00707FE0">
        <w:tc>
          <w:tcPr>
            <w:tcW w:w="3605" w:type="dxa"/>
            <w:shd w:val="clear" w:color="auto" w:fill="auto"/>
          </w:tcPr>
          <w:p w14:paraId="214ED664" w14:textId="41AC5929" w:rsidR="00D758F4" w:rsidRPr="00C06677" w:rsidRDefault="004F5B59" w:rsidP="005E0084">
            <w:pPr>
              <w:spacing w:line="360" w:lineRule="auto"/>
              <w:jc w:val="center"/>
              <w:rPr>
                <w:bCs/>
                <w:i/>
                <w:color w:val="000000" w:themeColor="text1"/>
              </w:rPr>
            </w:pPr>
            <w:r w:rsidRPr="00C06677">
              <w:rPr>
                <w:bCs/>
                <w:i/>
                <w:color w:val="000000" w:themeColor="text1"/>
              </w:rPr>
              <w:t>A</w:t>
            </w:r>
            <w:r w:rsidR="00D758F4" w:rsidRPr="00C06677">
              <w:rPr>
                <w:bCs/>
                <w:i/>
                <w:color w:val="000000" w:themeColor="text1"/>
              </w:rPr>
              <w:t>lumnus</w:t>
            </w:r>
          </w:p>
        </w:tc>
        <w:tc>
          <w:tcPr>
            <w:tcW w:w="900" w:type="dxa"/>
            <w:shd w:val="clear" w:color="auto" w:fill="auto"/>
          </w:tcPr>
          <w:p w14:paraId="688373DF" w14:textId="77777777" w:rsidR="00D758F4" w:rsidRPr="00C06677" w:rsidRDefault="00D758F4" w:rsidP="005E0084">
            <w:pPr>
              <w:spacing w:line="360" w:lineRule="auto"/>
              <w:jc w:val="center"/>
              <w:rPr>
                <w:bCs/>
                <w:i/>
                <w:color w:val="000000" w:themeColor="text1"/>
              </w:rPr>
            </w:pPr>
          </w:p>
        </w:tc>
        <w:tc>
          <w:tcPr>
            <w:tcW w:w="3775" w:type="dxa"/>
            <w:shd w:val="clear" w:color="auto" w:fill="auto"/>
          </w:tcPr>
          <w:p w14:paraId="16011F09" w14:textId="37D67950" w:rsidR="00D758F4" w:rsidRPr="00C06677" w:rsidRDefault="00D758F4" w:rsidP="005E0084">
            <w:pPr>
              <w:spacing w:line="360" w:lineRule="auto"/>
              <w:jc w:val="center"/>
              <w:rPr>
                <w:bCs/>
                <w:i/>
                <w:color w:val="000000" w:themeColor="text1"/>
              </w:rPr>
            </w:pPr>
            <w:r w:rsidRPr="00C06677">
              <w:rPr>
                <w:bCs/>
                <w:i/>
                <w:color w:val="000000" w:themeColor="text1"/>
              </w:rPr>
              <w:t>alumnus?</w:t>
            </w:r>
          </w:p>
        </w:tc>
      </w:tr>
    </w:tbl>
    <w:p w14:paraId="262FA190" w14:textId="7E90C70A" w:rsidR="00D26A71" w:rsidRPr="00C06677" w:rsidRDefault="00D26A71" w:rsidP="005E0084">
      <w:pPr>
        <w:spacing w:line="480" w:lineRule="auto"/>
      </w:pPr>
    </w:p>
    <w:p w14:paraId="7F0100B2" w14:textId="43FAE9C2" w:rsidR="00D26A71" w:rsidRPr="00C06677" w:rsidRDefault="00D26A71" w:rsidP="004615E6">
      <w:pPr>
        <w:keepNext/>
        <w:spacing w:line="480" w:lineRule="auto"/>
        <w:rPr>
          <w:b/>
        </w:rPr>
      </w:pPr>
      <w:r w:rsidRPr="00C06677">
        <w:rPr>
          <w:b/>
        </w:rPr>
        <w:t>Procedure</w:t>
      </w:r>
    </w:p>
    <w:p w14:paraId="4251870C" w14:textId="4250CBDB" w:rsidR="00130070" w:rsidRPr="00C06677" w:rsidRDefault="003B6E02" w:rsidP="00130070">
      <w:pPr>
        <w:keepNext/>
        <w:spacing w:line="480" w:lineRule="auto"/>
        <w:ind w:firstLine="720"/>
        <w:outlineLvl w:val="0"/>
        <w:rPr>
          <w:bCs/>
        </w:rPr>
      </w:pPr>
      <w:r w:rsidRPr="00C06677">
        <w:t xml:space="preserve">The procedure of </w:t>
      </w:r>
      <w:r w:rsidR="00513314" w:rsidRPr="00C06677">
        <w:t>E</w:t>
      </w:r>
      <w:r w:rsidR="00D82B8A" w:rsidRPr="00C06677">
        <w:t xml:space="preserve">xperiment </w:t>
      </w:r>
      <w:r w:rsidR="00DB7549" w:rsidRPr="00C06677">
        <w:t xml:space="preserve">3 </w:t>
      </w:r>
      <w:r w:rsidR="006E7B46" w:rsidRPr="00C06677">
        <w:t>was</w:t>
      </w:r>
      <w:r w:rsidR="00D82B8A" w:rsidRPr="00C06677">
        <w:t xml:space="preserve"> </w:t>
      </w:r>
      <w:r w:rsidR="009D523F" w:rsidRPr="00C06677">
        <w:t xml:space="preserve">identical </w:t>
      </w:r>
      <w:r w:rsidRPr="00C06677">
        <w:t>to that of</w:t>
      </w:r>
      <w:r w:rsidR="009D523F" w:rsidRPr="00C06677">
        <w:t xml:space="preserve"> Experiment 1.</w:t>
      </w:r>
      <w:r w:rsidR="00D82B8A" w:rsidRPr="00C06677">
        <w:t xml:space="preserve"> </w:t>
      </w:r>
      <w:r w:rsidRPr="00C06677">
        <w:t>Participants completed an average of 134 tr</w:t>
      </w:r>
      <w:r w:rsidR="00DB7549" w:rsidRPr="00C06677">
        <w:t>ia</w:t>
      </w:r>
      <w:r w:rsidRPr="00C06677">
        <w:t>ls (SD = 12) in the experimental session.</w:t>
      </w:r>
      <w:r w:rsidR="00130070" w:rsidRPr="00C06677">
        <w:rPr>
          <w:bCs/>
        </w:rPr>
        <w:t xml:space="preserve">  </w:t>
      </w:r>
    </w:p>
    <w:p w14:paraId="5589A3E3" w14:textId="732A5D20" w:rsidR="00130070" w:rsidRPr="00C06677" w:rsidRDefault="00130070" w:rsidP="00130070">
      <w:pPr>
        <w:keepNext/>
        <w:spacing w:line="480" w:lineRule="auto"/>
        <w:ind w:firstLine="720"/>
        <w:outlineLvl w:val="0"/>
        <w:rPr>
          <w:bCs/>
        </w:rPr>
      </w:pPr>
      <w:r w:rsidRPr="00C06677">
        <w:rPr>
          <w:bCs/>
        </w:rPr>
        <w:t xml:space="preserve">All procedures were approved by the </w:t>
      </w:r>
      <w:r w:rsidR="00511D2B">
        <w:rPr>
          <w:bCs/>
        </w:rPr>
        <w:t>UNC Wilmington</w:t>
      </w:r>
      <w:r w:rsidRPr="00C06677">
        <w:rPr>
          <w:bCs/>
        </w:rPr>
        <w:t xml:space="preserve"> IRB, protocol# 16-0210. The data and R code for the analysis of Experiment 3 can be downloaded at:</w:t>
      </w:r>
      <w:r w:rsidRPr="00C06677">
        <w:rPr>
          <w:bCs/>
        </w:rPr>
        <w:br/>
      </w:r>
      <w:hyperlink r:id="rId21" w:history="1">
        <w:r w:rsidRPr="00C06677">
          <w:rPr>
            <w:rStyle w:val="Hyperlink"/>
            <w:bCs/>
          </w:rPr>
          <w:t>https://github.com/ccpluncw/ccpl_data_PVTcharity2021.git</w:t>
        </w:r>
      </w:hyperlink>
      <w:r w:rsidRPr="00C06677">
        <w:rPr>
          <w:bCs/>
        </w:rPr>
        <w:t xml:space="preserve">. </w:t>
      </w:r>
      <w:r w:rsidR="00491DDF" w:rsidRPr="00C06677">
        <w:rPr>
          <w:bCs/>
        </w:rPr>
        <w:t xml:space="preserve">The stimuli and instructions can be found in the Supplemental </w:t>
      </w:r>
      <w:r w:rsidR="00784FF6">
        <w:rPr>
          <w:bCs/>
        </w:rPr>
        <w:t>Information</w:t>
      </w:r>
      <w:r w:rsidR="00491DDF" w:rsidRPr="00C06677">
        <w:rPr>
          <w:bCs/>
        </w:rPr>
        <w:t xml:space="preserve">. </w:t>
      </w:r>
      <w:r w:rsidRPr="00C06677">
        <w:rPr>
          <w:bCs/>
        </w:rPr>
        <w:t>The experimental presentation code is proprietary and is not open sourced. The experiment was not pre-registered.</w:t>
      </w:r>
      <w:r w:rsidR="00110493">
        <w:rPr>
          <w:bCs/>
        </w:rPr>
        <w:t xml:space="preserve"> </w:t>
      </w:r>
      <w:r w:rsidR="00110493" w:rsidRPr="00110493">
        <w:rPr>
          <w:bCs/>
        </w:rPr>
        <w:t xml:space="preserve">In these studies, we report all measures, </w:t>
      </w:r>
      <w:r w:rsidR="0038213A" w:rsidRPr="00110493">
        <w:rPr>
          <w:bCs/>
        </w:rPr>
        <w:t>manipulations,</w:t>
      </w:r>
      <w:r w:rsidR="00110493" w:rsidRPr="00110493">
        <w:rPr>
          <w:bCs/>
        </w:rPr>
        <w:t xml:space="preserve"> and exclusions.</w:t>
      </w:r>
    </w:p>
    <w:p w14:paraId="5B07FA9E" w14:textId="5311670F" w:rsidR="00F46BDA" w:rsidRPr="00C06677" w:rsidRDefault="00173202" w:rsidP="00DA27B8">
      <w:pPr>
        <w:keepNext/>
        <w:spacing w:line="480" w:lineRule="auto"/>
        <w:jc w:val="center"/>
        <w:rPr>
          <w:b/>
        </w:rPr>
      </w:pPr>
      <w:r w:rsidRPr="00C06677">
        <w:rPr>
          <w:b/>
        </w:rPr>
        <w:t>Results</w:t>
      </w:r>
      <w:r w:rsidR="00AB5587" w:rsidRPr="00C06677">
        <w:rPr>
          <w:b/>
        </w:rPr>
        <w:t xml:space="preserve"> and Discussion </w:t>
      </w:r>
    </w:p>
    <w:p w14:paraId="10442170" w14:textId="749EE43E" w:rsidR="004C37E4" w:rsidRPr="00C06677" w:rsidRDefault="008673AA" w:rsidP="003D2550">
      <w:pPr>
        <w:spacing w:line="480" w:lineRule="auto"/>
      </w:pPr>
      <w:r w:rsidRPr="00C06677">
        <w:rPr>
          <w:b/>
        </w:rPr>
        <w:tab/>
      </w:r>
      <w:r w:rsidR="007B3DBF">
        <w:t>Six</w:t>
      </w:r>
      <w:r w:rsidR="007B3DBF" w:rsidRPr="00C06677">
        <w:t xml:space="preserve"> </w:t>
      </w:r>
      <w:r w:rsidR="002F4C3D" w:rsidRPr="00C06677">
        <w:t>participants were removed due to issues with computers during the experiment. One participant was removed because</w:t>
      </w:r>
      <w:r w:rsidR="003D2550" w:rsidRPr="00C06677">
        <w:t xml:space="preserve"> </w:t>
      </w:r>
      <w:r w:rsidR="002F4C3D" w:rsidRPr="00C06677">
        <w:t xml:space="preserve">they did not understand the task. </w:t>
      </w:r>
      <w:r w:rsidR="00262041" w:rsidRPr="00C06677">
        <w:t xml:space="preserve">We filtered the data in </w:t>
      </w:r>
      <w:r w:rsidR="00DB7549" w:rsidRPr="00C06677">
        <w:t xml:space="preserve">the </w:t>
      </w:r>
      <w:r w:rsidR="00DB7549" w:rsidRPr="00C06677">
        <w:lastRenderedPageBreak/>
        <w:t xml:space="preserve">same </w:t>
      </w:r>
      <w:r w:rsidR="00382CD6">
        <w:t xml:space="preserve">way </w:t>
      </w:r>
      <w:r w:rsidR="00DB7549" w:rsidRPr="00C06677">
        <w:t xml:space="preserve">as previously described. </w:t>
      </w:r>
      <w:r w:rsidR="00D4125C" w:rsidRPr="00C06677">
        <w:t>Again, we removed the 5% participants with the largest CVs (6 participants). The final participant sample comprised 109 individuals. For each O</w:t>
      </w:r>
      <w:r w:rsidR="00D4125C" w:rsidRPr="00C06677">
        <w:rPr>
          <w:vertAlign w:val="subscript"/>
        </w:rPr>
        <w:t>0.1</w:t>
      </w:r>
      <w:r w:rsidR="00D4125C" w:rsidRPr="00C06677">
        <w:t xml:space="preserve"> bin, we removed individual trials with the slowest and fastest 2.5% of the RTs.  </w:t>
      </w:r>
    </w:p>
    <w:p w14:paraId="1A5A48F5" w14:textId="6DB759EE" w:rsidR="0061306B" w:rsidRPr="00C06677" w:rsidRDefault="004C37E4" w:rsidP="000C4811">
      <w:pPr>
        <w:spacing w:line="480" w:lineRule="auto"/>
        <w:ind w:firstLine="720"/>
      </w:pPr>
      <w:r w:rsidRPr="00C06677">
        <w:t>As before</w:t>
      </w:r>
      <w:r w:rsidR="00DB7549" w:rsidRPr="00C06677">
        <w:t>,</w:t>
      </w:r>
      <w:r w:rsidRPr="00C06677">
        <w:t xml:space="preserve"> we</w:t>
      </w:r>
      <w:r w:rsidR="00390188" w:rsidRPr="00C06677">
        <w:t xml:space="preserve"> removed the influence of learning from</w:t>
      </w:r>
      <w:r w:rsidRPr="00C06677">
        <w:t xml:space="preserve"> the</w:t>
      </w:r>
      <w:r w:rsidR="00390188" w:rsidRPr="00C06677">
        <w:t xml:space="preserve"> RT data by fitting </w:t>
      </w:r>
      <w:r w:rsidRPr="00C06677">
        <w:t>the same</w:t>
      </w:r>
      <w:r w:rsidR="00390188" w:rsidRPr="00C06677">
        <w:t xml:space="preserve"> learning function to the data</w:t>
      </w:r>
      <w:r w:rsidRPr="00C06677">
        <w:t xml:space="preserve"> as before</w:t>
      </w:r>
      <w:r w:rsidR="000C4811" w:rsidRPr="00C06677">
        <w:t xml:space="preserve"> (none of the </w:t>
      </w:r>
      <w:r w:rsidR="00390188" w:rsidRPr="00C06677">
        <w:t xml:space="preserve">parameters of this function were </w:t>
      </w:r>
      <w:r w:rsidRPr="00C06677">
        <w:t xml:space="preserve">statistically </w:t>
      </w:r>
      <w:r w:rsidR="00390188" w:rsidRPr="00C06677">
        <w:t>significant</w:t>
      </w:r>
      <w:r w:rsidR="000C4811" w:rsidRPr="00C06677">
        <w:t>)</w:t>
      </w:r>
      <w:r w:rsidR="00390188" w:rsidRPr="00C06677">
        <w:t>, a</w:t>
      </w:r>
      <w:r w:rsidR="000C4811" w:rsidRPr="00C06677">
        <w:t>nd the corresponding</w:t>
      </w:r>
      <w:r w:rsidR="00390188" w:rsidRPr="00C06677">
        <w:t xml:space="preserve"> RT residuals were used in </w:t>
      </w:r>
      <w:r w:rsidR="000C4811" w:rsidRPr="00C06677">
        <w:t>the following</w:t>
      </w:r>
      <w:r w:rsidR="00390188" w:rsidRPr="00C06677">
        <w:t xml:space="preserve"> analyses. </w:t>
      </w:r>
    </w:p>
    <w:p w14:paraId="38EAE43B" w14:textId="2C098247" w:rsidR="00792758" w:rsidRPr="00C06677" w:rsidRDefault="00262041" w:rsidP="001F3B67">
      <w:pPr>
        <w:keepNext/>
        <w:spacing w:line="480" w:lineRule="auto"/>
        <w:rPr>
          <w:b/>
        </w:rPr>
      </w:pPr>
      <w:r w:rsidRPr="00C06677">
        <w:rPr>
          <w:b/>
        </w:rPr>
        <w:t>Regression Analysis</w:t>
      </w:r>
      <w:r w:rsidR="00F46BDA" w:rsidRPr="00C06677">
        <w:rPr>
          <w:b/>
        </w:rPr>
        <w:tab/>
      </w:r>
    </w:p>
    <w:p w14:paraId="7E43DE1A" w14:textId="56D51060" w:rsidR="00037358" w:rsidRDefault="00262041" w:rsidP="00217780">
      <w:pPr>
        <w:spacing w:line="480" w:lineRule="auto"/>
        <w:ind w:firstLine="720"/>
      </w:pPr>
      <w:r w:rsidRPr="00C06677">
        <w:t xml:space="preserve">We analyzed the data in Experiment </w:t>
      </w:r>
      <w:r w:rsidR="00DB7549" w:rsidRPr="00C06677">
        <w:t xml:space="preserve">3 </w:t>
      </w:r>
      <w:r w:rsidRPr="00C06677">
        <w:t xml:space="preserve">using the same process as </w:t>
      </w:r>
      <w:r w:rsidR="00DB7549" w:rsidRPr="00C06677">
        <w:t>before</w:t>
      </w:r>
      <w:r w:rsidRPr="00C06677">
        <w:t xml:space="preserve"> (see Figure </w:t>
      </w:r>
      <w:r w:rsidR="005E6E67">
        <w:t>10</w:t>
      </w:r>
      <w:r w:rsidR="00321649" w:rsidRPr="00C06677">
        <w:t>, left</w:t>
      </w:r>
      <w:r w:rsidR="00382CD6">
        <w:t>-hand side</w:t>
      </w:r>
      <w:r w:rsidRPr="00C06677">
        <w:t xml:space="preserve">).  There was a significant relation between Overlap and </w:t>
      </w:r>
      <w:r w:rsidRPr="00C06677">
        <w:rPr>
          <w:i/>
          <w:iCs/>
        </w:rPr>
        <w:t>p</w:t>
      </w:r>
      <w:r w:rsidRPr="00C06677">
        <w:t xml:space="preserve">(HVO), </w:t>
      </w:r>
      <w:r w:rsidR="00DB3699">
        <w:t>(</w:t>
      </w:r>
      <w:r w:rsidR="0085356A" w:rsidRPr="00C06677">
        <w:rPr>
          <w:i/>
        </w:rPr>
        <w:t>b</w:t>
      </w:r>
      <w:r w:rsidR="0085356A" w:rsidRPr="00C06677">
        <w:t xml:space="preserve"> = </w:t>
      </w:r>
      <w:r w:rsidR="00D4125C" w:rsidRPr="00C06677">
        <w:t>1.89</w:t>
      </w:r>
      <w:r w:rsidR="00DB3699">
        <w:t>)</w:t>
      </w:r>
      <w:r w:rsidR="0085356A" w:rsidRPr="00C06677">
        <w:t xml:space="preserve">, </w:t>
      </w:r>
      <w:r w:rsidR="0085356A" w:rsidRPr="00C06677">
        <w:rPr>
          <w:i/>
        </w:rPr>
        <w:t>t</w:t>
      </w:r>
      <w:r w:rsidR="0085356A" w:rsidRPr="00C06677">
        <w:t xml:space="preserve"> =</w:t>
      </w:r>
      <w:r w:rsidR="001829DB" w:rsidRPr="00C06677">
        <w:t xml:space="preserve"> </w:t>
      </w:r>
      <w:r w:rsidR="00D4125C" w:rsidRPr="00C06677">
        <w:t>14.39</w:t>
      </w:r>
      <w:r w:rsidR="001829DB" w:rsidRPr="00C06677">
        <w:t>,</w:t>
      </w:r>
      <w:r w:rsidR="0085356A" w:rsidRPr="00C06677">
        <w:t xml:space="preserve"> </w:t>
      </w:r>
      <w:r w:rsidR="0085356A" w:rsidRPr="00C06677">
        <w:rPr>
          <w:i/>
        </w:rPr>
        <w:t>p</w:t>
      </w:r>
      <w:r w:rsidR="0085356A" w:rsidRPr="00C06677">
        <w:t xml:space="preserve"> &lt; .001, </w:t>
      </w:r>
      <w:r w:rsidR="0085356A" w:rsidRPr="00C06677">
        <w:rPr>
          <w:i/>
        </w:rPr>
        <w:t>r</w:t>
      </w:r>
      <w:r w:rsidR="0085356A" w:rsidRPr="00C06677">
        <w:rPr>
          <w:i/>
          <w:vertAlign w:val="superscript"/>
        </w:rPr>
        <w:t>2</w:t>
      </w:r>
      <w:r w:rsidR="0085356A" w:rsidRPr="00C06677">
        <w:t xml:space="preserve"> = 0.9</w:t>
      </w:r>
      <w:r w:rsidR="00D4125C" w:rsidRPr="00C06677">
        <w:t>6</w:t>
      </w:r>
      <w:r w:rsidR="0085356A" w:rsidRPr="00C06677">
        <w:t xml:space="preserve">. </w:t>
      </w:r>
      <w:r w:rsidRPr="00C06677">
        <w:t>T</w:t>
      </w:r>
      <w:r w:rsidR="0085356A" w:rsidRPr="00C06677">
        <w:t xml:space="preserve">here was a </w:t>
      </w:r>
      <w:r w:rsidR="00217780" w:rsidRPr="00C06677">
        <w:t xml:space="preserve">statistically </w:t>
      </w:r>
      <w:r w:rsidR="0085356A" w:rsidRPr="00C06677">
        <w:t>significant linear relation</w:t>
      </w:r>
      <w:r w:rsidR="00217780" w:rsidRPr="00C06677">
        <w:t xml:space="preserve"> between </w:t>
      </w:r>
      <w:r w:rsidRPr="00C06677">
        <w:t>Overlap and RT</w:t>
      </w:r>
      <w:r w:rsidRPr="00C06677">
        <w:rPr>
          <w:vertAlign w:val="subscript"/>
        </w:rPr>
        <w:t>res</w:t>
      </w:r>
      <w:r w:rsidR="0085356A" w:rsidRPr="00C06677">
        <w:t xml:space="preserve">, </w:t>
      </w:r>
      <w:r w:rsidR="0085356A" w:rsidRPr="00C06677">
        <w:rPr>
          <w:i/>
          <w:iCs/>
        </w:rPr>
        <w:t>F</w:t>
      </w:r>
      <w:r w:rsidR="0085356A" w:rsidRPr="00C06677">
        <w:t>(1,</w:t>
      </w:r>
      <w:r w:rsidR="00AC5C5D" w:rsidRPr="00C06677">
        <w:t xml:space="preserve"> </w:t>
      </w:r>
      <w:r w:rsidR="0085356A" w:rsidRPr="00C06677">
        <w:t xml:space="preserve">8) = </w:t>
      </w:r>
      <w:r w:rsidR="00D4125C" w:rsidRPr="00C06677">
        <w:t>279.9</w:t>
      </w:r>
      <w:r w:rsidR="0085356A" w:rsidRPr="00C06677">
        <w:t xml:space="preserve">, </w:t>
      </w:r>
      <w:r w:rsidR="0085356A" w:rsidRPr="00C06677">
        <w:rPr>
          <w:i/>
        </w:rPr>
        <w:t>p</w:t>
      </w:r>
      <w:r w:rsidR="0085356A" w:rsidRPr="00C06677">
        <w:t xml:space="preserve"> &lt; .001, </w:t>
      </w:r>
      <w:r w:rsidR="0085356A" w:rsidRPr="00C06677">
        <w:rPr>
          <w:i/>
        </w:rPr>
        <w:t>r</w:t>
      </w:r>
      <w:r w:rsidR="0085356A" w:rsidRPr="00C06677">
        <w:rPr>
          <w:i/>
          <w:vertAlign w:val="superscript"/>
        </w:rPr>
        <w:t>2</w:t>
      </w:r>
      <w:r w:rsidR="0085356A" w:rsidRPr="00C06677">
        <w:t xml:space="preserve"> = 0.</w:t>
      </w:r>
      <w:r w:rsidRPr="00C06677">
        <w:t>9</w:t>
      </w:r>
      <w:r w:rsidR="00D4125C" w:rsidRPr="00C06677">
        <w:t>7</w:t>
      </w:r>
      <w:r w:rsidR="0085356A" w:rsidRPr="00C06677">
        <w:t>. Bot</w:t>
      </w:r>
      <w:r w:rsidR="001B26FF" w:rsidRPr="00C06677">
        <w:t>h</w:t>
      </w:r>
      <w:r w:rsidR="0085356A" w:rsidRPr="00C06677">
        <w:t xml:space="preserve"> the intercept (</w:t>
      </w:r>
      <w:r w:rsidR="0085356A" w:rsidRPr="00C06677">
        <w:rPr>
          <w:i/>
          <w:iCs/>
        </w:rPr>
        <w:t>a</w:t>
      </w:r>
      <w:r w:rsidR="0085356A" w:rsidRPr="00C06677">
        <w:t xml:space="preserve"> = –0.2</w:t>
      </w:r>
      <w:r w:rsidR="00D4125C" w:rsidRPr="00C06677">
        <w:t>2</w:t>
      </w:r>
      <w:r w:rsidR="0085356A" w:rsidRPr="00C06677">
        <w:t>) and the slope (</w:t>
      </w:r>
      <w:r w:rsidR="0085356A" w:rsidRPr="00C06677">
        <w:rPr>
          <w:i/>
        </w:rPr>
        <w:t>b</w:t>
      </w:r>
      <w:r w:rsidR="0085356A" w:rsidRPr="00C06677">
        <w:t xml:space="preserve"> = 0.4</w:t>
      </w:r>
      <w:r w:rsidR="00D4125C" w:rsidRPr="00C06677">
        <w:t>3</w:t>
      </w:r>
      <w:r w:rsidR="0085356A" w:rsidRPr="00C06677">
        <w:t xml:space="preserve">) were </w:t>
      </w:r>
      <w:r w:rsidR="00217780" w:rsidRPr="00C06677">
        <w:t>statistically reliable</w:t>
      </w:r>
      <w:r w:rsidR="0085356A" w:rsidRPr="00C06677">
        <w:t xml:space="preserve">, </w:t>
      </w:r>
      <w:r w:rsidR="0085356A" w:rsidRPr="00C06677">
        <w:rPr>
          <w:i/>
        </w:rPr>
        <w:t>t</w:t>
      </w:r>
      <w:r w:rsidR="0085356A" w:rsidRPr="00C06677">
        <w:t xml:space="preserve">’s &gt; </w:t>
      </w:r>
      <w:r w:rsidRPr="00C06677">
        <w:t>1</w:t>
      </w:r>
      <w:r w:rsidR="00D4125C" w:rsidRPr="00C06677">
        <w:t>4</w:t>
      </w:r>
      <w:r w:rsidR="0085356A" w:rsidRPr="00C06677">
        <w:t xml:space="preserve">, </w:t>
      </w:r>
      <w:r w:rsidR="0085356A" w:rsidRPr="00C06677">
        <w:rPr>
          <w:i/>
        </w:rPr>
        <w:t>p</w:t>
      </w:r>
      <w:r w:rsidR="0085356A" w:rsidRPr="00C06677">
        <w:t>’s &lt; .001</w:t>
      </w:r>
      <w:r w:rsidR="00332BED" w:rsidRPr="00C06677">
        <w:t>.</w:t>
      </w:r>
      <w:r w:rsidR="0085356A" w:rsidRPr="00C06677">
        <w:t xml:space="preserve"> </w:t>
      </w:r>
      <w:r w:rsidR="00390188" w:rsidRPr="00C06677">
        <w:t xml:space="preserve"> </w:t>
      </w:r>
      <w:r w:rsidR="00AC42AF">
        <w:t xml:space="preserve">Both analyses had an </w:t>
      </w:r>
      <w:r w:rsidR="00AC42AF" w:rsidRPr="00AC42AF">
        <w:t xml:space="preserve">80% power to detect an effect size of </w:t>
      </w:r>
      <w:r w:rsidR="00AC42AF" w:rsidRPr="001969F7">
        <w:rPr>
          <w:i/>
          <w:iCs/>
        </w:rPr>
        <w:t>f</w:t>
      </w:r>
      <w:r w:rsidR="00AC42AF" w:rsidRPr="001969F7">
        <w:rPr>
          <w:i/>
          <w:iCs/>
          <w:vertAlign w:val="superscript"/>
        </w:rPr>
        <w:t>2</w:t>
      </w:r>
      <w:r w:rsidR="00AC42AF" w:rsidRPr="00AC42AF">
        <w:t xml:space="preserve"> = </w:t>
      </w:r>
      <w:r w:rsidR="00AC42AF">
        <w:t>1.0.</w:t>
      </w:r>
    </w:p>
    <w:p w14:paraId="71160665" w14:textId="75004C18" w:rsidR="0007076B" w:rsidRDefault="0007076B" w:rsidP="0007076B">
      <w:pPr>
        <w:spacing w:line="480" w:lineRule="auto"/>
      </w:pPr>
    </w:p>
    <w:p w14:paraId="3110889E" w14:textId="7A1AA25B" w:rsidR="0007076B" w:rsidRPr="00C06677" w:rsidRDefault="0007076B" w:rsidP="0007076B">
      <w:pPr>
        <w:spacing w:line="480" w:lineRule="auto"/>
        <w:jc w:val="center"/>
        <w:rPr>
          <w:color w:val="AEAAAA" w:themeColor="background2" w:themeShade="BF"/>
        </w:rPr>
      </w:pPr>
      <w:r w:rsidRPr="00C06677">
        <w:rPr>
          <w:noProof/>
          <w:color w:val="AEAAAA" w:themeColor="background2" w:themeShade="BF"/>
        </w:rPr>
        <w:lastRenderedPageBreak/>
        <w:drawing>
          <wp:inline distT="0" distB="0" distL="0" distR="0" wp14:anchorId="7B117291" wp14:editId="67650EFF">
            <wp:extent cx="5943600" cy="4460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60875"/>
                    </a:xfrm>
                    <a:prstGeom prst="rect">
                      <a:avLst/>
                    </a:prstGeom>
                  </pic:spPr>
                </pic:pic>
              </a:graphicData>
            </a:graphic>
          </wp:inline>
        </w:drawing>
      </w:r>
    </w:p>
    <w:p w14:paraId="169F5F23" w14:textId="1ABBB102" w:rsidR="0007076B" w:rsidRPr="00C06677" w:rsidRDefault="0007076B" w:rsidP="0007076B">
      <w:pPr>
        <w:outlineLvl w:val="0"/>
        <w:rPr>
          <w:b/>
        </w:rPr>
      </w:pPr>
      <w:r w:rsidRPr="00C06677">
        <w:rPr>
          <w:b/>
        </w:rPr>
        <w:t xml:space="preserve">Figure </w:t>
      </w:r>
      <w:r w:rsidR="005E6E67">
        <w:rPr>
          <w:b/>
        </w:rPr>
        <w:t>10</w:t>
      </w:r>
      <w:r w:rsidRPr="00C06677">
        <w:rPr>
          <w:b/>
        </w:rPr>
        <w:t xml:space="preserve">. Experiment 3 regression and RRW results. </w:t>
      </w:r>
      <w:r w:rsidRPr="00C06677">
        <w:rPr>
          <w:bCs/>
        </w:rPr>
        <w:t xml:space="preserve">The </w:t>
      </w:r>
      <w:r w:rsidRPr="00702607">
        <w:rPr>
          <w:bCs/>
          <w:i/>
          <w:iCs/>
        </w:rPr>
        <w:t>p</w:t>
      </w:r>
      <w:r w:rsidRPr="00C06677">
        <w:rPr>
          <w:bCs/>
        </w:rPr>
        <w:t xml:space="preserve">(HVO) and RT fit using separate regressions (left column). The </w:t>
      </w:r>
      <w:r w:rsidRPr="00702607">
        <w:rPr>
          <w:bCs/>
          <w:i/>
          <w:iCs/>
        </w:rPr>
        <w:t>p</w:t>
      </w:r>
      <w:r w:rsidRPr="00C06677">
        <w:rPr>
          <w:bCs/>
        </w:rPr>
        <w:t xml:space="preserve">(HVO) (top), </w:t>
      </w:r>
      <w:r w:rsidR="003206D9" w:rsidRPr="00C06677">
        <w:rPr>
          <w:bCs/>
        </w:rPr>
        <w:t>RT</w:t>
      </w:r>
      <w:r w:rsidR="003206D9" w:rsidRPr="00C06677">
        <w:rPr>
          <w:bCs/>
          <w:vertAlign w:val="subscript"/>
        </w:rPr>
        <w:t>HVO</w:t>
      </w:r>
      <w:r w:rsidR="003206D9" w:rsidRPr="00C06677">
        <w:rPr>
          <w:bCs/>
        </w:rPr>
        <w:t xml:space="preserve"> (bottom</w:t>
      </w:r>
      <w:r w:rsidR="003206D9">
        <w:rPr>
          <w:bCs/>
        </w:rPr>
        <w:t xml:space="preserve"> circles</w:t>
      </w:r>
      <w:r w:rsidR="003206D9" w:rsidRPr="00C06677">
        <w:rPr>
          <w:bCs/>
        </w:rPr>
        <w:t>), and RT</w:t>
      </w:r>
      <w:r w:rsidR="003206D9" w:rsidRPr="00C06677">
        <w:rPr>
          <w:bCs/>
          <w:vertAlign w:val="subscript"/>
        </w:rPr>
        <w:t>LVO</w:t>
      </w:r>
      <w:r w:rsidR="003206D9" w:rsidRPr="00C06677">
        <w:rPr>
          <w:bCs/>
        </w:rPr>
        <w:t xml:space="preserve"> (bottom</w:t>
      </w:r>
      <w:r w:rsidR="003206D9">
        <w:rPr>
          <w:bCs/>
        </w:rPr>
        <w:t xml:space="preserve"> “x”s</w:t>
      </w:r>
      <w:r w:rsidR="003206D9" w:rsidRPr="00C06677">
        <w:rPr>
          <w:bCs/>
        </w:rPr>
        <w:t xml:space="preserve">) </w:t>
      </w:r>
      <w:r w:rsidRPr="00C06677">
        <w:rPr>
          <w:bCs/>
        </w:rPr>
        <w:t xml:space="preserve">fit simultaneously (right column) using the RRW. </w:t>
      </w:r>
      <w:r w:rsidR="00FE79A7">
        <w:t xml:space="preserve">The labeling on the </w:t>
      </w:r>
      <w:r w:rsidR="00FE79A7" w:rsidRPr="00702607">
        <w:rPr>
          <w:i/>
          <w:iCs/>
        </w:rPr>
        <w:t>p</w:t>
      </w:r>
      <w:r w:rsidR="00FE79A7">
        <w:t xml:space="preserve">(HVO) graph acts as the legend.  The thin, light grey lines represent the </w:t>
      </w:r>
      <w:r w:rsidR="00FE79A7" w:rsidRPr="00F218EF">
        <w:t xml:space="preserve">40 individual iterations of the RRW with parameters from the best fit model. The </w:t>
      </w:r>
      <w:r w:rsidR="00FE79A7">
        <w:t>thicker, darker</w:t>
      </w:r>
      <w:r w:rsidR="00FE79A7" w:rsidRPr="00F218EF">
        <w:t xml:space="preserve"> line</w:t>
      </w:r>
      <w:r w:rsidR="00FE79A7">
        <w:t>s</w:t>
      </w:r>
      <w:r w:rsidR="00FE79A7" w:rsidRPr="00F218EF">
        <w:t xml:space="preserve"> show the average fit of those 40 lines.</w:t>
      </w:r>
      <w:r w:rsidR="00FE79A7">
        <w:t xml:space="preserve"> </w:t>
      </w:r>
    </w:p>
    <w:p w14:paraId="27743B38" w14:textId="77777777" w:rsidR="0007076B" w:rsidRPr="00C06677" w:rsidRDefault="0007076B" w:rsidP="0007076B">
      <w:pPr>
        <w:spacing w:line="480" w:lineRule="auto"/>
      </w:pPr>
    </w:p>
    <w:p w14:paraId="602288D6" w14:textId="583CA006" w:rsidR="009C26E7" w:rsidRDefault="00262041" w:rsidP="00301016">
      <w:pPr>
        <w:spacing w:line="480" w:lineRule="auto"/>
        <w:ind w:firstLine="720"/>
      </w:pPr>
      <w:r w:rsidRPr="00C06677">
        <w:t xml:space="preserve">To assess whether the in-group manipulation influenced participants’ response choices, we fit </w:t>
      </w:r>
      <w:r w:rsidRPr="00702607">
        <w:rPr>
          <w:i/>
          <w:iCs/>
        </w:rPr>
        <w:t>p</w:t>
      </w:r>
      <w:r w:rsidRPr="00C06677">
        <w:t xml:space="preserve">(HVO) = </w:t>
      </w:r>
      <w:r w:rsidRPr="00C06677">
        <w:rPr>
          <w:i/>
          <w:iCs/>
        </w:rPr>
        <w:t>f</w:t>
      </w:r>
      <w:r w:rsidRPr="00C06677">
        <w:t>(Overlap) for each of the four conditions: Co</w:t>
      </w:r>
      <w:r w:rsidR="005F5D16" w:rsidRPr="00C06677">
        <w:t xml:space="preserve">mpatible </w:t>
      </w:r>
      <w:r w:rsidRPr="00C06677">
        <w:t>(</w:t>
      </w:r>
      <w:r w:rsidR="009E0574">
        <w:t>UNC</w:t>
      </w:r>
      <w:r w:rsidR="009E0574" w:rsidRPr="00C06677">
        <w:rPr>
          <w:vertAlign w:val="subscript"/>
        </w:rPr>
        <w:t>HVO</w:t>
      </w:r>
      <w:r w:rsidR="009E0574" w:rsidRPr="00C06677">
        <w:t xml:space="preserve"> </w:t>
      </w:r>
      <w:r w:rsidR="00037358" w:rsidRPr="00C06677">
        <w:t>vs Other</w:t>
      </w:r>
      <w:r w:rsidR="00037358" w:rsidRPr="00C06677">
        <w:rPr>
          <w:vertAlign w:val="subscript"/>
        </w:rPr>
        <w:t>LVO</w:t>
      </w:r>
      <w:r w:rsidR="00037358" w:rsidRPr="00C06677">
        <w:t>), Neutral (</w:t>
      </w:r>
      <w:r w:rsidR="009E0574">
        <w:t>UNC</w:t>
      </w:r>
      <w:r w:rsidR="009E0574" w:rsidRPr="00C06677">
        <w:rPr>
          <w:vertAlign w:val="subscript"/>
        </w:rPr>
        <w:t>HVO</w:t>
      </w:r>
      <w:r w:rsidR="009E0574" w:rsidRPr="00C06677">
        <w:t xml:space="preserve"> </w:t>
      </w:r>
      <w:r w:rsidR="00037358" w:rsidRPr="00C06677">
        <w:t xml:space="preserve">vs </w:t>
      </w:r>
      <w:r w:rsidR="009E0574">
        <w:t>UNC</w:t>
      </w:r>
      <w:r w:rsidR="009E0574" w:rsidRPr="00C06677">
        <w:rPr>
          <w:vertAlign w:val="subscript"/>
        </w:rPr>
        <w:t>LVO</w:t>
      </w:r>
      <w:r w:rsidR="009E0574" w:rsidRPr="00C06677">
        <w:t xml:space="preserve"> </w:t>
      </w:r>
      <w:r w:rsidR="00037358" w:rsidRPr="00C06677">
        <w:t>and Other</w:t>
      </w:r>
      <w:r w:rsidR="00037358" w:rsidRPr="00C06677">
        <w:rPr>
          <w:vertAlign w:val="subscript"/>
        </w:rPr>
        <w:t>HVO</w:t>
      </w:r>
      <w:r w:rsidR="00037358" w:rsidRPr="00C06677">
        <w:t xml:space="preserve"> vs Other</w:t>
      </w:r>
      <w:r w:rsidR="00037358" w:rsidRPr="00C06677">
        <w:rPr>
          <w:vertAlign w:val="subscript"/>
        </w:rPr>
        <w:t>LVO</w:t>
      </w:r>
      <w:r w:rsidR="00037358" w:rsidRPr="00C06677">
        <w:t>), and Inco</w:t>
      </w:r>
      <w:r w:rsidR="005F5D16" w:rsidRPr="00C06677">
        <w:t>mpatible</w:t>
      </w:r>
      <w:r w:rsidR="00037358" w:rsidRPr="00C06677">
        <w:t xml:space="preserve"> (Other</w:t>
      </w:r>
      <w:r w:rsidR="00037358" w:rsidRPr="00C06677">
        <w:rPr>
          <w:vertAlign w:val="subscript"/>
        </w:rPr>
        <w:t>HVO</w:t>
      </w:r>
      <w:r w:rsidR="00037358" w:rsidRPr="00C06677">
        <w:t xml:space="preserve"> vs </w:t>
      </w:r>
      <w:r w:rsidR="009E0574">
        <w:t>UNC</w:t>
      </w:r>
      <w:r w:rsidR="009E0574" w:rsidRPr="00C06677">
        <w:rPr>
          <w:vertAlign w:val="subscript"/>
        </w:rPr>
        <w:t>LVO</w:t>
      </w:r>
      <w:r w:rsidR="00037358" w:rsidRPr="00C06677">
        <w:t>), PVT predicts that the in-group effect should produce the following ordering of the beta parameter when the exponential decay function is fit: Co</w:t>
      </w:r>
      <w:r w:rsidR="005F5D16" w:rsidRPr="00C06677">
        <w:t>mpatible</w:t>
      </w:r>
      <w:r w:rsidR="00037358" w:rsidRPr="00C06677">
        <w:t xml:space="preserve"> &gt; Neutral &gt; Inco</w:t>
      </w:r>
      <w:r w:rsidR="005F5D16" w:rsidRPr="00C06677">
        <w:t>mpatible</w:t>
      </w:r>
      <w:r w:rsidR="00037358" w:rsidRPr="00C06677">
        <w:t>.  This is exactly what we found</w:t>
      </w:r>
      <w:r w:rsidR="006C503F" w:rsidRPr="00C06677">
        <w:t xml:space="preserve"> (see Figure </w:t>
      </w:r>
      <w:r w:rsidR="005E6E67">
        <w:t>11</w:t>
      </w:r>
      <w:r w:rsidR="006C503F" w:rsidRPr="00C06677">
        <w:t>)</w:t>
      </w:r>
      <w:r w:rsidR="00037358" w:rsidRPr="00C06677">
        <w:t xml:space="preserve">.  In all cases </w:t>
      </w:r>
      <w:r w:rsidR="00037358" w:rsidRPr="00C06677">
        <w:rPr>
          <w:i/>
          <w:iCs/>
        </w:rPr>
        <w:t>p</w:t>
      </w:r>
      <w:r w:rsidR="00037358" w:rsidRPr="00C06677">
        <w:t xml:space="preserve">(HVO) was significantly related to </w:t>
      </w:r>
      <w:r w:rsidR="00037358" w:rsidRPr="00C06677">
        <w:lastRenderedPageBreak/>
        <w:t>Overlap. For the Co</w:t>
      </w:r>
      <w:r w:rsidR="005F5D16" w:rsidRPr="00C06677">
        <w:t>mpatible</w:t>
      </w:r>
      <w:r w:rsidR="00037358" w:rsidRPr="00C06677">
        <w:t xml:space="preserve"> condition, </w:t>
      </w:r>
      <w:r w:rsidR="009E0574">
        <w:t>UNC</w:t>
      </w:r>
      <w:r w:rsidR="009E0574" w:rsidRPr="00C06677">
        <w:rPr>
          <w:vertAlign w:val="subscript"/>
        </w:rPr>
        <w:t>HVO</w:t>
      </w:r>
      <w:r w:rsidR="009E0574" w:rsidRPr="00C06677">
        <w:t xml:space="preserve"> </w:t>
      </w:r>
      <w:r w:rsidR="006C503F" w:rsidRPr="00C06677">
        <w:t>vs Other</w:t>
      </w:r>
      <w:r w:rsidR="006C503F" w:rsidRPr="00C06677">
        <w:rPr>
          <w:vertAlign w:val="subscript"/>
        </w:rPr>
        <w:t>LVO</w:t>
      </w:r>
      <w:r w:rsidR="006C503F" w:rsidRPr="00C06677">
        <w:t xml:space="preserve"> </w:t>
      </w:r>
      <w:r w:rsidR="00037358" w:rsidRPr="00C06677">
        <w:t>(</w:t>
      </w:r>
      <w:r w:rsidR="00037358" w:rsidRPr="00C06677">
        <w:rPr>
          <w:i/>
        </w:rPr>
        <w:t>b</w:t>
      </w:r>
      <w:r w:rsidR="00037358" w:rsidRPr="00C06677">
        <w:t xml:space="preserve"> = </w:t>
      </w:r>
      <w:r w:rsidR="00D4125C" w:rsidRPr="00C06677">
        <w:t>2.9</w:t>
      </w:r>
      <w:r w:rsidR="00037358" w:rsidRPr="00C06677">
        <w:t xml:space="preserve">), </w:t>
      </w:r>
      <w:r w:rsidR="00037358" w:rsidRPr="00C06677">
        <w:rPr>
          <w:i/>
        </w:rPr>
        <w:t>t</w:t>
      </w:r>
      <w:r w:rsidR="00037358" w:rsidRPr="00C06677">
        <w:t xml:space="preserve"> = </w:t>
      </w:r>
      <w:r w:rsidR="00D4125C" w:rsidRPr="00C06677">
        <w:t>6.0</w:t>
      </w:r>
      <w:r w:rsidR="00037358" w:rsidRPr="00C06677">
        <w:t xml:space="preserve">, </w:t>
      </w:r>
      <w:r w:rsidR="00037358" w:rsidRPr="00C06677">
        <w:rPr>
          <w:i/>
        </w:rPr>
        <w:t>p</w:t>
      </w:r>
      <w:r w:rsidR="00037358" w:rsidRPr="00C06677">
        <w:t xml:space="preserve"> = .001, </w:t>
      </w:r>
      <w:r w:rsidR="00037358" w:rsidRPr="00C06677">
        <w:rPr>
          <w:i/>
        </w:rPr>
        <w:t>r</w:t>
      </w:r>
      <w:r w:rsidR="00037358" w:rsidRPr="00C06677">
        <w:rPr>
          <w:i/>
          <w:vertAlign w:val="superscript"/>
        </w:rPr>
        <w:t>2</w:t>
      </w:r>
      <w:r w:rsidR="00037358" w:rsidRPr="00C06677">
        <w:t xml:space="preserve"> = 0.</w:t>
      </w:r>
      <w:r w:rsidR="00D4125C" w:rsidRPr="00C06677">
        <w:t>62</w:t>
      </w:r>
      <w:r w:rsidR="00037358" w:rsidRPr="00C06677">
        <w:t xml:space="preserve">. For </w:t>
      </w:r>
      <w:r w:rsidR="003436E0" w:rsidRPr="00C06677">
        <w:t xml:space="preserve">the </w:t>
      </w:r>
      <w:r w:rsidR="00037358" w:rsidRPr="00C06677">
        <w:t>two Neutral conditions: Other</w:t>
      </w:r>
      <w:r w:rsidR="00037358" w:rsidRPr="00C06677">
        <w:rPr>
          <w:vertAlign w:val="subscript"/>
        </w:rPr>
        <w:t>HVO</w:t>
      </w:r>
      <w:r w:rsidR="00037358" w:rsidRPr="00C06677">
        <w:t xml:space="preserve"> vs Other</w:t>
      </w:r>
      <w:r w:rsidR="00037358" w:rsidRPr="00C06677">
        <w:rPr>
          <w:vertAlign w:val="subscript"/>
        </w:rPr>
        <w:t>LVO</w:t>
      </w:r>
      <w:r w:rsidR="00037358" w:rsidRPr="00C06677">
        <w:t xml:space="preserve"> (</w:t>
      </w:r>
      <w:r w:rsidR="00037358" w:rsidRPr="00C06677">
        <w:rPr>
          <w:i/>
        </w:rPr>
        <w:t>b</w:t>
      </w:r>
      <w:r w:rsidR="00037358" w:rsidRPr="00C06677">
        <w:t xml:space="preserve"> = </w:t>
      </w:r>
      <w:r w:rsidR="00D4125C" w:rsidRPr="00C06677">
        <w:t>1.91</w:t>
      </w:r>
      <w:r w:rsidR="00037358" w:rsidRPr="00C06677">
        <w:t xml:space="preserve">), </w:t>
      </w:r>
      <w:r w:rsidR="00037358" w:rsidRPr="00C06677">
        <w:rPr>
          <w:i/>
        </w:rPr>
        <w:t>t</w:t>
      </w:r>
      <w:r w:rsidR="00037358" w:rsidRPr="00C06677">
        <w:t xml:space="preserve"> = </w:t>
      </w:r>
      <w:r w:rsidR="00D4125C" w:rsidRPr="00C06677">
        <w:t>12.63</w:t>
      </w:r>
      <w:r w:rsidR="00037358" w:rsidRPr="00C06677">
        <w:t xml:space="preserve">, </w:t>
      </w:r>
      <w:r w:rsidR="00037358" w:rsidRPr="00C06677">
        <w:rPr>
          <w:i/>
        </w:rPr>
        <w:t>p</w:t>
      </w:r>
      <w:r w:rsidR="00037358" w:rsidRPr="00C06677">
        <w:t xml:space="preserve"> &lt; .001, </w:t>
      </w:r>
      <w:r w:rsidR="00037358" w:rsidRPr="00C06677">
        <w:rPr>
          <w:i/>
        </w:rPr>
        <w:t>r</w:t>
      </w:r>
      <w:r w:rsidR="00037358" w:rsidRPr="00C06677">
        <w:rPr>
          <w:i/>
          <w:vertAlign w:val="superscript"/>
        </w:rPr>
        <w:t>2</w:t>
      </w:r>
      <w:r w:rsidR="00037358" w:rsidRPr="00C06677">
        <w:t xml:space="preserve"> = 0.9</w:t>
      </w:r>
      <w:r w:rsidR="00D4125C" w:rsidRPr="00C06677">
        <w:t>4</w:t>
      </w:r>
      <w:r w:rsidR="00037358" w:rsidRPr="00C06677">
        <w:t xml:space="preserve">; </w:t>
      </w:r>
      <w:r w:rsidR="009E0574">
        <w:t>UNC</w:t>
      </w:r>
      <w:r w:rsidR="009E0574" w:rsidRPr="00C06677">
        <w:rPr>
          <w:vertAlign w:val="subscript"/>
        </w:rPr>
        <w:t>HVO</w:t>
      </w:r>
      <w:r w:rsidR="009E0574" w:rsidRPr="00C06677">
        <w:t xml:space="preserve"> </w:t>
      </w:r>
      <w:r w:rsidR="00037358" w:rsidRPr="00C06677">
        <w:t xml:space="preserve">vs </w:t>
      </w:r>
      <w:r w:rsidR="009E0574">
        <w:t>UNC</w:t>
      </w:r>
      <w:r w:rsidR="009E0574" w:rsidRPr="00C06677">
        <w:rPr>
          <w:vertAlign w:val="subscript"/>
        </w:rPr>
        <w:t>LVO</w:t>
      </w:r>
      <w:r w:rsidR="009E0574" w:rsidRPr="00C06677">
        <w:t xml:space="preserve"> </w:t>
      </w:r>
      <w:r w:rsidR="00037358" w:rsidRPr="00C06677">
        <w:t>(</w:t>
      </w:r>
      <w:r w:rsidR="00037358" w:rsidRPr="00C06677">
        <w:rPr>
          <w:i/>
        </w:rPr>
        <w:t>b</w:t>
      </w:r>
      <w:r w:rsidR="00037358" w:rsidRPr="00C06677">
        <w:t xml:space="preserve"> = </w:t>
      </w:r>
      <w:r w:rsidR="00D4125C" w:rsidRPr="00C06677">
        <w:t>1.98</w:t>
      </w:r>
      <w:r w:rsidR="00037358" w:rsidRPr="00C06677">
        <w:t xml:space="preserve">), </w:t>
      </w:r>
      <w:r w:rsidR="00037358" w:rsidRPr="00C06677">
        <w:rPr>
          <w:i/>
        </w:rPr>
        <w:t>t</w:t>
      </w:r>
      <w:r w:rsidR="00037358" w:rsidRPr="00C06677">
        <w:t xml:space="preserve"> = </w:t>
      </w:r>
      <w:r w:rsidR="00D4125C" w:rsidRPr="00C06677">
        <w:t>10.38</w:t>
      </w:r>
      <w:r w:rsidR="00037358" w:rsidRPr="00C06677">
        <w:t xml:space="preserve">, </w:t>
      </w:r>
      <w:r w:rsidR="00037358" w:rsidRPr="00C06677">
        <w:rPr>
          <w:i/>
        </w:rPr>
        <w:t>p</w:t>
      </w:r>
      <w:r w:rsidR="00037358" w:rsidRPr="00C06677">
        <w:t xml:space="preserve"> &lt; .001, </w:t>
      </w:r>
      <w:r w:rsidR="00037358" w:rsidRPr="00C06677">
        <w:rPr>
          <w:i/>
        </w:rPr>
        <w:t>r</w:t>
      </w:r>
      <w:r w:rsidR="00037358" w:rsidRPr="00C06677">
        <w:rPr>
          <w:i/>
          <w:vertAlign w:val="superscript"/>
        </w:rPr>
        <w:t>2</w:t>
      </w:r>
      <w:r w:rsidR="00037358" w:rsidRPr="00C06677">
        <w:t xml:space="preserve"> = 0.9</w:t>
      </w:r>
      <w:r w:rsidR="00D4125C" w:rsidRPr="00C06677">
        <w:t>3</w:t>
      </w:r>
      <w:r w:rsidR="00037358" w:rsidRPr="00C06677">
        <w:t>. For the Inco</w:t>
      </w:r>
      <w:r w:rsidR="005F5D16" w:rsidRPr="00C06677">
        <w:t>mpatible</w:t>
      </w:r>
      <w:r w:rsidR="00037358" w:rsidRPr="00C06677">
        <w:t xml:space="preserve"> conditions: Other</w:t>
      </w:r>
      <w:r w:rsidR="00037358" w:rsidRPr="00C06677">
        <w:rPr>
          <w:vertAlign w:val="subscript"/>
        </w:rPr>
        <w:t>HVO</w:t>
      </w:r>
      <w:r w:rsidR="00037358" w:rsidRPr="00C06677">
        <w:t xml:space="preserve"> vs </w:t>
      </w:r>
      <w:r w:rsidR="009E0574">
        <w:t>UNC</w:t>
      </w:r>
      <w:r w:rsidR="009E0574" w:rsidRPr="00C06677">
        <w:rPr>
          <w:vertAlign w:val="subscript"/>
        </w:rPr>
        <w:t>LVO</w:t>
      </w:r>
      <w:r w:rsidR="009E0574" w:rsidRPr="00C06677">
        <w:t xml:space="preserve"> </w:t>
      </w:r>
      <w:r w:rsidR="00037358" w:rsidRPr="00C06677">
        <w:t>(</w:t>
      </w:r>
      <w:r w:rsidR="00037358" w:rsidRPr="00C06677">
        <w:rPr>
          <w:i/>
        </w:rPr>
        <w:t>b</w:t>
      </w:r>
      <w:r w:rsidR="00037358" w:rsidRPr="00C06677">
        <w:t xml:space="preserve"> = 1.</w:t>
      </w:r>
      <w:r w:rsidR="00D4125C" w:rsidRPr="00C06677">
        <w:t>39</w:t>
      </w:r>
      <w:r w:rsidR="00037358" w:rsidRPr="00C06677">
        <w:t xml:space="preserve">), </w:t>
      </w:r>
      <w:r w:rsidR="00037358" w:rsidRPr="00C06677">
        <w:rPr>
          <w:i/>
        </w:rPr>
        <w:t>t</w:t>
      </w:r>
      <w:r w:rsidR="00037358" w:rsidRPr="00C06677">
        <w:t xml:space="preserve"> = </w:t>
      </w:r>
      <w:r w:rsidR="00D4125C" w:rsidRPr="00C06677">
        <w:t>14.61</w:t>
      </w:r>
      <w:r w:rsidR="00037358" w:rsidRPr="00C06677">
        <w:t xml:space="preserve">, </w:t>
      </w:r>
      <w:r w:rsidR="00037358" w:rsidRPr="00C06677">
        <w:rPr>
          <w:i/>
        </w:rPr>
        <w:t>p</w:t>
      </w:r>
      <w:r w:rsidR="00037358" w:rsidRPr="00C06677">
        <w:t xml:space="preserve"> &lt; .001, </w:t>
      </w:r>
      <w:r w:rsidR="00037358" w:rsidRPr="00C06677">
        <w:rPr>
          <w:i/>
        </w:rPr>
        <w:t>r</w:t>
      </w:r>
      <w:r w:rsidR="00037358" w:rsidRPr="00C06677">
        <w:rPr>
          <w:i/>
          <w:vertAlign w:val="superscript"/>
        </w:rPr>
        <w:t>2</w:t>
      </w:r>
      <w:r w:rsidR="00037358" w:rsidRPr="00C06677">
        <w:t xml:space="preserve"> = 0.9</w:t>
      </w:r>
      <w:r w:rsidR="00D4125C" w:rsidRPr="00C06677">
        <w:t>7</w:t>
      </w:r>
      <w:r w:rsidR="003F4ACB" w:rsidRPr="00C06677">
        <w:t xml:space="preserve">. </w:t>
      </w:r>
      <w:r w:rsidR="00301016" w:rsidRPr="00C06677">
        <w:t xml:space="preserve">Although this </w:t>
      </w:r>
      <w:r w:rsidR="00DB7549" w:rsidRPr="00C06677">
        <w:t xml:space="preserve">type of </w:t>
      </w:r>
      <w:r w:rsidR="00301016" w:rsidRPr="00C06677">
        <w:t xml:space="preserve">analysis </w:t>
      </w:r>
      <w:r w:rsidR="00DB7549" w:rsidRPr="00C06677">
        <w:t xml:space="preserve">has </w:t>
      </w:r>
      <w:r w:rsidR="00301016" w:rsidRPr="00C06677">
        <w:t xml:space="preserve">demonstrated the existence of the in-group effect, it does not identify </w:t>
      </w:r>
      <w:r w:rsidR="00EB7739">
        <w:t>its</w:t>
      </w:r>
      <w:r w:rsidR="00EB7739" w:rsidRPr="00C06677">
        <w:t xml:space="preserve"> </w:t>
      </w:r>
      <w:r w:rsidR="00301016" w:rsidRPr="00C06677">
        <w:t xml:space="preserve">source.  To identify the source of the in-group effect on charitable giving, we modeled the data using the RRW. </w:t>
      </w:r>
    </w:p>
    <w:p w14:paraId="62512578" w14:textId="5E176959" w:rsidR="0007076B" w:rsidRDefault="0007076B" w:rsidP="0007076B">
      <w:pPr>
        <w:spacing w:line="480" w:lineRule="auto"/>
      </w:pPr>
    </w:p>
    <w:p w14:paraId="59188E13" w14:textId="0EC2B448" w:rsidR="0007076B" w:rsidRPr="00C06677" w:rsidRDefault="0007076B" w:rsidP="0007076B">
      <w:pPr>
        <w:jc w:val="center"/>
        <w:outlineLvl w:val="0"/>
        <w:rPr>
          <w:bCs/>
        </w:rPr>
      </w:pPr>
      <w:r w:rsidRPr="00C06677">
        <w:rPr>
          <w:bCs/>
          <w:noProof/>
        </w:rPr>
        <w:drawing>
          <wp:inline distT="0" distB="0" distL="0" distR="0" wp14:anchorId="6939782A" wp14:editId="5CC3E110">
            <wp:extent cx="4889500" cy="436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9500" cy="4368800"/>
                    </a:xfrm>
                    <a:prstGeom prst="rect">
                      <a:avLst/>
                    </a:prstGeom>
                  </pic:spPr>
                </pic:pic>
              </a:graphicData>
            </a:graphic>
          </wp:inline>
        </w:drawing>
      </w:r>
    </w:p>
    <w:p w14:paraId="1E0F5242" w14:textId="77777777" w:rsidR="0007076B" w:rsidRPr="00C06677" w:rsidRDefault="0007076B" w:rsidP="0007076B">
      <w:pPr>
        <w:outlineLvl w:val="0"/>
        <w:rPr>
          <w:bCs/>
        </w:rPr>
      </w:pPr>
    </w:p>
    <w:p w14:paraId="4CD38245" w14:textId="1790B2FE" w:rsidR="0007076B" w:rsidRPr="00C06677" w:rsidRDefault="0007076B" w:rsidP="0007076B">
      <w:pPr>
        <w:outlineLvl w:val="0"/>
        <w:rPr>
          <w:bCs/>
        </w:rPr>
      </w:pPr>
      <w:r w:rsidRPr="00C06677">
        <w:rPr>
          <w:b/>
        </w:rPr>
        <w:t xml:space="preserve">Figure </w:t>
      </w:r>
      <w:r w:rsidR="005E6E67">
        <w:rPr>
          <w:b/>
        </w:rPr>
        <w:t>11</w:t>
      </w:r>
      <w:r w:rsidRPr="00C06677">
        <w:rPr>
          <w:b/>
        </w:rPr>
        <w:t xml:space="preserve">: </w:t>
      </w:r>
      <w:r w:rsidRPr="00702607">
        <w:rPr>
          <w:b/>
          <w:i/>
          <w:iCs/>
        </w:rPr>
        <w:t>p</w:t>
      </w:r>
      <w:r w:rsidRPr="00C06677">
        <w:rPr>
          <w:b/>
        </w:rPr>
        <w:t>(HVO) by condition in Experiment 3</w:t>
      </w:r>
      <w:r w:rsidRPr="00C06677">
        <w:rPr>
          <w:bCs/>
        </w:rPr>
        <w:t xml:space="preserve">. The exponential decay fit for </w:t>
      </w:r>
      <w:r w:rsidRPr="00702607">
        <w:rPr>
          <w:bCs/>
          <w:i/>
          <w:iCs/>
        </w:rPr>
        <w:t>p</w:t>
      </w:r>
      <w:r w:rsidRPr="00C06677">
        <w:rPr>
          <w:bCs/>
        </w:rPr>
        <w:t xml:space="preserve">(HVO) for the Compatible condition, Incompatible condition, and the two Neutral conditions.  The data show that, in all cases, participants attempted to </w:t>
      </w:r>
      <w:r w:rsidR="00D9207D">
        <w:rPr>
          <w:bCs/>
        </w:rPr>
        <w:t>donate</w:t>
      </w:r>
      <w:r w:rsidRPr="00C06677">
        <w:rPr>
          <w:bCs/>
        </w:rPr>
        <w:t xml:space="preserve"> to the </w:t>
      </w:r>
      <w:r w:rsidR="00D9207D">
        <w:rPr>
          <w:bCs/>
        </w:rPr>
        <w:t>HVO</w:t>
      </w:r>
      <w:r w:rsidRPr="00C06677">
        <w:rPr>
          <w:bCs/>
        </w:rPr>
        <w:t xml:space="preserve">.  Participants were most effective at this in the Compatible condition (light grey solid line) and least effective in the </w:t>
      </w:r>
      <w:r w:rsidRPr="00C06677">
        <w:rPr>
          <w:bCs/>
        </w:rPr>
        <w:lastRenderedPageBreak/>
        <w:t xml:space="preserve">Incompatible condition (black dashed line).  The Neutral conditions (black solid line and grey dashed line) fell in between the other two. </w:t>
      </w:r>
    </w:p>
    <w:p w14:paraId="04CD0606" w14:textId="77777777" w:rsidR="0007076B" w:rsidRPr="00C06677" w:rsidRDefault="0007076B" w:rsidP="0007076B">
      <w:pPr>
        <w:spacing w:line="480" w:lineRule="auto"/>
      </w:pPr>
    </w:p>
    <w:p w14:paraId="5E4BA999" w14:textId="2AF26F43" w:rsidR="00CC047E" w:rsidRPr="00C06677" w:rsidRDefault="003F4ACB" w:rsidP="00FF3BC0">
      <w:pPr>
        <w:spacing w:line="480" w:lineRule="auto"/>
      </w:pPr>
      <w:r w:rsidRPr="00C06677">
        <w:rPr>
          <w:b/>
        </w:rPr>
        <w:t>R</w:t>
      </w:r>
      <w:r w:rsidR="007F4DD6" w:rsidRPr="00C06677">
        <w:rPr>
          <w:b/>
        </w:rPr>
        <w:t>RW</w:t>
      </w:r>
      <w:r w:rsidR="006A4D0F" w:rsidRPr="00C06677">
        <w:rPr>
          <w:b/>
        </w:rPr>
        <w:t xml:space="preserve"> Analysis</w:t>
      </w:r>
    </w:p>
    <w:p w14:paraId="31BA3839" w14:textId="5CA34607" w:rsidR="003937FF" w:rsidRPr="00C06677" w:rsidRDefault="00BB021E" w:rsidP="00724A43">
      <w:pPr>
        <w:keepNext/>
        <w:spacing w:line="480" w:lineRule="auto"/>
        <w:ind w:firstLine="360"/>
        <w:outlineLvl w:val="0"/>
      </w:pPr>
      <w:r w:rsidRPr="00C06677">
        <w:t>Experiment</w:t>
      </w:r>
      <w:r w:rsidR="004D243F" w:rsidRPr="00C06677">
        <w:t>s</w:t>
      </w:r>
      <w:r w:rsidRPr="00C06677">
        <w:t xml:space="preserve"> 1 </w:t>
      </w:r>
      <w:r w:rsidR="004D243F" w:rsidRPr="00C06677">
        <w:t xml:space="preserve">and 2 </w:t>
      </w:r>
      <w:r w:rsidRPr="00C06677">
        <w:t xml:space="preserve">showed that the Value Constant </w:t>
      </w:r>
      <w:r w:rsidR="00D4125C" w:rsidRPr="00C06677">
        <w:t xml:space="preserve">+ Side Bias </w:t>
      </w:r>
      <w:r w:rsidRPr="00C06677">
        <w:t xml:space="preserve">model was the best predictor </w:t>
      </w:r>
      <w:r w:rsidR="00B85181" w:rsidRPr="00C06677">
        <w:t>of the data.</w:t>
      </w:r>
      <w:r w:rsidR="00046395" w:rsidRPr="00C06677">
        <w:t xml:space="preserve">  </w:t>
      </w:r>
      <w:r w:rsidR="003D7944" w:rsidRPr="00C06677">
        <w:t xml:space="preserve">The value constant parameter identified a small shift in the </w:t>
      </w:r>
      <w:r w:rsidR="006E4D71" w:rsidRPr="00C06677">
        <w:t xml:space="preserve">pair-wise </w:t>
      </w:r>
      <w:r w:rsidR="003D7944" w:rsidRPr="00C06677">
        <w:t>overlaps of all our stimuli</w:t>
      </w:r>
      <w:r w:rsidR="006E4D71" w:rsidRPr="00C06677">
        <w:t xml:space="preserve"> and i</w:t>
      </w:r>
      <w:r w:rsidR="003D7944" w:rsidRPr="00C06677">
        <w:t>t is</w:t>
      </w:r>
      <w:r w:rsidR="006E4D71" w:rsidRPr="00C06677">
        <w:t xml:space="preserve"> highly</w:t>
      </w:r>
      <w:r w:rsidR="003D7944" w:rsidRPr="00C06677">
        <w:t xml:space="preserve"> likely this shift will generalize to other</w:t>
      </w:r>
      <w:r w:rsidR="00790B41" w:rsidRPr="00C06677">
        <w:t xml:space="preserve"> </w:t>
      </w:r>
      <w:r w:rsidR="003D7944" w:rsidRPr="00C06677">
        <w:t xml:space="preserve">charity research that uses the </w:t>
      </w:r>
      <w:r w:rsidR="005965A8" w:rsidRPr="00C06677">
        <w:t>current</w:t>
      </w:r>
      <w:r w:rsidR="003D7944" w:rsidRPr="00C06677">
        <w:t xml:space="preserve"> stimuli.  </w:t>
      </w:r>
      <w:r w:rsidR="00DA12F4" w:rsidRPr="00C06677">
        <w:t xml:space="preserve">Because the parameter is defined as a constant it does not require the data to be parsed into smaller bins. </w:t>
      </w:r>
      <w:r w:rsidR="003D7944" w:rsidRPr="00C06677">
        <w:t xml:space="preserve">For </w:t>
      </w:r>
      <w:r w:rsidR="00DA12F4" w:rsidRPr="00C06677">
        <w:t>these</w:t>
      </w:r>
      <w:r w:rsidR="003D7944" w:rsidRPr="00C06677">
        <w:t xml:space="preserve"> reason</w:t>
      </w:r>
      <w:r w:rsidR="00DA12F4" w:rsidRPr="00C06677">
        <w:t>s</w:t>
      </w:r>
      <w:r w:rsidR="003D7944" w:rsidRPr="00C06677">
        <w:t xml:space="preserve">, we include </w:t>
      </w:r>
      <w:r w:rsidR="006E4D71" w:rsidRPr="00C06677">
        <w:t>it</w:t>
      </w:r>
      <w:r w:rsidR="003D7944" w:rsidRPr="00C06677">
        <w:t xml:space="preserve"> in all the current models</w:t>
      </w:r>
      <w:r w:rsidR="003937FF" w:rsidRPr="00C06677">
        <w:t xml:space="preserve">.  </w:t>
      </w:r>
    </w:p>
    <w:p w14:paraId="0CAD99A8" w14:textId="41515398" w:rsidR="00676F48" w:rsidRPr="00C06677" w:rsidRDefault="005C4EF8" w:rsidP="00790B41">
      <w:pPr>
        <w:keepNext/>
        <w:spacing w:line="480" w:lineRule="auto"/>
        <w:ind w:firstLine="360"/>
        <w:outlineLvl w:val="0"/>
      </w:pPr>
      <w:r w:rsidRPr="00C06677">
        <w:t>T</w:t>
      </w:r>
      <w:r w:rsidR="00934972" w:rsidRPr="00C06677">
        <w:t>he start point parameter</w:t>
      </w:r>
      <w:r w:rsidRPr="00C06677">
        <w:t xml:space="preserve"> incorporated in th</w:t>
      </w:r>
      <w:r w:rsidR="00DA12F4" w:rsidRPr="00C06677">
        <w:t>e</w:t>
      </w:r>
      <w:r w:rsidRPr="00C06677">
        <w:t xml:space="preserve"> model</w:t>
      </w:r>
      <w:r w:rsidR="00934972" w:rsidRPr="00C06677">
        <w:t xml:space="preserve"> was </w:t>
      </w:r>
      <w:r w:rsidR="008C794E" w:rsidRPr="00C06677">
        <w:t>instrumental in</w:t>
      </w:r>
      <w:r w:rsidR="00934972" w:rsidRPr="00C06677">
        <w:t xml:space="preserve"> assessing the influence of a side bias</w:t>
      </w:r>
      <w:r w:rsidR="004D243F" w:rsidRPr="00C06677">
        <w:t xml:space="preserve"> – the tendency to prefer either the left or right option as presented in the scenario</w:t>
      </w:r>
      <w:r w:rsidR="00934972" w:rsidRPr="00C06677">
        <w:t xml:space="preserve">. </w:t>
      </w:r>
      <w:r w:rsidRPr="00C06677">
        <w:t xml:space="preserve">The effect of </w:t>
      </w:r>
      <w:r w:rsidR="00E862FB" w:rsidRPr="00C06677">
        <w:t xml:space="preserve">the </w:t>
      </w:r>
      <w:r w:rsidRPr="00C06677">
        <w:t xml:space="preserve">side bias </w:t>
      </w:r>
      <w:r w:rsidR="00E862FB" w:rsidRPr="00C06677">
        <w:t>is</w:t>
      </w:r>
      <w:r w:rsidRPr="00C06677">
        <w:t xml:space="preserve"> consistent</w:t>
      </w:r>
      <w:r w:rsidR="005C3E10" w:rsidRPr="00C06677">
        <w:t>,</w:t>
      </w:r>
      <w:r w:rsidRPr="00C06677">
        <w:t xml:space="preserve"> but small across the first two datasets. </w:t>
      </w:r>
      <w:r w:rsidR="003D7944" w:rsidRPr="00C06677">
        <w:t xml:space="preserve">Importantly, the side bias is likely a function of the formatting of our scenarios </w:t>
      </w:r>
      <w:r w:rsidR="00724A43" w:rsidRPr="00C06677">
        <w:t>(for instance</w:t>
      </w:r>
      <w:r w:rsidR="003D7944" w:rsidRPr="00C06677">
        <w:t xml:space="preserve">, the </w:t>
      </w:r>
      <w:r w:rsidR="006E4D71" w:rsidRPr="00C06677">
        <w:t xml:space="preserve">same </w:t>
      </w:r>
      <w:r w:rsidR="003D7944" w:rsidRPr="00C06677">
        <w:t xml:space="preserve">bias may </w:t>
      </w:r>
      <w:r w:rsidR="006E4D71" w:rsidRPr="00C06677">
        <w:t xml:space="preserve">not </w:t>
      </w:r>
      <w:r w:rsidR="00E862FB" w:rsidRPr="00C06677">
        <w:t>obtain</w:t>
      </w:r>
      <w:r w:rsidR="003D7944" w:rsidRPr="00C06677">
        <w:t xml:space="preserve"> if </w:t>
      </w:r>
      <w:r w:rsidR="00724A43" w:rsidRPr="00C06677">
        <w:t>the options were printed in a column rather than a row)</w:t>
      </w:r>
      <w:r w:rsidR="005965A8" w:rsidRPr="00C06677">
        <w:t>. We therefore do not consider it to be</w:t>
      </w:r>
      <w:r w:rsidR="00790B41" w:rsidRPr="00C06677">
        <w:t xml:space="preserve"> central to</w:t>
      </w:r>
      <w:r w:rsidR="003D7944" w:rsidRPr="00C06677">
        <w:t xml:space="preserve"> </w:t>
      </w:r>
      <w:r w:rsidR="005965A8" w:rsidRPr="00C06677">
        <w:t xml:space="preserve">how </w:t>
      </w:r>
      <w:r w:rsidR="003D7944" w:rsidRPr="00C06677">
        <w:t>charity decisions</w:t>
      </w:r>
      <w:r w:rsidR="005965A8" w:rsidRPr="00C06677">
        <w:t xml:space="preserve"> are </w:t>
      </w:r>
      <w:r w:rsidR="006E4D71" w:rsidRPr="00C06677">
        <w:t>made</w:t>
      </w:r>
      <w:r w:rsidR="00724A43" w:rsidRPr="00C06677">
        <w:t>.</w:t>
      </w:r>
      <w:r w:rsidR="00790B41" w:rsidRPr="00C06677">
        <w:t xml:space="preserve"> </w:t>
      </w:r>
    </w:p>
    <w:p w14:paraId="18BCBAB7" w14:textId="6F9E3387" w:rsidR="00B50377" w:rsidRPr="00C06677" w:rsidRDefault="00790B41" w:rsidP="004C2436">
      <w:pPr>
        <w:spacing w:line="480" w:lineRule="auto"/>
        <w:ind w:firstLine="360"/>
        <w:outlineLvl w:val="0"/>
      </w:pPr>
      <w:r w:rsidRPr="00C06677">
        <w:t xml:space="preserve">Although we do not doubt the presence of the side bias in Experiments 1 and 2, </w:t>
      </w:r>
      <w:r w:rsidR="00B50377" w:rsidRPr="00C06677">
        <w:t xml:space="preserve">we do not pursue </w:t>
      </w:r>
      <w:r w:rsidRPr="00C06677">
        <w:t xml:space="preserve">the quantification of </w:t>
      </w:r>
      <w:r w:rsidR="006E4D71" w:rsidRPr="00C06677">
        <w:t>it</w:t>
      </w:r>
      <w:r w:rsidR="00B50377" w:rsidRPr="00C06677">
        <w:t xml:space="preserve"> </w:t>
      </w:r>
      <w:r w:rsidR="00E5240B" w:rsidRPr="00C06677">
        <w:t xml:space="preserve">here </w:t>
      </w:r>
      <w:r w:rsidR="00B50377" w:rsidRPr="00C06677">
        <w:t>for several reasons. First, explor</w:t>
      </w:r>
      <w:r w:rsidR="00793C89" w:rsidRPr="00C06677">
        <w:t>ing</w:t>
      </w:r>
      <w:r w:rsidR="00B50377" w:rsidRPr="00C06677">
        <w:t xml:space="preserve"> the influence of both a side bias and</w:t>
      </w:r>
      <w:r w:rsidR="00E862FB" w:rsidRPr="00C06677">
        <w:t xml:space="preserve"> the</w:t>
      </w:r>
      <w:r w:rsidR="00B50377" w:rsidRPr="00C06677">
        <w:t xml:space="preserve"> in-group manipulation</w:t>
      </w:r>
      <w:r w:rsidR="00793C89" w:rsidRPr="00C06677">
        <w:t xml:space="preserve"> requires the data to be</w:t>
      </w:r>
      <w:r w:rsidR="00B50377" w:rsidRPr="00C06677">
        <w:t xml:space="preserve"> parse</w:t>
      </w:r>
      <w:r w:rsidR="00793C89" w:rsidRPr="00C06677">
        <w:t>d</w:t>
      </w:r>
      <w:r w:rsidR="00B50377" w:rsidRPr="00C06677">
        <w:t xml:space="preserve"> into </w:t>
      </w:r>
      <w:r w:rsidR="00E862FB" w:rsidRPr="00C06677">
        <w:t xml:space="preserve">many more </w:t>
      </w:r>
      <w:r w:rsidR="00B50377" w:rsidRPr="00C06677">
        <w:t>relatively small bins (overlap by side by consistency)</w:t>
      </w:r>
      <w:r w:rsidR="00E862FB" w:rsidRPr="00C06677">
        <w:t xml:space="preserve">. </w:t>
      </w:r>
      <w:r w:rsidR="00DE5207" w:rsidRPr="00C06677">
        <w:t>The reduced number of observations per bin produce</w:t>
      </w:r>
      <w:r w:rsidR="00B50377" w:rsidRPr="00C06677">
        <w:t xml:space="preserve"> </w:t>
      </w:r>
      <w:r w:rsidR="00DE5207" w:rsidRPr="00C06677">
        <w:t>less stable</w:t>
      </w:r>
      <w:r w:rsidR="00B50377" w:rsidRPr="00C06677">
        <w:t xml:space="preserve"> estimates </w:t>
      </w:r>
      <w:r w:rsidRPr="00C06677">
        <w:t xml:space="preserve">of </w:t>
      </w:r>
      <w:r w:rsidR="00E862FB" w:rsidRPr="00C06677">
        <w:t xml:space="preserve">both </w:t>
      </w:r>
      <w:r w:rsidRPr="00C06677">
        <w:t>response bias and RT</w:t>
      </w:r>
      <w:r w:rsidR="00B50377" w:rsidRPr="00C06677">
        <w:t>.  Second, the number of models</w:t>
      </w:r>
      <w:r w:rsidRPr="00C06677">
        <w:t xml:space="preserve"> required</w:t>
      </w:r>
      <w:r w:rsidR="00B50377" w:rsidRPr="00C06677">
        <w:t xml:space="preserve"> </w:t>
      </w:r>
      <w:r w:rsidR="00E862FB" w:rsidRPr="00C06677">
        <w:t xml:space="preserve">to assess both effects </w:t>
      </w:r>
      <w:r w:rsidR="00B50377" w:rsidRPr="00C06677">
        <w:t xml:space="preserve">would increase multiplicatively, thus further increasing the influence of random effects. Finally, because we randomized the side on which </w:t>
      </w:r>
      <w:r w:rsidR="00207F00" w:rsidRPr="00C06677">
        <w:t xml:space="preserve">the respective </w:t>
      </w:r>
      <w:r w:rsidR="00B50377" w:rsidRPr="00C06677">
        <w:t xml:space="preserve">in-group/out-group </w:t>
      </w:r>
      <w:r w:rsidR="00207F00" w:rsidRPr="00C06677">
        <w:t xml:space="preserve">options </w:t>
      </w:r>
      <w:r w:rsidR="00B50377" w:rsidRPr="00C06677">
        <w:t xml:space="preserve">were presented, the influence of side bias should be independent of the influence of the in-group manipulation. As a result, eliminating the side bias parameter </w:t>
      </w:r>
      <w:r w:rsidR="00207F00" w:rsidRPr="00C06677">
        <w:t xml:space="preserve">from consideration </w:t>
      </w:r>
      <w:r w:rsidR="00207F00" w:rsidRPr="00C06677">
        <w:lastRenderedPageBreak/>
        <w:t xml:space="preserve">does not </w:t>
      </w:r>
      <w:r w:rsidR="00B50377" w:rsidRPr="00C06677">
        <w:t>affect</w:t>
      </w:r>
      <w:r w:rsidR="00E43797" w:rsidRPr="00C06677">
        <w:t xml:space="preserve"> </w:t>
      </w:r>
      <w:r w:rsidR="00B50377" w:rsidRPr="00C06677">
        <w:t>the identification of</w:t>
      </w:r>
      <w:r w:rsidR="00207F00" w:rsidRPr="00C06677">
        <w:t xml:space="preserve"> any effect due to</w:t>
      </w:r>
      <w:r w:rsidR="00B50377" w:rsidRPr="00C06677">
        <w:t xml:space="preserve"> the in-group manipulation.  Thus, any putative effects of group membership should generalize, in ways that any putative </w:t>
      </w:r>
      <w:r w:rsidRPr="00C06677">
        <w:t>side</w:t>
      </w:r>
      <w:r w:rsidR="00B50377" w:rsidRPr="00C06677">
        <w:t xml:space="preserve"> bias effects would not. </w:t>
      </w:r>
    </w:p>
    <w:p w14:paraId="40ACC149" w14:textId="59D63B80" w:rsidR="00BB021E" w:rsidRPr="00C06677" w:rsidRDefault="00046395" w:rsidP="000C5040">
      <w:pPr>
        <w:keepNext/>
        <w:spacing w:line="480" w:lineRule="auto"/>
        <w:ind w:firstLine="360"/>
        <w:outlineLvl w:val="0"/>
      </w:pPr>
      <w:r w:rsidRPr="00C06677">
        <w:t xml:space="preserve">To identify the source of the in-group effect on charitable giving, we compared the performance of four models:  </w:t>
      </w:r>
    </w:p>
    <w:p w14:paraId="4D6DF3FD" w14:textId="0AB57432" w:rsidR="00BB021E" w:rsidRPr="00C06677" w:rsidRDefault="00BB021E" w:rsidP="00790B5F">
      <w:pPr>
        <w:pStyle w:val="ListParagraph"/>
        <w:keepNext/>
        <w:numPr>
          <w:ilvl w:val="0"/>
          <w:numId w:val="5"/>
        </w:numPr>
        <w:spacing w:line="480" w:lineRule="auto"/>
        <w:outlineLvl w:val="0"/>
      </w:pPr>
      <w:r w:rsidRPr="00C06677">
        <w:t xml:space="preserve">The </w:t>
      </w:r>
      <w:r w:rsidRPr="00C06677">
        <w:rPr>
          <w:i/>
          <w:iCs/>
        </w:rPr>
        <w:t>Value Constant Model</w:t>
      </w:r>
      <w:r w:rsidR="000930CB" w:rsidRPr="00C06677">
        <w:t xml:space="preserve"> is the same model as Experiment 1.</w:t>
      </w:r>
      <w:r w:rsidR="006A26A1" w:rsidRPr="00C06677">
        <w:t xml:space="preserve"> </w:t>
      </w:r>
    </w:p>
    <w:p w14:paraId="0E3608CE" w14:textId="20832C11" w:rsidR="00BB021E" w:rsidRPr="00C06677" w:rsidRDefault="00BB021E" w:rsidP="00BB021E">
      <w:pPr>
        <w:pStyle w:val="ListParagraph"/>
        <w:keepNext/>
        <w:numPr>
          <w:ilvl w:val="0"/>
          <w:numId w:val="5"/>
        </w:numPr>
        <w:spacing w:line="480" w:lineRule="auto"/>
        <w:outlineLvl w:val="0"/>
      </w:pPr>
      <w:r w:rsidRPr="00C06677">
        <w:t xml:space="preserve">The </w:t>
      </w:r>
      <w:r w:rsidR="000930CB" w:rsidRPr="00C06677">
        <w:rPr>
          <w:i/>
          <w:iCs/>
        </w:rPr>
        <w:t xml:space="preserve">In-group </w:t>
      </w:r>
      <w:r w:rsidR="006B07ED">
        <w:rPr>
          <w:i/>
          <w:iCs/>
        </w:rPr>
        <w:t>Start Point</w:t>
      </w:r>
      <w:r w:rsidR="000930CB" w:rsidRPr="00C06677">
        <w:rPr>
          <w:i/>
          <w:iCs/>
        </w:rPr>
        <w:t xml:space="preserve"> Bias</w:t>
      </w:r>
      <w:r w:rsidRPr="00C06677">
        <w:rPr>
          <w:i/>
          <w:iCs/>
        </w:rPr>
        <w:t xml:space="preserve"> Model</w:t>
      </w:r>
      <w:r w:rsidRPr="00C06677">
        <w:t>, which assessed for a response bias</w:t>
      </w:r>
      <w:r w:rsidR="005F5D16" w:rsidRPr="00C06677">
        <w:t xml:space="preserve"> in the data. Such a bias would reflect the fact that</w:t>
      </w:r>
      <w:r w:rsidRPr="00C06677">
        <w:t xml:space="preserve"> participants </w:t>
      </w:r>
      <w:r w:rsidR="005F5D16" w:rsidRPr="00C06677">
        <w:t>shifted the</w:t>
      </w:r>
      <w:r w:rsidR="000930CB" w:rsidRPr="00C06677">
        <w:t xml:space="preserve"> start point toward the in-group option</w:t>
      </w:r>
      <w:r w:rsidR="00442CA7">
        <w:t xml:space="preserve"> (see Figure 9)</w:t>
      </w:r>
      <w:r w:rsidRPr="00C06677">
        <w:t xml:space="preserve">.  This model </w:t>
      </w:r>
      <w:r w:rsidR="000930CB" w:rsidRPr="00C06677">
        <w:t>is</w:t>
      </w:r>
      <w:r w:rsidRPr="00C06677">
        <w:t xml:space="preserve"> identical to the </w:t>
      </w:r>
      <w:r w:rsidR="000930CB" w:rsidRPr="00C06677">
        <w:rPr>
          <w:i/>
          <w:iCs/>
        </w:rPr>
        <w:t xml:space="preserve">Value Constant </w:t>
      </w:r>
      <w:r w:rsidRPr="00C06677">
        <w:t xml:space="preserve">Model, with the exception that it </w:t>
      </w:r>
      <w:r w:rsidR="000930CB" w:rsidRPr="00C06677">
        <w:t>adds</w:t>
      </w:r>
      <w:r w:rsidRPr="00C06677">
        <w:t xml:space="preserve"> a free parameter to capture shift</w:t>
      </w:r>
      <w:r w:rsidR="007C37D8" w:rsidRPr="00C06677">
        <w:t>ing</w:t>
      </w:r>
      <w:r w:rsidRPr="00C06677">
        <w:t xml:space="preserve"> the start point toward the </w:t>
      </w:r>
      <w:r w:rsidR="000930CB" w:rsidRPr="00C06677">
        <w:t>in-group option</w:t>
      </w:r>
      <w:r w:rsidRPr="00C06677">
        <w:t xml:space="preserve">.  </w:t>
      </w:r>
      <w:r w:rsidRPr="001969F7">
        <w:t xml:space="preserve">Within the context of the RRW, a bias toward the </w:t>
      </w:r>
      <w:r w:rsidR="000930CB" w:rsidRPr="001969F7">
        <w:t>in-group</w:t>
      </w:r>
      <w:r w:rsidRPr="001969F7">
        <w:t xml:space="preserve"> translates into a positive bias in the </w:t>
      </w:r>
      <w:r w:rsidR="000D121E" w:rsidRPr="001969F7">
        <w:t>Compatible</w:t>
      </w:r>
      <w:r w:rsidRPr="001969F7">
        <w:t xml:space="preserve"> trials and an equal but negative bias in the </w:t>
      </w:r>
      <w:r w:rsidR="000D121E" w:rsidRPr="001969F7">
        <w:t>Incompatible</w:t>
      </w:r>
      <w:r w:rsidRPr="001969F7">
        <w:t xml:space="preserve"> trials. To model this, we effect code</w:t>
      </w:r>
      <w:r w:rsidR="005F5D16" w:rsidRPr="001969F7">
        <w:t>d</w:t>
      </w:r>
      <w:r w:rsidRPr="001969F7">
        <w:t xml:space="preserve"> the </w:t>
      </w:r>
      <w:r w:rsidR="000D121E" w:rsidRPr="001969F7">
        <w:t>Compatible trials</w:t>
      </w:r>
      <w:r w:rsidRPr="001969F7">
        <w:t xml:space="preserve"> as 1</w:t>
      </w:r>
      <w:r w:rsidR="000D121E" w:rsidRPr="001969F7">
        <w:t xml:space="preserve">, </w:t>
      </w:r>
      <w:r w:rsidRPr="001969F7">
        <w:t xml:space="preserve">the </w:t>
      </w:r>
      <w:r w:rsidR="000D121E" w:rsidRPr="001969F7">
        <w:t xml:space="preserve">Incompatible trials </w:t>
      </w:r>
      <w:r w:rsidRPr="001969F7">
        <w:t>as -1</w:t>
      </w:r>
      <w:r w:rsidR="000D121E" w:rsidRPr="001969F7">
        <w:t>, and the Neutral trials as a 0</w:t>
      </w:r>
      <w:r w:rsidRPr="001969F7">
        <w:t xml:space="preserve">. This effect coding is multiplied by the </w:t>
      </w:r>
      <w:r w:rsidRPr="001969F7">
        <w:rPr>
          <w:i/>
          <w:iCs/>
        </w:rPr>
        <w:t xml:space="preserve">start point </w:t>
      </w:r>
      <w:r w:rsidRPr="001969F7">
        <w:t>parameter which then varies the start point as a symmetric positive/negative effect around a zero start point for the trial types.</w:t>
      </w:r>
      <w:r w:rsidRPr="00C06677">
        <w:rPr>
          <w:rFonts w:ascii="TimesNewRomanPSMT" w:hAnsi="TimesNewRomanPSMT"/>
        </w:rPr>
        <w:t xml:space="preserve"> </w:t>
      </w:r>
    </w:p>
    <w:p w14:paraId="28CAA9D6" w14:textId="66B9662C" w:rsidR="000D121E" w:rsidRPr="00C06677" w:rsidRDefault="000D121E" w:rsidP="00315F54">
      <w:pPr>
        <w:pStyle w:val="ListParagraph"/>
        <w:keepNext/>
        <w:numPr>
          <w:ilvl w:val="0"/>
          <w:numId w:val="5"/>
        </w:numPr>
        <w:spacing w:line="480" w:lineRule="auto"/>
        <w:outlineLvl w:val="0"/>
      </w:pPr>
      <w:r w:rsidRPr="00C06677">
        <w:t xml:space="preserve">The </w:t>
      </w:r>
      <w:r w:rsidR="00C27C56" w:rsidRPr="002D6464">
        <w:rPr>
          <w:i/>
          <w:iCs/>
        </w:rPr>
        <w:t>In-</w:t>
      </w:r>
      <w:r w:rsidR="00C27C56">
        <w:rPr>
          <w:i/>
          <w:iCs/>
        </w:rPr>
        <w:t>g</w:t>
      </w:r>
      <w:r w:rsidR="00C27C56" w:rsidRPr="002D6464">
        <w:rPr>
          <w:i/>
          <w:iCs/>
        </w:rPr>
        <w:t xml:space="preserve">roup </w:t>
      </w:r>
      <w:r w:rsidRPr="00C06677">
        <w:rPr>
          <w:i/>
          <w:iCs/>
        </w:rPr>
        <w:t>Value Chang</w:t>
      </w:r>
      <w:r w:rsidR="00315F54" w:rsidRPr="00C06677">
        <w:rPr>
          <w:i/>
          <w:iCs/>
        </w:rPr>
        <w:t>e</w:t>
      </w:r>
      <w:r w:rsidRPr="00C06677">
        <w:rPr>
          <w:i/>
          <w:iCs/>
        </w:rPr>
        <w:t xml:space="preserve"> Model</w:t>
      </w:r>
      <w:r w:rsidRPr="00C06677">
        <w:t xml:space="preserve">, which assessed for a value shift such that the in-group option increased in value by a constant, thus changing the Overlap of the pair.  This model is identical to the </w:t>
      </w:r>
      <w:r w:rsidRPr="00C06677">
        <w:rPr>
          <w:i/>
          <w:iCs/>
        </w:rPr>
        <w:t xml:space="preserve">Value Constant </w:t>
      </w:r>
      <w:r w:rsidRPr="00C06677">
        <w:t>Model, with the exception that it adds a free parameter to capture the value shift of the in</w:t>
      </w:r>
      <w:r w:rsidR="00E3654C" w:rsidRPr="00C06677">
        <w:t>-</w:t>
      </w:r>
      <w:r w:rsidRPr="00C06677">
        <w:t>group</w:t>
      </w:r>
      <w:r w:rsidR="00442CA7">
        <w:t xml:space="preserve"> (see Figure 8)</w:t>
      </w:r>
      <w:r w:rsidRPr="00C06677">
        <w:t xml:space="preserve">. </w:t>
      </w:r>
      <w:r w:rsidRPr="001969F7">
        <w:t>Within the context of the RRW, a value increase in the in-group translates into a decrease in the Overlap in the Compatible trials and an equal increase in the overlap in the Incompatible trials. To model this, we effect code</w:t>
      </w:r>
      <w:r w:rsidR="005F5D16" w:rsidRPr="001969F7">
        <w:t>d</w:t>
      </w:r>
      <w:r w:rsidRPr="001969F7">
        <w:t xml:space="preserve"> the Compatible trials as 1, the Incompatible trials as -1, and </w:t>
      </w:r>
      <w:r w:rsidRPr="001969F7">
        <w:lastRenderedPageBreak/>
        <w:t xml:space="preserve">the Neutral trials as a 0. </w:t>
      </w:r>
      <w:r w:rsidR="00315F54" w:rsidRPr="001969F7">
        <w:t xml:space="preserve">Such an effect will result in a negative parameter value.  </w:t>
      </w:r>
      <w:r w:rsidRPr="001969F7">
        <w:t>This effect coding is multiplied by the</w:t>
      </w:r>
      <w:r w:rsidRPr="00C06677">
        <w:rPr>
          <w:rFonts w:ascii="TimesNewRomanPSMT" w:hAnsi="TimesNewRomanPSMT"/>
        </w:rPr>
        <w:t xml:space="preserve"> </w:t>
      </w:r>
      <w:r w:rsidRPr="00C06677">
        <w:rPr>
          <w:rFonts w:ascii="TimesNewRomanPS" w:hAnsi="TimesNewRomanPS"/>
          <w:i/>
          <w:iCs/>
        </w:rPr>
        <w:t xml:space="preserve">value change </w:t>
      </w:r>
      <w:r w:rsidRPr="00C06677">
        <w:rPr>
          <w:rFonts w:ascii="TimesNewRomanPSMT" w:hAnsi="TimesNewRomanPSMT"/>
        </w:rPr>
        <w:t xml:space="preserve">parameter. </w:t>
      </w:r>
    </w:p>
    <w:p w14:paraId="49FC7CC9" w14:textId="66C4F566" w:rsidR="00BB021E" w:rsidRPr="00C06677" w:rsidRDefault="00BB021E" w:rsidP="00BB021E">
      <w:pPr>
        <w:pStyle w:val="ListParagraph"/>
        <w:keepNext/>
        <w:numPr>
          <w:ilvl w:val="0"/>
          <w:numId w:val="5"/>
        </w:numPr>
        <w:spacing w:line="480" w:lineRule="auto"/>
        <w:outlineLvl w:val="0"/>
      </w:pPr>
      <w:r w:rsidRPr="00C06677">
        <w:t xml:space="preserve">The </w:t>
      </w:r>
      <w:r w:rsidR="00315F54" w:rsidRPr="00C06677">
        <w:rPr>
          <w:i/>
          <w:iCs/>
        </w:rPr>
        <w:t>In-group</w:t>
      </w:r>
      <w:r w:rsidR="00437D69" w:rsidRPr="00C06677">
        <w:rPr>
          <w:i/>
          <w:iCs/>
        </w:rPr>
        <w:t xml:space="preserve"> </w:t>
      </w:r>
      <w:r w:rsidR="006B07ED">
        <w:rPr>
          <w:i/>
          <w:iCs/>
        </w:rPr>
        <w:t>Start Point</w:t>
      </w:r>
      <w:r w:rsidR="00315F54" w:rsidRPr="00C06677">
        <w:rPr>
          <w:i/>
          <w:iCs/>
        </w:rPr>
        <w:t xml:space="preserve"> Bias</w:t>
      </w:r>
      <w:r w:rsidR="00437D69" w:rsidRPr="00C06677">
        <w:rPr>
          <w:i/>
          <w:iCs/>
        </w:rPr>
        <w:t xml:space="preserve"> + </w:t>
      </w:r>
      <w:r w:rsidR="006B07ED">
        <w:rPr>
          <w:i/>
          <w:iCs/>
        </w:rPr>
        <w:t xml:space="preserve">In-group </w:t>
      </w:r>
      <w:r w:rsidR="00437D69" w:rsidRPr="00C06677">
        <w:rPr>
          <w:i/>
          <w:iCs/>
        </w:rPr>
        <w:t>Value Change</w:t>
      </w:r>
      <w:r w:rsidR="00315F54" w:rsidRPr="00C06677">
        <w:rPr>
          <w:i/>
          <w:iCs/>
        </w:rPr>
        <w:t xml:space="preserve"> </w:t>
      </w:r>
      <w:r w:rsidRPr="00C06677">
        <w:rPr>
          <w:i/>
          <w:iCs/>
        </w:rPr>
        <w:t>Model</w:t>
      </w:r>
      <w:r w:rsidRPr="00C06677">
        <w:t xml:space="preserve"> added both a value </w:t>
      </w:r>
      <w:r w:rsidR="00642BE1" w:rsidRPr="00C06677">
        <w:t>change</w:t>
      </w:r>
      <w:r w:rsidRPr="00C06677">
        <w:t xml:space="preserve"> and a </w:t>
      </w:r>
      <w:r w:rsidR="006B07ED">
        <w:t>start point</w:t>
      </w:r>
      <w:r w:rsidRPr="00C06677">
        <w:t xml:space="preserve"> bias. </w:t>
      </w:r>
    </w:p>
    <w:p w14:paraId="2C6791ED" w14:textId="700B9786" w:rsidR="00046395" w:rsidRPr="00C06677" w:rsidRDefault="00046395" w:rsidP="00E1482B">
      <w:pPr>
        <w:spacing w:line="480" w:lineRule="auto"/>
      </w:pPr>
      <w:r w:rsidRPr="00C06677">
        <w:t xml:space="preserve">In all other ways, we conducted the RRW analysis in Experiment </w:t>
      </w:r>
      <w:r w:rsidR="00134D3C" w:rsidRPr="00C06677">
        <w:t>3 as described previously</w:t>
      </w:r>
      <w:r w:rsidRPr="00C06677">
        <w:t xml:space="preserve">. </w:t>
      </w:r>
    </w:p>
    <w:p w14:paraId="02D31AB4" w14:textId="6E625C73" w:rsidR="00ED21A1" w:rsidRPr="002D6464" w:rsidRDefault="00046395" w:rsidP="00046395">
      <w:pPr>
        <w:keepNext/>
        <w:spacing w:line="480" w:lineRule="auto"/>
        <w:ind w:firstLine="720"/>
        <w:outlineLvl w:val="0"/>
      </w:pPr>
      <w:r w:rsidRPr="002D6464">
        <w:t xml:space="preserve">Table 1 presents the </w:t>
      </w:r>
      <w:r w:rsidRPr="002D6464">
        <w:rPr>
          <w:i/>
          <w:iCs/>
        </w:rPr>
        <w:t>r</w:t>
      </w:r>
      <w:r w:rsidRPr="002D6464">
        <w:rPr>
          <w:i/>
          <w:iCs/>
          <w:vertAlign w:val="superscript"/>
        </w:rPr>
        <w:t>2</w:t>
      </w:r>
      <w:r w:rsidRPr="002D6464">
        <w:t xml:space="preserve"> and BIC for each model.  All models fit the data quite well, but the </w:t>
      </w:r>
      <w:r w:rsidR="006B07ED" w:rsidRPr="00C06677">
        <w:rPr>
          <w:color w:val="000000" w:themeColor="text1"/>
        </w:rPr>
        <w:t xml:space="preserve">In-group </w:t>
      </w:r>
      <w:r w:rsidRPr="002D6464">
        <w:t xml:space="preserve">Value Change model was the best fit with an </w:t>
      </w:r>
      <w:r w:rsidRPr="002D6464">
        <w:rPr>
          <w:i/>
          <w:iCs/>
        </w:rPr>
        <w:t>r</w:t>
      </w:r>
      <w:r w:rsidRPr="002D6464">
        <w:rPr>
          <w:i/>
          <w:iCs/>
          <w:vertAlign w:val="superscript"/>
        </w:rPr>
        <w:t>2</w:t>
      </w:r>
      <w:r w:rsidRPr="002D6464">
        <w:t xml:space="preserve"> = 0.</w:t>
      </w:r>
      <w:r w:rsidR="00F9306E" w:rsidRPr="002D6464">
        <w:t xml:space="preserve">93 </w:t>
      </w:r>
      <w:r w:rsidR="00321649" w:rsidRPr="002D6464">
        <w:t xml:space="preserve">(see Figure </w:t>
      </w:r>
      <w:r w:rsidR="005E6E67">
        <w:t>10</w:t>
      </w:r>
      <w:r w:rsidR="00321649" w:rsidRPr="002D6464">
        <w:t>, right</w:t>
      </w:r>
      <w:r w:rsidR="00382CD6">
        <w:t>-hand side</w:t>
      </w:r>
      <w:r w:rsidR="00321649" w:rsidRPr="002D6464">
        <w:t>)</w:t>
      </w:r>
      <w:r w:rsidR="00C36D6E" w:rsidRPr="002D6464">
        <w:rPr>
          <w:rStyle w:val="EndnoteReference"/>
        </w:rPr>
        <w:endnoteReference w:id="3"/>
      </w:r>
      <w:r w:rsidRPr="002D6464">
        <w:t xml:space="preserve">. The </w:t>
      </w:r>
      <w:r w:rsidR="00105C7E" w:rsidRPr="002D6464">
        <w:t xml:space="preserve">six </w:t>
      </w:r>
      <w:r w:rsidRPr="002D6464">
        <w:t xml:space="preserve">free parameters in the </w:t>
      </w:r>
      <w:r w:rsidR="006B07ED" w:rsidRPr="00C06677">
        <w:rPr>
          <w:color w:val="000000" w:themeColor="text1"/>
        </w:rPr>
        <w:t xml:space="preserve">In-group </w:t>
      </w:r>
      <w:r w:rsidR="006B07ED" w:rsidRPr="00531BD6">
        <w:t xml:space="preserve">Value Change </w:t>
      </w:r>
      <w:r w:rsidRPr="002D6464">
        <w:t xml:space="preserve">model are presented in Table 2. The </w:t>
      </w:r>
      <w:r w:rsidR="005F1438" w:rsidRPr="002D6464">
        <w:rPr>
          <w:i/>
          <w:iCs/>
        </w:rPr>
        <w:t>T</w:t>
      </w:r>
      <w:r w:rsidR="005F1438" w:rsidRPr="002D6464">
        <w:rPr>
          <w:i/>
          <w:iCs/>
          <w:vertAlign w:val="subscript"/>
        </w:rPr>
        <w:t>er</w:t>
      </w:r>
      <w:r w:rsidR="005F1438" w:rsidRPr="002D6464">
        <w:rPr>
          <w:i/>
          <w:iCs/>
        </w:rPr>
        <w:t xml:space="preserve">, </w:t>
      </w:r>
      <w:r w:rsidR="00105C7E" w:rsidRPr="002D6464">
        <w:rPr>
          <w:i/>
          <w:iCs/>
        </w:rPr>
        <w:t>N</w:t>
      </w:r>
      <w:r w:rsidR="00105C7E" w:rsidRPr="002D6464">
        <w:rPr>
          <w:i/>
          <w:iCs/>
          <w:vertAlign w:val="subscript"/>
        </w:rPr>
        <w:t>SD</w:t>
      </w:r>
      <w:r w:rsidR="005F1438" w:rsidRPr="002D6464">
        <w:t xml:space="preserve">, </w:t>
      </w:r>
      <w:r w:rsidR="00105C7E" w:rsidRPr="002D6464">
        <w:rPr>
          <w:i/>
          <w:iCs/>
        </w:rPr>
        <w:t>vc</w:t>
      </w:r>
      <w:r w:rsidR="00105C7E" w:rsidRPr="002D6464">
        <w:t xml:space="preserve">, </w:t>
      </w:r>
      <w:r w:rsidR="005F1438" w:rsidRPr="002D6464">
        <w:t xml:space="preserve">and </w:t>
      </w:r>
      <w:r w:rsidR="005F1438" w:rsidRPr="002D6464">
        <w:rPr>
          <w:i/>
          <w:iCs/>
        </w:rPr>
        <w:t>d</w:t>
      </w:r>
      <w:r w:rsidR="005F1438" w:rsidRPr="002D6464">
        <w:rPr>
          <w:i/>
          <w:iCs/>
          <w:vertAlign w:val="subscript"/>
        </w:rPr>
        <w:t>B</w:t>
      </w:r>
      <w:r w:rsidR="005F1438" w:rsidRPr="002D6464">
        <w:t xml:space="preserve"> </w:t>
      </w:r>
      <w:r w:rsidRPr="002D6464">
        <w:t>free parameter</w:t>
      </w:r>
      <w:r w:rsidR="005F1438" w:rsidRPr="002D6464">
        <w:t xml:space="preserve"> values are similar to those estimated for </w:t>
      </w:r>
      <w:r w:rsidRPr="002D6464">
        <w:t xml:space="preserve">the best fit model of Experiment 1.  </w:t>
      </w:r>
      <w:r w:rsidR="00105C7E" w:rsidRPr="002D6464">
        <w:t>Importantly</w:t>
      </w:r>
      <w:r w:rsidR="005F1438" w:rsidRPr="002D6464">
        <w:t>, t</w:t>
      </w:r>
      <w:r w:rsidRPr="002D6464">
        <w:t xml:space="preserve">he </w:t>
      </w:r>
      <w:r w:rsidR="00525151" w:rsidRPr="002D6464">
        <w:t xml:space="preserve">Value Change parameter </w:t>
      </w:r>
      <w:r w:rsidR="005F1438" w:rsidRPr="002D6464">
        <w:t xml:space="preserve">added in Experiment </w:t>
      </w:r>
      <w:r w:rsidR="00105C7E" w:rsidRPr="002D6464">
        <w:t xml:space="preserve">3 </w:t>
      </w:r>
      <w:r w:rsidR="00525151" w:rsidRPr="002D6464">
        <w:t xml:space="preserve">revealed that the in-group manipulation </w:t>
      </w:r>
      <w:r w:rsidR="005F1438" w:rsidRPr="002D6464">
        <w:t xml:space="preserve">influenced the value of the probes.  Specifically, the in-group manipulation </w:t>
      </w:r>
      <w:r w:rsidR="00525151" w:rsidRPr="002D6464">
        <w:t>decreased the Overlap by 0.</w:t>
      </w:r>
      <w:r w:rsidR="004E03BB" w:rsidRPr="002D6464">
        <w:t>1</w:t>
      </w:r>
      <w:r w:rsidR="00525151" w:rsidRPr="002D6464">
        <w:t xml:space="preserve"> when the in-group was the HVO and increased the Overlap by 0.</w:t>
      </w:r>
      <w:r w:rsidR="004E03BB" w:rsidRPr="002D6464">
        <w:t>1</w:t>
      </w:r>
      <w:r w:rsidR="00525151" w:rsidRPr="002D6464">
        <w:t xml:space="preserve"> when the in-group was the LVO. </w:t>
      </w:r>
      <w:r w:rsidR="005F1438" w:rsidRPr="002D6464">
        <w:t xml:space="preserve">Because the Value Change parameter </w:t>
      </w:r>
      <w:r w:rsidR="00134D3C" w:rsidRPr="002D6464">
        <w:t xml:space="preserve">simply </w:t>
      </w:r>
      <w:r w:rsidR="005F1438" w:rsidRPr="002D6464">
        <w:t>adjusts the Overlap value, we cannot determine whether</w:t>
      </w:r>
      <w:r w:rsidR="00D25B19" w:rsidRPr="002D6464">
        <w:t>,</w:t>
      </w:r>
      <w:r w:rsidR="005F1438" w:rsidRPr="002D6464">
        <w:t xml:space="preserve"> </w:t>
      </w:r>
      <w:r w:rsidR="00134D3C" w:rsidRPr="002D6464">
        <w:t>in the data</w:t>
      </w:r>
      <w:r w:rsidR="00D25B19" w:rsidRPr="002D6464">
        <w:t>,</w:t>
      </w:r>
      <w:r w:rsidR="00134D3C" w:rsidRPr="002D6464">
        <w:t xml:space="preserve"> the effect of </w:t>
      </w:r>
      <w:r w:rsidR="005F1438" w:rsidRPr="002D6464">
        <w:t>th</w:t>
      </w:r>
      <w:r w:rsidR="00134D3C" w:rsidRPr="002D6464">
        <w:t>e</w:t>
      </w:r>
      <w:r w:rsidR="005F1438" w:rsidRPr="002D6464">
        <w:t xml:space="preserve"> </w:t>
      </w:r>
      <w:r w:rsidR="00525151" w:rsidRPr="002D6464">
        <w:t xml:space="preserve">in-group manipulation </w:t>
      </w:r>
      <w:r w:rsidR="00134D3C" w:rsidRPr="002D6464">
        <w:t xml:space="preserve">(i) </w:t>
      </w:r>
      <w:r w:rsidR="00525151" w:rsidRPr="002D6464">
        <w:t>increase</w:t>
      </w:r>
      <w:r w:rsidR="00134D3C" w:rsidRPr="002D6464">
        <w:t>s</w:t>
      </w:r>
      <w:r w:rsidR="00525151" w:rsidRPr="002D6464">
        <w:t xml:space="preserve"> the value of the in-group members</w:t>
      </w:r>
      <w:r w:rsidR="005F1438" w:rsidRPr="002D6464">
        <w:t xml:space="preserve"> </w:t>
      </w:r>
      <w:r w:rsidR="00134D3C" w:rsidRPr="002D6464">
        <w:t xml:space="preserve">(ii) </w:t>
      </w:r>
      <w:r w:rsidR="005F1438" w:rsidRPr="002D6464">
        <w:t>decreases the value of the out-group members</w:t>
      </w:r>
      <w:r w:rsidR="00134D3C" w:rsidRPr="002D6464">
        <w:t>, or (iii) simply forces the two groups apart</w:t>
      </w:r>
      <w:r w:rsidR="005F1438" w:rsidRPr="002D6464">
        <w:t xml:space="preserve">.  </w:t>
      </w:r>
      <w:r w:rsidR="00134D3C" w:rsidRPr="002D6464">
        <w:t>Nevertheless, w</w:t>
      </w:r>
      <w:r w:rsidR="005F1438" w:rsidRPr="002D6464">
        <w:t>e suspect that both influences are at play.</w:t>
      </w:r>
    </w:p>
    <w:p w14:paraId="3C1DED37" w14:textId="68D0DCB6" w:rsidR="0099306D" w:rsidRDefault="00046395" w:rsidP="002D6464">
      <w:pPr>
        <w:keepNext/>
        <w:spacing w:line="480" w:lineRule="auto"/>
        <w:ind w:firstLine="720"/>
        <w:outlineLvl w:val="0"/>
      </w:pPr>
      <w:r w:rsidRPr="00C06677">
        <w:t>In sum, the results showed that PVT accounted for 9</w:t>
      </w:r>
      <w:r w:rsidR="00A54516" w:rsidRPr="00C06677">
        <w:t>6</w:t>
      </w:r>
      <w:r w:rsidRPr="00C06677">
        <w:t>% of variance in response choice and 9</w:t>
      </w:r>
      <w:r w:rsidR="00A54516" w:rsidRPr="00C06677">
        <w:t>7</w:t>
      </w:r>
      <w:r w:rsidRPr="00C06677">
        <w:t xml:space="preserve">% of variance in RT when analyzed using regressions. Moreover, we tested four versions of the random walk process and discovered that </w:t>
      </w:r>
      <w:r w:rsidR="005F1438" w:rsidRPr="00C06677">
        <w:t xml:space="preserve">the in-group effect was the result of shifting the </w:t>
      </w:r>
      <w:r w:rsidR="0038213A">
        <w:t>Psychological Values</w:t>
      </w:r>
      <w:r w:rsidR="0038213A" w:rsidRPr="00C06677">
        <w:t xml:space="preserve"> </w:t>
      </w:r>
      <w:r w:rsidR="005F1438" w:rsidRPr="00C06677">
        <w:t xml:space="preserve">of the probes rather than </w:t>
      </w:r>
      <w:r w:rsidR="006B07ED">
        <w:t>a start point</w:t>
      </w:r>
      <w:r w:rsidR="005F1438" w:rsidRPr="00C06677">
        <w:t xml:space="preserve"> bias.  Specifically, the </w:t>
      </w:r>
      <w:r w:rsidR="006B07ED" w:rsidRPr="00C06677">
        <w:rPr>
          <w:color w:val="000000" w:themeColor="text1"/>
        </w:rPr>
        <w:t xml:space="preserve">In-group </w:t>
      </w:r>
      <w:r w:rsidR="006B07ED" w:rsidRPr="00531BD6">
        <w:t xml:space="preserve">Value Change </w:t>
      </w:r>
      <w:r w:rsidRPr="00C06677">
        <w:t xml:space="preserve">model </w:t>
      </w:r>
      <w:r w:rsidR="007C37D8" w:rsidRPr="00C06677">
        <w:t xml:space="preserve">best fit the data and </w:t>
      </w:r>
      <w:r w:rsidRPr="00C06677">
        <w:t xml:space="preserve">accounted for </w:t>
      </w:r>
      <w:r w:rsidR="00105C7E" w:rsidRPr="00C06677">
        <w:t>9</w:t>
      </w:r>
      <w:r w:rsidR="00A54516" w:rsidRPr="00C06677">
        <w:t>3</w:t>
      </w:r>
      <w:r w:rsidRPr="00C06677">
        <w:t>% of variance in the RT</w:t>
      </w:r>
      <w:r w:rsidRPr="00C06677">
        <w:rPr>
          <w:vertAlign w:val="subscript"/>
        </w:rPr>
        <w:t>HVO</w:t>
      </w:r>
      <w:r w:rsidRPr="00C06677">
        <w:t>, RT</w:t>
      </w:r>
      <w:r w:rsidRPr="00C06677">
        <w:rPr>
          <w:vertAlign w:val="subscript"/>
        </w:rPr>
        <w:t>LVO</w:t>
      </w:r>
      <w:r w:rsidRPr="00C06677">
        <w:t xml:space="preserve">, </w:t>
      </w:r>
      <w:r w:rsidRPr="00C06677">
        <w:lastRenderedPageBreak/>
        <w:t xml:space="preserve">and </w:t>
      </w:r>
      <w:r w:rsidRPr="00C06677">
        <w:rPr>
          <w:i/>
          <w:iCs/>
        </w:rPr>
        <w:t>p</w:t>
      </w:r>
      <w:r w:rsidRPr="00C06677">
        <w:t>(HVO) simultaneously. Further discussion of these results and their implications is included in the General Discussion.</w:t>
      </w:r>
    </w:p>
    <w:p w14:paraId="695049ED" w14:textId="77777777" w:rsidR="0099306D" w:rsidRPr="002D6464" w:rsidRDefault="0099306D" w:rsidP="002D6464">
      <w:pPr>
        <w:spacing w:line="480" w:lineRule="auto"/>
        <w:jc w:val="center"/>
        <w:rPr>
          <w:b/>
          <w:bCs/>
        </w:rPr>
      </w:pPr>
      <w:r w:rsidRPr="002D6464">
        <w:rPr>
          <w:b/>
          <w:bCs/>
        </w:rPr>
        <w:t>Experiment 4</w:t>
      </w:r>
    </w:p>
    <w:p w14:paraId="1B4D2B83" w14:textId="5B9EB59C" w:rsidR="0099306D" w:rsidRDefault="0099306D" w:rsidP="0038213A">
      <w:pPr>
        <w:spacing w:line="480" w:lineRule="auto"/>
        <w:ind w:firstLine="720"/>
      </w:pPr>
      <w:r>
        <w:t xml:space="preserve">In Experiments 1-3, we have demonstrated that PVT can successfully predict charitable choice based on the perceived Psychological Value of the receiver. The question remains, however, whether the perceived Psychological Value of the receiver drives choice when the giver is offered the option to </w:t>
      </w:r>
      <w:r w:rsidR="0038213A">
        <w:t xml:space="preserve">donate </w:t>
      </w:r>
      <w:r>
        <w:t xml:space="preserve">or keep the money for themselves.  In Experiment 4, we address this issue by presenting scenarios that request money for a single individual.  The participant is given the option to donate to the GoFundMe account or to keep the money. If Psychological Value drives the donation process, then PVT should be able to model both the RT and response choice of the donate decision.  </w:t>
      </w:r>
    </w:p>
    <w:p w14:paraId="7A8AF483" w14:textId="259AF726" w:rsidR="0099306D" w:rsidRDefault="0099306D" w:rsidP="002D6464">
      <w:pPr>
        <w:spacing w:line="480" w:lineRule="auto"/>
        <w:ind w:firstLine="720"/>
      </w:pPr>
      <w:r>
        <w:t xml:space="preserve">Theoretically, when making the yes/no decision, the respondent sets a threshold. If the Psychological Value of the receiver is perceived to be above the threshold, the respondent would choose to donate.  Conversely, if the Psychological Value of the receiver is perceived to be below the threshold, the respondent would choose to keep the money. Similar to the Psychological Value of the </w:t>
      </w:r>
      <w:r w:rsidR="0038213A">
        <w:t>option</w:t>
      </w:r>
      <w:r>
        <w:t>, the threshold is noisy and best described as a distribution.</w:t>
      </w:r>
      <w:r w:rsidR="000745AC">
        <w:t xml:space="preserve"> We term this threshold, the Threshold Distribution (abbreviated TD).</w:t>
      </w:r>
      <w:r>
        <w:t xml:space="preserve">  </w:t>
      </w:r>
    </w:p>
    <w:p w14:paraId="3FD34112" w14:textId="1BE431F1" w:rsidR="0099306D" w:rsidRDefault="0099306D" w:rsidP="002D6464">
      <w:pPr>
        <w:spacing w:line="480" w:lineRule="auto"/>
        <w:ind w:firstLine="720"/>
      </w:pPr>
      <w:r>
        <w:t>In a 2AFC</w:t>
      </w:r>
      <w:r w:rsidR="009B5109">
        <w:t xml:space="preserve"> task</w:t>
      </w:r>
      <w:r w:rsidR="000745AC">
        <w:t>,</w:t>
      </w:r>
      <w:r>
        <w:t xml:space="preserve"> the two distributions being compared are identified in the choice.  As such, 2AFC</w:t>
      </w:r>
      <w:r w:rsidR="000745AC">
        <w:t xml:space="preserve"> task</w:t>
      </w:r>
      <w:r>
        <w:t xml:space="preserve">s markedly constrain the model fits.  </w:t>
      </w:r>
      <w:r w:rsidR="0038213A">
        <w:t xml:space="preserve">For tasks </w:t>
      </w:r>
      <w:r>
        <w:t xml:space="preserve">that require a yes/no choice, the </w:t>
      </w:r>
      <w:r w:rsidR="000745AC">
        <w:t>TD</w:t>
      </w:r>
      <w:r>
        <w:t xml:space="preserve"> is not objectively identified, and must be inferred from the data.  As such, the model fit is less constrained than </w:t>
      </w:r>
      <w:r w:rsidR="009B5109">
        <w:t xml:space="preserve">it is by </w:t>
      </w:r>
      <w:r>
        <w:t xml:space="preserve">the 2AFC task. Nevertheless, because a single, consistent </w:t>
      </w:r>
      <w:r w:rsidR="000745AC">
        <w:t>TD</w:t>
      </w:r>
      <w:r>
        <w:t xml:space="preserve"> is assumed to be compared </w:t>
      </w:r>
      <w:r w:rsidR="00A92AD4">
        <w:t xml:space="preserve">to </w:t>
      </w:r>
      <w:r>
        <w:t xml:space="preserve">every Item, the yes/no model </w:t>
      </w:r>
      <w:r w:rsidR="008B32FB">
        <w:t xml:space="preserve">remains </w:t>
      </w:r>
      <w:r w:rsidR="00AC2224">
        <w:t>strictly</w:t>
      </w:r>
      <w:r>
        <w:t xml:space="preserve"> constrained.</w:t>
      </w:r>
    </w:p>
    <w:p w14:paraId="26743691" w14:textId="2E3A2167" w:rsidR="0099306D" w:rsidRDefault="0099306D" w:rsidP="002D6464">
      <w:pPr>
        <w:spacing w:line="480" w:lineRule="auto"/>
        <w:ind w:firstLine="720"/>
      </w:pPr>
      <w:r>
        <w:lastRenderedPageBreak/>
        <w:t xml:space="preserve">In Experiment 4, we also vary the amount of money the participant is asked to donate: $10, $50, and $100.  By varying the amount of money to be donated we will be able to determine how the donation amount influences the decision process.  Similar to the in-group manipulation in Experiment 3, the donation amount might influence the position of the start point bias or the </w:t>
      </w:r>
      <w:r w:rsidR="008B32FB">
        <w:t xml:space="preserve">placement (i.e., valuation) </w:t>
      </w:r>
      <w:r>
        <w:t xml:space="preserve">of the </w:t>
      </w:r>
      <w:r w:rsidR="000745AC">
        <w:t>TD</w:t>
      </w:r>
      <w:r>
        <w:t xml:space="preserve">.  Both options are theoretically viable and might be at play.  For example, respondents might have a start point biased toward the “keep the money” option.  In this case, the evidence will always start to accumulate closer to the “keep the money” boundary than the “donate” boundary.  The degree of bias might be influenced by the amount of money to be donated (a stronger “keep the money” bias for large donations, and a </w:t>
      </w:r>
      <w:r w:rsidR="008B32FB">
        <w:t xml:space="preserve">weaker </w:t>
      </w:r>
      <w:r>
        <w:t xml:space="preserve">“keep the money” bias for small donations).  Alternatively, the respondent may set increasingly more stringent thresholds for donating as the donation amount increases.  Here, we would see the value of the </w:t>
      </w:r>
      <w:r w:rsidR="000745AC">
        <w:t>TD</w:t>
      </w:r>
      <w:r>
        <w:t xml:space="preserve"> shift up with the value of the dollar donation amount.   </w:t>
      </w:r>
    </w:p>
    <w:p w14:paraId="535E2926" w14:textId="77777777" w:rsidR="0099306D" w:rsidRPr="00D05F51" w:rsidRDefault="0099306D" w:rsidP="002D6464">
      <w:pPr>
        <w:spacing w:line="480" w:lineRule="auto"/>
        <w:jc w:val="center"/>
        <w:rPr>
          <w:b/>
          <w:bCs/>
        </w:rPr>
      </w:pPr>
      <w:r w:rsidRPr="00D05F51">
        <w:rPr>
          <w:b/>
          <w:bCs/>
        </w:rPr>
        <w:t>Methods</w:t>
      </w:r>
    </w:p>
    <w:p w14:paraId="5E5D73CA" w14:textId="77777777" w:rsidR="0099306D" w:rsidRPr="00C06677" w:rsidRDefault="0099306D" w:rsidP="0099306D">
      <w:pPr>
        <w:keepNext/>
        <w:spacing w:line="480" w:lineRule="auto"/>
        <w:rPr>
          <w:b/>
          <w:color w:val="000000" w:themeColor="text1"/>
        </w:rPr>
      </w:pPr>
      <w:r w:rsidRPr="00C06677">
        <w:rPr>
          <w:b/>
          <w:color w:val="000000" w:themeColor="text1"/>
        </w:rPr>
        <w:t>Participants</w:t>
      </w:r>
    </w:p>
    <w:p w14:paraId="422FF62F" w14:textId="77777777" w:rsidR="0099306D" w:rsidRPr="00C06677" w:rsidRDefault="0099306D" w:rsidP="0099306D">
      <w:pPr>
        <w:spacing w:line="480" w:lineRule="auto"/>
        <w:ind w:firstLine="720"/>
      </w:pPr>
      <w:r w:rsidRPr="00C06677">
        <w:rPr>
          <w:color w:val="000000" w:themeColor="text1"/>
        </w:rPr>
        <w:t xml:space="preserve">Participants included </w:t>
      </w:r>
      <w:r>
        <w:rPr>
          <w:color w:val="000000" w:themeColor="text1"/>
        </w:rPr>
        <w:t>146</w:t>
      </w:r>
      <w:r w:rsidRPr="00C06677">
        <w:rPr>
          <w:color w:val="000000" w:themeColor="text1"/>
        </w:rPr>
        <w:t xml:space="preserve"> undergraduate students who received partial credit towards a course requirement. </w:t>
      </w:r>
      <w:r w:rsidRPr="00C06677">
        <w:t>Sample size was determined by the same procedure used in Experiment 1.</w:t>
      </w:r>
    </w:p>
    <w:p w14:paraId="45042ED5" w14:textId="77777777" w:rsidR="0099306D" w:rsidRPr="00C06677" w:rsidRDefault="0099306D" w:rsidP="0099306D">
      <w:pPr>
        <w:spacing w:line="480" w:lineRule="auto"/>
        <w:rPr>
          <w:b/>
          <w:color w:val="000000" w:themeColor="text1"/>
        </w:rPr>
      </w:pPr>
      <w:r w:rsidRPr="00C06677">
        <w:rPr>
          <w:b/>
          <w:color w:val="000000" w:themeColor="text1"/>
        </w:rPr>
        <w:t>Design and materials</w:t>
      </w:r>
    </w:p>
    <w:p w14:paraId="4C857F57" w14:textId="4000EFB6" w:rsidR="0099306D" w:rsidRDefault="0099306D" w:rsidP="002D6464">
      <w:pPr>
        <w:spacing w:line="480" w:lineRule="auto"/>
        <w:ind w:firstLine="720"/>
      </w:pPr>
      <w:r w:rsidRPr="00C06677">
        <w:rPr>
          <w:color w:val="000000" w:themeColor="text1"/>
        </w:rPr>
        <w:t xml:space="preserve">The apparatus and stimuli were the same as in Experiment 1 with </w:t>
      </w:r>
      <w:r>
        <w:rPr>
          <w:color w:val="000000" w:themeColor="text1"/>
        </w:rPr>
        <w:t>the following</w:t>
      </w:r>
      <w:r w:rsidRPr="00C06677">
        <w:rPr>
          <w:color w:val="000000" w:themeColor="text1"/>
        </w:rPr>
        <w:t xml:space="preserve"> exception</w:t>
      </w:r>
      <w:r>
        <w:rPr>
          <w:color w:val="000000" w:themeColor="text1"/>
        </w:rPr>
        <w:t xml:space="preserve">s.  </w:t>
      </w:r>
      <w:r>
        <w:t xml:space="preserve">When presenting a donate/keep choice, the number of different scenarios is equal to the number of items (23) times the number of scenarios.  To increase the perceived variability of the presented scenarios we used </w:t>
      </w:r>
      <w:r w:rsidR="00A27B83">
        <w:t xml:space="preserve">9 of the </w:t>
      </w:r>
      <w:r>
        <w:t>elaborate scenarios of Experiment 1</w:t>
      </w:r>
      <w:r w:rsidR="00A27B83">
        <w:rPr>
          <w:rStyle w:val="EndnoteReference"/>
        </w:rPr>
        <w:endnoteReference w:id="4"/>
      </w:r>
      <w:r w:rsidR="001A5CB0">
        <w:t>.</w:t>
      </w:r>
      <w:r>
        <w:t xml:space="preserve"> These scenarios were slightly altered to be consistent with a single recipient (see Figure </w:t>
      </w:r>
      <w:r w:rsidR="00D64F09">
        <w:t>1</w:t>
      </w:r>
      <w:r w:rsidR="005E6E67">
        <w:t>2</w:t>
      </w:r>
      <w:r>
        <w:t xml:space="preserve">). In addition, we added five higher valued Items (people) to further increase the range of Psychological Values of </w:t>
      </w:r>
      <w:r>
        <w:lastRenderedPageBreak/>
        <w:t xml:space="preserve">the stimuli list.  Those five items are: “your friend,” “your grandfather,” “your mother,” “your cousin,” “your sibling.” Finally, we also added three donation amounts: $10, $50, and $100.  We used these amounts because in pilot testing participants reported that they influenced their responses.  This resulted in 27 (Items) * </w:t>
      </w:r>
      <w:r w:rsidR="003559D1">
        <w:t xml:space="preserve">9 </w:t>
      </w:r>
      <w:r>
        <w:t xml:space="preserve">(scenarios) * 3 (donate amounts) = </w:t>
      </w:r>
      <w:r w:rsidR="003559D1">
        <w:t xml:space="preserve">729 </w:t>
      </w:r>
      <w:r>
        <w:t xml:space="preserve">possible scenarios.  </w:t>
      </w:r>
    </w:p>
    <w:p w14:paraId="3872FDE7" w14:textId="0062F130" w:rsidR="0099306D" w:rsidRDefault="0099306D" w:rsidP="002D6464">
      <w:pPr>
        <w:spacing w:line="480" w:lineRule="auto"/>
        <w:ind w:firstLine="720"/>
      </w:pPr>
      <w:r>
        <w:t>The question at the end of each scenario read, “</w:t>
      </w:r>
      <w:r w:rsidRPr="004D41C4">
        <w:t>Would</w:t>
      </w:r>
      <w:r>
        <w:t xml:space="preserve"> you </w:t>
      </w:r>
      <w:r w:rsidRPr="004D41C4">
        <w:t>donate</w:t>
      </w:r>
      <w:r>
        <w:t xml:space="preserve"> AMOUNT </w:t>
      </w:r>
      <w:r w:rsidRPr="004D41C4">
        <w:t xml:space="preserve">to the GoFundMe account to help pay for </w:t>
      </w:r>
      <w:r>
        <w:t>REASON</w:t>
      </w:r>
      <w:r w:rsidRPr="004D41C4">
        <w:t xml:space="preserve"> of</w:t>
      </w:r>
      <w:r>
        <w:t xml:space="preserve"> ITEM </w:t>
      </w:r>
      <w:r w:rsidRPr="004D41C4">
        <w:t>or keep the money?</w:t>
      </w:r>
      <w:r>
        <w:t xml:space="preserve">”  Here, AMOUNT was bolded and in yellow text and randomly selected from the </w:t>
      </w:r>
      <w:r w:rsidR="000745AC">
        <w:t xml:space="preserve">dollar </w:t>
      </w:r>
      <w:r>
        <w:t xml:space="preserve">donation </w:t>
      </w:r>
      <w:r w:rsidR="000745AC">
        <w:t xml:space="preserve">amounts </w:t>
      </w:r>
      <w:r>
        <w:t xml:space="preserve">($10, $50, and $100). REASON was changed to reflect the GoFundMe request in the scenario. Similar to Experiments 1-3, ITEM was randomly selected from the list of 27 Items. </w:t>
      </w:r>
    </w:p>
    <w:p w14:paraId="2E8363D5" w14:textId="77777777" w:rsidR="0099306D" w:rsidRDefault="0099306D" w:rsidP="0099306D"/>
    <w:p w14:paraId="01999EDA" w14:textId="5B67B1C0" w:rsidR="0099306D" w:rsidRDefault="0099306D" w:rsidP="0099306D">
      <w:pPr>
        <w:keepNext/>
        <w:keepLines/>
        <w:jc w:val="center"/>
        <w:rPr>
          <w:b/>
          <w:bCs/>
          <w:iCs/>
        </w:rPr>
      </w:pPr>
      <w:r w:rsidRPr="0036009F">
        <w:rPr>
          <w:b/>
          <w:bCs/>
          <w:iCs/>
          <w:noProof/>
        </w:rPr>
        <w:drawing>
          <wp:inline distT="0" distB="0" distL="0" distR="0" wp14:anchorId="3AC798CB" wp14:editId="163D8335">
            <wp:extent cx="4673600"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3600" cy="3200400"/>
                    </a:xfrm>
                    <a:prstGeom prst="rect">
                      <a:avLst/>
                    </a:prstGeom>
                  </pic:spPr>
                </pic:pic>
              </a:graphicData>
            </a:graphic>
          </wp:inline>
        </w:drawing>
      </w:r>
    </w:p>
    <w:p w14:paraId="7D6FB4B5" w14:textId="42832102" w:rsidR="0099306D" w:rsidRPr="00C06677" w:rsidRDefault="0099306D" w:rsidP="0099306D">
      <w:pPr>
        <w:keepNext/>
        <w:keepLines/>
      </w:pPr>
      <w:r w:rsidRPr="00C06677">
        <w:rPr>
          <w:b/>
          <w:bCs/>
          <w:iCs/>
        </w:rPr>
        <w:t xml:space="preserve">Figure </w:t>
      </w:r>
      <w:r w:rsidR="00D64F09">
        <w:rPr>
          <w:b/>
          <w:bCs/>
          <w:iCs/>
        </w:rPr>
        <w:t>1</w:t>
      </w:r>
      <w:r w:rsidR="005E6E67">
        <w:rPr>
          <w:b/>
          <w:bCs/>
          <w:iCs/>
        </w:rPr>
        <w:t>2</w:t>
      </w:r>
      <w:r w:rsidRPr="00C06677">
        <w:rPr>
          <w:b/>
          <w:bCs/>
          <w:iCs/>
        </w:rPr>
        <w:t xml:space="preserve">.  </w:t>
      </w:r>
      <w:r>
        <w:rPr>
          <w:b/>
          <w:bCs/>
          <w:iCs/>
        </w:rPr>
        <w:t>Example of an u</w:t>
      </w:r>
      <w:r w:rsidRPr="00C06677">
        <w:rPr>
          <w:b/>
          <w:bCs/>
          <w:iCs/>
        </w:rPr>
        <w:t>nmasked charitable donation scenario</w:t>
      </w:r>
      <w:r>
        <w:rPr>
          <w:b/>
          <w:bCs/>
          <w:iCs/>
        </w:rPr>
        <w:t xml:space="preserve"> used in Experiment 4</w:t>
      </w:r>
      <w:r w:rsidRPr="00C06677">
        <w:t xml:space="preserve">. </w:t>
      </w:r>
      <w:r>
        <w:t>Item A was replaced by a randomly chosen item from the list of 27 Items.</w:t>
      </w:r>
    </w:p>
    <w:p w14:paraId="417487B4" w14:textId="77777777" w:rsidR="0099306D" w:rsidRDefault="0099306D" w:rsidP="0099306D"/>
    <w:p w14:paraId="2E86E4D3" w14:textId="77777777" w:rsidR="0099306D" w:rsidRPr="00C06677" w:rsidRDefault="0099306D" w:rsidP="0099306D">
      <w:pPr>
        <w:keepNext/>
        <w:spacing w:line="480" w:lineRule="auto"/>
        <w:rPr>
          <w:b/>
        </w:rPr>
      </w:pPr>
      <w:r w:rsidRPr="00C06677">
        <w:rPr>
          <w:b/>
        </w:rPr>
        <w:lastRenderedPageBreak/>
        <w:t>Procedure</w:t>
      </w:r>
    </w:p>
    <w:p w14:paraId="080543BA" w14:textId="11475749" w:rsidR="0099306D" w:rsidRPr="00C06677" w:rsidRDefault="0099306D" w:rsidP="0099306D">
      <w:pPr>
        <w:keepNext/>
        <w:spacing w:line="480" w:lineRule="auto"/>
        <w:ind w:firstLine="720"/>
        <w:outlineLvl w:val="0"/>
        <w:rPr>
          <w:bCs/>
        </w:rPr>
      </w:pPr>
      <w:r w:rsidRPr="00C06677">
        <w:t xml:space="preserve">The procedure of Experiment </w:t>
      </w:r>
      <w:r>
        <w:t>4</w:t>
      </w:r>
      <w:r w:rsidRPr="00C06677">
        <w:t xml:space="preserve"> was identical to that of Experiment 1</w:t>
      </w:r>
      <w:r>
        <w:t xml:space="preserve"> with the following exceptions.  First, the dollar donation amount was blocked within participant, and the order of blocks was counterbalanced between participants.  Each block ran for 15 minutes. Between blocks, a short instruction read, “This portion of the experiment will be identical to the previous portion with one exception: the dollar amount will be changed.”  This procedural change enhanced the salience of the dollar donation amount.  Second, </w:t>
      </w:r>
      <w:r w:rsidR="007801B2">
        <w:t>participants responded using the “l” and “s” keys</w:t>
      </w:r>
      <w:r w:rsidR="00B35707">
        <w:t xml:space="preserve">, which </w:t>
      </w:r>
      <w:r>
        <w:t>mapped onto “Donate” and “Keep” options.  The mapping of the keys to their meaning was counterbalanced between participants</w:t>
      </w:r>
      <w:r w:rsidRPr="00C06677">
        <w:t>.</w:t>
      </w:r>
      <w:r w:rsidR="007801B2">
        <w:t xml:space="preserve"> </w:t>
      </w:r>
      <w:r w:rsidR="00B35707">
        <w:t>Because of this counterbalancing, w</w:t>
      </w:r>
      <w:r w:rsidR="007801B2">
        <w:t>e did not use the “d” and “k” keys</w:t>
      </w:r>
      <w:r w:rsidR="00B35707">
        <w:t xml:space="preserve"> (</w:t>
      </w:r>
      <w:r w:rsidR="007801B2">
        <w:t xml:space="preserve">they </w:t>
      </w:r>
      <w:r w:rsidR="00B35707">
        <w:t>matched</w:t>
      </w:r>
      <w:r w:rsidR="007801B2">
        <w:t xml:space="preserve"> the first letters of the response mapping “donate” and “keep”</w:t>
      </w:r>
      <w:r w:rsidR="00B35707">
        <w:t>, which might confuse some participants</w:t>
      </w:r>
      <w:r w:rsidR="007801B2">
        <w:t xml:space="preserve">). </w:t>
      </w:r>
      <w:r w:rsidRPr="00C06677">
        <w:t xml:space="preserve">Participants completed an average of </w:t>
      </w:r>
      <w:r>
        <w:t>181</w:t>
      </w:r>
      <w:r w:rsidRPr="00C06677">
        <w:t xml:space="preserve"> trials (SD = </w:t>
      </w:r>
      <w:r>
        <w:t>23</w:t>
      </w:r>
      <w:r w:rsidRPr="00C06677">
        <w:t xml:space="preserve">) in the experimental session. </w:t>
      </w:r>
    </w:p>
    <w:p w14:paraId="4D03FE93" w14:textId="39C6AB7C" w:rsidR="0099306D" w:rsidRDefault="0099306D" w:rsidP="002D6464">
      <w:pPr>
        <w:keepNext/>
        <w:spacing w:line="480" w:lineRule="auto"/>
        <w:ind w:firstLine="720"/>
        <w:outlineLvl w:val="0"/>
        <w:rPr>
          <w:bCs/>
        </w:rPr>
      </w:pPr>
      <w:r w:rsidRPr="00C06677">
        <w:rPr>
          <w:bCs/>
        </w:rPr>
        <w:t xml:space="preserve">All procedures were approved by the </w:t>
      </w:r>
      <w:r>
        <w:rPr>
          <w:bCs/>
        </w:rPr>
        <w:t>UNC Wilmington</w:t>
      </w:r>
      <w:r w:rsidRPr="00C06677">
        <w:rPr>
          <w:bCs/>
        </w:rPr>
        <w:t xml:space="preserve"> IRB, protocol# 16-0210. The data and R code for the analysis of Experiment </w:t>
      </w:r>
      <w:r>
        <w:rPr>
          <w:bCs/>
        </w:rPr>
        <w:t>4</w:t>
      </w:r>
      <w:r w:rsidRPr="00C06677">
        <w:rPr>
          <w:bCs/>
        </w:rPr>
        <w:t xml:space="preserve"> can be downloaded at:</w:t>
      </w:r>
      <w:r w:rsidRPr="00C06677">
        <w:rPr>
          <w:bCs/>
        </w:rPr>
        <w:br/>
      </w:r>
      <w:hyperlink r:id="rId25" w:history="1">
        <w:r w:rsidRPr="00C06677">
          <w:rPr>
            <w:rStyle w:val="Hyperlink"/>
            <w:bCs/>
          </w:rPr>
          <w:t>https://github.com/ccpluncw/ccpl_data_PVTcharity2021.git</w:t>
        </w:r>
      </w:hyperlink>
      <w:r w:rsidRPr="00C06677">
        <w:rPr>
          <w:bCs/>
        </w:rPr>
        <w:t xml:space="preserve">. The stimuli and instructions can be found in the Supplemental </w:t>
      </w:r>
      <w:r w:rsidR="00784FF6">
        <w:rPr>
          <w:bCs/>
        </w:rPr>
        <w:t>Information</w:t>
      </w:r>
      <w:r w:rsidRPr="00C06677">
        <w:rPr>
          <w:bCs/>
        </w:rPr>
        <w:t>. The experimental presentation code is proprietary and is not open sourced. The experiment was not pre-registered.</w:t>
      </w:r>
      <w:r w:rsidRPr="00110493">
        <w:rPr>
          <w:bCs/>
        </w:rPr>
        <w:t xml:space="preserve"> In these studies, we report all measures, manipulations and exclusions.</w:t>
      </w:r>
    </w:p>
    <w:p w14:paraId="2D4A3C99" w14:textId="77777777" w:rsidR="0099306D" w:rsidRDefault="0099306D" w:rsidP="002D6464">
      <w:pPr>
        <w:keepNext/>
        <w:spacing w:line="480" w:lineRule="auto"/>
        <w:jc w:val="center"/>
        <w:outlineLvl w:val="0"/>
        <w:rPr>
          <w:b/>
        </w:rPr>
      </w:pPr>
      <w:r w:rsidRPr="00ED6E58">
        <w:rPr>
          <w:b/>
        </w:rPr>
        <w:t xml:space="preserve">Results </w:t>
      </w:r>
      <w:r w:rsidRPr="00C06677">
        <w:rPr>
          <w:b/>
        </w:rPr>
        <w:t>and Discussion</w:t>
      </w:r>
    </w:p>
    <w:p w14:paraId="14038257" w14:textId="3F3F68E3" w:rsidR="0099306D" w:rsidRPr="00C06677" w:rsidRDefault="0099306D" w:rsidP="0099306D">
      <w:pPr>
        <w:spacing w:line="480" w:lineRule="auto"/>
        <w:ind w:firstLine="720"/>
      </w:pPr>
      <w:r>
        <w:t>No</w:t>
      </w:r>
      <w:r w:rsidRPr="00C06677">
        <w:t xml:space="preserve"> participants were removed due to issues with computers during the experiment. We filtered the data in the same </w:t>
      </w:r>
      <w:r w:rsidR="00382CD6">
        <w:t xml:space="preserve">way </w:t>
      </w:r>
      <w:r w:rsidRPr="00C06677">
        <w:t>as previously described. Again, we removed the 5% participants with the largest CVs (</w:t>
      </w:r>
      <w:r>
        <w:t>8</w:t>
      </w:r>
      <w:r w:rsidRPr="00C06677">
        <w:t xml:space="preserve"> participants). </w:t>
      </w:r>
      <w:r>
        <w:t xml:space="preserve">One participant was removed automatically because they appeared to reverse the keymapping (i.e., </w:t>
      </w:r>
      <w:r w:rsidRPr="00702607">
        <w:rPr>
          <w:i/>
          <w:iCs/>
        </w:rPr>
        <w:t>p</w:t>
      </w:r>
      <w:r>
        <w:t>(HVO) = 0.22)</w:t>
      </w:r>
      <w:r>
        <w:rPr>
          <w:rStyle w:val="EndnoteReference"/>
        </w:rPr>
        <w:endnoteReference w:id="5"/>
      </w:r>
      <w:r>
        <w:t xml:space="preserve">. </w:t>
      </w:r>
      <w:r w:rsidRPr="00C06677">
        <w:t xml:space="preserve">The final participant sample </w:t>
      </w:r>
      <w:r w:rsidRPr="00C06677">
        <w:lastRenderedPageBreak/>
        <w:t xml:space="preserve">comprised </w:t>
      </w:r>
      <w:r>
        <w:t>137</w:t>
      </w:r>
      <w:r w:rsidRPr="00C06677">
        <w:t xml:space="preserve"> individuals. For each O</w:t>
      </w:r>
      <w:r w:rsidRPr="00C06677">
        <w:rPr>
          <w:vertAlign w:val="subscript"/>
        </w:rPr>
        <w:t>0.1</w:t>
      </w:r>
      <w:r w:rsidRPr="00C06677">
        <w:t xml:space="preserve"> bin, we removed individual trials with the slowest and fastest 2.5% of the RTs.  </w:t>
      </w:r>
    </w:p>
    <w:p w14:paraId="65AC0564" w14:textId="77777777" w:rsidR="0099306D" w:rsidRDefault="0099306D" w:rsidP="002D6464">
      <w:pPr>
        <w:spacing w:line="480" w:lineRule="auto"/>
        <w:ind w:firstLine="720"/>
      </w:pPr>
      <w:r w:rsidRPr="00C06677">
        <w:t xml:space="preserve">As before, we removed the influence of learning from the RT data by fitting the same learning function to the data as before (none of the parameters of this function were statistically significant), and the corresponding RT residuals were used in the following analyses. </w:t>
      </w:r>
    </w:p>
    <w:p w14:paraId="1357B99A" w14:textId="77777777" w:rsidR="0099306D" w:rsidRPr="00C06677" w:rsidRDefault="0099306D" w:rsidP="0099306D">
      <w:pPr>
        <w:keepNext/>
        <w:spacing w:line="480" w:lineRule="auto"/>
        <w:rPr>
          <w:b/>
        </w:rPr>
      </w:pPr>
      <w:r w:rsidRPr="00C06677">
        <w:rPr>
          <w:b/>
        </w:rPr>
        <w:t>Regression Analysis</w:t>
      </w:r>
      <w:r w:rsidRPr="00C06677">
        <w:rPr>
          <w:b/>
        </w:rPr>
        <w:tab/>
      </w:r>
    </w:p>
    <w:p w14:paraId="43D04DBD" w14:textId="5E5050BC" w:rsidR="0099306D" w:rsidRDefault="0099306D" w:rsidP="002C301B">
      <w:pPr>
        <w:spacing w:line="480" w:lineRule="auto"/>
        <w:ind w:firstLine="720"/>
      </w:pPr>
      <w:r>
        <w:t xml:space="preserve">Appendix A described the procedure we used to identify the </w:t>
      </w:r>
      <w:r w:rsidR="002C301B">
        <w:t>TD</w:t>
      </w:r>
      <w:r>
        <w:t xml:space="preserve">. In the yes/no experiment, Overlap is calculated between every Item and the identified </w:t>
      </w:r>
      <w:r w:rsidR="002C301B">
        <w:t>TD</w:t>
      </w:r>
      <w:r>
        <w:t>.  This creates a relatively small set of Overlaps that is concentrated at the upper end of the continuum.  As such, calculating regressions on the truncated, collapsed data is relatively uninformative.  Nevertheless, for consistency</w:t>
      </w:r>
      <w:r w:rsidR="00AC2224">
        <w:t>,</w:t>
      </w:r>
      <w:r>
        <w:t xml:space="preserve"> we </w:t>
      </w:r>
      <w:r w:rsidR="00AC2224">
        <w:t xml:space="preserve">do </w:t>
      </w:r>
      <w:r>
        <w:t>report those regression</w:t>
      </w:r>
      <w:r w:rsidR="00AC2224">
        <w:t>s</w:t>
      </w:r>
      <w:r>
        <w:t xml:space="preserve">. </w:t>
      </w:r>
      <w:r w:rsidR="002C301B">
        <w:t xml:space="preserve"> </w:t>
      </w:r>
      <w:r w:rsidRPr="00C06677">
        <w:t xml:space="preserve">There was a significant relation between Overlap and </w:t>
      </w:r>
      <w:r w:rsidRPr="00C06677">
        <w:rPr>
          <w:i/>
          <w:iCs/>
        </w:rPr>
        <w:t>p</w:t>
      </w:r>
      <w:r w:rsidRPr="00C06677">
        <w:t>(HVO), (</w:t>
      </w:r>
      <w:r w:rsidRPr="00C06677">
        <w:rPr>
          <w:i/>
        </w:rPr>
        <w:t>b</w:t>
      </w:r>
      <w:r w:rsidRPr="00C06677">
        <w:t xml:space="preserve"> = </w:t>
      </w:r>
      <w:r>
        <w:t>4.22</w:t>
      </w:r>
      <w:r w:rsidRPr="00C06677">
        <w:t xml:space="preserve">), </w:t>
      </w:r>
      <w:r w:rsidRPr="00C06677">
        <w:rPr>
          <w:i/>
        </w:rPr>
        <w:t>t</w:t>
      </w:r>
      <w:r w:rsidR="001A5CB0">
        <w:t xml:space="preserve"> </w:t>
      </w:r>
      <w:r w:rsidRPr="00C06677">
        <w:t xml:space="preserve">= </w:t>
      </w:r>
      <w:r>
        <w:t>3.18</w:t>
      </w:r>
      <w:r w:rsidRPr="00C06677">
        <w:t xml:space="preserve">, </w:t>
      </w:r>
      <w:r w:rsidRPr="00C06677">
        <w:rPr>
          <w:i/>
        </w:rPr>
        <w:t>p</w:t>
      </w:r>
      <w:r w:rsidRPr="00C06677">
        <w:t xml:space="preserve"> </w:t>
      </w:r>
      <w:r>
        <w:t>=</w:t>
      </w:r>
      <w:r w:rsidRPr="00C06677">
        <w:t xml:space="preserve"> .0</w:t>
      </w:r>
      <w:r>
        <w:t>49</w:t>
      </w:r>
      <w:r w:rsidRPr="00C06677">
        <w:t xml:space="preserve">, </w:t>
      </w:r>
      <w:r w:rsidRPr="00C06677">
        <w:rPr>
          <w:i/>
        </w:rPr>
        <w:t>r</w:t>
      </w:r>
      <w:r w:rsidRPr="00C06677">
        <w:rPr>
          <w:i/>
          <w:vertAlign w:val="superscript"/>
        </w:rPr>
        <w:t>2</w:t>
      </w:r>
      <w:r w:rsidRPr="00C06677">
        <w:t xml:space="preserve"> = 0.</w:t>
      </w:r>
      <w:r>
        <w:t>82</w:t>
      </w:r>
      <w:r w:rsidRPr="00C06677">
        <w:t>. There was a statistically significant linear relation between Overlap and RT</w:t>
      </w:r>
      <w:r w:rsidRPr="00C06677">
        <w:rPr>
          <w:vertAlign w:val="subscript"/>
        </w:rPr>
        <w:t>res</w:t>
      </w:r>
      <w:r w:rsidRPr="00C06677">
        <w:t xml:space="preserve">, </w:t>
      </w:r>
      <w:r w:rsidRPr="00C06677">
        <w:rPr>
          <w:i/>
          <w:iCs/>
        </w:rPr>
        <w:t>F</w:t>
      </w:r>
      <w:r w:rsidRPr="00C06677">
        <w:t xml:space="preserve">(1, </w:t>
      </w:r>
      <w:r>
        <w:t>2</w:t>
      </w:r>
      <w:r w:rsidRPr="00C06677">
        <w:t xml:space="preserve">) = </w:t>
      </w:r>
      <w:r>
        <w:t>109</w:t>
      </w:r>
      <w:r w:rsidRPr="00C06677">
        <w:t xml:space="preserve">, </w:t>
      </w:r>
      <w:r w:rsidRPr="00C06677">
        <w:rPr>
          <w:i/>
        </w:rPr>
        <w:t>p</w:t>
      </w:r>
      <w:r w:rsidRPr="00C06677">
        <w:t xml:space="preserve"> &lt; .001, </w:t>
      </w:r>
      <w:r w:rsidRPr="00C06677">
        <w:rPr>
          <w:i/>
        </w:rPr>
        <w:t>r</w:t>
      </w:r>
      <w:r w:rsidRPr="00C06677">
        <w:rPr>
          <w:i/>
          <w:vertAlign w:val="superscript"/>
        </w:rPr>
        <w:t>2</w:t>
      </w:r>
      <w:r w:rsidRPr="00C06677">
        <w:t xml:space="preserve"> = 0.9</w:t>
      </w:r>
      <w:r>
        <w:t>8</w:t>
      </w:r>
      <w:r w:rsidRPr="00C06677">
        <w:t>. Both the intercept (</w:t>
      </w:r>
      <w:r w:rsidRPr="00C06677">
        <w:rPr>
          <w:i/>
          <w:iCs/>
        </w:rPr>
        <w:t>a</w:t>
      </w:r>
      <w:r w:rsidRPr="00C06677">
        <w:t xml:space="preserve"> = –0.</w:t>
      </w:r>
      <w:r>
        <w:t>55</w:t>
      </w:r>
      <w:r w:rsidRPr="00C06677">
        <w:t>) and the slope (</w:t>
      </w:r>
      <w:r w:rsidRPr="00C06677">
        <w:rPr>
          <w:i/>
        </w:rPr>
        <w:t>b</w:t>
      </w:r>
      <w:r w:rsidRPr="00C06677">
        <w:t xml:space="preserve"> = 0.</w:t>
      </w:r>
      <w:r>
        <w:t>68</w:t>
      </w:r>
      <w:r w:rsidRPr="00C06677">
        <w:t xml:space="preserve">) were statistically reliable, </w:t>
      </w:r>
      <w:r w:rsidRPr="00C06677">
        <w:rPr>
          <w:i/>
        </w:rPr>
        <w:t>t</w:t>
      </w:r>
      <w:r w:rsidRPr="00C06677">
        <w:t xml:space="preserve">’s &gt; </w:t>
      </w:r>
      <w:r>
        <w:t>10</w:t>
      </w:r>
      <w:r w:rsidRPr="00C06677">
        <w:t xml:space="preserve">, </w:t>
      </w:r>
      <w:r w:rsidRPr="00C06677">
        <w:rPr>
          <w:i/>
        </w:rPr>
        <w:t>p</w:t>
      </w:r>
      <w:r w:rsidRPr="00C06677">
        <w:t xml:space="preserve">’s &lt; .001.  </w:t>
      </w:r>
    </w:p>
    <w:p w14:paraId="29432952" w14:textId="6BB0C24E" w:rsidR="0099306D" w:rsidRDefault="0099306D" w:rsidP="002D6464">
      <w:pPr>
        <w:spacing w:line="480" w:lineRule="auto"/>
        <w:ind w:firstLine="720"/>
      </w:pPr>
      <w:r>
        <w:t>W</w:t>
      </w:r>
      <w:r w:rsidRPr="00C06677">
        <w:t xml:space="preserve">e ran an item analysis to estimate the probability of choosing </w:t>
      </w:r>
      <w:r>
        <w:t>to “keep the money” rather than donate to each</w:t>
      </w:r>
      <w:r w:rsidRPr="00C06677">
        <w:t xml:space="preserve"> individual item</w:t>
      </w:r>
      <w:r>
        <w:t xml:space="preserve"> (see Figure </w:t>
      </w:r>
      <w:r w:rsidR="00D64F09">
        <w:t>1</w:t>
      </w:r>
      <w:r w:rsidR="005E6E67">
        <w:t>3</w:t>
      </w:r>
      <w:r>
        <w:t>)</w:t>
      </w:r>
      <w:r w:rsidRPr="00C06677">
        <w:t xml:space="preserve">. </w:t>
      </w:r>
      <w:r>
        <w:t>Recall that</w:t>
      </w:r>
      <w:r w:rsidRPr="00C06677">
        <w:t xml:space="preserve"> the overlap of the items is plotted on the </w:t>
      </w:r>
      <w:r w:rsidRPr="00C06677">
        <w:rPr>
          <w:i/>
          <w:iCs/>
        </w:rPr>
        <w:t>x</w:t>
      </w:r>
      <w:r w:rsidRPr="00C06677">
        <w:t xml:space="preserve">-axis, whereby </w:t>
      </w:r>
      <w:r w:rsidR="002C301B" w:rsidRPr="00C06677">
        <w:t xml:space="preserve">the left-most item is the item that has the least amount of distributional overlap and is more valued than the </w:t>
      </w:r>
      <w:r w:rsidR="002C301B">
        <w:t>TD</w:t>
      </w:r>
      <w:r w:rsidR="002C301B" w:rsidRPr="00C06677">
        <w:t xml:space="preserve">.  The right most item has </w:t>
      </w:r>
      <w:r w:rsidR="008E5BCF">
        <w:t xml:space="preserve">the </w:t>
      </w:r>
      <w:r w:rsidR="002C301B" w:rsidRPr="00C06677">
        <w:t xml:space="preserve">least amount of distributional overlap and is less valued than the </w:t>
      </w:r>
      <w:r w:rsidR="002C301B">
        <w:t>TD</w:t>
      </w:r>
      <w:r w:rsidR="002C301B" w:rsidRPr="00C06677">
        <w:t xml:space="preserve">. </w:t>
      </w:r>
      <w:r w:rsidRPr="00C06677">
        <w:t xml:space="preserve">Therefore, the likelihood of </w:t>
      </w:r>
      <w:r>
        <w:t>keeping the money</w:t>
      </w:r>
      <w:r w:rsidRPr="00C06677">
        <w:t xml:space="preserve"> should be least at the left bound, most at the right bound, and gradually increasing in between. </w:t>
      </w:r>
      <w:r>
        <w:t>The data</w:t>
      </w:r>
      <w:r w:rsidRPr="00C06677">
        <w:t xml:space="preserve"> </w:t>
      </w:r>
      <w:r w:rsidR="00382CD6">
        <w:t>conform to</w:t>
      </w:r>
      <w:r w:rsidR="00382CD6" w:rsidRPr="00C06677">
        <w:t xml:space="preserve"> </w:t>
      </w:r>
      <w:r w:rsidRPr="00C06677">
        <w:t>this predicted pattern.</w:t>
      </w:r>
    </w:p>
    <w:p w14:paraId="11C43A1E" w14:textId="77777777" w:rsidR="007267B9" w:rsidRDefault="007267B9" w:rsidP="002D6464">
      <w:pPr>
        <w:spacing w:line="480" w:lineRule="auto"/>
        <w:ind w:firstLine="720"/>
      </w:pPr>
    </w:p>
    <w:p w14:paraId="10950A94" w14:textId="19EB246F" w:rsidR="0099306D" w:rsidRDefault="0099306D" w:rsidP="0099306D">
      <w:r w:rsidRPr="00334C96">
        <w:rPr>
          <w:noProof/>
        </w:rPr>
        <w:lastRenderedPageBreak/>
        <w:drawing>
          <wp:inline distT="0" distB="0" distL="0" distR="0" wp14:anchorId="50DF4B77" wp14:editId="215EEB73">
            <wp:extent cx="5943600" cy="2066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066290"/>
                    </a:xfrm>
                    <a:prstGeom prst="rect">
                      <a:avLst/>
                    </a:prstGeom>
                  </pic:spPr>
                </pic:pic>
              </a:graphicData>
            </a:graphic>
          </wp:inline>
        </w:drawing>
      </w:r>
    </w:p>
    <w:p w14:paraId="5F2554B0" w14:textId="77777777" w:rsidR="00B20E9D" w:rsidRDefault="00B20E9D" w:rsidP="0099306D"/>
    <w:p w14:paraId="40C396CC" w14:textId="4F41014E" w:rsidR="0099306D" w:rsidRDefault="0099306D" w:rsidP="0099306D">
      <w:r>
        <w:t xml:space="preserve">Figure </w:t>
      </w:r>
      <w:r w:rsidR="00D64F09">
        <w:t>1</w:t>
      </w:r>
      <w:r w:rsidR="005E6E67">
        <w:t>3</w:t>
      </w:r>
      <w:r>
        <w:t xml:space="preserve">: </w:t>
      </w:r>
      <w:r w:rsidRPr="00C06677">
        <w:rPr>
          <w:b/>
          <w:bCs/>
          <w:iCs/>
        </w:rPr>
        <w:t>Item Analyses</w:t>
      </w:r>
      <w:r w:rsidRPr="00C06677">
        <w:t xml:space="preserve">. </w:t>
      </w:r>
      <w:r>
        <w:t xml:space="preserve">The probability of choosing to keep the money as a function of the Psychological Value of the receiver.  The x-axis are the </w:t>
      </w:r>
      <w:r w:rsidR="00702607">
        <w:t xml:space="preserve">Items </w:t>
      </w:r>
      <w:r>
        <w:t xml:space="preserve">arranged ordinally from highest Psychological Value (left) to lowest Psychological Value (right). </w:t>
      </w:r>
    </w:p>
    <w:p w14:paraId="2A7CF171" w14:textId="77777777" w:rsidR="0099306D" w:rsidRDefault="0099306D" w:rsidP="0099306D"/>
    <w:p w14:paraId="16475405" w14:textId="77777777" w:rsidR="0099306D" w:rsidRDefault="0099306D" w:rsidP="0099306D"/>
    <w:p w14:paraId="496F00BC" w14:textId="77777777" w:rsidR="0099306D" w:rsidRPr="00C06677" w:rsidRDefault="0099306D" w:rsidP="0099306D">
      <w:pPr>
        <w:spacing w:line="480" w:lineRule="auto"/>
      </w:pPr>
      <w:r w:rsidRPr="00C06677">
        <w:rPr>
          <w:b/>
        </w:rPr>
        <w:t>RRW Analysis</w:t>
      </w:r>
    </w:p>
    <w:p w14:paraId="427BF9A0" w14:textId="1A6FCADD" w:rsidR="0099306D" w:rsidRPr="00C06677" w:rsidRDefault="0099306D" w:rsidP="0099306D">
      <w:pPr>
        <w:keepNext/>
        <w:spacing w:line="480" w:lineRule="auto"/>
        <w:ind w:firstLine="360"/>
        <w:outlineLvl w:val="0"/>
      </w:pPr>
      <w:r w:rsidRPr="00C06677">
        <w:t xml:space="preserve">To identify the source of the in-group effect on charitable giving, we compared the performance of </w:t>
      </w:r>
      <w:r w:rsidR="002C301B">
        <w:t>six</w:t>
      </w:r>
      <w:r w:rsidR="002C301B" w:rsidRPr="00C06677">
        <w:t xml:space="preserve"> </w:t>
      </w:r>
      <w:r w:rsidRPr="00C06677">
        <w:t xml:space="preserve">models:  </w:t>
      </w:r>
    </w:p>
    <w:p w14:paraId="292433FC" w14:textId="7E512CA1" w:rsidR="0099306D" w:rsidRDefault="0099306D" w:rsidP="0099306D">
      <w:pPr>
        <w:pStyle w:val="ListParagraph"/>
        <w:keepNext/>
        <w:numPr>
          <w:ilvl w:val="0"/>
          <w:numId w:val="5"/>
        </w:numPr>
        <w:spacing w:line="480" w:lineRule="auto"/>
        <w:outlineLvl w:val="0"/>
      </w:pPr>
      <w:r w:rsidRPr="00C06677">
        <w:t xml:space="preserve">The </w:t>
      </w:r>
      <w:r w:rsidRPr="00C06677">
        <w:rPr>
          <w:i/>
          <w:iCs/>
        </w:rPr>
        <w:t>Value Constant Model</w:t>
      </w:r>
      <w:r w:rsidRPr="00C06677">
        <w:t xml:space="preserve"> is the same model as Experiment 1</w:t>
      </w:r>
      <w:r>
        <w:t xml:space="preserve"> tailored to the yes/no experiment.  Specifically, to identify whether a value constant is required, the data was coded to identify whether the Item was </w:t>
      </w:r>
      <w:r w:rsidR="00354CF4">
        <w:t xml:space="preserve">the </w:t>
      </w:r>
      <w:r>
        <w:t xml:space="preserve">HVO or LVO relative to the </w:t>
      </w:r>
      <w:r w:rsidR="00354CF4">
        <w:t>TD</w:t>
      </w:r>
      <w:r>
        <w:t>, termed the Item</w:t>
      </w:r>
      <w:r w:rsidRPr="001A4FC7">
        <w:rPr>
          <w:vertAlign w:val="subscript"/>
        </w:rPr>
        <w:t>HVO</w:t>
      </w:r>
      <w:r>
        <w:t>/Item</w:t>
      </w:r>
      <w:r w:rsidRPr="001A4FC7">
        <w:rPr>
          <w:vertAlign w:val="subscript"/>
        </w:rPr>
        <w:t>LVO</w:t>
      </w:r>
      <w:r>
        <w:t xml:space="preserve"> variable. If the Item was the HVO (and therefore the </w:t>
      </w:r>
      <w:r w:rsidR="00414BDF">
        <w:t>TD</w:t>
      </w:r>
      <w:r>
        <w:t xml:space="preserve"> is the LVO), it was assigned a 1, otherwise it was assigned a </w:t>
      </w:r>
      <w:r>
        <w:noBreakHyphen/>
        <w:t>1. If there is no correction, then responses to the Item</w:t>
      </w:r>
      <w:r w:rsidRPr="00820ADA">
        <w:rPr>
          <w:vertAlign w:val="subscript"/>
        </w:rPr>
        <w:t>HVO</w:t>
      </w:r>
      <w:r>
        <w:t xml:space="preserve"> trials will be identical to the Item</w:t>
      </w:r>
      <w:r w:rsidRPr="00820ADA">
        <w:rPr>
          <w:vertAlign w:val="subscript"/>
        </w:rPr>
        <w:t>LVO</w:t>
      </w:r>
      <w:r>
        <w:t xml:space="preserve"> trials.  If Item</w:t>
      </w:r>
      <w:r>
        <w:rPr>
          <w:vertAlign w:val="subscript"/>
        </w:rPr>
        <w:t>H</w:t>
      </w:r>
      <w:r w:rsidRPr="00820ADA">
        <w:rPr>
          <w:vertAlign w:val="subscript"/>
        </w:rPr>
        <w:t>VO</w:t>
      </w:r>
      <w:r>
        <w:t xml:space="preserve"> trials are slower and less accurate than Item</w:t>
      </w:r>
      <w:r>
        <w:rPr>
          <w:vertAlign w:val="subscript"/>
        </w:rPr>
        <w:t>L</w:t>
      </w:r>
      <w:r w:rsidRPr="00820ADA">
        <w:rPr>
          <w:vertAlign w:val="subscript"/>
        </w:rPr>
        <w:t>VO</w:t>
      </w:r>
      <w:r>
        <w:rPr>
          <w:vertAlign w:val="subscript"/>
        </w:rPr>
        <w:t>,</w:t>
      </w:r>
      <w:r>
        <w:t xml:space="preserve"> then the </w:t>
      </w:r>
      <w:r w:rsidR="00414BDF">
        <w:t>TD</w:t>
      </w:r>
      <w:r>
        <w:t xml:space="preserve"> will be shifted up (the value constant parameter will be negative), and </w:t>
      </w:r>
      <w:r w:rsidR="00D64F09">
        <w:t>vice</w:t>
      </w:r>
      <w:r>
        <w:t xml:space="preserve"> versa. </w:t>
      </w:r>
    </w:p>
    <w:p w14:paraId="6CEB219C" w14:textId="44421511" w:rsidR="0099306D" w:rsidRPr="00C06677" w:rsidRDefault="0099306D" w:rsidP="0099306D">
      <w:pPr>
        <w:pStyle w:val="ListParagraph"/>
        <w:keepNext/>
        <w:numPr>
          <w:ilvl w:val="0"/>
          <w:numId w:val="5"/>
        </w:numPr>
        <w:spacing w:line="480" w:lineRule="auto"/>
        <w:outlineLvl w:val="0"/>
      </w:pPr>
      <w:r w:rsidRPr="00C06677">
        <w:t xml:space="preserve">The </w:t>
      </w:r>
      <w:r>
        <w:rPr>
          <w:i/>
          <w:iCs/>
        </w:rPr>
        <w:t>Start Point</w:t>
      </w:r>
      <w:r w:rsidRPr="00C06677">
        <w:rPr>
          <w:i/>
          <w:iCs/>
        </w:rPr>
        <w:t xml:space="preserve"> Bias Model</w:t>
      </w:r>
      <w:r w:rsidRPr="00C06677">
        <w:t>, which assessed for a</w:t>
      </w:r>
      <w:r>
        <w:t>n overall</w:t>
      </w:r>
      <w:r w:rsidRPr="00C06677">
        <w:t xml:space="preserve"> </w:t>
      </w:r>
      <w:r>
        <w:t>start point</w:t>
      </w:r>
      <w:r w:rsidRPr="00C06677">
        <w:t xml:space="preserve"> bias in the data. Such a bias would reflect the fact that participants shifted the start point</w:t>
      </w:r>
      <w:r>
        <w:t>, generally,</w:t>
      </w:r>
      <w:r w:rsidRPr="00C06677">
        <w:t xml:space="preserve"> toward </w:t>
      </w:r>
      <w:r>
        <w:t>the donate or keep boundary</w:t>
      </w:r>
      <w:r w:rsidRPr="00C06677">
        <w:t xml:space="preserve">.  This model is identical to the </w:t>
      </w:r>
      <w:r w:rsidRPr="00C06677">
        <w:rPr>
          <w:i/>
          <w:iCs/>
        </w:rPr>
        <w:t xml:space="preserve">Value Constant </w:t>
      </w:r>
      <w:r w:rsidRPr="00C06677">
        <w:lastRenderedPageBreak/>
        <w:t xml:space="preserve">Model, with the exception that it adds </w:t>
      </w:r>
      <w:r>
        <w:t>a</w:t>
      </w:r>
      <w:r w:rsidRPr="00C06677">
        <w:t xml:space="preserve"> free parameter to capture shifting the start point </w:t>
      </w:r>
      <w:r>
        <w:t>toward one of the two boundaries</w:t>
      </w:r>
      <w:r w:rsidRPr="00C06677">
        <w:t>.</w:t>
      </w:r>
      <w:r>
        <w:rPr>
          <w:rFonts w:ascii="TimesNewRomanPSMT" w:hAnsi="TimesNewRomanPSMT"/>
        </w:rPr>
        <w:t xml:space="preserve"> </w:t>
      </w:r>
    </w:p>
    <w:p w14:paraId="1375606D" w14:textId="77777777" w:rsidR="0099306D" w:rsidRPr="00C06677" w:rsidRDefault="0099306D" w:rsidP="002D6464">
      <w:pPr>
        <w:pStyle w:val="ListParagraph"/>
        <w:numPr>
          <w:ilvl w:val="0"/>
          <w:numId w:val="5"/>
        </w:numPr>
        <w:spacing w:line="480" w:lineRule="auto"/>
        <w:outlineLvl w:val="0"/>
      </w:pPr>
      <w:r w:rsidRPr="00C06677">
        <w:t xml:space="preserve">The </w:t>
      </w:r>
      <w:r>
        <w:rPr>
          <w:i/>
          <w:iCs/>
        </w:rPr>
        <w:t>Dollar Start Point</w:t>
      </w:r>
      <w:r w:rsidRPr="00C06677">
        <w:rPr>
          <w:i/>
          <w:iCs/>
        </w:rPr>
        <w:t xml:space="preserve"> Bias Model</w:t>
      </w:r>
      <w:r w:rsidRPr="00C06677">
        <w:t xml:space="preserve">, which assessed for a response bias in the data. Such a bias would reflect the fact that participants shifted the start point toward </w:t>
      </w:r>
      <w:r>
        <w:t>one or the other boundary separately for each dollar condition</w:t>
      </w:r>
      <w:r w:rsidRPr="00C06677">
        <w:t xml:space="preserve">.  This model is identical to the </w:t>
      </w:r>
      <w:r>
        <w:rPr>
          <w:i/>
          <w:iCs/>
        </w:rPr>
        <w:t>Start Point</w:t>
      </w:r>
      <w:r w:rsidRPr="00C06677">
        <w:rPr>
          <w:i/>
          <w:iCs/>
        </w:rPr>
        <w:t xml:space="preserve"> Bias Model</w:t>
      </w:r>
      <w:r w:rsidRPr="00C06677">
        <w:t xml:space="preserve">, with the exception that it adds </w:t>
      </w:r>
      <w:r>
        <w:t>two</w:t>
      </w:r>
      <w:r w:rsidRPr="00C06677">
        <w:t xml:space="preserve"> free parameter</w:t>
      </w:r>
      <w:r>
        <w:t>s</w:t>
      </w:r>
      <w:r w:rsidRPr="00C06677">
        <w:t xml:space="preserve"> to capture </w:t>
      </w:r>
      <w:r>
        <w:t>any additional shifts in the start points for the $10 and $100 dollar donated amounts</w:t>
      </w:r>
      <w:r w:rsidRPr="00C06677">
        <w:t xml:space="preserve">.  </w:t>
      </w:r>
      <w:r w:rsidRPr="001969F7">
        <w:t>To model this, we created two dummy coded variables: one to code for start point bias shift for the $10 amount (1 if dollar amount = $10, otherwise 0), and an additional start point bias shift for the $100 amount (1 if dollar amount = $100, otherwise 0). As such, the overall start point bias will quantify the start point shift of the $50 amount.  The two additional start point parameters will modify the overall start point shift for their respective trial types.</w:t>
      </w:r>
      <w:r>
        <w:rPr>
          <w:rFonts w:ascii="TimesNewRomanPSMT" w:hAnsi="TimesNewRomanPSMT"/>
        </w:rPr>
        <w:t xml:space="preserve"> </w:t>
      </w:r>
    </w:p>
    <w:p w14:paraId="1900E7BA" w14:textId="1BF45D32" w:rsidR="0099306D" w:rsidRPr="005F68C8" w:rsidRDefault="0099306D" w:rsidP="002D6464">
      <w:pPr>
        <w:pStyle w:val="ListParagraph"/>
        <w:numPr>
          <w:ilvl w:val="0"/>
          <w:numId w:val="5"/>
        </w:numPr>
        <w:spacing w:line="480" w:lineRule="auto"/>
        <w:outlineLvl w:val="0"/>
      </w:pPr>
      <w:r w:rsidRPr="00C06677">
        <w:t xml:space="preserve">The </w:t>
      </w:r>
      <w:r w:rsidRPr="002554E3">
        <w:rPr>
          <w:i/>
          <w:iCs/>
        </w:rPr>
        <w:t>Dollar</w:t>
      </w:r>
      <w:r>
        <w:t xml:space="preserve"> </w:t>
      </w:r>
      <w:r w:rsidRPr="00C06677">
        <w:rPr>
          <w:i/>
          <w:iCs/>
        </w:rPr>
        <w:t>Value Change Model</w:t>
      </w:r>
      <w:r w:rsidRPr="00C06677">
        <w:t xml:space="preserve">, which assessed for a value shift such that the </w:t>
      </w:r>
      <w:r>
        <w:t>donation amounts</w:t>
      </w:r>
      <w:r w:rsidRPr="00C06677">
        <w:t xml:space="preserve"> </w:t>
      </w:r>
      <w:r>
        <w:t>changed the</w:t>
      </w:r>
      <w:r w:rsidRPr="00C06677">
        <w:t xml:space="preserve"> value </w:t>
      </w:r>
      <w:r>
        <w:t>of the Item</w:t>
      </w:r>
      <w:r w:rsidRPr="00C06677">
        <w:t xml:space="preserve">, thus changing the Overlap of the pair.  This model is identical to the </w:t>
      </w:r>
      <w:r w:rsidRPr="00C06677">
        <w:rPr>
          <w:i/>
          <w:iCs/>
        </w:rPr>
        <w:t xml:space="preserve">Value Constant </w:t>
      </w:r>
      <w:r w:rsidRPr="00C06677">
        <w:t xml:space="preserve">Model, with the exception that it adds </w:t>
      </w:r>
      <w:r>
        <w:t>two</w:t>
      </w:r>
      <w:r w:rsidRPr="00C06677">
        <w:t xml:space="preserve"> free parameter</w:t>
      </w:r>
      <w:r>
        <w:t>s</w:t>
      </w:r>
      <w:r w:rsidRPr="00C06677">
        <w:t xml:space="preserve"> to capture value shift</w:t>
      </w:r>
      <w:r>
        <w:t>s</w:t>
      </w:r>
      <w:r w:rsidRPr="00C06677">
        <w:t xml:space="preserve"> </w:t>
      </w:r>
      <w:r>
        <w:t>for the $10 and $100 dollar donated amounts</w:t>
      </w:r>
      <w:r w:rsidRPr="00C06677">
        <w:t xml:space="preserve">. </w:t>
      </w:r>
      <w:r w:rsidRPr="001969F7">
        <w:t>The</w:t>
      </w:r>
      <w:r w:rsidR="00716DAB" w:rsidRPr="001969F7">
        <w:t xml:space="preserve"> </w:t>
      </w:r>
      <w:r w:rsidRPr="001969F7">
        <w:t>same dummy codes used for the Dollar Start Point Bias model were used for this model.  However, they were applied to the value parameter, rather than the start point parameter.</w:t>
      </w:r>
    </w:p>
    <w:p w14:paraId="52C691E7" w14:textId="1F57C939" w:rsidR="0099306D" w:rsidRPr="00C06677" w:rsidRDefault="0099306D" w:rsidP="002D6464">
      <w:pPr>
        <w:pStyle w:val="ListParagraph"/>
        <w:numPr>
          <w:ilvl w:val="0"/>
          <w:numId w:val="5"/>
        </w:numPr>
        <w:spacing w:line="480" w:lineRule="auto"/>
        <w:outlineLvl w:val="0"/>
      </w:pPr>
      <w:r>
        <w:rPr>
          <w:rFonts w:ascii="TimesNewRomanPSMT" w:hAnsi="TimesNewRomanPSMT"/>
        </w:rPr>
        <w:t xml:space="preserve">The </w:t>
      </w:r>
      <w:r w:rsidR="009E0437" w:rsidRPr="00AC2999">
        <w:rPr>
          <w:i/>
          <w:iCs/>
        </w:rPr>
        <w:t xml:space="preserve">Dollar </w:t>
      </w:r>
      <w:r>
        <w:rPr>
          <w:i/>
          <w:iCs/>
        </w:rPr>
        <w:t>Start Point</w:t>
      </w:r>
      <w:r w:rsidRPr="00C06677">
        <w:rPr>
          <w:i/>
          <w:iCs/>
        </w:rPr>
        <w:t xml:space="preserve"> Bias + </w:t>
      </w:r>
      <w:r>
        <w:rPr>
          <w:i/>
          <w:iCs/>
        </w:rPr>
        <w:t xml:space="preserve">Dollar </w:t>
      </w:r>
      <w:r w:rsidRPr="00C06677">
        <w:rPr>
          <w:i/>
          <w:iCs/>
        </w:rPr>
        <w:t>Value Change Model</w:t>
      </w:r>
      <w:r>
        <w:t>, which</w:t>
      </w:r>
      <w:r w:rsidRPr="00C06677">
        <w:t xml:space="preserve"> add</w:t>
      </w:r>
      <w:r>
        <w:t>s</w:t>
      </w:r>
      <w:r w:rsidRPr="00C06677">
        <w:t xml:space="preserve"> both a</w:t>
      </w:r>
      <w:r>
        <w:t xml:space="preserve">n overall start point parameter and the two </w:t>
      </w:r>
      <w:r w:rsidRPr="00C06677">
        <w:t xml:space="preserve">value change </w:t>
      </w:r>
      <w:r>
        <w:t xml:space="preserve">parameters. </w:t>
      </w:r>
    </w:p>
    <w:p w14:paraId="26D821C3" w14:textId="77777777" w:rsidR="0099306D" w:rsidRPr="00C06677" w:rsidRDefault="0099306D" w:rsidP="002D6464">
      <w:pPr>
        <w:pStyle w:val="ListParagraph"/>
        <w:numPr>
          <w:ilvl w:val="0"/>
          <w:numId w:val="5"/>
        </w:numPr>
        <w:spacing w:line="480" w:lineRule="auto"/>
        <w:outlineLvl w:val="0"/>
      </w:pPr>
      <w:r w:rsidRPr="00C06677">
        <w:t xml:space="preserve">The </w:t>
      </w:r>
      <w:r w:rsidRPr="00C06677">
        <w:rPr>
          <w:i/>
          <w:iCs/>
        </w:rPr>
        <w:t xml:space="preserve">In-group </w:t>
      </w:r>
      <w:r>
        <w:rPr>
          <w:i/>
          <w:iCs/>
        </w:rPr>
        <w:t>Start Point</w:t>
      </w:r>
      <w:r w:rsidRPr="00C06677">
        <w:rPr>
          <w:i/>
          <w:iCs/>
        </w:rPr>
        <w:t xml:space="preserve"> Bias + </w:t>
      </w:r>
      <w:r>
        <w:rPr>
          <w:i/>
          <w:iCs/>
        </w:rPr>
        <w:t xml:space="preserve">In-group </w:t>
      </w:r>
      <w:r w:rsidRPr="00C06677">
        <w:rPr>
          <w:i/>
          <w:iCs/>
        </w:rPr>
        <w:t>Value Change Model</w:t>
      </w:r>
      <w:r w:rsidRPr="00C06677">
        <w:t xml:space="preserve"> added both a </w:t>
      </w:r>
      <w:r>
        <w:t xml:space="preserve">in-group </w:t>
      </w:r>
      <w:r w:rsidRPr="00C06677">
        <w:t xml:space="preserve">value change </w:t>
      </w:r>
      <w:r>
        <w:t xml:space="preserve">parameters </w:t>
      </w:r>
      <w:r w:rsidRPr="00C06677">
        <w:t xml:space="preserve">and </w:t>
      </w:r>
      <w:r>
        <w:t>the in-group</w:t>
      </w:r>
      <w:r w:rsidRPr="00C06677">
        <w:t xml:space="preserve"> </w:t>
      </w:r>
      <w:r>
        <w:t>start point</w:t>
      </w:r>
      <w:r w:rsidRPr="00C06677">
        <w:t xml:space="preserve"> </w:t>
      </w:r>
      <w:r>
        <w:t>parameters</w:t>
      </w:r>
      <w:r w:rsidRPr="00C06677">
        <w:t xml:space="preserve">. </w:t>
      </w:r>
    </w:p>
    <w:p w14:paraId="4C93FD52" w14:textId="77777777" w:rsidR="0099306D" w:rsidRDefault="0099306D" w:rsidP="002D6464">
      <w:pPr>
        <w:spacing w:line="480" w:lineRule="auto"/>
      </w:pPr>
      <w:r>
        <w:lastRenderedPageBreak/>
        <w:t xml:space="preserve">Similar to Experiments 1-3, </w:t>
      </w:r>
      <w:r w:rsidRPr="001969F7">
        <w:t xml:space="preserve">we collapsed across participants to get stable estimates of RT and </w:t>
      </w:r>
      <w:r w:rsidRPr="001969F7">
        <w:rPr>
          <w:i/>
          <w:iCs/>
        </w:rPr>
        <w:t>p</w:t>
      </w:r>
      <w:r w:rsidRPr="001969F7">
        <w:t>(HVO) per Overlap x Dollar Donation Amount x Item</w:t>
      </w:r>
      <w:r w:rsidRPr="001969F7">
        <w:rPr>
          <w:vertAlign w:val="subscript"/>
        </w:rPr>
        <w:t>HVO</w:t>
      </w:r>
      <w:r w:rsidRPr="001969F7">
        <w:t>/Item</w:t>
      </w:r>
      <w:r w:rsidRPr="001969F7">
        <w:rPr>
          <w:vertAlign w:val="subscript"/>
        </w:rPr>
        <w:t>LVO</w:t>
      </w:r>
      <w:r w:rsidRPr="001969F7">
        <w:t xml:space="preserve"> x Correct/Incorrect combination.</w:t>
      </w:r>
      <w:r w:rsidRPr="00C06677">
        <w:rPr>
          <w:rFonts w:ascii="TimesNewRomanPSMT" w:hAnsi="TimesNewRomanPSMT"/>
        </w:rPr>
        <w:t xml:space="preserve"> </w:t>
      </w:r>
      <w:r>
        <w:t xml:space="preserve">PVT holds that a correct response in the yes/no experiment occurs when the respondent chooses to donate when the Item is the HVO and keeps the money when the Item is the LVO.  </w:t>
      </w:r>
      <w:r w:rsidRPr="00C06677">
        <w:t xml:space="preserve">In all other ways, we conducted the RRW analysis in Experiment </w:t>
      </w:r>
      <w:r>
        <w:t>4</w:t>
      </w:r>
      <w:r w:rsidRPr="00C06677">
        <w:t xml:space="preserve"> as described previously. </w:t>
      </w:r>
    </w:p>
    <w:p w14:paraId="646A1791" w14:textId="77777777" w:rsidR="0099306D" w:rsidRDefault="0099306D" w:rsidP="002D6464">
      <w:pPr>
        <w:spacing w:line="480" w:lineRule="auto"/>
      </w:pPr>
      <w:r>
        <w:br w:type="page"/>
      </w:r>
    </w:p>
    <w:p w14:paraId="5516FB47" w14:textId="2DD2BF11" w:rsidR="0099306D" w:rsidRDefault="005C74A4" w:rsidP="0099306D">
      <w:r w:rsidRPr="005C74A4">
        <w:rPr>
          <w:noProof/>
        </w:rPr>
        <w:lastRenderedPageBreak/>
        <w:t xml:space="preserve"> </w:t>
      </w:r>
      <w:r w:rsidRPr="005C74A4">
        <w:rPr>
          <w:noProof/>
        </w:rPr>
        <w:drawing>
          <wp:inline distT="0" distB="0" distL="0" distR="0" wp14:anchorId="09619727" wp14:editId="06E116D5">
            <wp:extent cx="5943600" cy="7560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560310"/>
                    </a:xfrm>
                    <a:prstGeom prst="rect">
                      <a:avLst/>
                    </a:prstGeom>
                  </pic:spPr>
                </pic:pic>
              </a:graphicData>
            </a:graphic>
          </wp:inline>
        </w:drawing>
      </w:r>
    </w:p>
    <w:p w14:paraId="6DB2B851" w14:textId="53760C17" w:rsidR="0099306D" w:rsidRPr="00C06677" w:rsidRDefault="0099306D" w:rsidP="0099306D">
      <w:pPr>
        <w:spacing w:after="240"/>
      </w:pPr>
      <w:r>
        <w:t xml:space="preserve">Figure </w:t>
      </w:r>
      <w:r w:rsidR="00D64F09">
        <w:t>1</w:t>
      </w:r>
      <w:r w:rsidR="005E6E67">
        <w:t>4</w:t>
      </w:r>
      <w:r>
        <w:t>: The behavioral data and model fit for Experiment 4.  The dots represent the data, and the lines represent the model fit. The top graph</w:t>
      </w:r>
      <w:r w:rsidR="00B20E9D">
        <w:t>s</w:t>
      </w:r>
      <w:r>
        <w:t xml:space="preserve"> show the</w:t>
      </w:r>
      <w:r w:rsidR="00B20E9D">
        <w:t xml:space="preserve"> performance of the</w:t>
      </w:r>
      <w:r>
        <w:t xml:space="preserve"> full model, which </w:t>
      </w:r>
      <w:r>
        <w:lastRenderedPageBreak/>
        <w:t>simultaneously fit all three DVs (p(HVO), RT</w:t>
      </w:r>
      <w:r>
        <w:rPr>
          <w:vertAlign w:val="subscript"/>
        </w:rPr>
        <w:t>correct</w:t>
      </w:r>
      <w:r>
        <w:t>, RT</w:t>
      </w:r>
      <w:r>
        <w:rPr>
          <w:vertAlign w:val="subscript"/>
        </w:rPr>
        <w:t>incorrect</w:t>
      </w:r>
      <w:r>
        <w:t>) to each Dollar Donation Amount ($10, $50, $100) x Item</w:t>
      </w:r>
      <w:r w:rsidRPr="00155942">
        <w:rPr>
          <w:vertAlign w:val="subscript"/>
        </w:rPr>
        <w:t>HVO</w:t>
      </w:r>
      <w:r>
        <w:t>/Item</w:t>
      </w:r>
      <w:r w:rsidRPr="00155942">
        <w:rPr>
          <w:vertAlign w:val="subscript"/>
        </w:rPr>
        <w:t>LVO</w:t>
      </w:r>
      <w:r>
        <w:t xml:space="preserve"> (HVO or LVO). The </w:t>
      </w:r>
      <w:r w:rsidR="00FE79A7">
        <w:t xml:space="preserve">labeling on the </w:t>
      </w:r>
      <w:r w:rsidRPr="001969F7">
        <w:rPr>
          <w:i/>
          <w:iCs/>
        </w:rPr>
        <w:t>p</w:t>
      </w:r>
      <w:r>
        <w:t xml:space="preserve">(HVO) graph acts as the legend.  The thin, light grey lines represent the </w:t>
      </w:r>
      <w:r w:rsidRPr="00F218EF">
        <w:t xml:space="preserve">40 individual iterations of the RRW with parameters from the best fit model. The </w:t>
      </w:r>
      <w:r>
        <w:t>thicker, darker</w:t>
      </w:r>
      <w:r w:rsidRPr="00F218EF">
        <w:t xml:space="preserve"> line</w:t>
      </w:r>
      <w:r>
        <w:t>s</w:t>
      </w:r>
      <w:r w:rsidRPr="00F218EF">
        <w:t xml:space="preserve"> show the average fit of those 40 lines.</w:t>
      </w:r>
      <w:r>
        <w:t xml:space="preserve"> For ease of viewing the model fits, the bottom three figures break out the data and model fits by Dollar Donation Amount. The black symbols and lines represent the Item</w:t>
      </w:r>
      <w:r w:rsidRPr="00155942">
        <w:rPr>
          <w:vertAlign w:val="subscript"/>
        </w:rPr>
        <w:t>LVO</w:t>
      </w:r>
      <w:r>
        <w:t xml:space="preserve"> trials, and the grey symbols and lines represent the Item</w:t>
      </w:r>
      <w:r w:rsidRPr="00155942">
        <w:rPr>
          <w:vertAlign w:val="subscript"/>
        </w:rPr>
        <w:t>HVO</w:t>
      </w:r>
      <w:r>
        <w:t xml:space="preserve"> trials. In the RT graphs, the circles represent correct responses and the “x”s represent incorrect responses.</w:t>
      </w:r>
    </w:p>
    <w:p w14:paraId="0B3B428A" w14:textId="77777777" w:rsidR="008E5BCF" w:rsidRDefault="008E5BCF" w:rsidP="002D6464">
      <w:pPr>
        <w:keepNext/>
        <w:spacing w:line="480" w:lineRule="auto"/>
        <w:ind w:firstLine="720"/>
        <w:outlineLvl w:val="0"/>
      </w:pPr>
    </w:p>
    <w:p w14:paraId="7C560058" w14:textId="51C8DB97" w:rsidR="0099306D" w:rsidRDefault="0099306D" w:rsidP="002D6464">
      <w:pPr>
        <w:keepNext/>
        <w:spacing w:line="480" w:lineRule="auto"/>
        <w:ind w:firstLine="720"/>
        <w:outlineLvl w:val="0"/>
      </w:pPr>
      <w:r w:rsidRPr="00531BD6">
        <w:t xml:space="preserve">Table </w:t>
      </w:r>
      <w:r w:rsidR="00D64F09">
        <w:t>1</w:t>
      </w:r>
      <w:r w:rsidRPr="00531BD6">
        <w:t xml:space="preserve"> presents the </w:t>
      </w:r>
      <w:r w:rsidRPr="00531BD6">
        <w:rPr>
          <w:i/>
          <w:iCs/>
        </w:rPr>
        <w:t>r</w:t>
      </w:r>
      <w:r w:rsidRPr="00531BD6">
        <w:rPr>
          <w:i/>
          <w:iCs/>
          <w:vertAlign w:val="superscript"/>
        </w:rPr>
        <w:t>2</w:t>
      </w:r>
      <w:r w:rsidRPr="00531BD6">
        <w:t xml:space="preserve"> and BIC for each model.  All models fit the data quite well, but the </w:t>
      </w:r>
      <w:r>
        <w:t xml:space="preserve">Dollar </w:t>
      </w:r>
      <w:r w:rsidRPr="00531BD6">
        <w:t xml:space="preserve">Value Change model was the best fit with an </w:t>
      </w:r>
      <w:r w:rsidRPr="00531BD6">
        <w:rPr>
          <w:i/>
          <w:iCs/>
        </w:rPr>
        <w:t>r</w:t>
      </w:r>
      <w:r w:rsidRPr="00531BD6">
        <w:rPr>
          <w:i/>
          <w:iCs/>
          <w:vertAlign w:val="superscript"/>
        </w:rPr>
        <w:t>2</w:t>
      </w:r>
      <w:r w:rsidRPr="00531BD6">
        <w:t xml:space="preserve"> = 0.</w:t>
      </w:r>
      <w:r>
        <w:t>86</w:t>
      </w:r>
      <w:r w:rsidRPr="00531BD6">
        <w:t xml:space="preserve"> (see Figure </w:t>
      </w:r>
      <w:r w:rsidR="00D64F09">
        <w:t>1</w:t>
      </w:r>
      <w:r w:rsidR="005E6E67">
        <w:t>4</w:t>
      </w:r>
      <w:r w:rsidRPr="00531BD6">
        <w:t>)</w:t>
      </w:r>
      <w:r w:rsidR="0053696A">
        <w:t>.</w:t>
      </w:r>
      <w:r w:rsidRPr="00531BD6">
        <w:t xml:space="preserve"> The </w:t>
      </w:r>
      <w:r>
        <w:t>seven</w:t>
      </w:r>
      <w:r w:rsidRPr="00531BD6">
        <w:t xml:space="preserve"> free parameters in the </w:t>
      </w:r>
      <w:r>
        <w:t xml:space="preserve">Dollar </w:t>
      </w:r>
      <w:r w:rsidRPr="00531BD6">
        <w:t xml:space="preserve">Value Change model are presented in Table </w:t>
      </w:r>
      <w:r w:rsidR="00D64F09">
        <w:t>3</w:t>
      </w:r>
      <w:r w:rsidRPr="00531BD6">
        <w:t xml:space="preserve">. </w:t>
      </w:r>
      <w:r>
        <w:t xml:space="preserve">The value change parameters reveal that all dollar donation amounts resulted in an upward shift of the </w:t>
      </w:r>
      <w:r w:rsidR="00414BDF">
        <w:t>TD</w:t>
      </w:r>
      <w:r>
        <w:t>.  The $10 donation amount produced a small upward shift of about -0.03 (</w:t>
      </w:r>
      <w:r>
        <w:noBreakHyphen/>
        <w:t xml:space="preserve">0.1 + 0.07 = </w:t>
      </w:r>
      <w:r>
        <w:noBreakHyphen/>
        <w:t>0.03). The $50 donation amount produced a larger upward shift of about -0.1 (the overall value change parameter). Finally, the $100 donation amount produced the largest upward shift of about -0.14 (</w:t>
      </w:r>
      <w:r>
        <w:noBreakHyphen/>
        <w:t xml:space="preserve">0.1 + -0.04 = </w:t>
      </w:r>
      <w:r>
        <w:noBreakHyphen/>
        <w:t xml:space="preserve">0.14). This systematic increase in the value of the </w:t>
      </w:r>
      <w:r w:rsidR="00414BDF">
        <w:t>TD</w:t>
      </w:r>
      <w:r>
        <w:t xml:space="preserve"> is predict</w:t>
      </w:r>
      <w:r w:rsidR="00B20E9D">
        <w:t>ed</w:t>
      </w:r>
      <w:r>
        <w:t xml:space="preserve"> when the value of the donation amount</w:t>
      </w:r>
      <w:r w:rsidR="00B20E9D">
        <w:t xml:space="preserve"> increases</w:t>
      </w:r>
      <w:r>
        <w:t xml:space="preserve">.  </w:t>
      </w:r>
    </w:p>
    <w:p w14:paraId="5F412055" w14:textId="77777777" w:rsidR="00D64F09" w:rsidRDefault="00D64F09" w:rsidP="0099306D"/>
    <w:p w14:paraId="5947511B" w14:textId="7061492C" w:rsidR="0099306D" w:rsidRPr="002D6464" w:rsidRDefault="0099306D" w:rsidP="0099306D">
      <w:pPr>
        <w:rPr>
          <w:rFonts w:ascii="TimesNewRomanPSMT" w:hAnsi="TimesNewRomanPSMT"/>
        </w:rPr>
      </w:pPr>
      <w:r w:rsidRPr="00C06677">
        <w:rPr>
          <w:color w:val="000000" w:themeColor="text1"/>
        </w:rPr>
        <w:t xml:space="preserve">Table </w:t>
      </w:r>
      <w:r w:rsidR="00D64F09">
        <w:rPr>
          <w:color w:val="000000" w:themeColor="text1"/>
        </w:rPr>
        <w:t>3</w:t>
      </w:r>
      <w:r w:rsidRPr="00C06677">
        <w:rPr>
          <w:color w:val="000000" w:themeColor="text1"/>
        </w:rPr>
        <w:t xml:space="preserve">: The parameters and </w:t>
      </w:r>
      <w:r w:rsidRPr="001969F7">
        <w:rPr>
          <w:i/>
          <w:iCs/>
          <w:color w:val="000000" w:themeColor="text1"/>
        </w:rPr>
        <w:t>r</w:t>
      </w:r>
      <w:r w:rsidRPr="001969F7">
        <w:rPr>
          <w:i/>
          <w:iCs/>
          <w:color w:val="000000" w:themeColor="text1"/>
          <w:vertAlign w:val="superscript"/>
        </w:rPr>
        <w:t>2</w:t>
      </w:r>
      <w:r w:rsidRPr="00C06677">
        <w:rPr>
          <w:color w:val="000000" w:themeColor="text1"/>
        </w:rPr>
        <w:t xml:space="preserve"> for the best fitting RRW model in Experiments </w:t>
      </w:r>
      <w:r>
        <w:rPr>
          <w:color w:val="000000" w:themeColor="text1"/>
        </w:rPr>
        <w:t>4</w:t>
      </w:r>
      <w:r w:rsidRPr="00C06677">
        <w:rPr>
          <w:color w:val="000000" w:themeColor="text1"/>
        </w:rPr>
        <w:t>.</w:t>
      </w:r>
    </w:p>
    <w:p w14:paraId="1FFF4F34" w14:textId="77777777" w:rsidR="0099306D" w:rsidRPr="00C06677" w:rsidRDefault="0099306D" w:rsidP="0099306D">
      <w:pPr>
        <w:rPr>
          <w:color w:val="000000" w:themeColor="text1"/>
        </w:rPr>
      </w:pPr>
    </w:p>
    <w:tbl>
      <w:tblPr>
        <w:tblStyle w:val="TableGrid"/>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726"/>
        <w:gridCol w:w="789"/>
        <w:gridCol w:w="1163"/>
        <w:gridCol w:w="893"/>
        <w:gridCol w:w="1109"/>
        <w:gridCol w:w="1170"/>
        <w:gridCol w:w="900"/>
        <w:gridCol w:w="990"/>
        <w:gridCol w:w="810"/>
      </w:tblGrid>
      <w:tr w:rsidR="0099306D" w:rsidRPr="00C06677" w14:paraId="01C1B3BE" w14:textId="77777777" w:rsidTr="00531BD6">
        <w:tc>
          <w:tcPr>
            <w:tcW w:w="726" w:type="dxa"/>
            <w:tcBorders>
              <w:top w:val="nil"/>
              <w:left w:val="nil"/>
              <w:right w:val="nil"/>
            </w:tcBorders>
            <w:vAlign w:val="bottom"/>
          </w:tcPr>
          <w:p w14:paraId="208E41EE" w14:textId="77777777" w:rsidR="0099306D" w:rsidRPr="00C06677" w:rsidRDefault="0099306D" w:rsidP="00531BD6">
            <w:pPr>
              <w:jc w:val="center"/>
              <w:rPr>
                <w:color w:val="000000" w:themeColor="text1"/>
              </w:rPr>
            </w:pPr>
            <w:r w:rsidRPr="00C06677">
              <w:rPr>
                <w:color w:val="000000" w:themeColor="text1"/>
              </w:rPr>
              <w:t>T</w:t>
            </w:r>
            <w:r w:rsidRPr="00C06677">
              <w:rPr>
                <w:color w:val="000000" w:themeColor="text1"/>
                <w:vertAlign w:val="subscript"/>
              </w:rPr>
              <w:t>er</w:t>
            </w:r>
          </w:p>
        </w:tc>
        <w:tc>
          <w:tcPr>
            <w:tcW w:w="789" w:type="dxa"/>
            <w:tcBorders>
              <w:top w:val="nil"/>
              <w:left w:val="nil"/>
              <w:right w:val="nil"/>
            </w:tcBorders>
            <w:vAlign w:val="bottom"/>
          </w:tcPr>
          <w:p w14:paraId="0C83F83E" w14:textId="77777777" w:rsidR="0099306D" w:rsidRPr="00C06677" w:rsidRDefault="0099306D" w:rsidP="00531BD6">
            <w:pPr>
              <w:jc w:val="center"/>
              <w:rPr>
                <w:color w:val="000000" w:themeColor="text1"/>
              </w:rPr>
            </w:pPr>
            <w:r w:rsidRPr="00C06677">
              <w:rPr>
                <w:color w:val="000000" w:themeColor="text1"/>
              </w:rPr>
              <w:t>N</w:t>
            </w:r>
            <w:r w:rsidRPr="00C06677">
              <w:rPr>
                <w:color w:val="000000" w:themeColor="text1"/>
                <w:vertAlign w:val="subscript"/>
              </w:rPr>
              <w:t>SD</w:t>
            </w:r>
          </w:p>
        </w:tc>
        <w:tc>
          <w:tcPr>
            <w:tcW w:w="1163" w:type="dxa"/>
            <w:tcBorders>
              <w:top w:val="nil"/>
              <w:left w:val="nil"/>
              <w:right w:val="nil"/>
            </w:tcBorders>
            <w:vAlign w:val="bottom"/>
          </w:tcPr>
          <w:p w14:paraId="3DD71F84" w14:textId="77777777" w:rsidR="0099306D" w:rsidRPr="00C06677" w:rsidRDefault="0099306D" w:rsidP="00531BD6">
            <w:pPr>
              <w:jc w:val="center"/>
              <w:rPr>
                <w:color w:val="000000" w:themeColor="text1"/>
              </w:rPr>
            </w:pPr>
            <w:r w:rsidRPr="00C06677">
              <w:rPr>
                <w:color w:val="000000" w:themeColor="text1"/>
              </w:rPr>
              <w:t>Boundary</w:t>
            </w:r>
          </w:p>
        </w:tc>
        <w:tc>
          <w:tcPr>
            <w:tcW w:w="893" w:type="dxa"/>
            <w:tcBorders>
              <w:top w:val="nil"/>
              <w:left w:val="nil"/>
              <w:right w:val="nil"/>
            </w:tcBorders>
            <w:vAlign w:val="bottom"/>
          </w:tcPr>
          <w:p w14:paraId="00E0DF40" w14:textId="77777777" w:rsidR="0099306D" w:rsidRPr="00C06677" w:rsidRDefault="0099306D" w:rsidP="00531BD6">
            <w:pPr>
              <w:jc w:val="center"/>
              <w:rPr>
                <w:color w:val="000000" w:themeColor="text1"/>
              </w:rPr>
            </w:pPr>
            <w:r w:rsidRPr="00C06677">
              <w:rPr>
                <w:color w:val="000000" w:themeColor="text1"/>
              </w:rPr>
              <w:t>d</w:t>
            </w:r>
            <w:r w:rsidRPr="00C06677">
              <w:rPr>
                <w:color w:val="000000" w:themeColor="text1"/>
                <w:vertAlign w:val="subscript"/>
              </w:rPr>
              <w:t>B</w:t>
            </w:r>
          </w:p>
        </w:tc>
        <w:tc>
          <w:tcPr>
            <w:tcW w:w="1109" w:type="dxa"/>
            <w:tcBorders>
              <w:top w:val="nil"/>
              <w:left w:val="nil"/>
              <w:right w:val="nil"/>
            </w:tcBorders>
            <w:vAlign w:val="bottom"/>
          </w:tcPr>
          <w:p w14:paraId="4DE15AFD" w14:textId="77777777" w:rsidR="0099306D" w:rsidRPr="00C06677" w:rsidRDefault="0099306D" w:rsidP="00531BD6">
            <w:pPr>
              <w:jc w:val="center"/>
              <w:rPr>
                <w:color w:val="000000" w:themeColor="text1"/>
              </w:rPr>
            </w:pPr>
            <w:r w:rsidRPr="00C06677">
              <w:rPr>
                <w:color w:val="000000" w:themeColor="text1"/>
              </w:rPr>
              <w:t>s</w:t>
            </w:r>
          </w:p>
        </w:tc>
        <w:tc>
          <w:tcPr>
            <w:tcW w:w="1170" w:type="dxa"/>
            <w:tcBorders>
              <w:top w:val="nil"/>
              <w:left w:val="nil"/>
              <w:right w:val="nil"/>
            </w:tcBorders>
            <w:vAlign w:val="bottom"/>
          </w:tcPr>
          <w:p w14:paraId="596C735A" w14:textId="77777777" w:rsidR="0099306D" w:rsidRPr="00C06677" w:rsidRDefault="0099306D" w:rsidP="00531BD6">
            <w:pPr>
              <w:jc w:val="center"/>
              <w:rPr>
                <w:color w:val="000000" w:themeColor="text1"/>
              </w:rPr>
            </w:pPr>
            <w:r>
              <w:rPr>
                <w:color w:val="000000" w:themeColor="text1"/>
              </w:rPr>
              <w:t>vc overall</w:t>
            </w:r>
          </w:p>
        </w:tc>
        <w:tc>
          <w:tcPr>
            <w:tcW w:w="900" w:type="dxa"/>
            <w:tcBorders>
              <w:top w:val="nil"/>
              <w:left w:val="nil"/>
              <w:right w:val="nil"/>
            </w:tcBorders>
            <w:vAlign w:val="bottom"/>
          </w:tcPr>
          <w:p w14:paraId="30922807" w14:textId="77777777" w:rsidR="0099306D" w:rsidRPr="00C06677" w:rsidRDefault="0099306D" w:rsidP="00531BD6">
            <w:pPr>
              <w:jc w:val="center"/>
              <w:rPr>
                <w:color w:val="000000" w:themeColor="text1"/>
              </w:rPr>
            </w:pPr>
            <w:r>
              <w:rPr>
                <w:color w:val="000000" w:themeColor="text1"/>
              </w:rPr>
              <w:t>vc $10</w:t>
            </w:r>
          </w:p>
        </w:tc>
        <w:tc>
          <w:tcPr>
            <w:tcW w:w="990" w:type="dxa"/>
            <w:tcBorders>
              <w:top w:val="nil"/>
              <w:left w:val="nil"/>
              <w:right w:val="nil"/>
            </w:tcBorders>
          </w:tcPr>
          <w:p w14:paraId="72165055" w14:textId="77777777" w:rsidR="0099306D" w:rsidRPr="00C06677" w:rsidRDefault="0099306D" w:rsidP="00531BD6">
            <w:pPr>
              <w:jc w:val="center"/>
              <w:rPr>
                <w:color w:val="000000" w:themeColor="text1"/>
              </w:rPr>
            </w:pPr>
            <w:r>
              <w:rPr>
                <w:color w:val="000000" w:themeColor="text1"/>
              </w:rPr>
              <w:t>vc $100</w:t>
            </w:r>
          </w:p>
        </w:tc>
        <w:tc>
          <w:tcPr>
            <w:tcW w:w="810" w:type="dxa"/>
            <w:tcBorders>
              <w:top w:val="nil"/>
              <w:left w:val="nil"/>
            </w:tcBorders>
            <w:vAlign w:val="bottom"/>
          </w:tcPr>
          <w:p w14:paraId="5D14CB22" w14:textId="77777777" w:rsidR="0099306D" w:rsidRPr="001969F7" w:rsidRDefault="0099306D" w:rsidP="00531BD6">
            <w:pPr>
              <w:jc w:val="center"/>
              <w:rPr>
                <w:i/>
                <w:iCs/>
                <w:color w:val="000000" w:themeColor="text1"/>
              </w:rPr>
            </w:pPr>
            <w:r w:rsidRPr="001969F7">
              <w:rPr>
                <w:i/>
                <w:iCs/>
                <w:color w:val="000000" w:themeColor="text1"/>
              </w:rPr>
              <w:t>r</w:t>
            </w:r>
            <w:r w:rsidRPr="001969F7">
              <w:rPr>
                <w:i/>
                <w:iCs/>
                <w:color w:val="000000" w:themeColor="text1"/>
                <w:vertAlign w:val="superscript"/>
              </w:rPr>
              <w:t>2</w:t>
            </w:r>
          </w:p>
        </w:tc>
      </w:tr>
      <w:tr w:rsidR="0099306D" w:rsidRPr="00C06677" w14:paraId="6B954CF0" w14:textId="77777777" w:rsidTr="00531BD6">
        <w:tc>
          <w:tcPr>
            <w:tcW w:w="726" w:type="dxa"/>
            <w:tcBorders>
              <w:left w:val="nil"/>
              <w:bottom w:val="nil"/>
              <w:right w:val="nil"/>
            </w:tcBorders>
          </w:tcPr>
          <w:p w14:paraId="7F193212" w14:textId="77777777" w:rsidR="0099306D" w:rsidRPr="00C06677" w:rsidRDefault="0099306D" w:rsidP="00531BD6">
            <w:pPr>
              <w:spacing w:before="120" w:after="120"/>
              <w:jc w:val="center"/>
              <w:rPr>
                <w:color w:val="000000" w:themeColor="text1"/>
              </w:rPr>
            </w:pPr>
            <w:r w:rsidRPr="00C06677">
              <w:rPr>
                <w:color w:val="000000" w:themeColor="text1"/>
              </w:rPr>
              <w:t>-0.</w:t>
            </w:r>
            <w:r>
              <w:rPr>
                <w:color w:val="000000" w:themeColor="text1"/>
              </w:rPr>
              <w:t>85</w:t>
            </w:r>
          </w:p>
        </w:tc>
        <w:tc>
          <w:tcPr>
            <w:tcW w:w="789" w:type="dxa"/>
            <w:tcBorders>
              <w:left w:val="nil"/>
              <w:bottom w:val="nil"/>
              <w:right w:val="nil"/>
            </w:tcBorders>
          </w:tcPr>
          <w:p w14:paraId="04A2E9A3" w14:textId="77777777" w:rsidR="0099306D" w:rsidRPr="00C06677" w:rsidRDefault="0099306D" w:rsidP="00531BD6">
            <w:pPr>
              <w:spacing w:before="120" w:after="120"/>
              <w:jc w:val="center"/>
              <w:rPr>
                <w:color w:val="000000" w:themeColor="text1"/>
              </w:rPr>
            </w:pPr>
            <w:r>
              <w:rPr>
                <w:color w:val="000000" w:themeColor="text1"/>
              </w:rPr>
              <w:t>1</w:t>
            </w:r>
            <w:r w:rsidRPr="00C06677">
              <w:rPr>
                <w:color w:val="000000" w:themeColor="text1"/>
              </w:rPr>
              <w:t>.25</w:t>
            </w:r>
          </w:p>
        </w:tc>
        <w:tc>
          <w:tcPr>
            <w:tcW w:w="1163" w:type="dxa"/>
            <w:tcBorders>
              <w:left w:val="nil"/>
              <w:bottom w:val="nil"/>
              <w:right w:val="nil"/>
            </w:tcBorders>
          </w:tcPr>
          <w:p w14:paraId="78E9B773" w14:textId="77777777" w:rsidR="0099306D" w:rsidRPr="00C06677" w:rsidRDefault="0099306D" w:rsidP="00531BD6">
            <w:pPr>
              <w:spacing w:before="120" w:after="120"/>
              <w:jc w:val="center"/>
              <w:rPr>
                <w:color w:val="000000" w:themeColor="text1"/>
              </w:rPr>
            </w:pPr>
            <w:r>
              <w:rPr>
                <w:color w:val="000000" w:themeColor="text1"/>
              </w:rPr>
              <w:t>135</w:t>
            </w:r>
          </w:p>
        </w:tc>
        <w:tc>
          <w:tcPr>
            <w:tcW w:w="893" w:type="dxa"/>
            <w:tcBorders>
              <w:left w:val="nil"/>
              <w:bottom w:val="nil"/>
              <w:right w:val="nil"/>
            </w:tcBorders>
          </w:tcPr>
          <w:p w14:paraId="392FC18C" w14:textId="77777777" w:rsidR="0099306D" w:rsidRPr="00C06677" w:rsidRDefault="0099306D" w:rsidP="00531BD6">
            <w:pPr>
              <w:spacing w:before="120" w:after="120"/>
              <w:jc w:val="center"/>
              <w:rPr>
                <w:color w:val="000000" w:themeColor="text1"/>
              </w:rPr>
            </w:pPr>
            <w:r w:rsidRPr="00C06677">
              <w:rPr>
                <w:color w:val="000000" w:themeColor="text1"/>
              </w:rPr>
              <w:t>0.0</w:t>
            </w:r>
            <w:r>
              <w:rPr>
                <w:color w:val="000000" w:themeColor="text1"/>
              </w:rPr>
              <w:t>2</w:t>
            </w:r>
          </w:p>
        </w:tc>
        <w:tc>
          <w:tcPr>
            <w:tcW w:w="1109" w:type="dxa"/>
            <w:tcBorders>
              <w:left w:val="nil"/>
              <w:right w:val="nil"/>
            </w:tcBorders>
          </w:tcPr>
          <w:p w14:paraId="7820DA9E" w14:textId="77777777" w:rsidR="0099306D" w:rsidRPr="00C06677" w:rsidRDefault="0099306D" w:rsidP="00531BD6">
            <w:pPr>
              <w:spacing w:before="120" w:after="120"/>
              <w:jc w:val="center"/>
              <w:rPr>
                <w:color w:val="000000" w:themeColor="text1"/>
              </w:rPr>
            </w:pPr>
            <w:r>
              <w:rPr>
                <w:color w:val="000000" w:themeColor="text1"/>
              </w:rPr>
              <w:t>NA</w:t>
            </w:r>
          </w:p>
        </w:tc>
        <w:tc>
          <w:tcPr>
            <w:tcW w:w="1170" w:type="dxa"/>
            <w:tcBorders>
              <w:left w:val="nil"/>
              <w:right w:val="nil"/>
            </w:tcBorders>
          </w:tcPr>
          <w:p w14:paraId="1F6FD989" w14:textId="77777777" w:rsidR="0099306D" w:rsidRPr="00C06677" w:rsidRDefault="0099306D" w:rsidP="00531BD6">
            <w:pPr>
              <w:spacing w:before="120" w:after="120"/>
              <w:jc w:val="center"/>
              <w:rPr>
                <w:color w:val="000000" w:themeColor="text1"/>
              </w:rPr>
            </w:pPr>
            <w:r w:rsidRPr="00C06677">
              <w:rPr>
                <w:color w:val="000000" w:themeColor="text1"/>
              </w:rPr>
              <w:t>-0.</w:t>
            </w:r>
            <w:r>
              <w:rPr>
                <w:color w:val="000000" w:themeColor="text1"/>
              </w:rPr>
              <w:t>1</w:t>
            </w:r>
          </w:p>
        </w:tc>
        <w:tc>
          <w:tcPr>
            <w:tcW w:w="900" w:type="dxa"/>
            <w:tcBorders>
              <w:left w:val="nil"/>
              <w:right w:val="nil"/>
            </w:tcBorders>
          </w:tcPr>
          <w:p w14:paraId="20F9133F" w14:textId="77777777" w:rsidR="0099306D" w:rsidRPr="00C06677" w:rsidRDefault="0099306D" w:rsidP="00531BD6">
            <w:pPr>
              <w:spacing w:before="120" w:after="120"/>
              <w:jc w:val="center"/>
              <w:rPr>
                <w:color w:val="000000" w:themeColor="text1"/>
              </w:rPr>
            </w:pPr>
            <w:r>
              <w:rPr>
                <w:color w:val="000000" w:themeColor="text1"/>
              </w:rPr>
              <w:t>0.07</w:t>
            </w:r>
          </w:p>
        </w:tc>
        <w:tc>
          <w:tcPr>
            <w:tcW w:w="990" w:type="dxa"/>
            <w:tcBorders>
              <w:left w:val="nil"/>
              <w:right w:val="nil"/>
            </w:tcBorders>
          </w:tcPr>
          <w:p w14:paraId="0E640D64" w14:textId="77777777" w:rsidR="0099306D" w:rsidRPr="00C06677" w:rsidRDefault="0099306D" w:rsidP="00531BD6">
            <w:pPr>
              <w:spacing w:before="120" w:after="120"/>
              <w:jc w:val="center"/>
              <w:rPr>
                <w:color w:val="000000" w:themeColor="text1"/>
              </w:rPr>
            </w:pPr>
            <w:r>
              <w:rPr>
                <w:color w:val="000000" w:themeColor="text1"/>
              </w:rPr>
              <w:t>-0.04</w:t>
            </w:r>
          </w:p>
        </w:tc>
        <w:tc>
          <w:tcPr>
            <w:tcW w:w="810" w:type="dxa"/>
            <w:tcBorders>
              <w:left w:val="nil"/>
              <w:bottom w:val="nil"/>
            </w:tcBorders>
          </w:tcPr>
          <w:p w14:paraId="2F625CF7" w14:textId="77777777" w:rsidR="0099306D" w:rsidRPr="00C06677" w:rsidRDefault="0099306D" w:rsidP="00531BD6">
            <w:pPr>
              <w:spacing w:before="120" w:after="120"/>
              <w:jc w:val="center"/>
              <w:rPr>
                <w:color w:val="000000" w:themeColor="text1"/>
              </w:rPr>
            </w:pPr>
            <w:r w:rsidRPr="00C06677">
              <w:rPr>
                <w:color w:val="000000" w:themeColor="text1"/>
              </w:rPr>
              <w:t>0.</w:t>
            </w:r>
            <w:r>
              <w:rPr>
                <w:color w:val="000000" w:themeColor="text1"/>
              </w:rPr>
              <w:t>86</w:t>
            </w:r>
          </w:p>
        </w:tc>
      </w:tr>
    </w:tbl>
    <w:p w14:paraId="25AAB7AA" w14:textId="77777777" w:rsidR="0099306D" w:rsidRPr="00531BD6" w:rsidRDefault="0099306D" w:rsidP="0099306D">
      <w:pPr>
        <w:keepNext/>
        <w:spacing w:line="480" w:lineRule="auto"/>
        <w:outlineLvl w:val="0"/>
      </w:pPr>
    </w:p>
    <w:p w14:paraId="71515B26" w14:textId="68583376" w:rsidR="0099306D" w:rsidRDefault="0099306D" w:rsidP="002D6464">
      <w:pPr>
        <w:spacing w:line="480" w:lineRule="auto"/>
        <w:ind w:firstLine="720"/>
      </w:pPr>
      <w:r w:rsidRPr="00C06677">
        <w:t xml:space="preserve">In sum, the results showed that the Value Change model best fit the data and accounted for </w:t>
      </w:r>
      <w:r>
        <w:t>86</w:t>
      </w:r>
      <w:r w:rsidRPr="00C06677">
        <w:t>% of variance in the RT</w:t>
      </w:r>
      <w:r>
        <w:rPr>
          <w:vertAlign w:val="subscript"/>
        </w:rPr>
        <w:t>Correct</w:t>
      </w:r>
      <w:r w:rsidRPr="00C06677">
        <w:t>, RT</w:t>
      </w:r>
      <w:r>
        <w:rPr>
          <w:vertAlign w:val="subscript"/>
        </w:rPr>
        <w:t>Incorrect</w:t>
      </w:r>
      <w:r w:rsidRPr="00C06677">
        <w:t xml:space="preserve">, and </w:t>
      </w:r>
      <w:r w:rsidRPr="00C06677">
        <w:rPr>
          <w:i/>
          <w:iCs/>
        </w:rPr>
        <w:t>p</w:t>
      </w:r>
      <w:r w:rsidRPr="00C06677">
        <w:t>(HVO) simultaneously.</w:t>
      </w:r>
      <w:r>
        <w:t xml:space="preserve"> The identified changes in the value of the </w:t>
      </w:r>
      <w:r w:rsidR="00414BDF">
        <w:t>TD</w:t>
      </w:r>
      <w:r>
        <w:t xml:space="preserve"> are consistent with those predicted.</w:t>
      </w:r>
      <w:r w:rsidRPr="00C06677">
        <w:t xml:space="preserve"> Further discussion of these results and their implications is included in the General Discussion.</w:t>
      </w:r>
    </w:p>
    <w:p w14:paraId="349BECD9" w14:textId="77777777" w:rsidR="008864B7" w:rsidRDefault="008864B7" w:rsidP="008864B7">
      <w:pPr>
        <w:keepNext/>
        <w:spacing w:line="480" w:lineRule="auto"/>
        <w:jc w:val="center"/>
        <w:rPr>
          <w:b/>
          <w:bCs/>
        </w:rPr>
      </w:pPr>
      <w:r w:rsidRPr="00144468">
        <w:rPr>
          <w:b/>
          <w:bCs/>
        </w:rPr>
        <w:lastRenderedPageBreak/>
        <w:t>Experiment 5</w:t>
      </w:r>
    </w:p>
    <w:p w14:paraId="5CDA144D" w14:textId="26BB09F7" w:rsidR="008864B7" w:rsidRDefault="003408E8" w:rsidP="008864B7">
      <w:pPr>
        <w:spacing w:line="480" w:lineRule="auto"/>
        <w:ind w:firstLine="720"/>
      </w:pPr>
      <w:r>
        <w:t>A</w:t>
      </w:r>
      <w:r w:rsidR="008864B7">
        <w:t xml:space="preserve"> previous version of this report drew to a close </w:t>
      </w:r>
      <w:r w:rsidR="00890BE1">
        <w:t>with</w:t>
      </w:r>
      <w:r>
        <w:t xml:space="preserve"> </w:t>
      </w:r>
      <w:r w:rsidR="008864B7">
        <w:t xml:space="preserve">Experiment 4.  </w:t>
      </w:r>
      <w:r>
        <w:t xml:space="preserve">However, </w:t>
      </w:r>
      <w:r w:rsidR="00890BE1">
        <w:t>following</w:t>
      </w:r>
      <w:r>
        <w:t xml:space="preserve"> </w:t>
      </w:r>
      <w:r w:rsidR="008864B7">
        <w:t xml:space="preserve">review, we were asked whether </w:t>
      </w:r>
      <w:r w:rsidR="008864B7" w:rsidRPr="00234DDA">
        <w:rPr>
          <w:i/>
          <w:iCs/>
        </w:rPr>
        <w:t>competence</w:t>
      </w:r>
      <w:r w:rsidR="008864B7">
        <w:t xml:space="preserve"> and </w:t>
      </w:r>
      <w:r w:rsidR="008864B7" w:rsidRPr="00234DDA">
        <w:rPr>
          <w:i/>
          <w:iCs/>
        </w:rPr>
        <w:t>warmth</w:t>
      </w:r>
      <w:r w:rsidR="008864B7">
        <w:t xml:space="preserve"> can explain the results as well as Psychological Value. Competence and warmth are two theoretical constructs that have been shown to relate to both judgments of peoples and behaviors towards them (e.g., </w:t>
      </w:r>
      <w:r w:rsidR="008864B7" w:rsidRPr="003E4087">
        <w:t xml:space="preserve">Cuddy, Fiske, &amp; Glick, </w:t>
      </w:r>
      <w:r w:rsidR="00030CB5">
        <w:fldChar w:fldCharType="begin"/>
      </w:r>
      <w:r w:rsidR="0019503B">
        <w:instrText xml:space="preserve"> ADDIN EN.CITE &lt;EndNote&gt;&lt;Cite&gt;&lt;Author&gt;Cuddy&lt;/Author&gt;&lt;Year&gt;2007&lt;/Year&gt;&lt;RecNum&gt;2751&lt;/RecNum&gt;&lt;DisplayText&gt;2007&lt;/DisplayText&gt;&lt;record&gt;&lt;rec-number&gt;2751&lt;/rec-number&gt;&lt;foreign-keys&gt;&lt;key app="EN" db-id="w0tztzf0h2dft0eaewxxtpr4exwxf90s525w" timestamp="1681986936" guid="4b8ff731-4be6-451d-aba4-94aeb4301354"&gt;2751&lt;/key&gt;&lt;/foreign-keys&gt;&lt;ref-type name="Journal Article"&gt;17&lt;/ref-type&gt;&lt;contributors&gt;&lt;authors&gt;&lt;author&gt;Cuddy, A. J. C&lt;/author&gt;&lt;author&gt;Fiske, S. T&lt;/author&gt;&lt;author&gt;Glick, P&lt;/author&gt;&lt;/authors&gt;&lt;/contributors&gt;&lt;titles&gt;&lt;title&gt;The BIAS map: Behaviors from intregroup affect and stereotypes&lt;/title&gt;&lt;secondary-title&gt;Journal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631-648&lt;/pages&gt;&lt;volume&gt;92&lt;/volume&gt;&lt;dates&gt;&lt;year&gt;2007&lt;/year&gt;&lt;/dates&gt;&lt;urls&gt;&lt;/urls&gt;&lt;electronic-resource-num&gt;http://dx.doi.org/10.1037/0022-3514.92.4.631&lt;/electronic-resource-num&gt;&lt;/record&gt;&lt;/Cite&gt;&lt;/EndNote&gt;</w:instrText>
      </w:r>
      <w:r w:rsidR="00030CB5">
        <w:fldChar w:fldCharType="separate"/>
      </w:r>
      <w:r w:rsidR="00030CB5">
        <w:rPr>
          <w:noProof/>
        </w:rPr>
        <w:t>2007</w:t>
      </w:r>
      <w:r w:rsidR="00030CB5">
        <w:fldChar w:fldCharType="end"/>
      </w:r>
      <w:r w:rsidR="008864B7">
        <w:t xml:space="preserve">; Fiske, </w:t>
      </w:r>
      <w:r w:rsidR="00EF628F">
        <w:fldChar w:fldCharType="begin"/>
      </w:r>
      <w:r w:rsidR="0019503B">
        <w:instrText xml:space="preserve"> ADDIN EN.CITE &lt;EndNote&gt;&lt;Cite&gt;&lt;Author&gt;Fiske&lt;/Author&gt;&lt;Year&gt;2015&lt;/Year&gt;&lt;RecNum&gt;2753&lt;/RecNum&gt;&lt;DisplayText&gt;2015&lt;/DisplayText&gt;&lt;record&gt;&lt;rec-number&gt;2753&lt;/rec-number&gt;&lt;foreign-keys&gt;&lt;key app="EN" db-id="w0tztzf0h2dft0eaewxxtpr4exwxf90s525w" timestamp="1681986936" guid="6452428e-64ce-4492-aa24-3a8c44f8574d"&gt;2753&lt;/key&gt;&lt;/foreign-keys&gt;&lt;ref-type name="Journal Article"&gt;17&lt;/ref-type&gt;&lt;contributors&gt;&lt;authors&gt;&lt;author&gt;Fiske, S. T&lt;/author&gt;&lt;/authors&gt;&lt;/contributors&gt;&lt;titles&gt;&lt;title&gt;Intergroup bias: A focus on stereotype content&lt;/title&gt;&lt;secondary-title&gt;Current Opinion in Behavioral Sciences&lt;/secondary-title&gt;&lt;/titles&gt;&lt;pages&gt;45-50&lt;/pages&gt;&lt;volume&gt;3&lt;/volume&gt;&lt;dates&gt;&lt;year&gt;2015&lt;/year&gt;&lt;/dates&gt;&lt;urls&gt;&lt;/urls&gt;&lt;electronic-resource-num&gt;http://dx.doi.org/10.1016/j.cobeha.2015.01.010&lt;/electronic-resource-num&gt;&lt;/record&gt;&lt;/Cite&gt;&lt;/EndNote&gt;</w:instrText>
      </w:r>
      <w:r w:rsidR="00EF628F">
        <w:fldChar w:fldCharType="separate"/>
      </w:r>
      <w:r w:rsidR="00EF628F">
        <w:rPr>
          <w:noProof/>
        </w:rPr>
        <w:t>2015</w:t>
      </w:r>
      <w:r w:rsidR="00EF628F">
        <w:fldChar w:fldCharType="end"/>
      </w:r>
      <w:r w:rsidR="008864B7">
        <w:t xml:space="preserve">; </w:t>
      </w:r>
      <w:r w:rsidR="008864B7" w:rsidRPr="00F94773">
        <w:t xml:space="preserve">Fiske, Cuddy, &amp; Glick, </w:t>
      </w:r>
      <w:r w:rsidR="00EF628F">
        <w:fldChar w:fldCharType="begin"/>
      </w:r>
      <w:r w:rsidR="0019503B">
        <w:instrText xml:space="preserve"> ADDIN EN.CITE &lt;EndNote&gt;&lt;Cite&gt;&lt;Author&gt;Fiske&lt;/Author&gt;&lt;Year&gt;2007&lt;/Year&gt;&lt;RecNum&gt;2754&lt;/RecNum&gt;&lt;DisplayText&gt;2007&lt;/DisplayText&gt;&lt;record&gt;&lt;rec-number&gt;2754&lt;/rec-number&gt;&lt;foreign-keys&gt;&lt;key app="EN" db-id="w0tztzf0h2dft0eaewxxtpr4exwxf90s525w" timestamp="1681986936" guid="285c7ece-0594-4ae9-874c-fe718197f934"&gt;2754&lt;/key&gt;&lt;/foreign-keys&gt;&lt;ref-type name="Journal Article"&gt;17&lt;/ref-type&gt;&lt;contributors&gt;&lt;authors&gt;&lt;author&gt;Fiske, S. T&lt;/author&gt;&lt;author&gt;Cuddy, A. J. C&lt;/author&gt;&lt;author&gt;Glick, P&lt;/author&gt;&lt;/authors&gt;&lt;/contributors&gt;&lt;titles&gt;&lt;title&gt;Universal dimensions of social perception: warmth and competence&lt;/title&gt;&lt;secondary-title&gt;Trends in Cognitive Sciences&lt;/secondary-title&gt;&lt;/titles&gt;&lt;periodical&gt;&lt;full-title&gt;Trends in Cognitive Sciences&lt;/full-title&gt;&lt;abbr-1&gt;Trends Cognit. Sci.&lt;/abbr-1&gt;&lt;/periodical&gt;&lt;volume&gt;11&lt;/volume&gt;&lt;dates&gt;&lt;year&gt;2007&lt;/year&gt;&lt;/dates&gt;&lt;urls&gt;&lt;/urls&gt;&lt;electronic-resource-num&gt;http://dx.doi.org/10.1016/j.tics.2006.11.005&lt;/electronic-resource-num&gt;&lt;/record&gt;&lt;/Cite&gt;&lt;/EndNote&gt;</w:instrText>
      </w:r>
      <w:r w:rsidR="00EF628F">
        <w:fldChar w:fldCharType="separate"/>
      </w:r>
      <w:r w:rsidR="00EF628F">
        <w:rPr>
          <w:noProof/>
        </w:rPr>
        <w:t>2007</w:t>
      </w:r>
      <w:r w:rsidR="00EF628F">
        <w:fldChar w:fldCharType="end"/>
      </w:r>
      <w:r w:rsidR="008864B7">
        <w:t xml:space="preserve">; </w:t>
      </w:r>
      <w:r w:rsidR="008864B7" w:rsidRPr="006C0442">
        <w:t xml:space="preserve">Fiske, Cuddy, Glick, &amp; Xu, </w:t>
      </w:r>
      <w:r w:rsidR="00030CB5">
        <w:fldChar w:fldCharType="begin"/>
      </w:r>
      <w:r w:rsidR="00030CB5">
        <w:instrText xml:space="preserve"> ADDIN EN.CITE &lt;EndNote&gt;&lt;Cite&gt;&lt;Author&gt;Fiske&lt;/Author&gt;&lt;Year&gt;2002&lt;/Year&gt;&lt;RecNum&gt;2752&lt;/RecNum&gt;&lt;DisplayText&gt;2002&lt;/DisplayText&gt;&lt;record&gt;&lt;rec-number&gt;2752&lt;/rec-number&gt;&lt;foreign-keys&gt;&lt;key app="EN" db-id="rxr59w52xp9x09ezsznvf5pbsw2fzrtf0sv9" timestamp="1681912540"&gt;2752&lt;/key&gt;&lt;/foreign-keys&gt;&lt;ref-type name="Journal Article"&gt;17&lt;/ref-type&gt;&lt;contributors&gt;&lt;authors&gt;&lt;author&gt;Fiske, S. T&lt;/author&gt;&lt;author&gt;Cuddy, A. J. C&lt;/author&gt;&lt;author&gt;Glick, P&lt;/author&gt;&lt;author&gt;Xu, J.&lt;/author&gt;&lt;/authors&gt;&lt;/contributors&gt;&lt;titles&gt;&lt;title&gt;A model of (often mixed) stereotype content: Competence and warmth respectively follow from perceived status and competition &lt;/title&gt;&lt;secondary-title&gt;Journal of Personality and Social Psyhology&lt;/secondary-title&gt;&lt;/titles&gt;&lt;pages&gt;878-902&lt;/pages&gt;&lt;volume&gt;82&lt;/volume&gt;&lt;dates&gt;&lt;year&gt;2002&lt;/year&gt;&lt;/dates&gt;&lt;urls&gt;&lt;/urls&gt;&lt;electronic-resource-num&gt;http://dx.doi.org/10.1037//0022-3514.82.6.878&lt;/electronic-resource-num&gt;&lt;/record&gt;&lt;/Cite&gt;&lt;/EndNote&gt;</w:instrText>
      </w:r>
      <w:r w:rsidR="00030CB5">
        <w:fldChar w:fldCharType="separate"/>
      </w:r>
      <w:r w:rsidR="00030CB5">
        <w:rPr>
          <w:noProof/>
        </w:rPr>
        <w:t>2002</w:t>
      </w:r>
      <w:r w:rsidR="00030CB5">
        <w:fldChar w:fldCharType="end"/>
      </w:r>
      <w:r w:rsidR="008864B7">
        <w:t xml:space="preserve">; </w:t>
      </w:r>
      <w:r w:rsidR="008864B7" w:rsidRPr="004C0FA8">
        <w:t xml:space="preserve">Judd, James-Hawkins, Yzerbyt, &amp; Kashima, </w:t>
      </w:r>
      <w:r w:rsidR="00EF628F">
        <w:fldChar w:fldCharType="begin"/>
      </w:r>
      <w:r w:rsidR="0019503B">
        <w:instrText xml:space="preserve"> ADDIN EN.CITE &lt;EndNote&gt;&lt;Cite&gt;&lt;Author&gt;Judd&lt;/Author&gt;&lt;Year&gt;2005&lt;/Year&gt;&lt;RecNum&gt;2755&lt;/RecNum&gt;&lt;DisplayText&gt;2005&lt;/DisplayText&gt;&lt;record&gt;&lt;rec-number&gt;2755&lt;/rec-number&gt;&lt;foreign-keys&gt;&lt;key app="EN" db-id="w0tztzf0h2dft0eaewxxtpr4exwxf90s525w" timestamp="1681986936" guid="5eb6487b-6797-45b3-a783-2e2a3fb6a126"&gt;2755&lt;/key&gt;&lt;/foreign-keys&gt;&lt;ref-type name="Journal Article"&gt;17&lt;/ref-type&gt;&lt;contributors&gt;&lt;authors&gt;&lt;author&gt;Judd, C.M&lt;/author&gt;&lt;author&gt;James-Hawkins, L&lt;/author&gt;&lt;author&gt;Yzerbyt, V&lt;/author&gt;&lt;author&gt;Kashima, Y&lt;/author&gt;&lt;/authors&gt;&lt;/contributors&gt;&lt;titles&gt;&lt;title&gt;Fundamental dimensions of social judgment: Understanding the relations between judgments of competence and warmth&lt;/title&gt;&lt;secondary-title&gt;Journal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899-913&lt;/pages&gt;&lt;volume&gt;89&lt;/volume&gt;&lt;dates&gt;&lt;year&gt;2005&lt;/year&gt;&lt;/dates&gt;&lt;urls&gt;&lt;/urls&gt;&lt;electronic-resource-num&gt;http://dx.doi.org/10.1037/0022-3514.89.6.899&lt;/electronic-resource-num&gt;&lt;/record&gt;&lt;/Cite&gt;&lt;/EndNote&gt;</w:instrText>
      </w:r>
      <w:r w:rsidR="00EF628F">
        <w:fldChar w:fldCharType="separate"/>
      </w:r>
      <w:r w:rsidR="00EF628F">
        <w:rPr>
          <w:noProof/>
        </w:rPr>
        <w:t>2005</w:t>
      </w:r>
      <w:r w:rsidR="00EF628F">
        <w:fldChar w:fldCharType="end"/>
      </w:r>
      <w:r w:rsidR="008864B7">
        <w:t xml:space="preserve">).  </w:t>
      </w:r>
      <w:r w:rsidR="00512D89">
        <w:t>In general terms</w:t>
      </w:r>
      <w:r w:rsidR="008864B7">
        <w:t xml:space="preserve">, warmth refers to the perceived intent of another (e.g., friendliness, anger, etc.).  Competence refers to the perceived ability of that person to carry out the intended action (e.g., intelligence, planning, etc.).  </w:t>
      </w:r>
    </w:p>
    <w:p w14:paraId="3549B526" w14:textId="54641E14" w:rsidR="008864B7" w:rsidRDefault="008864B7" w:rsidP="008864B7">
      <w:pPr>
        <w:spacing w:line="480" w:lineRule="auto"/>
        <w:ind w:firstLine="720"/>
      </w:pPr>
      <w:r>
        <w:t xml:space="preserve">There are few research articles that relate competence and warmth to </w:t>
      </w:r>
      <w:r w:rsidR="00890BE1">
        <w:t xml:space="preserve">performance in the kinds of </w:t>
      </w:r>
      <w:r>
        <w:t xml:space="preserve">charitable choice tasks such as ours. Recently, however, Jenkins </w:t>
      </w:r>
      <w:r w:rsidR="00861507">
        <w:t>Karashchuk, Zhu and Hsu</w:t>
      </w:r>
      <w:r>
        <w:t xml:space="preserve"> (</w:t>
      </w:r>
      <w:r w:rsidR="00861507">
        <w:fldChar w:fldCharType="begin"/>
      </w:r>
      <w:r w:rsidR="0019503B">
        <w:instrText xml:space="preserve"> ADDIN EN.CITE &lt;EndNote&gt;&lt;Cite&gt;&lt;Author&gt;Jenkins&lt;/Author&gt;&lt;Year&gt;2018&lt;/Year&gt;&lt;RecNum&gt;2746&lt;/RecNum&gt;&lt;DisplayText&gt;2018&lt;/DisplayText&gt;&lt;record&gt;&lt;rec-number&gt;2746&lt;/rec-number&gt;&lt;foreign-keys&gt;&lt;key app="EN" db-id="w0tztzf0h2dft0eaewxxtpr4exwxf90s525w" timestamp="1679911785" guid="5affe6e7-15f0-4dc7-bdc6-e185d8aa45d6"&gt;2746&lt;/key&gt;&lt;/foreign-keys&gt;&lt;ref-type name="Journal Article"&gt;17&lt;/ref-type&gt;&lt;contributors&gt;&lt;authors&gt;&lt;author&gt;Jenkins, A.C&lt;/author&gt;&lt;author&gt;Karashchuk, P&lt;/author&gt;&lt;author&gt;Zhu, L&lt;/author&gt;&lt;author&gt;Hsu, M&lt;/author&gt;&lt;/authors&gt;&lt;/contributors&gt;&lt;titles&gt;&lt;title&gt;Predicting human behavior toward members of different social groups&lt;/title&gt;&lt;secondary-title&gt;Proceedings of the National Academy of Sciences of the United States of America&lt;/secondary-title&gt;&lt;/titles&gt;&lt;periodical&gt;&lt;full-title&gt;Proceedings of the National Academy of Sciences of the United States of America&lt;/full-title&gt;&lt;abbr-1&gt;Proc. Natl. Acad. Sci. U. S. A.&lt;/abbr-1&gt;&lt;abbr-2&gt;Proc Natl Acad Sci U S A&lt;/abbr-2&gt;&lt;/periodical&gt;&lt;pages&gt;9696-9701&lt;/pages&gt;&lt;volume&gt;115&lt;/volume&gt;&lt;dates&gt;&lt;year&gt;2018&lt;/year&gt;&lt;/dates&gt;&lt;urls&gt;&lt;/urls&gt;&lt;electronic-resource-num&gt;https://www.jstor.org/stable/26531753&lt;/electronic-resource-num&gt;&lt;/record&gt;&lt;/Cite&gt;&lt;/EndNote&gt;</w:instrText>
      </w:r>
      <w:r w:rsidR="00861507">
        <w:fldChar w:fldCharType="separate"/>
      </w:r>
      <w:r w:rsidR="00861507">
        <w:rPr>
          <w:noProof/>
        </w:rPr>
        <w:t>2018</w:t>
      </w:r>
      <w:r w:rsidR="00861507">
        <w:fldChar w:fldCharType="end"/>
      </w:r>
      <w:r>
        <w:t>) examined the relation between competence and warmth and resource allocation in the Dictator Game (</w:t>
      </w:r>
      <w:r w:rsidR="00861507">
        <w:t xml:space="preserve">Andreoni, Harbaugh, &amp; Verterlund, </w:t>
      </w:r>
      <w:r w:rsidR="00861507">
        <w:fldChar w:fldCharType="begin"/>
      </w:r>
      <w:r w:rsidR="0019503B">
        <w:instrText xml:space="preserve"> ADDIN EN.CITE &lt;EndNote&gt;&lt;Cite&gt;&lt;Author&gt;Andreoni&lt;/Author&gt;&lt;Year&gt;2010&lt;/Year&gt;&lt;RecNum&gt;2399&lt;/RecNum&gt;&lt;DisplayText&gt;2010&lt;/DisplayText&gt;&lt;record&gt;&lt;rec-number&gt;2399&lt;/rec-number&gt;&lt;foreign-keys&gt;&lt;key app="EN" db-id="w0tztzf0h2dft0eaewxxtpr4exwxf90s525w" timestamp="1659025439" guid="612afe9a-d42b-4e28-85b2-f4f87f42c21d"&gt;2399&lt;/key&gt;&lt;/foreign-keys&gt;&lt;ref-type name="Book Section"&gt;5&lt;/ref-type&gt;&lt;contributors&gt;&lt;authors&gt;&lt;author&gt;Andreoni, J.&lt;/author&gt;&lt;author&gt;Harbaugh, W. T&lt;/author&gt;&lt;author&gt;Vesterlund, L.&lt;/author&gt;&lt;/authors&gt;&lt;/contributors&gt;&lt;titles&gt;&lt;title&gt;Altruism in experiments&lt;/title&gt;&lt;secondary-title&gt;Behavioural and experimental economics&lt;/secondary-title&gt;&lt;/titles&gt;&lt;pages&gt;6-13&lt;/pages&gt;&lt;dates&gt;&lt;year&gt;2010&lt;/year&gt;&lt;/dates&gt;&lt;pub-location&gt;London, UK&lt;/pub-location&gt;&lt;publisher&gt;Palgrave Macmillan&lt;/publisher&gt;&lt;urls&gt;&lt;/urls&gt;&lt;/record&gt;&lt;/Cite&gt;&lt;/EndNote&gt;</w:instrText>
      </w:r>
      <w:r w:rsidR="00861507">
        <w:fldChar w:fldCharType="separate"/>
      </w:r>
      <w:r w:rsidR="00861507">
        <w:rPr>
          <w:noProof/>
        </w:rPr>
        <w:t>2010</w:t>
      </w:r>
      <w:r w:rsidR="00861507">
        <w:fldChar w:fldCharType="end"/>
      </w:r>
      <w:r>
        <w:t xml:space="preserve">). In simple terms, the authors found that the competence and warmth of the receiver boosts (or discounts) the value of the dollar amount given (termed the </w:t>
      </w:r>
      <w:r w:rsidRPr="00234DDA">
        <w:rPr>
          <w:i/>
          <w:iCs/>
        </w:rPr>
        <w:t>Social Perception Weighted</w:t>
      </w:r>
      <w:r>
        <w:t xml:space="preserve"> model). Assuming that competence and warmth are two of </w:t>
      </w:r>
      <w:r w:rsidR="00C5042B">
        <w:t xml:space="preserve">the </w:t>
      </w:r>
      <w:r>
        <w:t>many features that contribute to Psychological Value, the results of Jenkins et al. (2018) are consistent with the findings of Experiment 4.  Recall, we asked participants whether they would donate the whole of a fixed amount of cash (i.e., $10, $50, or $100) to various receivers. Our results showed that each amount donated shifted the Psychological Value of all the receivers by a constant amount (the Dollar Value Change model). As such, both Jenkins et al. (2018) and our Experiment 4 showed an interaction between the receiver and the dollar amount.</w:t>
      </w:r>
    </w:p>
    <w:p w14:paraId="67B75136" w14:textId="6C2CA980" w:rsidR="008864B7" w:rsidRDefault="008864B7" w:rsidP="008864B7">
      <w:pPr>
        <w:spacing w:line="480" w:lineRule="auto"/>
        <w:ind w:firstLine="720"/>
      </w:pPr>
      <w:r>
        <w:lastRenderedPageBreak/>
        <w:t xml:space="preserve"> In Experiment 5, </w:t>
      </w:r>
      <w:r w:rsidR="00890BE1">
        <w:t xml:space="preserve">therefore, </w:t>
      </w:r>
      <w:r>
        <w:t xml:space="preserve">we </w:t>
      </w:r>
      <w:r w:rsidR="00B9543D">
        <w:t>compared the predictive ability of</w:t>
      </w:r>
      <w:r>
        <w:t xml:space="preserve"> </w:t>
      </w:r>
      <w:r w:rsidR="00B9543D">
        <w:t xml:space="preserve">PVT </w:t>
      </w:r>
      <w:r>
        <w:t xml:space="preserve">in Experiments 1, 2, and 4 </w:t>
      </w:r>
      <w:r w:rsidR="00B9543D">
        <w:t>to an account based on competence and warmth</w:t>
      </w:r>
      <w:r>
        <w:t>.  We exclude Experiment 3 because it’s identical to Experiment 1 with an additional in</w:t>
      </w:r>
      <w:r w:rsidR="00890BE1">
        <w:t>-</w:t>
      </w:r>
      <w:r>
        <w:t>group vs</w:t>
      </w:r>
      <w:r w:rsidR="00890BE1">
        <w:t>.</w:t>
      </w:r>
      <w:r>
        <w:t xml:space="preserve"> out</w:t>
      </w:r>
      <w:r w:rsidR="00890BE1">
        <w:t>-</w:t>
      </w:r>
      <w:r>
        <w:t>group manipulation. Rather than being a quantified model of choice, competence and warmth are two theoretical constructs that are hypothesized to relate to various behaviors. As such, the predictions derived from these constructs are poorly constrained and, at best, directional (rather than point). Therefore, we derived the competence and warmth predictor variable from Experiment 1</w:t>
      </w:r>
      <w:r w:rsidR="00B9543D">
        <w:t xml:space="preserve"> (following closely the methods of Jenkins et al., 2018) </w:t>
      </w:r>
      <w:r>
        <w:t xml:space="preserve">and used that variable to predict performance in Experiments 2 and 4. We </w:t>
      </w:r>
      <w:r w:rsidR="00331E08">
        <w:t xml:space="preserve">then </w:t>
      </w:r>
      <w:r>
        <w:t>compare</w:t>
      </w:r>
      <w:r w:rsidR="0019503B">
        <w:t>d</w:t>
      </w:r>
      <w:r>
        <w:t xml:space="preserve"> the fit statistics to that of PVT.  </w:t>
      </w:r>
    </w:p>
    <w:p w14:paraId="7EB37FB9" w14:textId="06FE01DC" w:rsidR="008864B7" w:rsidRDefault="008864B7" w:rsidP="008864B7">
      <w:pPr>
        <w:spacing w:line="480" w:lineRule="auto"/>
        <w:ind w:firstLine="720"/>
      </w:pPr>
      <w:r>
        <w:t xml:space="preserve">Because predictions derived from a competence and warmth account are less constrained than PVTs, PVT is at a predictive disadvantage.  Therefore, if PVT predicts charitable choice better than competence and warmth, it will be a convincing demonstration of PVTs theoretical superiority over that offered by competence and warmth. The converse, however, is not necessarily true.  That is, superior performance by competence and warmth may simply be a reflection of how easily a less-well specified theory can accommodate patterns of responding relative to a more precisely specified one. </w:t>
      </w:r>
    </w:p>
    <w:p w14:paraId="41D0BF57" w14:textId="77777777" w:rsidR="008864B7" w:rsidRDefault="008864B7" w:rsidP="008864B7">
      <w:pPr>
        <w:spacing w:line="480" w:lineRule="auto"/>
        <w:ind w:firstLine="720"/>
        <w:jc w:val="center"/>
        <w:rPr>
          <w:b/>
          <w:bCs/>
        </w:rPr>
      </w:pPr>
      <w:r w:rsidRPr="00F12570">
        <w:rPr>
          <w:b/>
          <w:bCs/>
        </w:rPr>
        <w:t>Method</w:t>
      </w:r>
    </w:p>
    <w:p w14:paraId="004955A9" w14:textId="77777777" w:rsidR="008864B7" w:rsidRPr="00C06677" w:rsidRDefault="008864B7" w:rsidP="008864B7">
      <w:pPr>
        <w:keepNext/>
        <w:spacing w:line="480" w:lineRule="auto"/>
        <w:rPr>
          <w:b/>
          <w:color w:val="000000" w:themeColor="text1"/>
        </w:rPr>
      </w:pPr>
      <w:r w:rsidRPr="00C06677">
        <w:rPr>
          <w:b/>
          <w:color w:val="000000" w:themeColor="text1"/>
        </w:rPr>
        <w:t>Participants</w:t>
      </w:r>
    </w:p>
    <w:p w14:paraId="1867DAD6" w14:textId="07635917" w:rsidR="008864B7" w:rsidRPr="00144468" w:rsidRDefault="008864B7" w:rsidP="008864B7">
      <w:pPr>
        <w:spacing w:line="480" w:lineRule="auto"/>
        <w:ind w:firstLine="720"/>
        <w:rPr>
          <w:color w:val="000000" w:themeColor="text1"/>
          <w:lang w:val="en"/>
        </w:rPr>
      </w:pPr>
      <w:r w:rsidRPr="00C06677">
        <w:rPr>
          <w:color w:val="000000" w:themeColor="text1"/>
        </w:rPr>
        <w:t xml:space="preserve">Participants included </w:t>
      </w:r>
      <w:r>
        <w:rPr>
          <w:color w:val="000000" w:themeColor="text1"/>
        </w:rPr>
        <w:t>206</w:t>
      </w:r>
      <w:r w:rsidRPr="00C06677">
        <w:rPr>
          <w:color w:val="000000" w:themeColor="text1"/>
        </w:rPr>
        <w:t xml:space="preserve"> </w:t>
      </w:r>
      <w:r>
        <w:rPr>
          <w:color w:val="000000" w:themeColor="text1"/>
        </w:rPr>
        <w:t xml:space="preserve">adults recruited through Prolific </w:t>
      </w:r>
      <w:r w:rsidRPr="00C06677">
        <w:rPr>
          <w:color w:val="000000" w:themeColor="text1"/>
        </w:rPr>
        <w:t xml:space="preserve">who received </w:t>
      </w:r>
      <w:r>
        <w:rPr>
          <w:color w:val="000000" w:themeColor="text1"/>
        </w:rPr>
        <w:t>payment for participation</w:t>
      </w:r>
      <w:r w:rsidRPr="00C06677">
        <w:rPr>
          <w:color w:val="000000" w:themeColor="text1"/>
        </w:rPr>
        <w:t xml:space="preserve">. </w:t>
      </w:r>
      <w:r>
        <w:rPr>
          <w:color w:val="000000" w:themeColor="text1"/>
        </w:rPr>
        <w:t>The procedure was a partial replication o</w:t>
      </w:r>
      <w:r w:rsidR="00331E08">
        <w:rPr>
          <w:color w:val="000000" w:themeColor="text1"/>
        </w:rPr>
        <w:t xml:space="preserve">f </w:t>
      </w:r>
      <w:r w:rsidR="00331E08">
        <w:t>the competence and warmth ratings survey</w:t>
      </w:r>
      <w:r w:rsidR="00331E08">
        <w:rPr>
          <w:color w:val="000000" w:themeColor="text1"/>
        </w:rPr>
        <w:t xml:space="preserve"> described by</w:t>
      </w:r>
      <w:r>
        <w:rPr>
          <w:color w:val="000000" w:themeColor="text1"/>
        </w:rPr>
        <w:t xml:space="preserve"> Jenkin</w:t>
      </w:r>
      <w:r w:rsidR="00331E08">
        <w:rPr>
          <w:color w:val="000000" w:themeColor="text1"/>
        </w:rPr>
        <w:t>s</w:t>
      </w:r>
      <w:r>
        <w:rPr>
          <w:color w:val="000000" w:themeColor="text1"/>
        </w:rPr>
        <w:t xml:space="preserve"> et al. (2018). </w:t>
      </w:r>
      <w:r w:rsidRPr="00144468">
        <w:rPr>
          <w:color w:val="000000" w:themeColor="text1"/>
          <w:lang w:val="en"/>
        </w:rPr>
        <w:t xml:space="preserve">Jenkins et al. (2018) collected about 50 </w:t>
      </w:r>
      <w:r>
        <w:rPr>
          <w:color w:val="000000" w:themeColor="text1"/>
          <w:lang w:val="en"/>
        </w:rPr>
        <w:t xml:space="preserve">rating </w:t>
      </w:r>
      <w:r w:rsidRPr="00144468">
        <w:rPr>
          <w:color w:val="000000" w:themeColor="text1"/>
          <w:lang w:val="en"/>
        </w:rPr>
        <w:t xml:space="preserve">responses per item.  In our </w:t>
      </w:r>
      <w:r>
        <w:rPr>
          <w:color w:val="000000" w:themeColor="text1"/>
          <w:lang w:val="en"/>
        </w:rPr>
        <w:t>version</w:t>
      </w:r>
      <w:r w:rsidRPr="00144468">
        <w:rPr>
          <w:color w:val="000000" w:themeColor="text1"/>
          <w:lang w:val="en"/>
        </w:rPr>
        <w:t>, that translates to 150 participants</w:t>
      </w:r>
      <w:r>
        <w:rPr>
          <w:color w:val="000000" w:themeColor="text1"/>
          <w:lang w:val="en"/>
        </w:rPr>
        <w:t xml:space="preserve"> (50 participants * 3 (27 </w:t>
      </w:r>
      <w:r>
        <w:rPr>
          <w:color w:val="000000" w:themeColor="text1"/>
          <w:lang w:val="en"/>
        </w:rPr>
        <w:lastRenderedPageBreak/>
        <w:t>items/9 at a time) = 150)</w:t>
      </w:r>
      <w:r w:rsidRPr="00144468">
        <w:rPr>
          <w:color w:val="000000" w:themeColor="text1"/>
          <w:lang w:val="en"/>
        </w:rPr>
        <w:t xml:space="preserve">. </w:t>
      </w:r>
      <w:r>
        <w:t>We attempted to recruit 200 participants, assuming that not all will complete the task with full attention.</w:t>
      </w:r>
    </w:p>
    <w:p w14:paraId="6342FE30" w14:textId="77777777" w:rsidR="008864B7" w:rsidRDefault="008864B7" w:rsidP="008864B7">
      <w:pPr>
        <w:spacing w:line="480" w:lineRule="auto"/>
        <w:rPr>
          <w:b/>
          <w:color w:val="000000" w:themeColor="text1"/>
        </w:rPr>
      </w:pPr>
      <w:r w:rsidRPr="00C06677">
        <w:rPr>
          <w:b/>
          <w:color w:val="000000" w:themeColor="text1"/>
        </w:rPr>
        <w:t>Design and materials</w:t>
      </w:r>
    </w:p>
    <w:p w14:paraId="1C1E535C" w14:textId="4CED3314" w:rsidR="008864B7" w:rsidRDefault="008864B7" w:rsidP="008864B7">
      <w:pPr>
        <w:spacing w:line="480" w:lineRule="auto"/>
      </w:pPr>
      <w:r>
        <w:tab/>
        <w:t xml:space="preserve">Participants were asked to rate the 27 items used in Experiment 4 on the 31 attributes used by Jenkins et al. (2018), plus omnibus ratings of competence and warmth. The 27 items are: a celebrity, a congressman, a convict, a father, a gang member, a judge, a mentor, a mother, a nun, a pedophile, a police officer, a rapist, a soldier, a teacher, a terrorist, a thief, an addict, an adult, an assassin, an astronaut, an elderly person, an Olympian, your friend, your grandfather, your mother, your cousin, and your sibling. </w:t>
      </w:r>
    </w:p>
    <w:p w14:paraId="5270A6E5" w14:textId="0C0E5E5A" w:rsidR="008864B7" w:rsidRDefault="008864B7" w:rsidP="008864B7">
      <w:pPr>
        <w:spacing w:line="480" w:lineRule="auto"/>
        <w:ind w:firstLine="720"/>
      </w:pPr>
      <w:r>
        <w:t>We created a survey in Qualtrics to collect ratings data. Each page of the survey contained one of two questions. The question associated with the traits was, “In your opinion, how [trait] is the person below”, where [trait] was replaced by one of the following traits: sincere, tolerant, good-natured, trustworthy, friendly, helpful, moral, understanding, intelligent, efficient, skillful, confident, creative, capable, foresighted, clever, competent, and warm. The question associated with the attributes was, “In your opinion, how capable of each person below of experiencing [attribute]”, where [attribute] was replaced by one of the following attributes: hunger, fear, pain, rage, desire, pleasure, pride, embarrassment, joy, communication, knowing others’ feelings, memory, telling right from wrong, planning, and self-control. Below each of the questions, a random selection of nine of the 27 items were presented.  To the right of each item name was a slider that ranged from “Not at all” to “Extremely.”</w:t>
      </w:r>
    </w:p>
    <w:p w14:paraId="46BF7B0E" w14:textId="77777777" w:rsidR="008864B7" w:rsidRDefault="008864B7" w:rsidP="008864B7">
      <w:pPr>
        <w:spacing w:line="480" w:lineRule="auto"/>
        <w:ind w:firstLine="720"/>
      </w:pPr>
      <w:r>
        <w:t xml:space="preserve">Finally, we included an attention check.  The attention check looked identical to the trait question, and read, “In your opinion, how sadistic is the person below,” with nine sliders below the question.  Seven of the nine sliders were item names (your friend, an Olympian, an astronaut, </w:t>
      </w:r>
      <w:r>
        <w:lastRenderedPageBreak/>
        <w:t>an adult, a teacher, a nun, a mother).  These items were chosen because the typical response would generally be low on the scale. The two remaining sliders included instructions that told the participant where to place the slider, either, “respond extremely” or “center this slider.” The remaining seven ‘dummy’ items were to mask the attentional items.  Finally, the responses to this trait “sadistic” was, of course, not used in the experiment.</w:t>
      </w:r>
    </w:p>
    <w:p w14:paraId="3AE09616" w14:textId="77777777" w:rsidR="008864B7" w:rsidRDefault="008864B7" w:rsidP="008864B7">
      <w:pPr>
        <w:spacing w:line="480" w:lineRule="auto"/>
        <w:rPr>
          <w:b/>
          <w:color w:val="000000" w:themeColor="text1"/>
        </w:rPr>
      </w:pPr>
      <w:r>
        <w:rPr>
          <w:b/>
          <w:color w:val="000000" w:themeColor="text1"/>
        </w:rPr>
        <w:t>Procedure</w:t>
      </w:r>
    </w:p>
    <w:p w14:paraId="5DFB69E9" w14:textId="469C8C41" w:rsidR="00856376" w:rsidRDefault="008864B7" w:rsidP="008864B7">
      <w:pPr>
        <w:spacing w:line="480" w:lineRule="auto"/>
      </w:pPr>
      <w:r w:rsidRPr="001C48BC">
        <w:rPr>
          <w:bCs/>
          <w:color w:val="000000" w:themeColor="text1"/>
        </w:rPr>
        <w:tab/>
      </w:r>
      <w:r>
        <w:rPr>
          <w:bCs/>
          <w:color w:val="000000" w:themeColor="text1"/>
        </w:rPr>
        <w:t>We mimicked the procedure of Jenkins et al. (2018), with slight modification. Each participant clicked on the link in Prolific and were directed to the Qualtrics survey. They were presented with a consent page, followed by a set of demographic questions (age and gender). Then they were presented with brief instruction</w:t>
      </w:r>
      <w:r w:rsidR="00C5042B">
        <w:rPr>
          <w:bCs/>
          <w:color w:val="000000" w:themeColor="text1"/>
        </w:rPr>
        <w:t>s</w:t>
      </w:r>
      <w:r>
        <w:rPr>
          <w:bCs/>
          <w:color w:val="000000" w:themeColor="text1"/>
        </w:rPr>
        <w:t xml:space="preserve">, followed by 34 pages each containing 9 slider responses.  </w:t>
      </w:r>
      <w:r>
        <w:t xml:space="preserve">The order of all questions was randomized between participants and the order of the items within a slider was randomized for every participant x question. When the participants completed the experiment, they were re-directed back to Prolific. The structure of the scale, question, etc., are </w:t>
      </w:r>
      <w:r w:rsidR="00B8167E">
        <w:t xml:space="preserve">as </w:t>
      </w:r>
      <w:r>
        <w:t xml:space="preserve">described in Jenkins et al. (2018). </w:t>
      </w:r>
    </w:p>
    <w:p w14:paraId="77DFB23B" w14:textId="54D7E761" w:rsidR="00856376" w:rsidRDefault="00856376" w:rsidP="00856376">
      <w:pPr>
        <w:keepNext/>
        <w:spacing w:line="480" w:lineRule="auto"/>
        <w:ind w:firstLine="720"/>
        <w:outlineLvl w:val="0"/>
        <w:rPr>
          <w:bCs/>
        </w:rPr>
      </w:pPr>
      <w:r w:rsidRPr="00C06677">
        <w:rPr>
          <w:bCs/>
        </w:rPr>
        <w:t xml:space="preserve">All procedures were approved by the </w:t>
      </w:r>
      <w:r w:rsidR="0035443A">
        <w:rPr>
          <w:bCs/>
        </w:rPr>
        <w:t xml:space="preserve">Ethics Committee of the Department of Psychology, </w:t>
      </w:r>
      <w:r>
        <w:rPr>
          <w:bCs/>
        </w:rPr>
        <w:t>University of York IRB</w:t>
      </w:r>
      <w:r w:rsidR="0035443A">
        <w:rPr>
          <w:bCs/>
        </w:rPr>
        <w:t>, #2242</w:t>
      </w:r>
      <w:r w:rsidRPr="00C06677">
        <w:rPr>
          <w:bCs/>
        </w:rPr>
        <w:t xml:space="preserve">. The data and R code for the analysis of Experiment </w:t>
      </w:r>
      <w:r>
        <w:rPr>
          <w:bCs/>
        </w:rPr>
        <w:t xml:space="preserve">5 </w:t>
      </w:r>
      <w:r w:rsidRPr="00C06677">
        <w:rPr>
          <w:bCs/>
        </w:rPr>
        <w:t>can be downloaded at:</w:t>
      </w:r>
      <w:r w:rsidRPr="00C06677">
        <w:rPr>
          <w:bCs/>
        </w:rPr>
        <w:br/>
      </w:r>
      <w:hyperlink r:id="rId28" w:history="1">
        <w:r w:rsidRPr="00C06677">
          <w:rPr>
            <w:rStyle w:val="Hyperlink"/>
            <w:bCs/>
          </w:rPr>
          <w:t>https://github.com/ccpluncw/ccpl_data_PVTcharity2021.git</w:t>
        </w:r>
      </w:hyperlink>
      <w:r w:rsidRPr="00C06677">
        <w:rPr>
          <w:bCs/>
        </w:rPr>
        <w:t xml:space="preserve">. The stimuli and instructions can be found in the Supplemental </w:t>
      </w:r>
      <w:r>
        <w:rPr>
          <w:bCs/>
        </w:rPr>
        <w:t>Information</w:t>
      </w:r>
      <w:r w:rsidRPr="00C06677">
        <w:rPr>
          <w:bCs/>
        </w:rPr>
        <w:t>. The experimental presentation code is proprietary and is not open sourced. The experiment was pre-registered</w:t>
      </w:r>
      <w:r>
        <w:rPr>
          <w:bCs/>
        </w:rPr>
        <w:t xml:space="preserve">, and can be found at: </w:t>
      </w:r>
      <w:r w:rsidRPr="00856376">
        <w:rPr>
          <w:bCs/>
        </w:rPr>
        <w:t>https://doi.org/10.17605/OSF.IO/XREQT</w:t>
      </w:r>
      <w:r w:rsidRPr="00C06677">
        <w:rPr>
          <w:bCs/>
        </w:rPr>
        <w:t>.</w:t>
      </w:r>
      <w:r w:rsidRPr="00110493">
        <w:rPr>
          <w:bCs/>
        </w:rPr>
        <w:t xml:space="preserve"> </w:t>
      </w:r>
      <w:r>
        <w:rPr>
          <w:bCs/>
        </w:rPr>
        <w:t xml:space="preserve"> </w:t>
      </w:r>
      <w:r w:rsidRPr="00110493">
        <w:rPr>
          <w:bCs/>
        </w:rPr>
        <w:t>In these studies, we report all measures, manipulations and exclusions.</w:t>
      </w:r>
    </w:p>
    <w:p w14:paraId="54EAA734" w14:textId="2DB042B2" w:rsidR="008864B7" w:rsidRDefault="008864B7" w:rsidP="008864B7">
      <w:pPr>
        <w:spacing w:line="480" w:lineRule="auto"/>
      </w:pPr>
      <w:r>
        <w:t xml:space="preserve"> </w:t>
      </w:r>
    </w:p>
    <w:p w14:paraId="491D4E3B" w14:textId="77777777" w:rsidR="008864B7" w:rsidRPr="00270730" w:rsidRDefault="008864B7" w:rsidP="0035443A">
      <w:pPr>
        <w:keepNext/>
        <w:spacing w:line="480" w:lineRule="auto"/>
        <w:jc w:val="center"/>
        <w:rPr>
          <w:b/>
          <w:bCs/>
        </w:rPr>
      </w:pPr>
      <w:r w:rsidRPr="00270730">
        <w:rPr>
          <w:b/>
          <w:bCs/>
        </w:rPr>
        <w:lastRenderedPageBreak/>
        <w:t>Results</w:t>
      </w:r>
      <w:r>
        <w:rPr>
          <w:b/>
          <w:bCs/>
        </w:rPr>
        <w:t xml:space="preserve"> and Discussion</w:t>
      </w:r>
    </w:p>
    <w:p w14:paraId="044F0D32" w14:textId="77777777" w:rsidR="008864B7" w:rsidRDefault="008864B7" w:rsidP="008864B7">
      <w:pPr>
        <w:spacing w:line="480" w:lineRule="auto"/>
        <w:rPr>
          <w:bCs/>
          <w:color w:val="000000" w:themeColor="text1"/>
        </w:rPr>
      </w:pPr>
      <w:r w:rsidRPr="008E274C">
        <w:rPr>
          <w:bCs/>
          <w:color w:val="000000" w:themeColor="text1"/>
        </w:rPr>
        <w:tab/>
      </w:r>
      <w:r>
        <w:rPr>
          <w:bCs/>
          <w:color w:val="000000" w:themeColor="text1"/>
        </w:rPr>
        <w:t xml:space="preserve">First, we filtered participants who failed both attention checks.  Because the attention checks were sliders, we identified a failure as a response that was not within 5% of the requested response.  </w:t>
      </w:r>
      <w:r w:rsidRPr="008E274C">
        <w:rPr>
          <w:bCs/>
          <w:color w:val="000000" w:themeColor="text1"/>
        </w:rPr>
        <w:t xml:space="preserve">Ten </w:t>
      </w:r>
      <w:r>
        <w:rPr>
          <w:bCs/>
          <w:color w:val="000000" w:themeColor="text1"/>
        </w:rPr>
        <w:t xml:space="preserve">participants were removed because they failed both attention checks (with 196 participants remaining). </w:t>
      </w:r>
    </w:p>
    <w:p w14:paraId="67B9EFE2" w14:textId="413E04D2" w:rsidR="008864B7" w:rsidRDefault="008864B7" w:rsidP="008864B7">
      <w:pPr>
        <w:spacing w:line="480" w:lineRule="auto"/>
        <w:ind w:firstLine="720"/>
        <w:rPr>
          <w:lang w:val="en"/>
        </w:rPr>
      </w:pPr>
      <w:r>
        <w:t>We used the factor loadings described by Jenkins et al (</w:t>
      </w:r>
      <w:r w:rsidR="00331E08">
        <w:t>2018</w:t>
      </w:r>
      <w:r>
        <w:t>) to derive a measure of competence (</w:t>
      </w:r>
      <w:r>
        <w:rPr>
          <w:i/>
        </w:rPr>
        <w:t>C</w:t>
      </w:r>
      <w:r>
        <w:t>) and a measure of warmth (</w:t>
      </w:r>
      <w:r>
        <w:rPr>
          <w:i/>
        </w:rPr>
        <w:t>W</w:t>
      </w:r>
      <w:r>
        <w:t xml:space="preserve">; see Supplemental </w:t>
      </w:r>
      <w:r w:rsidR="00784FF6">
        <w:t>Information</w:t>
      </w:r>
      <w:r>
        <w:t xml:space="preserve">). To do so, for each feature, we calculated the mean rating and then multiplied the mean rating by the factor loading. Finally, we summed the factor loadings.  </w:t>
      </w:r>
      <w:r w:rsidRPr="00F138EC">
        <w:rPr>
          <w:lang w:val="en"/>
        </w:rPr>
        <w:t xml:space="preserve">The C and W scores </w:t>
      </w:r>
      <w:r>
        <w:rPr>
          <w:lang w:val="en"/>
        </w:rPr>
        <w:t>were</w:t>
      </w:r>
      <w:r w:rsidRPr="00F138EC">
        <w:rPr>
          <w:lang w:val="en"/>
        </w:rPr>
        <w:t xml:space="preserve"> normalized with a mean </w:t>
      </w:r>
      <w:r>
        <w:rPr>
          <w:lang w:val="en"/>
        </w:rPr>
        <w:t>=</w:t>
      </w:r>
      <w:r w:rsidRPr="00F138EC">
        <w:rPr>
          <w:lang w:val="en"/>
        </w:rPr>
        <w:t xml:space="preserve"> 0 and an SD </w:t>
      </w:r>
      <w:r>
        <w:rPr>
          <w:lang w:val="en"/>
        </w:rPr>
        <w:t>=</w:t>
      </w:r>
      <w:r w:rsidRPr="00F138EC">
        <w:rPr>
          <w:lang w:val="en"/>
        </w:rPr>
        <w:t xml:space="preserve"> 1.</w:t>
      </w:r>
    </w:p>
    <w:p w14:paraId="63349E32" w14:textId="6D7CE4E8" w:rsidR="008864B7" w:rsidRDefault="008864B7" w:rsidP="008864B7">
      <w:pPr>
        <w:spacing w:line="480" w:lineRule="auto"/>
        <w:jc w:val="center"/>
        <w:rPr>
          <w:lang w:val="en"/>
        </w:rPr>
      </w:pPr>
      <w:r w:rsidRPr="00A36C10">
        <w:rPr>
          <w:noProof/>
        </w:rPr>
        <w:drawing>
          <wp:inline distT="0" distB="0" distL="0" distR="0" wp14:anchorId="4B8D01C9" wp14:editId="7B8A528F">
            <wp:extent cx="5372375" cy="4278385"/>
            <wp:effectExtent l="0" t="0" r="0" b="0"/>
            <wp:docPr id="43970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02344" name=""/>
                    <pic:cNvPicPr/>
                  </pic:nvPicPr>
                  <pic:blipFill>
                    <a:blip r:embed="rId29"/>
                    <a:stretch>
                      <a:fillRect/>
                    </a:stretch>
                  </pic:blipFill>
                  <pic:spPr>
                    <a:xfrm>
                      <a:off x="0" y="0"/>
                      <a:ext cx="5453134" cy="4342699"/>
                    </a:xfrm>
                    <a:prstGeom prst="rect">
                      <a:avLst/>
                    </a:prstGeom>
                  </pic:spPr>
                </pic:pic>
              </a:graphicData>
            </a:graphic>
          </wp:inline>
        </w:drawing>
      </w:r>
    </w:p>
    <w:p w14:paraId="1828DF00" w14:textId="728C38E7" w:rsidR="008864B7" w:rsidRDefault="008864B7" w:rsidP="008864B7">
      <w:pPr>
        <w:spacing w:line="480" w:lineRule="auto"/>
        <w:rPr>
          <w:lang w:val="en"/>
        </w:rPr>
      </w:pPr>
      <w:r>
        <w:rPr>
          <w:lang w:val="en"/>
        </w:rPr>
        <w:t>Figure 15: The warmth and competence scores for each of the 27 items used in Experiments 1-4.</w:t>
      </w:r>
    </w:p>
    <w:p w14:paraId="46F4BB08" w14:textId="77777777" w:rsidR="008864B7" w:rsidRDefault="008864B7" w:rsidP="008864B7">
      <w:pPr>
        <w:spacing w:line="480" w:lineRule="auto"/>
        <w:rPr>
          <w:lang w:val="en"/>
        </w:rPr>
      </w:pPr>
    </w:p>
    <w:p w14:paraId="72FFBE91" w14:textId="771B170E" w:rsidR="008864B7" w:rsidRDefault="008864B7" w:rsidP="008864B7">
      <w:pPr>
        <w:spacing w:line="480" w:lineRule="auto"/>
        <w:ind w:firstLine="720"/>
        <w:rPr>
          <w:lang w:val="en"/>
        </w:rPr>
      </w:pPr>
      <w:r>
        <w:rPr>
          <w:lang w:val="en"/>
        </w:rPr>
        <w:t xml:space="preserve">Figure 15 presents the competence and warmth values for each item.  Both the derived competence construct and the derived warmth construct correlated highly with their omnibus ratings (competence: </w:t>
      </w:r>
      <w:r w:rsidRPr="0035443A">
        <w:rPr>
          <w:i/>
          <w:iCs/>
          <w:lang w:val="en"/>
        </w:rPr>
        <w:t>r</w:t>
      </w:r>
      <w:r>
        <w:rPr>
          <w:lang w:val="en"/>
        </w:rPr>
        <w:t xml:space="preserve"> = 0.7, p &lt; .001; warmth: </w:t>
      </w:r>
      <w:r w:rsidRPr="0035443A">
        <w:rPr>
          <w:i/>
          <w:iCs/>
          <w:lang w:val="en"/>
        </w:rPr>
        <w:t>r</w:t>
      </w:r>
      <w:r>
        <w:rPr>
          <w:lang w:val="en"/>
        </w:rPr>
        <w:t xml:space="preserve"> </w:t>
      </w:r>
      <w:r w:rsidR="00245143">
        <w:rPr>
          <w:lang w:val="en"/>
        </w:rPr>
        <w:t>= 0.98</w:t>
      </w:r>
      <w:r>
        <w:rPr>
          <w:lang w:val="en"/>
        </w:rPr>
        <w:t>, p &lt; .001).</w:t>
      </w:r>
    </w:p>
    <w:p w14:paraId="583EAA06" w14:textId="72661F47" w:rsidR="008864B7" w:rsidRDefault="00D417A1" w:rsidP="008864B7">
      <w:pPr>
        <w:spacing w:line="480" w:lineRule="auto"/>
        <w:ind w:firstLine="720"/>
      </w:pPr>
      <w:r>
        <w:rPr>
          <w:lang w:val="en"/>
        </w:rPr>
        <w:t>We</w:t>
      </w:r>
      <w:r w:rsidR="008864B7">
        <w:rPr>
          <w:lang w:val="en"/>
        </w:rPr>
        <w:t xml:space="preserve"> derived the</w:t>
      </w:r>
      <w:r w:rsidR="008864B7">
        <w:t xml:space="preserve"> combined competence/warmth (</w:t>
      </w:r>
      <w:r w:rsidR="008864B7">
        <w:rPr>
          <w:i/>
        </w:rPr>
        <w:t>CW</w:t>
      </w:r>
      <w:r w:rsidR="008864B7">
        <w:t>) measure as follows:</w:t>
      </w:r>
    </w:p>
    <w:p w14:paraId="770D9100" w14:textId="5178D18C" w:rsidR="008864B7" w:rsidRDefault="00000000" w:rsidP="008864B7">
      <w:pPr>
        <w:spacing w:line="480" w:lineRule="auto"/>
        <w:jc w:val="right"/>
      </w:pPr>
      <m:oMath>
        <m:sSub>
          <m:sSubPr>
            <m:ctrlPr>
              <w:rPr>
                <w:rFonts w:ascii="Cambria Math" w:eastAsia="Cambria Math" w:hAnsi="Cambria Math" w:cs="Cambria Math"/>
              </w:rPr>
            </m:ctrlPr>
          </m:sSubPr>
          <m:e>
            <m:r>
              <w:rPr>
                <w:rFonts w:ascii="Cambria Math" w:eastAsia="Cambria Math" w:hAnsi="Cambria Math" w:cs="Cambria Math"/>
              </w:rPr>
              <m:t>CW</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w</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w</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c</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c</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CW</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m:t>
            </m:r>
          </m:sub>
        </m:sSub>
      </m:oMath>
      <w:r w:rsidR="008864B7">
        <w:t>,</w:t>
      </w:r>
      <w:r w:rsidR="008864B7">
        <w:tab/>
      </w:r>
      <w:r w:rsidR="008864B7">
        <w:tab/>
      </w:r>
      <w:r w:rsidR="008864B7">
        <w:tab/>
        <w:t>(</w:t>
      </w:r>
      <w:r w:rsidR="002D0E3A">
        <w:t>2</w:t>
      </w:r>
      <w:r w:rsidR="008864B7">
        <w:t>)</w:t>
      </w:r>
    </w:p>
    <w:p w14:paraId="5E80B19F" w14:textId="77777777" w:rsidR="008864B7" w:rsidRDefault="008864B7" w:rsidP="008864B7">
      <w:pPr>
        <w:spacing w:line="480" w:lineRule="auto"/>
      </w:pPr>
      <w:r>
        <w:t xml:space="preserve">where </w:t>
      </w:r>
      <w:r>
        <w:rPr>
          <w:i/>
        </w:rPr>
        <w:t>W</w:t>
      </w:r>
      <w:r>
        <w:rPr>
          <w:i/>
          <w:vertAlign w:val="subscript"/>
        </w:rPr>
        <w:t>i</w:t>
      </w:r>
      <w:r>
        <w:t xml:space="preserve"> and </w:t>
      </w:r>
      <w:r>
        <w:rPr>
          <w:i/>
        </w:rPr>
        <w:t>C</w:t>
      </w:r>
      <w:r>
        <w:rPr>
          <w:i/>
          <w:vertAlign w:val="subscript"/>
        </w:rPr>
        <w:t>i</w:t>
      </w:r>
      <w:r>
        <w:t xml:space="preserve"> are the derived Warmth and Competence value for item i, respectively; </w:t>
      </w:r>
      <w:r>
        <w:rPr>
          <w:i/>
        </w:rPr>
        <w:t>a</w:t>
      </w:r>
      <w:r>
        <w:rPr>
          <w:i/>
          <w:vertAlign w:val="subscript"/>
        </w:rPr>
        <w:t>w</w:t>
      </w:r>
      <w:r>
        <w:t xml:space="preserve"> and </w:t>
      </w:r>
      <w:r>
        <w:rPr>
          <w:i/>
        </w:rPr>
        <w:t>a</w:t>
      </w:r>
      <w:r>
        <w:rPr>
          <w:i/>
          <w:vertAlign w:val="subscript"/>
        </w:rPr>
        <w:t>c</w:t>
      </w:r>
      <w:r>
        <w:t xml:space="preserve"> are constant terms for warmth and competence respectively; </w:t>
      </w:r>
      <w:r>
        <w:rPr>
          <w:i/>
        </w:rPr>
        <w:t>b</w:t>
      </w:r>
      <w:r>
        <w:rPr>
          <w:i/>
          <w:vertAlign w:val="subscript"/>
        </w:rPr>
        <w:t>w</w:t>
      </w:r>
      <w:r>
        <w:t xml:space="preserve"> and </w:t>
      </w:r>
      <w:r>
        <w:rPr>
          <w:i/>
        </w:rPr>
        <w:t>b</w:t>
      </w:r>
      <w:r>
        <w:rPr>
          <w:i/>
          <w:vertAlign w:val="subscript"/>
        </w:rPr>
        <w:t>c</w:t>
      </w:r>
      <w:r>
        <w:t xml:space="preserve"> are slopes terms for warmth and competence respectively;</w:t>
      </w:r>
      <w:r w:rsidRPr="0035443A">
        <w:rPr>
          <w:i/>
          <w:iCs/>
        </w:rPr>
        <w:t xml:space="preserve"> b</w:t>
      </w:r>
      <w:r w:rsidRPr="0035443A">
        <w:rPr>
          <w:i/>
          <w:iCs/>
          <w:vertAlign w:val="subscript"/>
        </w:rPr>
        <w:t>cw</w:t>
      </w:r>
      <w:r>
        <w:t xml:space="preserve"> is the slope for the interactive term. </w:t>
      </w:r>
    </w:p>
    <w:p w14:paraId="0A2B0E16" w14:textId="77777777" w:rsidR="008864B7" w:rsidRDefault="008864B7" w:rsidP="008864B7">
      <w:pPr>
        <w:spacing w:line="480" w:lineRule="auto"/>
        <w:ind w:firstLine="720"/>
      </w:pPr>
      <w:r>
        <w:t>The difference in the CW score between any two items should predict charitable choice between two items:</w:t>
      </w:r>
    </w:p>
    <w:p w14:paraId="30C815FE" w14:textId="230BB76F" w:rsidR="008864B7" w:rsidRDefault="008864B7" w:rsidP="008864B7">
      <w:pPr>
        <w:spacing w:line="480" w:lineRule="auto"/>
        <w:jc w:val="right"/>
      </w:pPr>
      <m:oMath>
        <m:r>
          <w:rPr>
            <w:rFonts w:ascii="Cambria Math" w:eastAsia="Cambria Math" w:hAnsi="Cambria Math" w:cs="Cambria Math"/>
          </w:rPr>
          <m:t xml:space="preserve">p(i|ij)= </m:t>
        </m:r>
        <m:sSub>
          <m:sSubPr>
            <m:ctrlPr>
              <w:rPr>
                <w:rFonts w:ascii="Cambria Math" w:eastAsia="Cambria Math" w:hAnsi="Cambria Math" w:cs="Cambria Math"/>
              </w:rPr>
            </m:ctrlPr>
          </m:sSubPr>
          <m:e>
            <m:r>
              <w:rPr>
                <w:rFonts w:ascii="Cambria Math" w:eastAsia="Cambria Math" w:hAnsi="Cambria Math" w:cs="Cambria Math"/>
              </w:rPr>
              <m:t>CW</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CW</m:t>
            </m:r>
          </m:e>
          <m:sub>
            <m:r>
              <w:rPr>
                <w:rFonts w:ascii="Cambria Math" w:eastAsia="Cambria Math" w:hAnsi="Cambria Math" w:cs="Cambria Math"/>
              </w:rPr>
              <m:t>j</m:t>
            </m:r>
          </m:sub>
        </m:sSub>
        <m:r>
          <w:rPr>
            <w:rFonts w:ascii="Cambria Math" w:eastAsia="Cambria Math" w:hAnsi="Cambria Math" w:cs="Cambria Math"/>
          </w:rPr>
          <m:t>,</m:t>
        </m:r>
      </m:oMath>
      <w:r>
        <w:tab/>
      </w:r>
      <w:r>
        <w:tab/>
      </w:r>
      <w:r>
        <w:tab/>
      </w:r>
      <w:r>
        <w:tab/>
      </w:r>
      <w:r>
        <w:tab/>
        <w:t>(</w:t>
      </w:r>
      <w:r w:rsidR="002D0E3A">
        <w:t>3</w:t>
      </w:r>
      <w:r>
        <w:t>)</w:t>
      </w:r>
    </w:p>
    <w:p w14:paraId="07008D5D" w14:textId="1388F36B" w:rsidR="008864B7" w:rsidRDefault="008864B7" w:rsidP="008864B7">
      <w:pPr>
        <w:spacing w:line="480" w:lineRule="auto"/>
      </w:pPr>
      <w:r>
        <w:t xml:space="preserve">where </w:t>
      </w:r>
      <m:oMath>
        <m:r>
          <w:rPr>
            <w:rFonts w:ascii="Cambria Math" w:eastAsia="Cambria Math" w:hAnsi="Cambria Math" w:cs="Cambria Math"/>
          </w:rPr>
          <m:t>p(i|ij)</m:t>
        </m:r>
      </m:oMath>
      <w:r>
        <w:t xml:space="preserve"> is the probability of choosing item </w:t>
      </w:r>
      <w:r>
        <w:rPr>
          <w:i/>
        </w:rPr>
        <w:t>i</w:t>
      </w:r>
      <w:r>
        <w:t xml:space="preserve"> given a choice between items </w:t>
      </w:r>
      <w:r>
        <w:rPr>
          <w:i/>
        </w:rPr>
        <w:t>i</w:t>
      </w:r>
      <w:r>
        <w:t xml:space="preserve"> and </w:t>
      </w:r>
      <w:r>
        <w:rPr>
          <w:i/>
        </w:rPr>
        <w:t>j</w:t>
      </w:r>
      <w:r>
        <w:rPr>
          <w:iCs/>
        </w:rPr>
        <w:t xml:space="preserve">. </w:t>
      </w:r>
      <w:r>
        <w:t xml:space="preserve">When Equation </w:t>
      </w:r>
      <w:r w:rsidR="002D0E3A">
        <w:t>3</w:t>
      </w:r>
      <w:r>
        <w:t xml:space="preserve"> is expanded and simplified, it is possible to maximize the fit of CW to </w:t>
      </w:r>
      <m:oMath>
        <m:r>
          <w:rPr>
            <w:rFonts w:ascii="Cambria Math" w:eastAsia="Cambria Math" w:hAnsi="Cambria Math" w:cs="Cambria Math"/>
          </w:rPr>
          <m:t>p(i|ij)</m:t>
        </m:r>
      </m:oMath>
      <w:r>
        <w:t xml:space="preserve"> using the following equation:</w:t>
      </w:r>
    </w:p>
    <w:p w14:paraId="03D9985E" w14:textId="07EF1E66" w:rsidR="008864B7" w:rsidRDefault="008864B7" w:rsidP="008864B7">
      <w:pPr>
        <w:spacing w:line="480" w:lineRule="auto"/>
        <w:jc w:val="right"/>
      </w:pPr>
      <m:oMath>
        <m:r>
          <w:rPr>
            <w:rFonts w:ascii="Cambria Math" w:eastAsia="Cambria Math" w:hAnsi="Cambria Math" w:cs="Cambria Math"/>
          </w:rPr>
          <m:t xml:space="preserve">p(i|ij)=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w</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e>
        </m:d>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c</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j</m:t>
                </m:r>
              </m:sub>
            </m:sSub>
          </m:e>
        </m:d>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CW</m:t>
            </m:r>
          </m:sub>
        </m:sSub>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i</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j</m:t>
            </m:r>
          </m:sub>
        </m:sSub>
        <m:r>
          <w:rPr>
            <w:rFonts w:ascii="Cambria Math" w:eastAsia="Cambria Math" w:hAnsi="Cambria Math" w:cs="Cambria Math"/>
          </w:rPr>
          <m:t>))</m:t>
        </m:r>
      </m:oMath>
      <w:r>
        <w:tab/>
      </w:r>
      <w:r>
        <w:tab/>
        <w:t>(</w:t>
      </w:r>
      <w:r w:rsidR="002D0E3A">
        <w:t>4</w:t>
      </w:r>
      <w:r>
        <w:t>)</w:t>
      </w:r>
    </w:p>
    <w:p w14:paraId="4DB70140" w14:textId="7B6DF050" w:rsidR="008864B7" w:rsidRDefault="008864B7" w:rsidP="008864B7">
      <w:pPr>
        <w:spacing w:line="480" w:lineRule="auto"/>
      </w:pPr>
      <w:r>
        <w:tab/>
        <w:t xml:space="preserve">To derive the best predicting CW measure from the data, we fit Equation </w:t>
      </w:r>
      <w:r w:rsidR="002D0E3A">
        <w:t>4</w:t>
      </w:r>
      <w:r>
        <w:t xml:space="preserve"> to the choice data of Experiment 1.  The regression was significant, </w:t>
      </w:r>
      <w:r w:rsidRPr="00234DDA">
        <w:rPr>
          <w:i/>
          <w:iCs/>
        </w:rPr>
        <w:t>F</w:t>
      </w:r>
      <w:r>
        <w:t xml:space="preserve">(3, 227) = 198.2, </w:t>
      </w:r>
      <w:r w:rsidRPr="00234DDA">
        <w:rPr>
          <w:i/>
          <w:iCs/>
        </w:rPr>
        <w:t>p</w:t>
      </w:r>
      <w:r>
        <w:t xml:space="preserve"> &lt; 0.001. Only the warmth parameter (</w:t>
      </w:r>
      <w:r w:rsidRPr="0035443A">
        <w:rPr>
          <w:i/>
          <w:iCs/>
        </w:rPr>
        <w:t>b</w:t>
      </w:r>
      <w:r w:rsidRPr="0035443A">
        <w:rPr>
          <w:i/>
          <w:iCs/>
          <w:vertAlign w:val="subscript"/>
        </w:rPr>
        <w:t>w</w:t>
      </w:r>
      <w:r>
        <w:t xml:space="preserve">; </w:t>
      </w:r>
      <w:r w:rsidRPr="0035443A">
        <w:rPr>
          <w:i/>
          <w:iCs/>
        </w:rPr>
        <w:t>t</w:t>
      </w:r>
      <w:r w:rsidR="00331E08">
        <w:t xml:space="preserve"> </w:t>
      </w:r>
      <w:r>
        <w:t>=</w:t>
      </w:r>
      <w:r w:rsidR="008D2F50">
        <w:t xml:space="preserve"> </w:t>
      </w:r>
      <w:r>
        <w:t>22.9, p &lt; 0.001) and the interaction term (</w:t>
      </w:r>
      <w:r w:rsidRPr="0035443A">
        <w:rPr>
          <w:i/>
          <w:iCs/>
        </w:rPr>
        <w:t>b</w:t>
      </w:r>
      <w:r w:rsidRPr="0035443A">
        <w:rPr>
          <w:i/>
          <w:iCs/>
          <w:vertAlign w:val="subscript"/>
        </w:rPr>
        <w:t>cw</w:t>
      </w:r>
      <w:r>
        <w:t xml:space="preserve">; </w:t>
      </w:r>
      <w:r w:rsidRPr="00234DDA">
        <w:rPr>
          <w:i/>
          <w:iCs/>
        </w:rPr>
        <w:t>t</w:t>
      </w:r>
      <w:r w:rsidR="008D2F50">
        <w:rPr>
          <w:i/>
          <w:iCs/>
        </w:rPr>
        <w:t xml:space="preserve"> </w:t>
      </w:r>
      <w:r>
        <w:t xml:space="preserve">= -2.1, </w:t>
      </w:r>
      <w:r w:rsidRPr="00234DDA">
        <w:rPr>
          <w:i/>
          <w:iCs/>
        </w:rPr>
        <w:t>p</w:t>
      </w:r>
      <w:r>
        <w:t xml:space="preserve"> &lt; 0.03) were statistically reliable. We therefore re-ran the regression, dropping the competence predictor (</w:t>
      </w:r>
      <w:r w:rsidRPr="0035443A">
        <w:rPr>
          <w:i/>
          <w:iCs/>
        </w:rPr>
        <w:t>b</w:t>
      </w:r>
      <w:r w:rsidRPr="0035443A">
        <w:rPr>
          <w:i/>
          <w:iCs/>
          <w:vertAlign w:val="subscript"/>
        </w:rPr>
        <w:t>c</w:t>
      </w:r>
      <w:r>
        <w:t xml:space="preserve">).  The final regression was significant, </w:t>
      </w:r>
      <w:r w:rsidRPr="00234DDA">
        <w:rPr>
          <w:i/>
          <w:iCs/>
        </w:rPr>
        <w:t>F</w:t>
      </w:r>
      <w:r>
        <w:t xml:space="preserve">(2, 228) = 297.1, </w:t>
      </w:r>
      <w:r w:rsidRPr="00234DDA">
        <w:rPr>
          <w:i/>
          <w:iCs/>
        </w:rPr>
        <w:t>p</w:t>
      </w:r>
      <w:r>
        <w:t xml:space="preserve"> &lt; 0.001.  Both the warmth parameter (</w:t>
      </w:r>
      <w:r w:rsidRPr="0035443A">
        <w:rPr>
          <w:i/>
          <w:iCs/>
        </w:rPr>
        <w:t>b</w:t>
      </w:r>
      <w:r w:rsidRPr="0035443A">
        <w:rPr>
          <w:i/>
          <w:iCs/>
          <w:vertAlign w:val="subscript"/>
        </w:rPr>
        <w:t>w</w:t>
      </w:r>
      <w:r>
        <w:t xml:space="preserve"> = 0.24; </w:t>
      </w:r>
      <w:r w:rsidRPr="00234DDA">
        <w:rPr>
          <w:i/>
          <w:iCs/>
        </w:rPr>
        <w:t xml:space="preserve">t </w:t>
      </w:r>
      <w:r>
        <w:t xml:space="preserve">= 24.3, </w:t>
      </w:r>
      <w:r w:rsidRPr="00234DDA">
        <w:rPr>
          <w:i/>
          <w:iCs/>
        </w:rPr>
        <w:t>p</w:t>
      </w:r>
      <w:r>
        <w:t xml:space="preserve"> &lt; 0.001) and the interaction term (</w:t>
      </w:r>
      <w:r w:rsidRPr="0035443A">
        <w:rPr>
          <w:i/>
          <w:iCs/>
        </w:rPr>
        <w:t>b</w:t>
      </w:r>
      <w:r w:rsidRPr="0035443A">
        <w:rPr>
          <w:i/>
          <w:iCs/>
          <w:vertAlign w:val="subscript"/>
        </w:rPr>
        <w:t>cw</w:t>
      </w:r>
      <w:r>
        <w:t xml:space="preserve">= -0.03; </w:t>
      </w:r>
      <w:r w:rsidRPr="00234DDA">
        <w:rPr>
          <w:i/>
          <w:iCs/>
        </w:rPr>
        <w:t>t</w:t>
      </w:r>
      <w:r>
        <w:t xml:space="preserve"> = -3.6, </w:t>
      </w:r>
      <w:r w:rsidRPr="00234DDA">
        <w:rPr>
          <w:i/>
          <w:iCs/>
        </w:rPr>
        <w:t>p</w:t>
      </w:r>
      <w:r>
        <w:t xml:space="preserve"> &lt; 0.001) were </w:t>
      </w:r>
      <w:r>
        <w:lastRenderedPageBreak/>
        <w:t xml:space="preserve">significant. Fixing the parameter values </w:t>
      </w:r>
      <w:r w:rsidRPr="0035443A">
        <w:rPr>
          <w:i/>
          <w:iCs/>
        </w:rPr>
        <w:t>b</w:t>
      </w:r>
      <w:r w:rsidRPr="0035443A">
        <w:rPr>
          <w:i/>
          <w:iCs/>
          <w:vertAlign w:val="subscript"/>
        </w:rPr>
        <w:t>w</w:t>
      </w:r>
      <w:r w:rsidRPr="0035443A">
        <w:rPr>
          <w:i/>
          <w:iCs/>
        </w:rPr>
        <w:t xml:space="preserve"> </w:t>
      </w:r>
      <w:r>
        <w:t>and</w:t>
      </w:r>
      <w:r w:rsidRPr="0035443A">
        <w:rPr>
          <w:i/>
          <w:iCs/>
        </w:rPr>
        <w:t xml:space="preserve"> bc</w:t>
      </w:r>
      <w:r w:rsidRPr="0035443A">
        <w:rPr>
          <w:i/>
          <w:iCs/>
          <w:vertAlign w:val="subscript"/>
        </w:rPr>
        <w:t>w</w:t>
      </w:r>
      <w:r>
        <w:t>, we computed the final, non-directional CW predictor (</w:t>
      </w:r>
      <w:r w:rsidRPr="00F63691">
        <w:rPr>
          <w:i/>
          <w:iCs/>
        </w:rPr>
        <w:t>CW</w:t>
      </w:r>
      <w:r w:rsidRPr="00100F55">
        <w:rPr>
          <w:i/>
          <w:iCs/>
          <w:vertAlign w:val="subscript"/>
        </w:rPr>
        <w:t>ij</w:t>
      </w:r>
      <w:r>
        <w:t xml:space="preserve">) for all the pairs of stimuli (see Supplementary </w:t>
      </w:r>
      <w:r w:rsidR="00784FF6">
        <w:t>Information</w:t>
      </w:r>
      <w:r>
        <w:t xml:space="preserve">). </w:t>
      </w:r>
    </w:p>
    <w:p w14:paraId="00B7C973" w14:textId="6AB24C5C" w:rsidR="008864B7" w:rsidRDefault="008864B7" w:rsidP="008864B7">
      <w:pPr>
        <w:spacing w:line="480" w:lineRule="auto"/>
        <w:ind w:firstLine="720"/>
      </w:pPr>
      <w:r>
        <w:t xml:space="preserve">Because </w:t>
      </w:r>
      <w:r w:rsidRPr="00F63691">
        <w:rPr>
          <w:i/>
          <w:iCs/>
        </w:rPr>
        <w:t>CW</w:t>
      </w:r>
      <w:r w:rsidRPr="00100F55">
        <w:rPr>
          <w:i/>
          <w:iCs/>
          <w:vertAlign w:val="subscript"/>
        </w:rPr>
        <w:t>ij</w:t>
      </w:r>
      <w:r>
        <w:t xml:space="preserve"> was derived from the data in Experiment 1, it is advantaged when predicting Experiment 1’s data over PVT: the estimates of Psychological Value were independently derived of the current datasets as described in Cohen and Ahn (</w:t>
      </w:r>
      <w:r w:rsidR="00716550">
        <w:fldChar w:fldCharType="begin"/>
      </w:r>
      <w:r w:rsidR="0019503B">
        <w:instrText xml:space="preserve"> ADDIN EN.CITE &lt;EndNote&gt;&lt;Cite&gt;&lt;Author&gt;Cohen&lt;/Author&gt;&lt;Year&gt;2016&lt;/Year&gt;&lt;RecNum&gt;351&lt;/RecNum&gt;&lt;DisplayText&gt;2016&lt;/DisplayText&gt;&lt;record&gt;&lt;rec-number&gt;351&lt;/rec-number&gt;&lt;foreign-keys&gt;&lt;key app="EN" db-id="w0tztzf0h2dft0eaewxxtpr4exwxf90s525w" timestamp="1659025368" guid="36362efe-e94a-4826-8619-e49c0795adef"&gt;351&lt;/key&gt;&lt;/foreign-keys&gt;&lt;ref-type name="Journal Article"&gt;17&lt;/ref-type&gt;&lt;contributors&gt;&lt;authors&gt;&lt;author&gt;Cohen, D. J.&lt;/author&gt;&lt;author&gt;Ahn, M.&lt;/author&gt;&lt;/authors&gt;&lt;/contributors&gt;&lt;titles&gt;&lt;title&gt;A subjective utilitarian theory of moral judgment&lt;/title&gt;&lt;secondary-title&gt;Journal of Experimental Psychology: General&lt;/secondary-title&gt;&lt;short-title&gt;A subjective utilitarian theory of moral judgment&lt;/short-title&gt;&lt;/titles&gt;&lt;periodical&gt;&lt;full-title&gt;Journal of Experimental Psychology: General&lt;/full-title&gt;&lt;abbr-1&gt;J. Exp. Psychol. Gen.&lt;/abbr-1&gt;&lt;abbr-2&gt;J Exp Psychol Gen&lt;/abbr-2&gt;&lt;/periodical&gt;&lt;pages&gt;1359-1381&lt;/pages&gt;&lt;volume&gt;145&lt;/volume&gt;&lt;dates&gt;&lt;year&gt;2016&lt;/year&gt;&lt;/dates&gt;&lt;urls&gt;&lt;/urls&gt;&lt;electronic-resource-num&gt;http://dx.doi.org/10.1037/xge0000210&lt;/electronic-resource-num&gt;&lt;/record&gt;&lt;/Cite&gt;&lt;/EndNote&gt;</w:instrText>
      </w:r>
      <w:r w:rsidR="00716550">
        <w:fldChar w:fldCharType="separate"/>
      </w:r>
      <w:r w:rsidR="00716550">
        <w:rPr>
          <w:noProof/>
        </w:rPr>
        <w:t>2016</w:t>
      </w:r>
      <w:r w:rsidR="00716550">
        <w:fldChar w:fldCharType="end"/>
      </w:r>
      <w:r>
        <w:t xml:space="preserve">).  Therefore, to determine how well </w:t>
      </w:r>
      <w:r w:rsidRPr="00F63691">
        <w:rPr>
          <w:i/>
          <w:iCs/>
        </w:rPr>
        <w:t>CW</w:t>
      </w:r>
      <w:r>
        <w:t xml:space="preserve"> predicted choice, we assessed how well </w:t>
      </w:r>
      <w:r w:rsidRPr="00F63691">
        <w:rPr>
          <w:i/>
          <w:iCs/>
        </w:rPr>
        <w:t>CW</w:t>
      </w:r>
      <w:r w:rsidRPr="00100F55">
        <w:rPr>
          <w:i/>
          <w:iCs/>
          <w:vertAlign w:val="subscript"/>
        </w:rPr>
        <w:t>ij</w:t>
      </w:r>
      <w:r>
        <w:t xml:space="preserve"> predicts charitable choice in Experiment 2</w:t>
      </w:r>
      <w:r w:rsidR="00D417A1">
        <w:t xml:space="preserve"> (n</w:t>
      </w:r>
      <w:r>
        <w:t>evertheless, for informational purpose</w:t>
      </w:r>
      <w:r w:rsidR="0035443A">
        <w:t>s</w:t>
      </w:r>
      <w:r>
        <w:t xml:space="preserve">, we conducted </w:t>
      </w:r>
      <w:r w:rsidR="00D417A1">
        <w:t xml:space="preserve">and report </w:t>
      </w:r>
      <w:r>
        <w:t>parallel analyses on the data in Experiment 1</w:t>
      </w:r>
      <w:r w:rsidR="00D417A1">
        <w:t>)</w:t>
      </w:r>
      <w:r>
        <w:t xml:space="preserve">. To do so, we first calculated the probability of choosing the “correct” response as identified by </w:t>
      </w:r>
      <w:r w:rsidRPr="00F63691">
        <w:rPr>
          <w:i/>
          <w:iCs/>
        </w:rPr>
        <w:t>CW</w:t>
      </w:r>
      <w:r w:rsidRPr="00100F55">
        <w:rPr>
          <w:i/>
          <w:iCs/>
          <w:vertAlign w:val="subscript"/>
        </w:rPr>
        <w:t>ij</w:t>
      </w:r>
      <w:r>
        <w:t xml:space="preserve">, </w:t>
      </w:r>
      <w:r w:rsidRPr="00234DDA">
        <w:rPr>
          <w:i/>
          <w:iCs/>
        </w:rPr>
        <w:t>p</w:t>
      </w:r>
      <w:r>
        <w:t xml:space="preserve">(rCW).  We then predicted </w:t>
      </w:r>
      <w:r w:rsidRPr="00234DDA">
        <w:rPr>
          <w:i/>
          <w:iCs/>
        </w:rPr>
        <w:t>p</w:t>
      </w:r>
      <w:r>
        <w:t xml:space="preserve">(rCW) and RT using the following preregistered regressions for choice, </w:t>
      </w:r>
    </w:p>
    <w:p w14:paraId="25B7E20C" w14:textId="43A93548" w:rsidR="008864B7" w:rsidRDefault="008864B7" w:rsidP="008864B7">
      <w:pPr>
        <w:spacing w:line="480" w:lineRule="auto"/>
        <w:jc w:val="right"/>
        <w:rPr>
          <w:rFonts w:eastAsiaTheme="minorEastAsia"/>
        </w:rPr>
      </w:pPr>
      <m:oMath>
        <m:r>
          <w:rPr>
            <w:rFonts w:ascii="Cambria Math" w:eastAsia="Cambria Math" w:hAnsi="Cambria Math" w:cs="Cambria Math"/>
          </w:rPr>
          <m:t>p</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rCW</m:t>
                </m:r>
              </m:e>
              <m:sub>
                <m:r>
                  <w:rPr>
                    <w:rFonts w:ascii="Cambria Math" w:eastAsia="Cambria Math" w:hAnsi="Cambria Math" w:cs="Cambria Math"/>
                  </w:rPr>
                  <m:t>ij</m:t>
                </m:r>
              </m:sub>
            </m:sSub>
          </m:e>
        </m:d>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choice</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CW</m:t>
            </m:r>
          </m:e>
          <m:sub>
            <m:r>
              <w:rPr>
                <w:rFonts w:ascii="Cambria Math" w:eastAsia="Cambria Math" w:hAnsi="Cambria Math" w:cs="Cambria Math"/>
              </w:rPr>
              <m:t>ij</m:t>
            </m:r>
          </m:sub>
        </m:sSub>
        <m:r>
          <w:rPr>
            <w:rFonts w:ascii="Cambria Math" w:eastAsiaTheme="minorEastAsia" w:hAnsi="Cambria Math"/>
          </w:rPr>
          <m:t>,</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t>(</w:t>
      </w:r>
      <w:r w:rsidR="002D0E3A">
        <w:rPr>
          <w:rFonts w:eastAsiaTheme="minorEastAsia"/>
        </w:rPr>
        <w:t>5</w:t>
      </w:r>
      <w:r>
        <w:rPr>
          <w:rFonts w:eastAsiaTheme="minorEastAsia"/>
        </w:rPr>
        <w:t>)</w:t>
      </w:r>
    </w:p>
    <w:p w14:paraId="1A67B2B7" w14:textId="77777777" w:rsidR="008864B7" w:rsidRPr="001B38FF" w:rsidRDefault="008864B7" w:rsidP="008864B7">
      <w:pPr>
        <w:spacing w:line="480" w:lineRule="auto"/>
      </w:pPr>
      <w:r>
        <w:rPr>
          <w:rFonts w:eastAsiaTheme="minorEastAsia"/>
        </w:rPr>
        <w:t>and RT,</w:t>
      </w:r>
    </w:p>
    <w:p w14:paraId="173FD8FB" w14:textId="4D6DEDB0" w:rsidR="008864B7" w:rsidRPr="001B38FF" w:rsidRDefault="00000000" w:rsidP="008864B7">
      <w:pPr>
        <w:spacing w:line="480" w:lineRule="auto"/>
        <w:jc w:val="right"/>
      </w:pPr>
      <m:oMath>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ij</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CW</m:t>
            </m:r>
          </m:e>
          <m:sub>
            <m:r>
              <w:rPr>
                <w:rFonts w:ascii="Cambria Math" w:eastAsia="Cambria Math" w:hAnsi="Cambria Math" w:cs="Cambria Math"/>
              </w:rPr>
              <m:t>ij</m:t>
            </m:r>
          </m:sub>
        </m:sSub>
      </m:oMath>
      <w:r w:rsidR="008864B7">
        <w:rPr>
          <w:rFonts w:eastAsiaTheme="minorEastAsia"/>
        </w:rPr>
        <w:t xml:space="preserve"> </w:t>
      </w:r>
      <w:r w:rsidR="008864B7">
        <w:rPr>
          <w:rFonts w:eastAsiaTheme="minorEastAsia"/>
        </w:rPr>
        <w:tab/>
      </w:r>
      <w:r w:rsidR="008864B7">
        <w:rPr>
          <w:rFonts w:eastAsiaTheme="minorEastAsia"/>
        </w:rPr>
        <w:tab/>
      </w:r>
      <w:r w:rsidR="008864B7">
        <w:rPr>
          <w:rFonts w:eastAsiaTheme="minorEastAsia"/>
        </w:rPr>
        <w:tab/>
      </w:r>
      <w:r w:rsidR="008864B7">
        <w:rPr>
          <w:rFonts w:eastAsiaTheme="minorEastAsia"/>
        </w:rPr>
        <w:tab/>
        <w:t xml:space="preserve">       (</w:t>
      </w:r>
      <w:r w:rsidR="002D0E3A">
        <w:rPr>
          <w:rFonts w:eastAsiaTheme="minorEastAsia"/>
        </w:rPr>
        <w:t>6</w:t>
      </w:r>
      <w:r w:rsidR="008864B7">
        <w:rPr>
          <w:rFonts w:eastAsiaTheme="minorEastAsia"/>
        </w:rPr>
        <w:t>)</w:t>
      </w:r>
    </w:p>
    <w:p w14:paraId="0773E3C0" w14:textId="77777777" w:rsidR="008864B7" w:rsidRDefault="008864B7" w:rsidP="008864B7">
      <w:pPr>
        <w:spacing w:line="480" w:lineRule="auto"/>
      </w:pPr>
      <w:r>
        <w:t xml:space="preserve">However, on examining the data, it was clear that the relation between </w:t>
      </w:r>
      <w:r w:rsidRPr="00234DDA">
        <w:rPr>
          <w:i/>
          <w:iCs/>
        </w:rPr>
        <w:t>p</w:t>
      </w:r>
      <w:r>
        <w:t xml:space="preserve">(rCW) was best captured by a power function, </w:t>
      </w:r>
    </w:p>
    <w:p w14:paraId="03F4EE52" w14:textId="0D444D4F" w:rsidR="008864B7" w:rsidRPr="00695163" w:rsidRDefault="008864B7" w:rsidP="008864B7">
      <w:pPr>
        <w:spacing w:line="480" w:lineRule="auto"/>
        <w:jc w:val="right"/>
      </w:pPr>
      <m:oMath>
        <m:r>
          <w:rPr>
            <w:rFonts w:ascii="Cambria Math" w:eastAsia="Cambria Math" w:hAnsi="Cambria Math" w:cs="Cambria Math"/>
          </w:rPr>
          <m:t>p</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rCW</m:t>
                </m:r>
              </m:e>
              <m:sub>
                <m:r>
                  <w:rPr>
                    <w:rFonts w:ascii="Cambria Math" w:eastAsia="Cambria Math" w:hAnsi="Cambria Math" w:cs="Cambria Math"/>
                  </w:rPr>
                  <m:t>ij</m:t>
                </m:r>
              </m:sub>
            </m:sSub>
          </m:e>
        </m:d>
        <m:r>
          <w:rPr>
            <w:rFonts w:ascii="Cambria Math" w:eastAsia="Cambria Math" w:hAnsi="Cambria Math" w:cs="Cambria Math"/>
          </w:rPr>
          <m:t>=a*</m:t>
        </m:r>
        <m:sSup>
          <m:sSupPr>
            <m:ctrlPr>
              <w:rPr>
                <w:rFonts w:ascii="Cambria Math" w:eastAsia="Cambria Math" w:hAnsi="Cambria Math" w:cs="Cambria Math"/>
              </w:rPr>
            </m:ctrlPr>
          </m:sSupPr>
          <m:e>
            <m:sSub>
              <m:sSubPr>
                <m:ctrlPr>
                  <w:rPr>
                    <w:rFonts w:ascii="Cambria Math" w:eastAsia="Cambria Math" w:hAnsi="Cambria Math" w:cs="Cambria Math"/>
                  </w:rPr>
                </m:ctrlPr>
              </m:sSubPr>
              <m:e>
                <m:r>
                  <w:rPr>
                    <w:rFonts w:ascii="Cambria Math" w:eastAsia="Cambria Math" w:hAnsi="Cambria Math" w:cs="Cambria Math"/>
                  </w:rPr>
                  <m:t>CW</m:t>
                </m:r>
              </m:e>
              <m:sub>
                <m:r>
                  <w:rPr>
                    <w:rFonts w:ascii="Cambria Math" w:eastAsia="Cambria Math" w:hAnsi="Cambria Math" w:cs="Cambria Math"/>
                  </w:rPr>
                  <m:t>ij</m:t>
                </m:r>
              </m:sub>
            </m:sSub>
          </m:e>
          <m:sup>
            <m:r>
              <w:rPr>
                <w:rFonts w:ascii="Cambria Math" w:eastAsia="Cambria Math" w:hAnsi="Cambria Math" w:cs="Cambria Math"/>
              </w:rPr>
              <m:t>b_choice</m:t>
            </m:r>
          </m:sup>
        </m:sSup>
      </m:oMath>
      <w:r>
        <w:rPr>
          <w:rFonts w:eastAsiaTheme="minorEastAsia"/>
        </w:rPr>
        <w:tab/>
      </w:r>
      <w:r>
        <w:rPr>
          <w:rFonts w:eastAsiaTheme="minorEastAsia"/>
        </w:rPr>
        <w:tab/>
      </w:r>
      <w:r>
        <w:rPr>
          <w:rFonts w:eastAsiaTheme="minorEastAsia"/>
        </w:rPr>
        <w:tab/>
      </w:r>
      <w:r>
        <w:rPr>
          <w:rFonts w:eastAsiaTheme="minorEastAsia"/>
        </w:rPr>
        <w:tab/>
        <w:t>(</w:t>
      </w:r>
      <w:r w:rsidR="002D0E3A">
        <w:rPr>
          <w:rFonts w:eastAsiaTheme="minorEastAsia"/>
        </w:rPr>
        <w:t>7</w:t>
      </w:r>
      <w:r>
        <w:rPr>
          <w:rFonts w:eastAsiaTheme="minorEastAsia"/>
        </w:rPr>
        <w:t>)</w:t>
      </w:r>
    </w:p>
    <w:p w14:paraId="6667660A" w14:textId="10569769" w:rsidR="008864B7" w:rsidRDefault="008864B7" w:rsidP="008864B7">
      <w:pPr>
        <w:spacing w:line="480" w:lineRule="auto"/>
      </w:pPr>
      <w:r>
        <w:t xml:space="preserve">Statistical analyses confirmed that the power function outperformed the linear function (see Supplemental </w:t>
      </w:r>
      <w:r w:rsidR="00784FF6">
        <w:t>Information</w:t>
      </w:r>
      <w:r>
        <w:t xml:space="preserve">).  To maximize </w:t>
      </w:r>
      <w:r w:rsidRPr="00F63691">
        <w:rPr>
          <w:i/>
          <w:iCs/>
        </w:rPr>
        <w:t>CW</w:t>
      </w:r>
      <w:r w:rsidRPr="00100F55">
        <w:rPr>
          <w:i/>
          <w:iCs/>
          <w:vertAlign w:val="subscript"/>
        </w:rPr>
        <w:t>ij</w:t>
      </w:r>
      <w:r w:rsidRPr="008E5823">
        <w:t>’s</w:t>
      </w:r>
      <w:r>
        <w:t xml:space="preserve"> likelihood of predicting choice, we used Equation </w:t>
      </w:r>
      <w:r w:rsidR="002D0E3A">
        <w:t>7</w:t>
      </w:r>
      <w:r>
        <w:t xml:space="preserve"> to predict the choice data for all subsequent analyses.  </w:t>
      </w:r>
    </w:p>
    <w:p w14:paraId="27C27034" w14:textId="77777777" w:rsidR="008864B7" w:rsidRDefault="008864B7" w:rsidP="008864B7">
      <w:pPr>
        <w:spacing w:line="480" w:lineRule="auto"/>
      </w:pPr>
      <w:r>
        <w:tab/>
        <w:t xml:space="preserve">Because CW has no choice model comparable to PVT’s RRW, we compare the CW regression fits to the individual PVT preregistered regressions for choice, </w:t>
      </w:r>
    </w:p>
    <w:p w14:paraId="69573F86" w14:textId="64FB4419" w:rsidR="008864B7" w:rsidRDefault="008864B7" w:rsidP="008864B7">
      <w:pPr>
        <w:spacing w:line="480" w:lineRule="auto"/>
        <w:jc w:val="right"/>
        <w:rPr>
          <w:rFonts w:eastAsiaTheme="minorEastAsia"/>
        </w:rPr>
      </w:pPr>
      <m:oMath>
        <m:r>
          <w:rPr>
            <w:rFonts w:ascii="Cambria Math" w:eastAsia="Cambria Math" w:hAnsi="Cambria Math" w:cs="Cambria Math"/>
          </w:rPr>
          <m:t>p</m:t>
        </m:r>
        <m:d>
          <m:dPr>
            <m:ctrlPr>
              <w:rPr>
                <w:rFonts w:ascii="Cambria Math" w:eastAsia="Cambria Math" w:hAnsi="Cambria Math" w:cs="Cambria Math"/>
              </w:rPr>
            </m:ctrlPr>
          </m:dPr>
          <m:e>
            <m:r>
              <w:rPr>
                <w:rFonts w:ascii="Cambria Math" w:eastAsia="Cambria Math" w:hAnsi="Cambria Math" w:cs="Cambria Math"/>
              </w:rPr>
              <m:t>HVO</m:t>
            </m:r>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1-a</m:t>
            </m:r>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m:t>
            </m:r>
            <m:sSubSup>
              <m:sSubSupPr>
                <m:ctrlPr>
                  <w:rPr>
                    <w:rFonts w:ascii="Cambria Math" w:eastAsia="Cambria Math" w:hAnsi="Cambria Math" w:cs="Cambria Math"/>
                  </w:rPr>
                </m:ctrlPr>
              </m:sSubSupPr>
              <m:e>
                <m:r>
                  <w:rPr>
                    <w:rFonts w:ascii="Cambria Math" w:eastAsia="Cambria Math" w:hAnsi="Cambria Math" w:cs="Cambria Math"/>
                  </w:rPr>
                  <m:t>Overlap</m:t>
                </m:r>
              </m:e>
              <m:sub>
                <m:r>
                  <w:rPr>
                    <w:rFonts w:ascii="Cambria Math" w:eastAsia="Cambria Math" w:hAnsi="Cambria Math" w:cs="Cambria Math"/>
                  </w:rPr>
                  <m:t>ij</m:t>
                </m:r>
              </m:sub>
              <m:sup>
                <m:r>
                  <w:rPr>
                    <w:rFonts w:ascii="Cambria Math" w:eastAsia="Cambria Math" w:hAnsi="Cambria Math" w:cs="Cambria Math"/>
                  </w:rPr>
                  <m:t>b</m:t>
                </m:r>
              </m:sup>
            </m:sSubSup>
          </m:e>
        </m:d>
        <m:r>
          <w:rPr>
            <w:rFonts w:ascii="Cambria Math" w:eastAsia="Cambria Math" w:hAnsi="Cambria Math" w:cs="Cambria Math"/>
          </w:rPr>
          <m:t>+a</m:t>
        </m:r>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t>(</w:t>
      </w:r>
      <w:r w:rsidR="002D0E3A">
        <w:rPr>
          <w:rFonts w:eastAsiaTheme="minorEastAsia"/>
        </w:rPr>
        <w:t>8</w:t>
      </w:r>
      <w:r>
        <w:rPr>
          <w:rFonts w:eastAsiaTheme="minorEastAsia"/>
        </w:rPr>
        <w:t>)</w:t>
      </w:r>
    </w:p>
    <w:p w14:paraId="532CE034" w14:textId="77777777" w:rsidR="008864B7" w:rsidRPr="001B38FF" w:rsidRDefault="008864B7" w:rsidP="008864B7">
      <w:pPr>
        <w:spacing w:line="480" w:lineRule="auto"/>
      </w:pPr>
      <w:r>
        <w:rPr>
          <w:rFonts w:eastAsiaTheme="minorEastAsia"/>
        </w:rPr>
        <w:t>and RT,</w:t>
      </w:r>
    </w:p>
    <w:p w14:paraId="7BA213A3" w14:textId="167072B0" w:rsidR="008864B7" w:rsidRDefault="00000000" w:rsidP="008864B7">
      <w:pPr>
        <w:spacing w:line="480" w:lineRule="auto"/>
        <w:jc w:val="right"/>
      </w:pPr>
      <m:oMath>
        <m:sSub>
          <m:sSubPr>
            <m:ctrlPr>
              <w:rPr>
                <w:rFonts w:ascii="Cambria Math" w:eastAsia="Cambria Math" w:hAnsi="Cambria Math" w:cs="Cambria Math"/>
              </w:rPr>
            </m:ctrlPr>
          </m:sSubPr>
          <m:e>
            <m:r>
              <w:rPr>
                <w:rFonts w:ascii="Cambria Math" w:eastAsia="Cambria Math" w:hAnsi="Cambria Math" w:cs="Cambria Math"/>
              </w:rPr>
              <m:t>RT</m:t>
            </m:r>
          </m:e>
          <m:sub>
            <m:r>
              <w:rPr>
                <w:rFonts w:ascii="Cambria Math" w:eastAsia="Cambria Math" w:hAnsi="Cambria Math" w:cs="Cambria Math"/>
              </w:rPr>
              <m:t>ij</m:t>
            </m:r>
          </m:sub>
        </m:sSub>
        <m:r>
          <w:rPr>
            <w:rFonts w:ascii="Cambria Math" w:eastAsia="Cambria Math" w:hAnsi="Cambria Math" w:cs="Cambria Math"/>
          </w:rPr>
          <m:t>=a+</m:t>
        </m:r>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RT</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Overlap</m:t>
            </m:r>
          </m:e>
          <m:sub>
            <m:r>
              <w:rPr>
                <w:rFonts w:ascii="Cambria Math" w:eastAsia="Cambria Math" w:hAnsi="Cambria Math" w:cs="Cambria Math"/>
              </w:rPr>
              <m:t>ij</m:t>
            </m:r>
          </m:sub>
        </m:sSub>
      </m:oMath>
      <w:r w:rsidR="008864B7">
        <w:rPr>
          <w:rFonts w:eastAsiaTheme="minorEastAsia"/>
        </w:rPr>
        <w:t xml:space="preserve"> </w:t>
      </w:r>
      <w:r w:rsidR="008864B7">
        <w:rPr>
          <w:rFonts w:eastAsiaTheme="minorEastAsia"/>
        </w:rPr>
        <w:tab/>
      </w:r>
      <w:r w:rsidR="008864B7">
        <w:rPr>
          <w:rFonts w:eastAsiaTheme="minorEastAsia"/>
        </w:rPr>
        <w:tab/>
      </w:r>
      <w:r w:rsidR="008864B7">
        <w:rPr>
          <w:rFonts w:eastAsiaTheme="minorEastAsia"/>
        </w:rPr>
        <w:tab/>
      </w:r>
      <w:r w:rsidR="008864B7">
        <w:rPr>
          <w:rFonts w:eastAsiaTheme="minorEastAsia"/>
        </w:rPr>
        <w:tab/>
        <w:t xml:space="preserve">       (</w:t>
      </w:r>
      <w:r w:rsidR="002D0E3A">
        <w:rPr>
          <w:rFonts w:eastAsiaTheme="minorEastAsia"/>
        </w:rPr>
        <w:t>9</w:t>
      </w:r>
      <w:r w:rsidR="008864B7">
        <w:rPr>
          <w:rFonts w:eastAsiaTheme="minorEastAsia"/>
        </w:rPr>
        <w:t>)</w:t>
      </w:r>
    </w:p>
    <w:p w14:paraId="13D851DF" w14:textId="72EC8A39" w:rsidR="008864B7" w:rsidRDefault="008864B7" w:rsidP="008864B7">
      <w:pPr>
        <w:spacing w:line="480" w:lineRule="auto"/>
      </w:pPr>
      <w:r>
        <w:t xml:space="preserve">Equation </w:t>
      </w:r>
      <w:r w:rsidR="002D0E3A">
        <w:t>8</w:t>
      </w:r>
      <w:r>
        <w:t xml:space="preserve"> is a two-parameter variant of the typical PVT choice regression equation. The second parameter, </w:t>
      </w:r>
      <w:r w:rsidRPr="002B59B1">
        <w:rPr>
          <w:i/>
          <w:iCs/>
        </w:rPr>
        <w:t>a</w:t>
      </w:r>
      <w:r>
        <w:t xml:space="preserve">, accounts for the value constant correction identified in Experiment 1 and equates the number of parameters in the PVT and CW equations. We compare the model fits using BIC as our primary measure and </w:t>
      </w:r>
      <w:r w:rsidRPr="009E7FC8">
        <w:rPr>
          <w:i/>
          <w:iCs/>
        </w:rPr>
        <w:t>r</w:t>
      </w:r>
      <w:r w:rsidRPr="009E7FC8">
        <w:rPr>
          <w:i/>
          <w:iCs/>
          <w:vertAlign w:val="superscript"/>
        </w:rPr>
        <w:t>2</w:t>
      </w:r>
      <w:r>
        <w:t xml:space="preserve"> as the secondary measure.</w:t>
      </w:r>
    </w:p>
    <w:p w14:paraId="6CC9A303" w14:textId="3329A9D1" w:rsidR="008864B7" w:rsidRDefault="008864B7" w:rsidP="008864B7">
      <w:pPr>
        <w:spacing w:line="480" w:lineRule="auto"/>
      </w:pPr>
      <w:r>
        <w:tab/>
        <w:t>Table 4 presents the BIC (smaller is better) and</w:t>
      </w:r>
      <w:r w:rsidRPr="00234DDA">
        <w:rPr>
          <w:i/>
          <w:iCs/>
        </w:rPr>
        <w:t xml:space="preserve"> r</w:t>
      </w:r>
      <w:r w:rsidRPr="00234DDA">
        <w:rPr>
          <w:i/>
          <w:iCs/>
          <w:vertAlign w:val="superscript"/>
        </w:rPr>
        <w:t>2</w:t>
      </w:r>
      <w:r>
        <w:t xml:space="preserve"> (larger is better) statistics for the regression fits for entire dataset in Experiments 1 and 2. As is evident in the table, PVT provides a superior fit relative to CW for both choice and RT.  We also ran the same regressions for every item (e.g., a mother, a father, etc.).  We then calculated paired </w:t>
      </w:r>
      <w:r w:rsidRPr="0035443A">
        <w:rPr>
          <w:i/>
          <w:iCs/>
        </w:rPr>
        <w:t>t</w:t>
      </w:r>
      <w:r>
        <w:t xml:space="preserve">-tests to determine whether the fit statistic was significantly different for PVT vs CW.  Table 5 presents these data for Experiments 1 and 2.  As is evident in the table, PVT provides a superior fit relative to CW for both choice and RT, with a large effect size (Cohen’s </w:t>
      </w:r>
      <w:r w:rsidRPr="00234DDA">
        <w:rPr>
          <w:i/>
          <w:iCs/>
        </w:rPr>
        <w:t>D</w:t>
      </w:r>
      <w:r>
        <w:t xml:space="preserve">) in every test. Figure 16 presents boxplots of these fit statistics for Experiment 2 (see Supplementary </w:t>
      </w:r>
      <w:r w:rsidR="00784FF6">
        <w:t xml:space="preserve">Information </w:t>
      </w:r>
      <w:r>
        <w:t>for a similar figure for Experiment 1 and plots of the fits to each item).</w:t>
      </w:r>
    </w:p>
    <w:p w14:paraId="0E7FA37A" w14:textId="77777777" w:rsidR="008864B7" w:rsidRDefault="008864B7" w:rsidP="008864B7">
      <w:pPr>
        <w:spacing w:line="480" w:lineRule="auto"/>
      </w:pPr>
    </w:p>
    <w:p w14:paraId="51AF3CB0" w14:textId="77777777" w:rsidR="008864B7" w:rsidRDefault="008864B7" w:rsidP="008864B7">
      <w:pPr>
        <w:spacing w:line="480" w:lineRule="auto"/>
      </w:pPr>
      <w:r>
        <w:t xml:space="preserve">Table 4: Fit statistics for the PVT and CW regressions predicting choice and RT for the entire dataset in Experiments 1, 2, and 4. </w:t>
      </w:r>
    </w:p>
    <w:tbl>
      <w:tblPr>
        <w:tblStyle w:val="TableGrid"/>
        <w:tblW w:w="936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1523"/>
        <w:gridCol w:w="727"/>
        <w:gridCol w:w="810"/>
        <w:gridCol w:w="810"/>
        <w:gridCol w:w="810"/>
        <w:gridCol w:w="900"/>
        <w:gridCol w:w="810"/>
        <w:gridCol w:w="900"/>
        <w:gridCol w:w="810"/>
        <w:gridCol w:w="1260"/>
      </w:tblGrid>
      <w:tr w:rsidR="008864B7" w:rsidRPr="00C06677" w14:paraId="4D3E4B97" w14:textId="77777777" w:rsidTr="004A4F95">
        <w:tc>
          <w:tcPr>
            <w:tcW w:w="1523" w:type="dxa"/>
            <w:tcBorders>
              <w:top w:val="nil"/>
              <w:right w:val="nil"/>
            </w:tcBorders>
            <w:vAlign w:val="bottom"/>
          </w:tcPr>
          <w:p w14:paraId="4AB7FCB6" w14:textId="77777777" w:rsidR="008864B7" w:rsidRPr="00C06677" w:rsidRDefault="008864B7" w:rsidP="008864B7">
            <w:pPr>
              <w:keepNext/>
              <w:keepLines/>
              <w:jc w:val="center"/>
              <w:rPr>
                <w:color w:val="000000" w:themeColor="text1"/>
              </w:rPr>
            </w:pPr>
          </w:p>
        </w:tc>
        <w:tc>
          <w:tcPr>
            <w:tcW w:w="3157" w:type="dxa"/>
            <w:gridSpan w:val="4"/>
            <w:tcBorders>
              <w:top w:val="nil"/>
              <w:left w:val="nil"/>
              <w:right w:val="nil"/>
            </w:tcBorders>
            <w:vAlign w:val="bottom"/>
          </w:tcPr>
          <w:p w14:paraId="0F66A49E" w14:textId="77777777" w:rsidR="008864B7" w:rsidRPr="00C06677" w:rsidRDefault="008864B7" w:rsidP="008864B7">
            <w:pPr>
              <w:keepNext/>
              <w:keepLines/>
              <w:jc w:val="center"/>
              <w:rPr>
                <w:color w:val="000000" w:themeColor="text1"/>
              </w:rPr>
            </w:pPr>
            <w:r>
              <w:rPr>
                <w:color w:val="000000" w:themeColor="text1"/>
              </w:rPr>
              <w:t>Choice</w:t>
            </w:r>
          </w:p>
        </w:tc>
        <w:tc>
          <w:tcPr>
            <w:tcW w:w="3420" w:type="dxa"/>
            <w:gridSpan w:val="4"/>
            <w:tcBorders>
              <w:top w:val="nil"/>
              <w:left w:val="nil"/>
              <w:right w:val="nil"/>
            </w:tcBorders>
            <w:vAlign w:val="bottom"/>
          </w:tcPr>
          <w:p w14:paraId="6FC5F459" w14:textId="77777777" w:rsidR="008864B7" w:rsidRPr="00C06677" w:rsidRDefault="008864B7" w:rsidP="008864B7">
            <w:pPr>
              <w:keepNext/>
              <w:keepLines/>
              <w:jc w:val="center"/>
              <w:rPr>
                <w:color w:val="000000" w:themeColor="text1"/>
              </w:rPr>
            </w:pPr>
            <w:r>
              <w:rPr>
                <w:color w:val="000000" w:themeColor="text1"/>
              </w:rPr>
              <w:t>RT</w:t>
            </w:r>
          </w:p>
        </w:tc>
        <w:tc>
          <w:tcPr>
            <w:tcW w:w="1260" w:type="dxa"/>
            <w:tcBorders>
              <w:top w:val="nil"/>
              <w:left w:val="nil"/>
              <w:bottom w:val="nil"/>
            </w:tcBorders>
          </w:tcPr>
          <w:p w14:paraId="183BE7F4" w14:textId="77777777" w:rsidR="008864B7" w:rsidRDefault="008864B7" w:rsidP="008864B7">
            <w:pPr>
              <w:keepNext/>
              <w:keepLines/>
              <w:jc w:val="center"/>
              <w:rPr>
                <w:color w:val="000000" w:themeColor="text1"/>
              </w:rPr>
            </w:pPr>
          </w:p>
        </w:tc>
      </w:tr>
      <w:tr w:rsidR="008864B7" w:rsidRPr="00C06677" w14:paraId="273AD178" w14:textId="77777777" w:rsidTr="004A4F95">
        <w:tc>
          <w:tcPr>
            <w:tcW w:w="1523" w:type="dxa"/>
            <w:tcBorders>
              <w:top w:val="nil"/>
              <w:right w:val="nil"/>
            </w:tcBorders>
            <w:vAlign w:val="bottom"/>
          </w:tcPr>
          <w:p w14:paraId="69E6B26D" w14:textId="77777777" w:rsidR="008864B7" w:rsidRPr="00C06677" w:rsidRDefault="008864B7" w:rsidP="008864B7">
            <w:pPr>
              <w:keepNext/>
              <w:keepLines/>
              <w:jc w:val="center"/>
              <w:rPr>
                <w:color w:val="000000" w:themeColor="text1"/>
              </w:rPr>
            </w:pPr>
          </w:p>
        </w:tc>
        <w:tc>
          <w:tcPr>
            <w:tcW w:w="1537" w:type="dxa"/>
            <w:gridSpan w:val="2"/>
            <w:tcBorders>
              <w:top w:val="nil"/>
              <w:left w:val="nil"/>
              <w:right w:val="nil"/>
            </w:tcBorders>
            <w:vAlign w:val="bottom"/>
          </w:tcPr>
          <w:p w14:paraId="5257DFE1" w14:textId="77777777" w:rsidR="008864B7" w:rsidRPr="00C06677" w:rsidRDefault="008864B7" w:rsidP="008864B7">
            <w:pPr>
              <w:keepNext/>
              <w:keepLines/>
              <w:jc w:val="center"/>
              <w:rPr>
                <w:color w:val="000000" w:themeColor="text1"/>
              </w:rPr>
            </w:pPr>
            <w:r>
              <w:rPr>
                <w:color w:val="000000" w:themeColor="text1"/>
              </w:rPr>
              <w:t>PVT</w:t>
            </w:r>
          </w:p>
        </w:tc>
        <w:tc>
          <w:tcPr>
            <w:tcW w:w="1620" w:type="dxa"/>
            <w:gridSpan w:val="2"/>
            <w:tcBorders>
              <w:top w:val="nil"/>
              <w:left w:val="nil"/>
              <w:right w:val="nil"/>
            </w:tcBorders>
            <w:vAlign w:val="bottom"/>
          </w:tcPr>
          <w:p w14:paraId="1034A43E" w14:textId="77777777" w:rsidR="008864B7" w:rsidRPr="00C06677" w:rsidRDefault="008864B7" w:rsidP="008864B7">
            <w:pPr>
              <w:keepNext/>
              <w:keepLines/>
              <w:jc w:val="center"/>
              <w:rPr>
                <w:color w:val="000000" w:themeColor="text1"/>
              </w:rPr>
            </w:pPr>
            <w:r>
              <w:rPr>
                <w:color w:val="000000" w:themeColor="text1"/>
              </w:rPr>
              <w:t>CW</w:t>
            </w:r>
          </w:p>
        </w:tc>
        <w:tc>
          <w:tcPr>
            <w:tcW w:w="1710" w:type="dxa"/>
            <w:gridSpan w:val="2"/>
            <w:tcBorders>
              <w:top w:val="nil"/>
              <w:left w:val="nil"/>
              <w:right w:val="nil"/>
            </w:tcBorders>
            <w:vAlign w:val="bottom"/>
          </w:tcPr>
          <w:p w14:paraId="4E8D8868" w14:textId="77777777" w:rsidR="008864B7" w:rsidRPr="00C06677" w:rsidRDefault="008864B7" w:rsidP="008864B7">
            <w:pPr>
              <w:keepNext/>
              <w:keepLines/>
              <w:jc w:val="center"/>
              <w:rPr>
                <w:color w:val="000000" w:themeColor="text1"/>
              </w:rPr>
            </w:pPr>
            <w:r>
              <w:rPr>
                <w:color w:val="000000" w:themeColor="text1"/>
              </w:rPr>
              <w:t>PVT</w:t>
            </w:r>
          </w:p>
        </w:tc>
        <w:tc>
          <w:tcPr>
            <w:tcW w:w="1710" w:type="dxa"/>
            <w:gridSpan w:val="2"/>
            <w:tcBorders>
              <w:top w:val="nil"/>
              <w:left w:val="nil"/>
              <w:right w:val="nil"/>
            </w:tcBorders>
            <w:vAlign w:val="bottom"/>
          </w:tcPr>
          <w:p w14:paraId="26B6EC3A" w14:textId="77777777" w:rsidR="008864B7" w:rsidRPr="00C06677" w:rsidRDefault="008864B7" w:rsidP="008864B7">
            <w:pPr>
              <w:keepNext/>
              <w:keepLines/>
              <w:jc w:val="center"/>
              <w:rPr>
                <w:color w:val="000000" w:themeColor="text1"/>
              </w:rPr>
            </w:pPr>
            <w:r>
              <w:rPr>
                <w:color w:val="000000" w:themeColor="text1"/>
              </w:rPr>
              <w:t>CW</w:t>
            </w:r>
          </w:p>
        </w:tc>
        <w:tc>
          <w:tcPr>
            <w:tcW w:w="1260" w:type="dxa"/>
            <w:vMerge w:val="restart"/>
            <w:tcBorders>
              <w:top w:val="nil"/>
              <w:left w:val="nil"/>
            </w:tcBorders>
          </w:tcPr>
          <w:p w14:paraId="52913CDE" w14:textId="77777777" w:rsidR="008864B7" w:rsidRDefault="008864B7" w:rsidP="008864B7">
            <w:pPr>
              <w:keepNext/>
              <w:keepLines/>
              <w:jc w:val="center"/>
              <w:rPr>
                <w:color w:val="000000" w:themeColor="text1"/>
              </w:rPr>
            </w:pPr>
            <w:r>
              <w:rPr>
                <w:color w:val="000000" w:themeColor="text1"/>
              </w:rPr>
              <w:t>Superior</w:t>
            </w:r>
          </w:p>
          <w:p w14:paraId="28D8FBA6" w14:textId="77777777" w:rsidR="008864B7" w:rsidRDefault="008864B7" w:rsidP="008864B7">
            <w:pPr>
              <w:keepNext/>
              <w:keepLines/>
              <w:jc w:val="center"/>
              <w:rPr>
                <w:color w:val="000000" w:themeColor="text1"/>
              </w:rPr>
            </w:pPr>
            <w:r>
              <w:rPr>
                <w:color w:val="000000" w:themeColor="text1"/>
              </w:rPr>
              <w:t>Model</w:t>
            </w:r>
          </w:p>
        </w:tc>
      </w:tr>
      <w:tr w:rsidR="008864B7" w:rsidRPr="00C06677" w14:paraId="1C4B0356" w14:textId="77777777" w:rsidTr="004A4F95">
        <w:tc>
          <w:tcPr>
            <w:tcW w:w="1523" w:type="dxa"/>
            <w:tcBorders>
              <w:top w:val="nil"/>
              <w:bottom w:val="single" w:sz="4" w:space="0" w:color="auto"/>
              <w:right w:val="nil"/>
            </w:tcBorders>
            <w:vAlign w:val="bottom"/>
          </w:tcPr>
          <w:p w14:paraId="1682AAFC" w14:textId="77777777" w:rsidR="008864B7" w:rsidRPr="00C06677" w:rsidRDefault="008864B7" w:rsidP="008864B7">
            <w:pPr>
              <w:keepNext/>
              <w:keepLines/>
              <w:jc w:val="center"/>
              <w:rPr>
                <w:color w:val="000000" w:themeColor="text1"/>
              </w:rPr>
            </w:pPr>
          </w:p>
        </w:tc>
        <w:tc>
          <w:tcPr>
            <w:tcW w:w="727" w:type="dxa"/>
            <w:tcBorders>
              <w:top w:val="nil"/>
              <w:left w:val="nil"/>
              <w:bottom w:val="single" w:sz="4" w:space="0" w:color="auto"/>
              <w:right w:val="nil"/>
            </w:tcBorders>
          </w:tcPr>
          <w:p w14:paraId="2DE6367A" w14:textId="77777777" w:rsidR="008864B7" w:rsidRPr="00C06677" w:rsidRDefault="008864B7" w:rsidP="008864B7">
            <w:pPr>
              <w:keepNext/>
              <w:keepLines/>
              <w:jc w:val="center"/>
              <w:rPr>
                <w:color w:val="000000" w:themeColor="text1"/>
              </w:rPr>
            </w:pPr>
            <w:r>
              <w:rPr>
                <w:color w:val="000000" w:themeColor="text1"/>
              </w:rPr>
              <w:t>BIC</w:t>
            </w:r>
          </w:p>
        </w:tc>
        <w:tc>
          <w:tcPr>
            <w:tcW w:w="810" w:type="dxa"/>
            <w:tcBorders>
              <w:top w:val="nil"/>
              <w:left w:val="nil"/>
              <w:bottom w:val="single" w:sz="4" w:space="0" w:color="auto"/>
              <w:right w:val="nil"/>
            </w:tcBorders>
          </w:tcPr>
          <w:p w14:paraId="73C4B13F" w14:textId="77777777" w:rsidR="008864B7" w:rsidRPr="0035443A" w:rsidRDefault="008864B7" w:rsidP="008864B7">
            <w:pPr>
              <w:keepNext/>
              <w:keepLines/>
              <w:jc w:val="center"/>
              <w:rPr>
                <w:i/>
                <w:iCs/>
                <w:color w:val="000000" w:themeColor="text1"/>
              </w:rPr>
            </w:pPr>
            <w:r w:rsidRPr="0035443A">
              <w:rPr>
                <w:i/>
                <w:iCs/>
                <w:color w:val="000000" w:themeColor="text1"/>
              </w:rPr>
              <w:t>r</w:t>
            </w:r>
            <w:r w:rsidRPr="0035443A">
              <w:rPr>
                <w:i/>
                <w:iCs/>
                <w:color w:val="000000" w:themeColor="text1"/>
                <w:vertAlign w:val="superscript"/>
              </w:rPr>
              <w:t>2</w:t>
            </w:r>
          </w:p>
        </w:tc>
        <w:tc>
          <w:tcPr>
            <w:tcW w:w="810" w:type="dxa"/>
            <w:tcBorders>
              <w:top w:val="nil"/>
              <w:left w:val="nil"/>
              <w:bottom w:val="single" w:sz="4" w:space="0" w:color="auto"/>
              <w:right w:val="nil"/>
            </w:tcBorders>
          </w:tcPr>
          <w:p w14:paraId="5BD0B04D" w14:textId="77777777" w:rsidR="008864B7" w:rsidRPr="00C06677" w:rsidRDefault="008864B7" w:rsidP="008864B7">
            <w:pPr>
              <w:keepNext/>
              <w:keepLines/>
              <w:jc w:val="center"/>
              <w:rPr>
                <w:color w:val="000000" w:themeColor="text1"/>
              </w:rPr>
            </w:pPr>
            <w:r>
              <w:rPr>
                <w:color w:val="000000" w:themeColor="text1"/>
              </w:rPr>
              <w:t>BIC</w:t>
            </w:r>
          </w:p>
        </w:tc>
        <w:tc>
          <w:tcPr>
            <w:tcW w:w="810" w:type="dxa"/>
            <w:tcBorders>
              <w:top w:val="nil"/>
              <w:left w:val="nil"/>
              <w:bottom w:val="single" w:sz="4" w:space="0" w:color="auto"/>
              <w:right w:val="nil"/>
            </w:tcBorders>
          </w:tcPr>
          <w:p w14:paraId="700861E5" w14:textId="77777777" w:rsidR="008864B7" w:rsidRPr="0035443A" w:rsidRDefault="008864B7" w:rsidP="008864B7">
            <w:pPr>
              <w:keepNext/>
              <w:keepLines/>
              <w:jc w:val="center"/>
              <w:rPr>
                <w:i/>
                <w:iCs/>
                <w:color w:val="000000" w:themeColor="text1"/>
              </w:rPr>
            </w:pPr>
            <w:r w:rsidRPr="0035443A">
              <w:rPr>
                <w:i/>
                <w:iCs/>
                <w:color w:val="000000" w:themeColor="text1"/>
              </w:rPr>
              <w:t>r</w:t>
            </w:r>
            <w:r w:rsidRPr="0035443A">
              <w:rPr>
                <w:i/>
                <w:iCs/>
                <w:color w:val="000000" w:themeColor="text1"/>
                <w:vertAlign w:val="superscript"/>
              </w:rPr>
              <w:t>2</w:t>
            </w:r>
          </w:p>
        </w:tc>
        <w:tc>
          <w:tcPr>
            <w:tcW w:w="900" w:type="dxa"/>
            <w:tcBorders>
              <w:top w:val="nil"/>
              <w:left w:val="nil"/>
              <w:bottom w:val="single" w:sz="4" w:space="0" w:color="auto"/>
              <w:right w:val="nil"/>
            </w:tcBorders>
          </w:tcPr>
          <w:p w14:paraId="0CA08BED" w14:textId="77777777" w:rsidR="008864B7" w:rsidRPr="00C06677" w:rsidRDefault="008864B7" w:rsidP="008864B7">
            <w:pPr>
              <w:keepNext/>
              <w:keepLines/>
              <w:jc w:val="center"/>
              <w:rPr>
                <w:color w:val="000000" w:themeColor="text1"/>
              </w:rPr>
            </w:pPr>
            <w:r>
              <w:rPr>
                <w:color w:val="000000" w:themeColor="text1"/>
              </w:rPr>
              <w:t>BIC</w:t>
            </w:r>
          </w:p>
        </w:tc>
        <w:tc>
          <w:tcPr>
            <w:tcW w:w="810" w:type="dxa"/>
            <w:tcBorders>
              <w:top w:val="nil"/>
              <w:left w:val="nil"/>
              <w:bottom w:val="single" w:sz="4" w:space="0" w:color="auto"/>
              <w:right w:val="nil"/>
            </w:tcBorders>
          </w:tcPr>
          <w:p w14:paraId="0624AEC9" w14:textId="77777777" w:rsidR="008864B7" w:rsidRPr="0035443A" w:rsidRDefault="008864B7" w:rsidP="008864B7">
            <w:pPr>
              <w:keepNext/>
              <w:keepLines/>
              <w:jc w:val="center"/>
              <w:rPr>
                <w:i/>
                <w:iCs/>
                <w:color w:val="000000" w:themeColor="text1"/>
              </w:rPr>
            </w:pPr>
            <w:r w:rsidRPr="0035443A">
              <w:rPr>
                <w:i/>
                <w:iCs/>
                <w:color w:val="000000" w:themeColor="text1"/>
              </w:rPr>
              <w:t>r</w:t>
            </w:r>
            <w:r w:rsidRPr="0035443A">
              <w:rPr>
                <w:i/>
                <w:iCs/>
                <w:color w:val="000000" w:themeColor="text1"/>
                <w:vertAlign w:val="superscript"/>
              </w:rPr>
              <w:t>2</w:t>
            </w:r>
          </w:p>
        </w:tc>
        <w:tc>
          <w:tcPr>
            <w:tcW w:w="900" w:type="dxa"/>
            <w:tcBorders>
              <w:top w:val="nil"/>
              <w:left w:val="nil"/>
              <w:bottom w:val="single" w:sz="4" w:space="0" w:color="auto"/>
              <w:right w:val="nil"/>
            </w:tcBorders>
          </w:tcPr>
          <w:p w14:paraId="48520486" w14:textId="77777777" w:rsidR="008864B7" w:rsidRPr="00C06677" w:rsidRDefault="008864B7" w:rsidP="008864B7">
            <w:pPr>
              <w:keepNext/>
              <w:keepLines/>
              <w:jc w:val="center"/>
              <w:rPr>
                <w:color w:val="000000" w:themeColor="text1"/>
              </w:rPr>
            </w:pPr>
            <w:r>
              <w:rPr>
                <w:color w:val="000000" w:themeColor="text1"/>
              </w:rPr>
              <w:t>BIC</w:t>
            </w:r>
          </w:p>
        </w:tc>
        <w:tc>
          <w:tcPr>
            <w:tcW w:w="810" w:type="dxa"/>
            <w:tcBorders>
              <w:top w:val="nil"/>
              <w:left w:val="nil"/>
              <w:bottom w:val="single" w:sz="4" w:space="0" w:color="auto"/>
              <w:right w:val="nil"/>
            </w:tcBorders>
          </w:tcPr>
          <w:p w14:paraId="0D8468AB" w14:textId="77777777" w:rsidR="008864B7" w:rsidRPr="0035443A" w:rsidRDefault="008864B7" w:rsidP="008864B7">
            <w:pPr>
              <w:keepNext/>
              <w:keepLines/>
              <w:jc w:val="center"/>
              <w:rPr>
                <w:i/>
                <w:iCs/>
                <w:color w:val="000000" w:themeColor="text1"/>
              </w:rPr>
            </w:pPr>
            <w:r w:rsidRPr="0035443A">
              <w:rPr>
                <w:i/>
                <w:iCs/>
                <w:color w:val="000000" w:themeColor="text1"/>
              </w:rPr>
              <w:t>r</w:t>
            </w:r>
            <w:r w:rsidRPr="0035443A">
              <w:rPr>
                <w:i/>
                <w:iCs/>
                <w:color w:val="000000" w:themeColor="text1"/>
                <w:vertAlign w:val="superscript"/>
              </w:rPr>
              <w:t>2</w:t>
            </w:r>
          </w:p>
        </w:tc>
        <w:tc>
          <w:tcPr>
            <w:tcW w:w="1260" w:type="dxa"/>
            <w:vMerge/>
            <w:tcBorders>
              <w:left w:val="nil"/>
              <w:bottom w:val="single" w:sz="4" w:space="0" w:color="auto"/>
            </w:tcBorders>
          </w:tcPr>
          <w:p w14:paraId="2BB00F63" w14:textId="77777777" w:rsidR="008864B7" w:rsidRPr="00C06677" w:rsidRDefault="008864B7" w:rsidP="008864B7">
            <w:pPr>
              <w:keepNext/>
              <w:keepLines/>
              <w:jc w:val="center"/>
              <w:rPr>
                <w:color w:val="000000" w:themeColor="text1"/>
              </w:rPr>
            </w:pPr>
          </w:p>
        </w:tc>
      </w:tr>
      <w:tr w:rsidR="008864B7" w:rsidRPr="00C06677" w14:paraId="6378DBDF" w14:textId="77777777" w:rsidTr="004A4F95">
        <w:tc>
          <w:tcPr>
            <w:tcW w:w="1523" w:type="dxa"/>
            <w:tcBorders>
              <w:top w:val="single" w:sz="4" w:space="0" w:color="auto"/>
              <w:bottom w:val="single" w:sz="4" w:space="0" w:color="auto"/>
              <w:right w:val="nil"/>
            </w:tcBorders>
          </w:tcPr>
          <w:p w14:paraId="04CBC0D4" w14:textId="77777777" w:rsidR="008864B7" w:rsidRPr="00C06677" w:rsidRDefault="008864B7" w:rsidP="008864B7">
            <w:pPr>
              <w:keepNext/>
              <w:keepLines/>
              <w:spacing w:before="120" w:after="120"/>
              <w:jc w:val="center"/>
              <w:rPr>
                <w:color w:val="000000" w:themeColor="text1"/>
              </w:rPr>
            </w:pPr>
            <w:r w:rsidRPr="00C06677">
              <w:rPr>
                <w:color w:val="000000" w:themeColor="text1"/>
              </w:rPr>
              <w:t>Experiment 1</w:t>
            </w:r>
          </w:p>
        </w:tc>
        <w:tc>
          <w:tcPr>
            <w:tcW w:w="727" w:type="dxa"/>
            <w:tcBorders>
              <w:top w:val="single" w:sz="4" w:space="0" w:color="auto"/>
              <w:left w:val="nil"/>
              <w:bottom w:val="single" w:sz="4" w:space="0" w:color="auto"/>
              <w:right w:val="nil"/>
            </w:tcBorders>
          </w:tcPr>
          <w:p w14:paraId="17B13C8A" w14:textId="77777777" w:rsidR="008864B7" w:rsidRPr="00C06677" w:rsidRDefault="008864B7" w:rsidP="008864B7">
            <w:pPr>
              <w:keepNext/>
              <w:keepLines/>
              <w:spacing w:before="120" w:after="120"/>
              <w:jc w:val="center"/>
              <w:rPr>
                <w:color w:val="000000" w:themeColor="text1"/>
              </w:rPr>
            </w:pPr>
            <w:r>
              <w:rPr>
                <w:color w:val="000000" w:themeColor="text1"/>
              </w:rPr>
              <w:t>-327</w:t>
            </w:r>
          </w:p>
        </w:tc>
        <w:tc>
          <w:tcPr>
            <w:tcW w:w="810" w:type="dxa"/>
            <w:tcBorders>
              <w:top w:val="single" w:sz="4" w:space="0" w:color="auto"/>
              <w:left w:val="nil"/>
              <w:bottom w:val="single" w:sz="4" w:space="0" w:color="auto"/>
              <w:right w:val="nil"/>
            </w:tcBorders>
          </w:tcPr>
          <w:p w14:paraId="056C4477" w14:textId="77777777" w:rsidR="008864B7" w:rsidRPr="00C06677" w:rsidRDefault="008864B7" w:rsidP="008864B7">
            <w:pPr>
              <w:keepNext/>
              <w:keepLines/>
              <w:spacing w:before="120" w:after="120"/>
              <w:jc w:val="center"/>
              <w:rPr>
                <w:color w:val="000000" w:themeColor="text1"/>
              </w:rPr>
            </w:pPr>
            <w:r>
              <w:rPr>
                <w:color w:val="000000" w:themeColor="text1"/>
              </w:rPr>
              <w:t>0.52</w:t>
            </w:r>
          </w:p>
        </w:tc>
        <w:tc>
          <w:tcPr>
            <w:tcW w:w="810" w:type="dxa"/>
            <w:tcBorders>
              <w:top w:val="single" w:sz="4" w:space="0" w:color="auto"/>
              <w:left w:val="nil"/>
              <w:bottom w:val="single" w:sz="4" w:space="0" w:color="auto"/>
              <w:right w:val="nil"/>
            </w:tcBorders>
          </w:tcPr>
          <w:p w14:paraId="258B43E7" w14:textId="77777777" w:rsidR="008864B7" w:rsidRPr="00C06677" w:rsidRDefault="008864B7" w:rsidP="008864B7">
            <w:pPr>
              <w:keepNext/>
              <w:keepLines/>
              <w:spacing w:before="120" w:after="120"/>
              <w:jc w:val="center"/>
              <w:rPr>
                <w:color w:val="000000" w:themeColor="text1"/>
              </w:rPr>
            </w:pPr>
            <w:r>
              <w:rPr>
                <w:color w:val="000000" w:themeColor="text1"/>
              </w:rPr>
              <w:t>-100</w:t>
            </w:r>
          </w:p>
        </w:tc>
        <w:tc>
          <w:tcPr>
            <w:tcW w:w="810" w:type="dxa"/>
            <w:tcBorders>
              <w:top w:val="single" w:sz="4" w:space="0" w:color="auto"/>
              <w:left w:val="nil"/>
              <w:bottom w:val="single" w:sz="4" w:space="0" w:color="auto"/>
              <w:right w:val="nil"/>
            </w:tcBorders>
          </w:tcPr>
          <w:p w14:paraId="6AB8B102" w14:textId="77777777" w:rsidR="008864B7" w:rsidRPr="00C06677" w:rsidRDefault="008864B7" w:rsidP="008864B7">
            <w:pPr>
              <w:keepNext/>
              <w:keepLines/>
              <w:spacing w:before="120" w:after="120"/>
              <w:jc w:val="center"/>
              <w:rPr>
                <w:color w:val="000000" w:themeColor="text1"/>
              </w:rPr>
            </w:pPr>
            <w:r>
              <w:rPr>
                <w:color w:val="000000" w:themeColor="text1"/>
              </w:rPr>
              <w:t>0.40</w:t>
            </w:r>
          </w:p>
        </w:tc>
        <w:tc>
          <w:tcPr>
            <w:tcW w:w="900" w:type="dxa"/>
            <w:tcBorders>
              <w:top w:val="single" w:sz="4" w:space="0" w:color="auto"/>
              <w:left w:val="nil"/>
              <w:bottom w:val="single" w:sz="4" w:space="0" w:color="auto"/>
              <w:right w:val="nil"/>
            </w:tcBorders>
          </w:tcPr>
          <w:p w14:paraId="4A6B8D7E" w14:textId="77777777" w:rsidR="008864B7" w:rsidRPr="00C06677" w:rsidRDefault="008864B7" w:rsidP="008864B7">
            <w:pPr>
              <w:keepNext/>
              <w:keepLines/>
              <w:spacing w:before="120" w:after="120"/>
              <w:jc w:val="center"/>
              <w:rPr>
                <w:color w:val="000000" w:themeColor="text1"/>
              </w:rPr>
            </w:pPr>
            <w:r>
              <w:rPr>
                <w:color w:val="000000" w:themeColor="text1"/>
              </w:rPr>
              <w:t>-325</w:t>
            </w:r>
          </w:p>
        </w:tc>
        <w:tc>
          <w:tcPr>
            <w:tcW w:w="810" w:type="dxa"/>
            <w:tcBorders>
              <w:top w:val="single" w:sz="4" w:space="0" w:color="auto"/>
              <w:left w:val="nil"/>
              <w:bottom w:val="single" w:sz="4" w:space="0" w:color="auto"/>
              <w:right w:val="nil"/>
            </w:tcBorders>
          </w:tcPr>
          <w:p w14:paraId="1B1FE69A" w14:textId="77777777" w:rsidR="008864B7" w:rsidRPr="00C06677" w:rsidRDefault="008864B7" w:rsidP="008864B7">
            <w:pPr>
              <w:keepNext/>
              <w:keepLines/>
              <w:spacing w:before="120" w:after="120"/>
              <w:jc w:val="center"/>
              <w:rPr>
                <w:color w:val="000000" w:themeColor="text1"/>
              </w:rPr>
            </w:pPr>
            <w:r>
              <w:rPr>
                <w:color w:val="000000" w:themeColor="text1"/>
              </w:rPr>
              <w:t>0.61</w:t>
            </w:r>
          </w:p>
        </w:tc>
        <w:tc>
          <w:tcPr>
            <w:tcW w:w="900" w:type="dxa"/>
            <w:tcBorders>
              <w:top w:val="single" w:sz="4" w:space="0" w:color="auto"/>
              <w:left w:val="nil"/>
              <w:bottom w:val="single" w:sz="4" w:space="0" w:color="auto"/>
              <w:right w:val="nil"/>
            </w:tcBorders>
          </w:tcPr>
          <w:p w14:paraId="31DE74E4" w14:textId="77777777" w:rsidR="008864B7" w:rsidRPr="00C06677" w:rsidRDefault="008864B7" w:rsidP="008864B7">
            <w:pPr>
              <w:keepNext/>
              <w:keepLines/>
              <w:spacing w:before="120" w:after="120"/>
              <w:jc w:val="center"/>
              <w:rPr>
                <w:color w:val="000000" w:themeColor="text1"/>
              </w:rPr>
            </w:pPr>
            <w:r>
              <w:rPr>
                <w:color w:val="000000" w:themeColor="text1"/>
              </w:rPr>
              <w:t>-285</w:t>
            </w:r>
          </w:p>
        </w:tc>
        <w:tc>
          <w:tcPr>
            <w:tcW w:w="810" w:type="dxa"/>
            <w:tcBorders>
              <w:top w:val="single" w:sz="4" w:space="0" w:color="auto"/>
              <w:left w:val="nil"/>
              <w:bottom w:val="single" w:sz="4" w:space="0" w:color="auto"/>
              <w:right w:val="nil"/>
            </w:tcBorders>
          </w:tcPr>
          <w:p w14:paraId="3E372B97" w14:textId="77777777" w:rsidR="008864B7" w:rsidRPr="00C06677" w:rsidRDefault="008864B7" w:rsidP="008864B7">
            <w:pPr>
              <w:keepNext/>
              <w:keepLines/>
              <w:spacing w:before="120" w:after="120"/>
              <w:jc w:val="center"/>
              <w:rPr>
                <w:color w:val="000000" w:themeColor="text1"/>
              </w:rPr>
            </w:pPr>
            <w:r>
              <w:rPr>
                <w:color w:val="000000" w:themeColor="text1"/>
              </w:rPr>
              <w:t>0.53</w:t>
            </w:r>
          </w:p>
        </w:tc>
        <w:tc>
          <w:tcPr>
            <w:tcW w:w="1260" w:type="dxa"/>
            <w:tcBorders>
              <w:top w:val="single" w:sz="4" w:space="0" w:color="auto"/>
              <w:left w:val="nil"/>
              <w:bottom w:val="single" w:sz="4" w:space="0" w:color="auto"/>
            </w:tcBorders>
          </w:tcPr>
          <w:p w14:paraId="659014BF" w14:textId="77777777" w:rsidR="008864B7" w:rsidRDefault="008864B7" w:rsidP="008864B7">
            <w:pPr>
              <w:keepNext/>
              <w:keepLines/>
              <w:spacing w:before="120" w:after="120"/>
              <w:jc w:val="center"/>
              <w:rPr>
                <w:color w:val="000000" w:themeColor="text1"/>
              </w:rPr>
            </w:pPr>
            <w:r>
              <w:rPr>
                <w:color w:val="000000" w:themeColor="text1"/>
              </w:rPr>
              <w:t>PVT</w:t>
            </w:r>
          </w:p>
        </w:tc>
      </w:tr>
      <w:tr w:rsidR="008864B7" w:rsidRPr="00C06677" w14:paraId="5677057F" w14:textId="77777777" w:rsidTr="004A4F95">
        <w:tc>
          <w:tcPr>
            <w:tcW w:w="1523" w:type="dxa"/>
            <w:tcBorders>
              <w:top w:val="single" w:sz="4" w:space="0" w:color="auto"/>
              <w:bottom w:val="single" w:sz="4" w:space="0" w:color="auto"/>
              <w:right w:val="nil"/>
            </w:tcBorders>
          </w:tcPr>
          <w:p w14:paraId="2E97D6D9" w14:textId="77777777" w:rsidR="008864B7" w:rsidRPr="00C06677" w:rsidRDefault="008864B7" w:rsidP="008864B7">
            <w:pPr>
              <w:keepNext/>
              <w:keepLines/>
              <w:spacing w:before="120" w:after="120"/>
              <w:jc w:val="center"/>
              <w:rPr>
                <w:color w:val="000000" w:themeColor="text1"/>
              </w:rPr>
            </w:pPr>
            <w:r w:rsidRPr="00C06677">
              <w:rPr>
                <w:color w:val="000000" w:themeColor="text1"/>
              </w:rPr>
              <w:t>Experiment 2</w:t>
            </w:r>
          </w:p>
        </w:tc>
        <w:tc>
          <w:tcPr>
            <w:tcW w:w="727" w:type="dxa"/>
            <w:tcBorders>
              <w:top w:val="single" w:sz="4" w:space="0" w:color="auto"/>
              <w:left w:val="nil"/>
              <w:bottom w:val="single" w:sz="4" w:space="0" w:color="auto"/>
              <w:right w:val="nil"/>
            </w:tcBorders>
          </w:tcPr>
          <w:p w14:paraId="121A1EB2" w14:textId="77777777" w:rsidR="008864B7" w:rsidRPr="00C06677" w:rsidRDefault="008864B7" w:rsidP="008864B7">
            <w:pPr>
              <w:keepNext/>
              <w:keepLines/>
              <w:spacing w:before="120" w:after="120"/>
              <w:jc w:val="center"/>
              <w:rPr>
                <w:color w:val="000000" w:themeColor="text1"/>
              </w:rPr>
            </w:pPr>
            <w:r>
              <w:rPr>
                <w:color w:val="000000" w:themeColor="text1"/>
              </w:rPr>
              <w:t>-470</w:t>
            </w:r>
          </w:p>
        </w:tc>
        <w:tc>
          <w:tcPr>
            <w:tcW w:w="810" w:type="dxa"/>
            <w:tcBorders>
              <w:top w:val="single" w:sz="4" w:space="0" w:color="auto"/>
              <w:left w:val="nil"/>
              <w:bottom w:val="single" w:sz="4" w:space="0" w:color="auto"/>
              <w:right w:val="nil"/>
            </w:tcBorders>
          </w:tcPr>
          <w:p w14:paraId="0F1860AB" w14:textId="77777777" w:rsidR="008864B7" w:rsidRPr="00C06677" w:rsidRDefault="008864B7" w:rsidP="008864B7">
            <w:pPr>
              <w:keepNext/>
              <w:keepLines/>
              <w:spacing w:before="120" w:after="120"/>
              <w:jc w:val="center"/>
              <w:rPr>
                <w:color w:val="000000" w:themeColor="text1"/>
              </w:rPr>
            </w:pPr>
            <w:r>
              <w:rPr>
                <w:color w:val="000000" w:themeColor="text1"/>
              </w:rPr>
              <w:t>0.71</w:t>
            </w:r>
          </w:p>
        </w:tc>
        <w:tc>
          <w:tcPr>
            <w:tcW w:w="810" w:type="dxa"/>
            <w:tcBorders>
              <w:top w:val="single" w:sz="4" w:space="0" w:color="auto"/>
              <w:left w:val="nil"/>
              <w:bottom w:val="single" w:sz="4" w:space="0" w:color="auto"/>
              <w:right w:val="nil"/>
            </w:tcBorders>
          </w:tcPr>
          <w:p w14:paraId="354136F8" w14:textId="77777777" w:rsidR="008864B7" w:rsidRPr="00C06677" w:rsidRDefault="008864B7" w:rsidP="008864B7">
            <w:pPr>
              <w:keepNext/>
              <w:keepLines/>
              <w:spacing w:before="120" w:after="120"/>
              <w:jc w:val="center"/>
              <w:rPr>
                <w:color w:val="000000" w:themeColor="text1"/>
              </w:rPr>
            </w:pPr>
            <w:r>
              <w:rPr>
                <w:color w:val="000000" w:themeColor="text1"/>
              </w:rPr>
              <w:t>-196</w:t>
            </w:r>
          </w:p>
        </w:tc>
        <w:tc>
          <w:tcPr>
            <w:tcW w:w="810" w:type="dxa"/>
            <w:tcBorders>
              <w:top w:val="single" w:sz="4" w:space="0" w:color="auto"/>
              <w:left w:val="nil"/>
              <w:bottom w:val="single" w:sz="4" w:space="0" w:color="auto"/>
              <w:right w:val="nil"/>
            </w:tcBorders>
          </w:tcPr>
          <w:p w14:paraId="21E6A070" w14:textId="77777777" w:rsidR="008864B7" w:rsidRPr="00C06677" w:rsidRDefault="008864B7" w:rsidP="008864B7">
            <w:pPr>
              <w:keepNext/>
              <w:keepLines/>
              <w:spacing w:before="120" w:after="120"/>
              <w:jc w:val="center"/>
              <w:rPr>
                <w:color w:val="000000" w:themeColor="text1"/>
              </w:rPr>
            </w:pPr>
            <w:r>
              <w:rPr>
                <w:color w:val="000000" w:themeColor="text1"/>
              </w:rPr>
              <w:t>0.49</w:t>
            </w:r>
          </w:p>
        </w:tc>
        <w:tc>
          <w:tcPr>
            <w:tcW w:w="900" w:type="dxa"/>
            <w:tcBorders>
              <w:top w:val="single" w:sz="4" w:space="0" w:color="auto"/>
              <w:left w:val="nil"/>
              <w:bottom w:val="single" w:sz="4" w:space="0" w:color="auto"/>
              <w:right w:val="nil"/>
            </w:tcBorders>
          </w:tcPr>
          <w:p w14:paraId="27A5A216" w14:textId="77777777" w:rsidR="008864B7" w:rsidRPr="00C06677" w:rsidRDefault="008864B7" w:rsidP="008864B7">
            <w:pPr>
              <w:keepNext/>
              <w:keepLines/>
              <w:spacing w:before="120" w:after="120"/>
              <w:jc w:val="center"/>
              <w:rPr>
                <w:color w:val="000000" w:themeColor="text1"/>
              </w:rPr>
            </w:pPr>
            <w:r>
              <w:rPr>
                <w:color w:val="000000" w:themeColor="text1"/>
              </w:rPr>
              <w:t>-473</w:t>
            </w:r>
          </w:p>
        </w:tc>
        <w:tc>
          <w:tcPr>
            <w:tcW w:w="810" w:type="dxa"/>
            <w:tcBorders>
              <w:top w:val="single" w:sz="4" w:space="0" w:color="auto"/>
              <w:left w:val="nil"/>
              <w:bottom w:val="single" w:sz="4" w:space="0" w:color="auto"/>
              <w:right w:val="nil"/>
            </w:tcBorders>
          </w:tcPr>
          <w:p w14:paraId="1847DEB7" w14:textId="77777777" w:rsidR="008864B7" w:rsidRPr="00C06677" w:rsidRDefault="008864B7" w:rsidP="008864B7">
            <w:pPr>
              <w:keepNext/>
              <w:keepLines/>
              <w:spacing w:before="120" w:after="120"/>
              <w:jc w:val="center"/>
              <w:rPr>
                <w:color w:val="000000" w:themeColor="text1"/>
              </w:rPr>
            </w:pPr>
            <w:r>
              <w:rPr>
                <w:color w:val="000000" w:themeColor="text1"/>
              </w:rPr>
              <w:t>0.49</w:t>
            </w:r>
          </w:p>
        </w:tc>
        <w:tc>
          <w:tcPr>
            <w:tcW w:w="900" w:type="dxa"/>
            <w:tcBorders>
              <w:top w:val="single" w:sz="4" w:space="0" w:color="auto"/>
              <w:left w:val="nil"/>
              <w:bottom w:val="single" w:sz="4" w:space="0" w:color="auto"/>
              <w:right w:val="nil"/>
            </w:tcBorders>
          </w:tcPr>
          <w:p w14:paraId="1837D937" w14:textId="77777777" w:rsidR="008864B7" w:rsidRPr="00C06677" w:rsidRDefault="008864B7" w:rsidP="008864B7">
            <w:pPr>
              <w:keepNext/>
              <w:keepLines/>
              <w:spacing w:before="120" w:after="120"/>
              <w:jc w:val="center"/>
              <w:rPr>
                <w:color w:val="000000" w:themeColor="text1"/>
              </w:rPr>
            </w:pPr>
            <w:r>
              <w:rPr>
                <w:color w:val="000000" w:themeColor="text1"/>
              </w:rPr>
              <w:t>-449</w:t>
            </w:r>
          </w:p>
        </w:tc>
        <w:tc>
          <w:tcPr>
            <w:tcW w:w="810" w:type="dxa"/>
            <w:tcBorders>
              <w:top w:val="single" w:sz="4" w:space="0" w:color="auto"/>
              <w:left w:val="nil"/>
              <w:bottom w:val="single" w:sz="4" w:space="0" w:color="auto"/>
              <w:right w:val="nil"/>
            </w:tcBorders>
          </w:tcPr>
          <w:p w14:paraId="3194D871" w14:textId="77777777" w:rsidR="008864B7" w:rsidRPr="00C06677" w:rsidRDefault="008864B7" w:rsidP="008864B7">
            <w:pPr>
              <w:keepNext/>
              <w:keepLines/>
              <w:spacing w:before="120" w:after="120"/>
              <w:jc w:val="center"/>
              <w:rPr>
                <w:color w:val="000000" w:themeColor="text1"/>
              </w:rPr>
            </w:pPr>
            <w:r>
              <w:rPr>
                <w:color w:val="000000" w:themeColor="text1"/>
              </w:rPr>
              <w:t>0.44</w:t>
            </w:r>
          </w:p>
        </w:tc>
        <w:tc>
          <w:tcPr>
            <w:tcW w:w="1260" w:type="dxa"/>
            <w:tcBorders>
              <w:top w:val="single" w:sz="4" w:space="0" w:color="auto"/>
              <w:left w:val="nil"/>
              <w:bottom w:val="single" w:sz="4" w:space="0" w:color="auto"/>
            </w:tcBorders>
          </w:tcPr>
          <w:p w14:paraId="36402923"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33350EA9" w14:textId="77777777" w:rsidTr="004A4F95">
        <w:tc>
          <w:tcPr>
            <w:tcW w:w="1523" w:type="dxa"/>
            <w:tcBorders>
              <w:top w:val="single" w:sz="4" w:space="0" w:color="auto"/>
              <w:right w:val="nil"/>
            </w:tcBorders>
          </w:tcPr>
          <w:p w14:paraId="2F1AB48D" w14:textId="77777777" w:rsidR="008864B7" w:rsidRPr="00C06677" w:rsidRDefault="008864B7" w:rsidP="008864B7">
            <w:pPr>
              <w:keepNext/>
              <w:keepLines/>
              <w:spacing w:before="120" w:after="120"/>
              <w:jc w:val="center"/>
              <w:rPr>
                <w:color w:val="000000" w:themeColor="text1"/>
              </w:rPr>
            </w:pPr>
            <w:r w:rsidRPr="00C06677">
              <w:rPr>
                <w:color w:val="000000" w:themeColor="text1"/>
              </w:rPr>
              <w:t xml:space="preserve">Experiment </w:t>
            </w:r>
            <w:r>
              <w:rPr>
                <w:color w:val="000000" w:themeColor="text1"/>
              </w:rPr>
              <w:t>4</w:t>
            </w:r>
          </w:p>
        </w:tc>
        <w:tc>
          <w:tcPr>
            <w:tcW w:w="727" w:type="dxa"/>
            <w:tcBorders>
              <w:top w:val="single" w:sz="4" w:space="0" w:color="auto"/>
              <w:left w:val="nil"/>
              <w:right w:val="nil"/>
            </w:tcBorders>
          </w:tcPr>
          <w:p w14:paraId="2E8D4FC7" w14:textId="77777777" w:rsidR="008864B7" w:rsidRPr="00C06677" w:rsidRDefault="008864B7" w:rsidP="008864B7">
            <w:pPr>
              <w:keepNext/>
              <w:keepLines/>
              <w:spacing w:before="120" w:after="120"/>
              <w:jc w:val="center"/>
              <w:rPr>
                <w:color w:val="000000" w:themeColor="text1"/>
              </w:rPr>
            </w:pPr>
            <w:r>
              <w:rPr>
                <w:color w:val="000000" w:themeColor="text1"/>
              </w:rPr>
              <w:t>-44</w:t>
            </w:r>
          </w:p>
        </w:tc>
        <w:tc>
          <w:tcPr>
            <w:tcW w:w="810" w:type="dxa"/>
            <w:tcBorders>
              <w:top w:val="single" w:sz="4" w:space="0" w:color="auto"/>
              <w:left w:val="nil"/>
              <w:right w:val="nil"/>
            </w:tcBorders>
          </w:tcPr>
          <w:p w14:paraId="7E3A54DD" w14:textId="77777777" w:rsidR="008864B7" w:rsidRPr="00C06677" w:rsidRDefault="008864B7" w:rsidP="008864B7">
            <w:pPr>
              <w:keepNext/>
              <w:keepLines/>
              <w:spacing w:before="120" w:after="120"/>
              <w:jc w:val="center"/>
              <w:rPr>
                <w:color w:val="000000" w:themeColor="text1"/>
              </w:rPr>
            </w:pPr>
            <w:r>
              <w:rPr>
                <w:color w:val="000000" w:themeColor="text1"/>
              </w:rPr>
              <w:t>0.93</w:t>
            </w:r>
          </w:p>
        </w:tc>
        <w:tc>
          <w:tcPr>
            <w:tcW w:w="810" w:type="dxa"/>
            <w:tcBorders>
              <w:top w:val="single" w:sz="4" w:space="0" w:color="auto"/>
              <w:left w:val="nil"/>
              <w:right w:val="nil"/>
            </w:tcBorders>
          </w:tcPr>
          <w:p w14:paraId="1ED69EBE" w14:textId="77777777" w:rsidR="008864B7" w:rsidRPr="00C06677" w:rsidRDefault="008864B7" w:rsidP="008864B7">
            <w:pPr>
              <w:keepNext/>
              <w:keepLines/>
              <w:spacing w:before="120" w:after="120"/>
              <w:jc w:val="center"/>
              <w:rPr>
                <w:color w:val="000000" w:themeColor="text1"/>
              </w:rPr>
            </w:pPr>
            <w:r>
              <w:rPr>
                <w:color w:val="000000" w:themeColor="text1"/>
              </w:rPr>
              <w:t>-15</w:t>
            </w:r>
          </w:p>
        </w:tc>
        <w:tc>
          <w:tcPr>
            <w:tcW w:w="810" w:type="dxa"/>
            <w:tcBorders>
              <w:top w:val="single" w:sz="4" w:space="0" w:color="auto"/>
              <w:left w:val="nil"/>
              <w:right w:val="nil"/>
            </w:tcBorders>
          </w:tcPr>
          <w:p w14:paraId="2A94ADA0" w14:textId="77777777" w:rsidR="008864B7" w:rsidRPr="00C06677" w:rsidRDefault="008864B7" w:rsidP="008864B7">
            <w:pPr>
              <w:keepNext/>
              <w:keepLines/>
              <w:spacing w:before="120" w:after="120"/>
              <w:jc w:val="center"/>
              <w:rPr>
                <w:color w:val="000000" w:themeColor="text1"/>
              </w:rPr>
            </w:pPr>
            <w:r>
              <w:rPr>
                <w:color w:val="000000" w:themeColor="text1"/>
              </w:rPr>
              <w:t>0.83</w:t>
            </w:r>
          </w:p>
        </w:tc>
        <w:tc>
          <w:tcPr>
            <w:tcW w:w="900" w:type="dxa"/>
            <w:tcBorders>
              <w:top w:val="single" w:sz="4" w:space="0" w:color="auto"/>
              <w:left w:val="nil"/>
              <w:right w:val="nil"/>
            </w:tcBorders>
          </w:tcPr>
          <w:p w14:paraId="24D59B5C" w14:textId="77777777" w:rsidR="008864B7" w:rsidRPr="00C06677" w:rsidRDefault="008864B7" w:rsidP="008864B7">
            <w:pPr>
              <w:keepNext/>
              <w:keepLines/>
              <w:spacing w:before="120" w:after="120"/>
              <w:jc w:val="center"/>
              <w:rPr>
                <w:color w:val="000000" w:themeColor="text1"/>
              </w:rPr>
            </w:pPr>
            <w:r>
              <w:rPr>
                <w:color w:val="000000" w:themeColor="text1"/>
              </w:rPr>
              <w:t>-</w:t>
            </w:r>
          </w:p>
        </w:tc>
        <w:tc>
          <w:tcPr>
            <w:tcW w:w="810" w:type="dxa"/>
            <w:tcBorders>
              <w:top w:val="single" w:sz="4" w:space="0" w:color="auto"/>
              <w:left w:val="nil"/>
              <w:right w:val="nil"/>
            </w:tcBorders>
          </w:tcPr>
          <w:p w14:paraId="31B5CFCC" w14:textId="77777777" w:rsidR="008864B7" w:rsidRPr="00C06677" w:rsidRDefault="008864B7" w:rsidP="008864B7">
            <w:pPr>
              <w:keepNext/>
              <w:keepLines/>
              <w:spacing w:before="120" w:after="120"/>
              <w:jc w:val="center"/>
              <w:rPr>
                <w:color w:val="000000" w:themeColor="text1"/>
              </w:rPr>
            </w:pPr>
            <w:r>
              <w:rPr>
                <w:color w:val="000000" w:themeColor="text1"/>
              </w:rPr>
              <w:t>-</w:t>
            </w:r>
          </w:p>
        </w:tc>
        <w:tc>
          <w:tcPr>
            <w:tcW w:w="900" w:type="dxa"/>
            <w:tcBorders>
              <w:top w:val="single" w:sz="4" w:space="0" w:color="auto"/>
              <w:left w:val="nil"/>
              <w:right w:val="nil"/>
            </w:tcBorders>
          </w:tcPr>
          <w:p w14:paraId="26F18181" w14:textId="77777777" w:rsidR="008864B7" w:rsidRPr="00C06677" w:rsidRDefault="008864B7" w:rsidP="008864B7">
            <w:pPr>
              <w:keepNext/>
              <w:keepLines/>
              <w:spacing w:before="120" w:after="120"/>
              <w:jc w:val="center"/>
              <w:rPr>
                <w:color w:val="000000" w:themeColor="text1"/>
              </w:rPr>
            </w:pPr>
            <w:r>
              <w:rPr>
                <w:color w:val="000000" w:themeColor="text1"/>
              </w:rPr>
              <w:t>-</w:t>
            </w:r>
          </w:p>
        </w:tc>
        <w:tc>
          <w:tcPr>
            <w:tcW w:w="810" w:type="dxa"/>
            <w:tcBorders>
              <w:top w:val="single" w:sz="4" w:space="0" w:color="auto"/>
              <w:left w:val="nil"/>
              <w:right w:val="nil"/>
            </w:tcBorders>
          </w:tcPr>
          <w:p w14:paraId="1A01F4C7" w14:textId="77777777" w:rsidR="008864B7" w:rsidRPr="00C06677" w:rsidRDefault="008864B7" w:rsidP="008864B7">
            <w:pPr>
              <w:keepNext/>
              <w:keepLines/>
              <w:spacing w:before="120" w:after="120"/>
              <w:jc w:val="center"/>
              <w:rPr>
                <w:color w:val="000000" w:themeColor="text1"/>
              </w:rPr>
            </w:pPr>
            <w:r>
              <w:rPr>
                <w:color w:val="000000" w:themeColor="text1"/>
              </w:rPr>
              <w:t>-</w:t>
            </w:r>
          </w:p>
        </w:tc>
        <w:tc>
          <w:tcPr>
            <w:tcW w:w="1260" w:type="dxa"/>
            <w:tcBorders>
              <w:top w:val="single" w:sz="4" w:space="0" w:color="auto"/>
              <w:left w:val="nil"/>
            </w:tcBorders>
          </w:tcPr>
          <w:p w14:paraId="581831A3" w14:textId="77777777" w:rsidR="008864B7" w:rsidRPr="007801A5" w:rsidRDefault="008864B7" w:rsidP="008864B7">
            <w:pPr>
              <w:keepNext/>
              <w:keepLines/>
              <w:spacing w:before="120" w:after="120"/>
              <w:jc w:val="center"/>
              <w:rPr>
                <w:b/>
                <w:bCs/>
                <w:color w:val="000000" w:themeColor="text1"/>
              </w:rPr>
            </w:pPr>
            <w:r>
              <w:rPr>
                <w:color w:val="000000" w:themeColor="text1"/>
              </w:rPr>
              <w:t>PVT</w:t>
            </w:r>
          </w:p>
        </w:tc>
      </w:tr>
    </w:tbl>
    <w:p w14:paraId="15803812" w14:textId="77777777" w:rsidR="008864B7" w:rsidRDefault="008864B7" w:rsidP="008864B7">
      <w:pPr>
        <w:spacing w:line="480" w:lineRule="auto"/>
      </w:pPr>
    </w:p>
    <w:p w14:paraId="72F3D9BC" w14:textId="77777777" w:rsidR="008864B7" w:rsidRDefault="008864B7" w:rsidP="008864B7">
      <w:pPr>
        <w:keepNext/>
        <w:keepLines/>
        <w:spacing w:line="480" w:lineRule="auto"/>
      </w:pPr>
      <w:r>
        <w:lastRenderedPageBreak/>
        <w:t>Table 5: Mean (sd) fit statistics and</w:t>
      </w:r>
      <w:r w:rsidRPr="0035443A">
        <w:rPr>
          <w:i/>
          <w:iCs/>
        </w:rPr>
        <w:t xml:space="preserve"> t</w:t>
      </w:r>
      <w:r>
        <w:t xml:space="preserve">-tests for the PVT and CW regressions predicting choice and RT by item for Experiments 1 and 2. </w:t>
      </w:r>
    </w:p>
    <w:tbl>
      <w:tblPr>
        <w:tblStyle w:val="TableGrid"/>
        <w:tblW w:w="9720" w:type="dxa"/>
        <w:tblBorders>
          <w:top w:val="none" w:sz="0" w:space="0" w:color="auto"/>
          <w:left w:val="none" w:sz="0" w:space="0" w:color="auto"/>
          <w:right w:val="none" w:sz="0" w:space="0" w:color="auto"/>
        </w:tblBorders>
        <w:tblLayout w:type="fixed"/>
        <w:tblLook w:val="04A0" w:firstRow="1" w:lastRow="0" w:firstColumn="1" w:lastColumn="0" w:noHBand="0" w:noVBand="1"/>
      </w:tblPr>
      <w:tblGrid>
        <w:gridCol w:w="1980"/>
        <w:gridCol w:w="1350"/>
        <w:gridCol w:w="1350"/>
        <w:gridCol w:w="810"/>
        <w:gridCol w:w="540"/>
        <w:gridCol w:w="990"/>
        <w:gridCol w:w="1350"/>
        <w:gridCol w:w="1350"/>
      </w:tblGrid>
      <w:tr w:rsidR="008864B7" w:rsidRPr="00C06677" w14:paraId="3690AAC0" w14:textId="77777777" w:rsidTr="004A4F95">
        <w:tc>
          <w:tcPr>
            <w:tcW w:w="1980" w:type="dxa"/>
            <w:tcBorders>
              <w:top w:val="nil"/>
              <w:bottom w:val="nil"/>
              <w:right w:val="nil"/>
            </w:tcBorders>
            <w:vAlign w:val="bottom"/>
          </w:tcPr>
          <w:p w14:paraId="0FF50147" w14:textId="77777777" w:rsidR="008864B7" w:rsidRPr="00C06677" w:rsidRDefault="008864B7" w:rsidP="008864B7">
            <w:pPr>
              <w:keepNext/>
              <w:keepLines/>
              <w:jc w:val="center"/>
              <w:rPr>
                <w:color w:val="000000" w:themeColor="text1"/>
              </w:rPr>
            </w:pPr>
          </w:p>
        </w:tc>
        <w:tc>
          <w:tcPr>
            <w:tcW w:w="1350" w:type="dxa"/>
            <w:tcBorders>
              <w:top w:val="nil"/>
              <w:left w:val="nil"/>
              <w:bottom w:val="nil"/>
              <w:right w:val="nil"/>
            </w:tcBorders>
            <w:vAlign w:val="bottom"/>
          </w:tcPr>
          <w:p w14:paraId="453EBD8F" w14:textId="77777777" w:rsidR="008864B7" w:rsidRPr="00C06677" w:rsidRDefault="008864B7" w:rsidP="008864B7">
            <w:pPr>
              <w:keepNext/>
              <w:keepLines/>
              <w:jc w:val="center"/>
              <w:rPr>
                <w:color w:val="000000" w:themeColor="text1"/>
              </w:rPr>
            </w:pPr>
          </w:p>
        </w:tc>
        <w:tc>
          <w:tcPr>
            <w:tcW w:w="1350" w:type="dxa"/>
            <w:tcBorders>
              <w:top w:val="nil"/>
              <w:left w:val="nil"/>
              <w:bottom w:val="nil"/>
              <w:right w:val="nil"/>
            </w:tcBorders>
            <w:vAlign w:val="bottom"/>
          </w:tcPr>
          <w:p w14:paraId="12FAFCB4" w14:textId="77777777" w:rsidR="008864B7" w:rsidRPr="00C06677" w:rsidRDefault="008864B7" w:rsidP="008864B7">
            <w:pPr>
              <w:keepNext/>
              <w:keepLines/>
              <w:jc w:val="center"/>
              <w:rPr>
                <w:color w:val="000000" w:themeColor="text1"/>
              </w:rPr>
            </w:pPr>
          </w:p>
        </w:tc>
        <w:tc>
          <w:tcPr>
            <w:tcW w:w="810" w:type="dxa"/>
            <w:tcBorders>
              <w:top w:val="nil"/>
              <w:left w:val="nil"/>
              <w:bottom w:val="nil"/>
              <w:right w:val="nil"/>
            </w:tcBorders>
            <w:vAlign w:val="bottom"/>
          </w:tcPr>
          <w:p w14:paraId="41BD527E" w14:textId="77777777" w:rsidR="008864B7" w:rsidRPr="00C06677" w:rsidRDefault="008864B7" w:rsidP="008864B7">
            <w:pPr>
              <w:keepNext/>
              <w:keepLines/>
              <w:jc w:val="center"/>
              <w:rPr>
                <w:color w:val="000000" w:themeColor="text1"/>
              </w:rPr>
            </w:pPr>
          </w:p>
        </w:tc>
        <w:tc>
          <w:tcPr>
            <w:tcW w:w="540" w:type="dxa"/>
            <w:tcBorders>
              <w:top w:val="nil"/>
              <w:left w:val="nil"/>
              <w:bottom w:val="nil"/>
              <w:right w:val="nil"/>
            </w:tcBorders>
            <w:vAlign w:val="bottom"/>
          </w:tcPr>
          <w:p w14:paraId="17128218" w14:textId="77777777" w:rsidR="008864B7" w:rsidRPr="00C06677" w:rsidRDefault="008864B7" w:rsidP="008864B7">
            <w:pPr>
              <w:keepNext/>
              <w:keepLines/>
              <w:jc w:val="center"/>
              <w:rPr>
                <w:color w:val="000000" w:themeColor="text1"/>
              </w:rPr>
            </w:pPr>
          </w:p>
        </w:tc>
        <w:tc>
          <w:tcPr>
            <w:tcW w:w="990" w:type="dxa"/>
            <w:tcBorders>
              <w:top w:val="nil"/>
              <w:left w:val="nil"/>
              <w:bottom w:val="nil"/>
              <w:right w:val="nil"/>
            </w:tcBorders>
            <w:vAlign w:val="bottom"/>
          </w:tcPr>
          <w:p w14:paraId="3C158FC9" w14:textId="77777777" w:rsidR="008864B7" w:rsidRPr="00C06677" w:rsidRDefault="008864B7" w:rsidP="008864B7">
            <w:pPr>
              <w:keepNext/>
              <w:keepLines/>
              <w:jc w:val="center"/>
              <w:rPr>
                <w:color w:val="000000" w:themeColor="text1"/>
              </w:rPr>
            </w:pPr>
          </w:p>
        </w:tc>
        <w:tc>
          <w:tcPr>
            <w:tcW w:w="1350" w:type="dxa"/>
            <w:tcBorders>
              <w:top w:val="nil"/>
              <w:left w:val="nil"/>
              <w:bottom w:val="nil"/>
              <w:right w:val="nil"/>
            </w:tcBorders>
            <w:vAlign w:val="bottom"/>
          </w:tcPr>
          <w:p w14:paraId="2239ED49" w14:textId="77777777" w:rsidR="008864B7" w:rsidRPr="00C06677" w:rsidRDefault="008864B7" w:rsidP="008864B7">
            <w:pPr>
              <w:keepNext/>
              <w:keepLines/>
              <w:jc w:val="center"/>
              <w:rPr>
                <w:color w:val="000000" w:themeColor="text1"/>
              </w:rPr>
            </w:pPr>
          </w:p>
        </w:tc>
        <w:tc>
          <w:tcPr>
            <w:tcW w:w="1350" w:type="dxa"/>
            <w:vMerge w:val="restart"/>
            <w:tcBorders>
              <w:top w:val="nil"/>
              <w:left w:val="nil"/>
              <w:right w:val="nil"/>
            </w:tcBorders>
            <w:vAlign w:val="bottom"/>
          </w:tcPr>
          <w:p w14:paraId="2350C623" w14:textId="77777777" w:rsidR="008864B7" w:rsidRPr="00C06677" w:rsidRDefault="008864B7" w:rsidP="008864B7">
            <w:pPr>
              <w:keepNext/>
              <w:keepLines/>
              <w:jc w:val="center"/>
              <w:rPr>
                <w:color w:val="000000" w:themeColor="text1"/>
              </w:rPr>
            </w:pPr>
            <w:r>
              <w:rPr>
                <w:color w:val="000000" w:themeColor="text1"/>
              </w:rPr>
              <w:t>Superior</w:t>
            </w:r>
          </w:p>
          <w:p w14:paraId="6CCE0487" w14:textId="77777777" w:rsidR="008864B7" w:rsidRPr="00C06677" w:rsidRDefault="008864B7" w:rsidP="008864B7">
            <w:pPr>
              <w:keepNext/>
              <w:keepLines/>
              <w:jc w:val="center"/>
              <w:rPr>
                <w:color w:val="000000" w:themeColor="text1"/>
              </w:rPr>
            </w:pPr>
            <w:r>
              <w:rPr>
                <w:color w:val="000000" w:themeColor="text1"/>
              </w:rPr>
              <w:t>Model</w:t>
            </w:r>
          </w:p>
        </w:tc>
      </w:tr>
      <w:tr w:rsidR="008864B7" w:rsidRPr="00C06677" w14:paraId="699F47B5" w14:textId="77777777" w:rsidTr="004A4F95">
        <w:tc>
          <w:tcPr>
            <w:tcW w:w="1980" w:type="dxa"/>
            <w:tcBorders>
              <w:top w:val="nil"/>
              <w:bottom w:val="single" w:sz="4" w:space="0" w:color="auto"/>
              <w:right w:val="nil"/>
            </w:tcBorders>
            <w:vAlign w:val="bottom"/>
          </w:tcPr>
          <w:p w14:paraId="66F35D64"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vAlign w:val="bottom"/>
          </w:tcPr>
          <w:p w14:paraId="2152B6C6" w14:textId="77777777" w:rsidR="008864B7" w:rsidRPr="00C06677" w:rsidRDefault="008864B7" w:rsidP="008864B7">
            <w:pPr>
              <w:keepNext/>
              <w:keepLines/>
              <w:jc w:val="center"/>
              <w:rPr>
                <w:color w:val="000000" w:themeColor="text1"/>
              </w:rPr>
            </w:pPr>
            <w:r>
              <w:rPr>
                <w:color w:val="000000" w:themeColor="text1"/>
              </w:rPr>
              <w:t>PVT</w:t>
            </w:r>
          </w:p>
        </w:tc>
        <w:tc>
          <w:tcPr>
            <w:tcW w:w="1350" w:type="dxa"/>
            <w:tcBorders>
              <w:top w:val="nil"/>
              <w:left w:val="nil"/>
              <w:bottom w:val="single" w:sz="4" w:space="0" w:color="auto"/>
              <w:right w:val="nil"/>
            </w:tcBorders>
            <w:vAlign w:val="bottom"/>
          </w:tcPr>
          <w:p w14:paraId="7D3A7D8D" w14:textId="77777777" w:rsidR="008864B7" w:rsidRPr="00C06677" w:rsidRDefault="008864B7" w:rsidP="008864B7">
            <w:pPr>
              <w:keepNext/>
              <w:keepLines/>
              <w:jc w:val="center"/>
              <w:rPr>
                <w:color w:val="000000" w:themeColor="text1"/>
              </w:rPr>
            </w:pPr>
            <w:r>
              <w:rPr>
                <w:color w:val="000000" w:themeColor="text1"/>
              </w:rPr>
              <w:t>CW</w:t>
            </w:r>
          </w:p>
        </w:tc>
        <w:tc>
          <w:tcPr>
            <w:tcW w:w="810" w:type="dxa"/>
            <w:tcBorders>
              <w:top w:val="nil"/>
              <w:left w:val="nil"/>
              <w:bottom w:val="single" w:sz="4" w:space="0" w:color="auto"/>
              <w:right w:val="nil"/>
            </w:tcBorders>
            <w:vAlign w:val="bottom"/>
          </w:tcPr>
          <w:p w14:paraId="47EF9032" w14:textId="77777777" w:rsidR="008864B7" w:rsidRPr="0035443A" w:rsidRDefault="008864B7" w:rsidP="008864B7">
            <w:pPr>
              <w:keepNext/>
              <w:keepLines/>
              <w:jc w:val="center"/>
              <w:rPr>
                <w:i/>
                <w:iCs/>
                <w:color w:val="000000" w:themeColor="text1"/>
              </w:rPr>
            </w:pPr>
            <w:r w:rsidRPr="0035443A">
              <w:rPr>
                <w:i/>
                <w:iCs/>
                <w:color w:val="000000" w:themeColor="text1"/>
              </w:rPr>
              <w:t>t</w:t>
            </w:r>
          </w:p>
        </w:tc>
        <w:tc>
          <w:tcPr>
            <w:tcW w:w="540" w:type="dxa"/>
            <w:tcBorders>
              <w:top w:val="nil"/>
              <w:left w:val="nil"/>
              <w:bottom w:val="single" w:sz="4" w:space="0" w:color="auto"/>
              <w:right w:val="nil"/>
            </w:tcBorders>
            <w:vAlign w:val="bottom"/>
          </w:tcPr>
          <w:p w14:paraId="4C7B9F50" w14:textId="77777777" w:rsidR="008864B7" w:rsidRPr="00C06677" w:rsidRDefault="008864B7" w:rsidP="008864B7">
            <w:pPr>
              <w:keepNext/>
              <w:keepLines/>
              <w:jc w:val="center"/>
              <w:rPr>
                <w:color w:val="000000" w:themeColor="text1"/>
              </w:rPr>
            </w:pPr>
            <w:r>
              <w:rPr>
                <w:color w:val="000000" w:themeColor="text1"/>
              </w:rPr>
              <w:t>df</w:t>
            </w:r>
          </w:p>
        </w:tc>
        <w:tc>
          <w:tcPr>
            <w:tcW w:w="990" w:type="dxa"/>
            <w:tcBorders>
              <w:top w:val="nil"/>
              <w:left w:val="nil"/>
              <w:bottom w:val="single" w:sz="4" w:space="0" w:color="auto"/>
              <w:right w:val="nil"/>
            </w:tcBorders>
            <w:vAlign w:val="bottom"/>
          </w:tcPr>
          <w:p w14:paraId="3D9B8F0A" w14:textId="77777777" w:rsidR="008864B7" w:rsidRPr="0035443A" w:rsidRDefault="008864B7" w:rsidP="008864B7">
            <w:pPr>
              <w:keepNext/>
              <w:keepLines/>
              <w:jc w:val="center"/>
              <w:rPr>
                <w:i/>
                <w:iCs/>
                <w:color w:val="000000" w:themeColor="text1"/>
              </w:rPr>
            </w:pPr>
            <w:r w:rsidRPr="0035443A">
              <w:rPr>
                <w:i/>
                <w:iCs/>
                <w:color w:val="000000" w:themeColor="text1"/>
              </w:rPr>
              <w:t>p</w:t>
            </w:r>
          </w:p>
        </w:tc>
        <w:tc>
          <w:tcPr>
            <w:tcW w:w="1350" w:type="dxa"/>
            <w:tcBorders>
              <w:top w:val="nil"/>
              <w:left w:val="nil"/>
              <w:bottom w:val="single" w:sz="4" w:space="0" w:color="auto"/>
              <w:right w:val="nil"/>
            </w:tcBorders>
            <w:vAlign w:val="bottom"/>
          </w:tcPr>
          <w:p w14:paraId="13CB3758" w14:textId="77777777" w:rsidR="008864B7" w:rsidRPr="00C06677" w:rsidRDefault="008864B7" w:rsidP="008864B7">
            <w:pPr>
              <w:keepNext/>
              <w:keepLines/>
              <w:jc w:val="center"/>
              <w:rPr>
                <w:color w:val="000000" w:themeColor="text1"/>
              </w:rPr>
            </w:pPr>
            <w:r>
              <w:rPr>
                <w:color w:val="000000" w:themeColor="text1"/>
              </w:rPr>
              <w:t>Cohen’s D</w:t>
            </w:r>
          </w:p>
        </w:tc>
        <w:tc>
          <w:tcPr>
            <w:tcW w:w="1350" w:type="dxa"/>
            <w:vMerge/>
            <w:tcBorders>
              <w:left w:val="nil"/>
              <w:bottom w:val="single" w:sz="4" w:space="0" w:color="auto"/>
              <w:right w:val="nil"/>
            </w:tcBorders>
            <w:vAlign w:val="bottom"/>
          </w:tcPr>
          <w:p w14:paraId="7616F419" w14:textId="77777777" w:rsidR="008864B7" w:rsidRPr="00C06677" w:rsidRDefault="008864B7" w:rsidP="008864B7">
            <w:pPr>
              <w:keepNext/>
              <w:keepLines/>
              <w:jc w:val="center"/>
              <w:rPr>
                <w:color w:val="000000" w:themeColor="text1"/>
              </w:rPr>
            </w:pPr>
          </w:p>
        </w:tc>
      </w:tr>
      <w:tr w:rsidR="008864B7" w:rsidRPr="00C06677" w14:paraId="34956113" w14:textId="77777777" w:rsidTr="004A4F95">
        <w:tc>
          <w:tcPr>
            <w:tcW w:w="1980" w:type="dxa"/>
            <w:tcBorders>
              <w:top w:val="single" w:sz="4" w:space="0" w:color="auto"/>
              <w:bottom w:val="nil"/>
              <w:right w:val="nil"/>
            </w:tcBorders>
            <w:vAlign w:val="bottom"/>
          </w:tcPr>
          <w:p w14:paraId="1E8EE8DC" w14:textId="77777777" w:rsidR="008864B7" w:rsidRPr="004A26C9" w:rsidRDefault="008864B7" w:rsidP="008864B7">
            <w:pPr>
              <w:keepNext/>
              <w:keepLines/>
              <w:spacing w:before="120"/>
              <w:rPr>
                <w:b/>
                <w:bCs/>
                <w:color w:val="000000" w:themeColor="text1"/>
              </w:rPr>
            </w:pPr>
            <w:r w:rsidRPr="004A26C9">
              <w:rPr>
                <w:b/>
                <w:bCs/>
                <w:color w:val="000000" w:themeColor="text1"/>
              </w:rPr>
              <w:t>Experiment 1</w:t>
            </w:r>
          </w:p>
        </w:tc>
        <w:tc>
          <w:tcPr>
            <w:tcW w:w="1350" w:type="dxa"/>
            <w:tcBorders>
              <w:top w:val="single" w:sz="4" w:space="0" w:color="auto"/>
              <w:left w:val="nil"/>
              <w:bottom w:val="nil"/>
              <w:right w:val="nil"/>
            </w:tcBorders>
            <w:vAlign w:val="bottom"/>
          </w:tcPr>
          <w:p w14:paraId="6B880E4B" w14:textId="77777777" w:rsidR="008864B7" w:rsidRPr="00C06677" w:rsidRDefault="008864B7" w:rsidP="008864B7">
            <w:pPr>
              <w:keepNext/>
              <w:keepLines/>
              <w:jc w:val="center"/>
              <w:rPr>
                <w:color w:val="000000" w:themeColor="text1"/>
              </w:rPr>
            </w:pPr>
          </w:p>
        </w:tc>
        <w:tc>
          <w:tcPr>
            <w:tcW w:w="1350" w:type="dxa"/>
            <w:tcBorders>
              <w:top w:val="single" w:sz="4" w:space="0" w:color="auto"/>
              <w:left w:val="nil"/>
              <w:bottom w:val="nil"/>
              <w:right w:val="nil"/>
            </w:tcBorders>
            <w:vAlign w:val="bottom"/>
          </w:tcPr>
          <w:p w14:paraId="5D99534C" w14:textId="77777777" w:rsidR="008864B7" w:rsidRPr="00C06677" w:rsidRDefault="008864B7" w:rsidP="008864B7">
            <w:pPr>
              <w:keepNext/>
              <w:keepLines/>
              <w:jc w:val="center"/>
              <w:rPr>
                <w:color w:val="000000" w:themeColor="text1"/>
              </w:rPr>
            </w:pPr>
          </w:p>
        </w:tc>
        <w:tc>
          <w:tcPr>
            <w:tcW w:w="810" w:type="dxa"/>
            <w:tcBorders>
              <w:top w:val="single" w:sz="4" w:space="0" w:color="auto"/>
              <w:left w:val="nil"/>
              <w:bottom w:val="nil"/>
              <w:right w:val="nil"/>
            </w:tcBorders>
            <w:vAlign w:val="bottom"/>
          </w:tcPr>
          <w:p w14:paraId="5E1D74C8" w14:textId="77777777" w:rsidR="008864B7" w:rsidRPr="00C06677" w:rsidRDefault="008864B7" w:rsidP="008864B7">
            <w:pPr>
              <w:keepNext/>
              <w:keepLines/>
              <w:jc w:val="center"/>
              <w:rPr>
                <w:color w:val="000000" w:themeColor="text1"/>
              </w:rPr>
            </w:pPr>
          </w:p>
        </w:tc>
        <w:tc>
          <w:tcPr>
            <w:tcW w:w="540" w:type="dxa"/>
            <w:tcBorders>
              <w:top w:val="single" w:sz="4" w:space="0" w:color="auto"/>
              <w:left w:val="nil"/>
              <w:bottom w:val="nil"/>
              <w:right w:val="nil"/>
            </w:tcBorders>
            <w:vAlign w:val="bottom"/>
          </w:tcPr>
          <w:p w14:paraId="2B160542" w14:textId="77777777" w:rsidR="008864B7" w:rsidRPr="00C06677" w:rsidRDefault="008864B7" w:rsidP="008864B7">
            <w:pPr>
              <w:keepNext/>
              <w:keepLines/>
              <w:jc w:val="center"/>
              <w:rPr>
                <w:color w:val="000000" w:themeColor="text1"/>
              </w:rPr>
            </w:pPr>
          </w:p>
        </w:tc>
        <w:tc>
          <w:tcPr>
            <w:tcW w:w="990" w:type="dxa"/>
            <w:tcBorders>
              <w:top w:val="single" w:sz="4" w:space="0" w:color="auto"/>
              <w:left w:val="nil"/>
              <w:bottom w:val="nil"/>
              <w:right w:val="nil"/>
            </w:tcBorders>
            <w:vAlign w:val="bottom"/>
          </w:tcPr>
          <w:p w14:paraId="06D47E56" w14:textId="77777777" w:rsidR="008864B7" w:rsidRPr="00C06677" w:rsidRDefault="008864B7" w:rsidP="008864B7">
            <w:pPr>
              <w:keepNext/>
              <w:keepLines/>
              <w:jc w:val="center"/>
              <w:rPr>
                <w:color w:val="000000" w:themeColor="text1"/>
              </w:rPr>
            </w:pPr>
          </w:p>
        </w:tc>
        <w:tc>
          <w:tcPr>
            <w:tcW w:w="1350" w:type="dxa"/>
            <w:tcBorders>
              <w:top w:val="single" w:sz="4" w:space="0" w:color="auto"/>
              <w:left w:val="nil"/>
              <w:bottom w:val="nil"/>
              <w:right w:val="nil"/>
            </w:tcBorders>
            <w:vAlign w:val="bottom"/>
          </w:tcPr>
          <w:p w14:paraId="20FF560D" w14:textId="77777777" w:rsidR="008864B7" w:rsidRPr="00C06677" w:rsidRDefault="008864B7" w:rsidP="008864B7">
            <w:pPr>
              <w:keepNext/>
              <w:keepLines/>
              <w:jc w:val="center"/>
              <w:rPr>
                <w:color w:val="000000" w:themeColor="text1"/>
              </w:rPr>
            </w:pPr>
          </w:p>
        </w:tc>
        <w:tc>
          <w:tcPr>
            <w:tcW w:w="1350" w:type="dxa"/>
            <w:tcBorders>
              <w:top w:val="single" w:sz="4" w:space="0" w:color="auto"/>
              <w:left w:val="nil"/>
              <w:bottom w:val="nil"/>
              <w:right w:val="nil"/>
            </w:tcBorders>
            <w:vAlign w:val="bottom"/>
          </w:tcPr>
          <w:p w14:paraId="7E94FC06" w14:textId="77777777" w:rsidR="008864B7" w:rsidRPr="00C06677" w:rsidRDefault="008864B7" w:rsidP="008864B7">
            <w:pPr>
              <w:keepNext/>
              <w:keepLines/>
              <w:jc w:val="center"/>
              <w:rPr>
                <w:color w:val="000000" w:themeColor="text1"/>
              </w:rPr>
            </w:pPr>
          </w:p>
        </w:tc>
      </w:tr>
      <w:tr w:rsidR="008864B7" w:rsidRPr="00C06677" w14:paraId="4161DCB5" w14:textId="77777777" w:rsidTr="004A4F95">
        <w:tc>
          <w:tcPr>
            <w:tcW w:w="1980" w:type="dxa"/>
            <w:tcBorders>
              <w:top w:val="nil"/>
              <w:bottom w:val="nil"/>
              <w:right w:val="nil"/>
            </w:tcBorders>
          </w:tcPr>
          <w:p w14:paraId="61B9E925" w14:textId="77777777" w:rsidR="008864B7" w:rsidRPr="00C06677" w:rsidRDefault="008864B7" w:rsidP="008864B7">
            <w:pPr>
              <w:keepNext/>
              <w:keepLines/>
              <w:spacing w:before="120"/>
              <w:jc w:val="center"/>
              <w:rPr>
                <w:color w:val="000000" w:themeColor="text1"/>
              </w:rPr>
            </w:pPr>
            <w:r>
              <w:rPr>
                <w:color w:val="000000" w:themeColor="text1"/>
              </w:rPr>
              <w:t>Choice</w:t>
            </w:r>
          </w:p>
        </w:tc>
        <w:tc>
          <w:tcPr>
            <w:tcW w:w="1350" w:type="dxa"/>
            <w:tcBorders>
              <w:top w:val="nil"/>
              <w:left w:val="nil"/>
              <w:bottom w:val="nil"/>
              <w:right w:val="nil"/>
            </w:tcBorders>
          </w:tcPr>
          <w:p w14:paraId="34322914" w14:textId="77777777" w:rsidR="008864B7" w:rsidRPr="00C06677" w:rsidRDefault="008864B7" w:rsidP="008864B7">
            <w:pPr>
              <w:keepNext/>
              <w:keepLines/>
              <w:jc w:val="center"/>
              <w:rPr>
                <w:color w:val="000000" w:themeColor="text1"/>
              </w:rPr>
            </w:pPr>
          </w:p>
        </w:tc>
        <w:tc>
          <w:tcPr>
            <w:tcW w:w="1350" w:type="dxa"/>
            <w:tcBorders>
              <w:top w:val="nil"/>
              <w:left w:val="nil"/>
              <w:bottom w:val="nil"/>
              <w:right w:val="nil"/>
            </w:tcBorders>
          </w:tcPr>
          <w:p w14:paraId="035EA8AE" w14:textId="77777777" w:rsidR="008864B7" w:rsidRPr="00C06677" w:rsidRDefault="008864B7" w:rsidP="008864B7">
            <w:pPr>
              <w:keepNext/>
              <w:keepLines/>
              <w:jc w:val="center"/>
              <w:rPr>
                <w:color w:val="000000" w:themeColor="text1"/>
              </w:rPr>
            </w:pPr>
          </w:p>
        </w:tc>
        <w:tc>
          <w:tcPr>
            <w:tcW w:w="810" w:type="dxa"/>
            <w:tcBorders>
              <w:top w:val="nil"/>
              <w:left w:val="nil"/>
              <w:bottom w:val="nil"/>
              <w:right w:val="nil"/>
            </w:tcBorders>
          </w:tcPr>
          <w:p w14:paraId="6179C877" w14:textId="77777777" w:rsidR="008864B7" w:rsidRPr="00C06677" w:rsidRDefault="008864B7" w:rsidP="008864B7">
            <w:pPr>
              <w:keepNext/>
              <w:keepLines/>
              <w:jc w:val="center"/>
              <w:rPr>
                <w:color w:val="000000" w:themeColor="text1"/>
              </w:rPr>
            </w:pPr>
          </w:p>
        </w:tc>
        <w:tc>
          <w:tcPr>
            <w:tcW w:w="540" w:type="dxa"/>
            <w:tcBorders>
              <w:top w:val="nil"/>
              <w:left w:val="nil"/>
              <w:bottom w:val="nil"/>
              <w:right w:val="nil"/>
            </w:tcBorders>
          </w:tcPr>
          <w:p w14:paraId="180C7259" w14:textId="77777777" w:rsidR="008864B7" w:rsidRPr="00C06677" w:rsidRDefault="008864B7" w:rsidP="008864B7">
            <w:pPr>
              <w:keepNext/>
              <w:keepLines/>
              <w:jc w:val="center"/>
              <w:rPr>
                <w:color w:val="000000" w:themeColor="text1"/>
              </w:rPr>
            </w:pPr>
          </w:p>
        </w:tc>
        <w:tc>
          <w:tcPr>
            <w:tcW w:w="990" w:type="dxa"/>
            <w:tcBorders>
              <w:top w:val="nil"/>
              <w:left w:val="nil"/>
              <w:bottom w:val="single" w:sz="4" w:space="0" w:color="auto"/>
              <w:right w:val="nil"/>
            </w:tcBorders>
          </w:tcPr>
          <w:p w14:paraId="308B7023"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7059C435"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3EC908C2" w14:textId="77777777" w:rsidR="008864B7" w:rsidRPr="00C06677" w:rsidRDefault="008864B7" w:rsidP="008864B7">
            <w:pPr>
              <w:keepNext/>
              <w:keepLines/>
              <w:jc w:val="center"/>
              <w:rPr>
                <w:color w:val="000000" w:themeColor="text1"/>
              </w:rPr>
            </w:pPr>
          </w:p>
        </w:tc>
      </w:tr>
      <w:tr w:rsidR="008864B7" w:rsidRPr="00C06677" w14:paraId="46578D79" w14:textId="77777777" w:rsidTr="004A4F95">
        <w:tc>
          <w:tcPr>
            <w:tcW w:w="1980" w:type="dxa"/>
            <w:tcBorders>
              <w:bottom w:val="nil"/>
              <w:right w:val="nil"/>
            </w:tcBorders>
          </w:tcPr>
          <w:p w14:paraId="625CEA9D" w14:textId="77777777" w:rsidR="008864B7" w:rsidRPr="00C06677" w:rsidRDefault="008864B7" w:rsidP="008864B7">
            <w:pPr>
              <w:keepNext/>
              <w:keepLines/>
              <w:spacing w:before="120" w:after="120"/>
              <w:jc w:val="right"/>
              <w:rPr>
                <w:color w:val="000000" w:themeColor="text1"/>
              </w:rPr>
            </w:pPr>
            <w:r>
              <w:rPr>
                <w:color w:val="000000" w:themeColor="text1"/>
              </w:rPr>
              <w:t>BIC</w:t>
            </w:r>
          </w:p>
        </w:tc>
        <w:tc>
          <w:tcPr>
            <w:tcW w:w="1350" w:type="dxa"/>
            <w:tcBorders>
              <w:left w:val="nil"/>
              <w:bottom w:val="nil"/>
              <w:right w:val="nil"/>
            </w:tcBorders>
          </w:tcPr>
          <w:p w14:paraId="21A1613A" w14:textId="77777777" w:rsidR="008864B7" w:rsidRPr="00C06677" w:rsidRDefault="008864B7" w:rsidP="008864B7">
            <w:pPr>
              <w:keepNext/>
              <w:keepLines/>
              <w:spacing w:before="120" w:after="120"/>
              <w:jc w:val="center"/>
              <w:rPr>
                <w:color w:val="000000" w:themeColor="text1"/>
              </w:rPr>
            </w:pPr>
            <w:r>
              <w:rPr>
                <w:color w:val="000000" w:themeColor="text1"/>
              </w:rPr>
              <w:t>-30 (15)</w:t>
            </w:r>
          </w:p>
        </w:tc>
        <w:tc>
          <w:tcPr>
            <w:tcW w:w="1350" w:type="dxa"/>
            <w:tcBorders>
              <w:left w:val="nil"/>
              <w:bottom w:val="nil"/>
              <w:right w:val="nil"/>
            </w:tcBorders>
          </w:tcPr>
          <w:p w14:paraId="471BBFE4" w14:textId="77777777" w:rsidR="008864B7" w:rsidRPr="00C06677" w:rsidRDefault="008864B7" w:rsidP="008864B7">
            <w:pPr>
              <w:keepNext/>
              <w:keepLines/>
              <w:spacing w:before="120" w:after="120"/>
              <w:jc w:val="center"/>
              <w:rPr>
                <w:color w:val="000000" w:themeColor="text1"/>
              </w:rPr>
            </w:pPr>
            <w:r>
              <w:rPr>
                <w:color w:val="000000" w:themeColor="text1"/>
              </w:rPr>
              <w:t>-12 (16)</w:t>
            </w:r>
          </w:p>
        </w:tc>
        <w:tc>
          <w:tcPr>
            <w:tcW w:w="810" w:type="dxa"/>
            <w:tcBorders>
              <w:left w:val="nil"/>
              <w:bottom w:val="nil"/>
              <w:right w:val="nil"/>
            </w:tcBorders>
          </w:tcPr>
          <w:p w14:paraId="0E9D7528" w14:textId="77777777" w:rsidR="008864B7" w:rsidRPr="00C06677" w:rsidRDefault="008864B7" w:rsidP="008864B7">
            <w:pPr>
              <w:keepNext/>
              <w:keepLines/>
              <w:spacing w:before="120" w:after="120"/>
              <w:jc w:val="center"/>
              <w:rPr>
                <w:color w:val="000000" w:themeColor="text1"/>
              </w:rPr>
            </w:pPr>
            <w:r>
              <w:rPr>
                <w:color w:val="000000" w:themeColor="text1"/>
              </w:rPr>
              <w:t>6.12</w:t>
            </w:r>
          </w:p>
        </w:tc>
        <w:tc>
          <w:tcPr>
            <w:tcW w:w="540" w:type="dxa"/>
            <w:tcBorders>
              <w:left w:val="nil"/>
              <w:bottom w:val="nil"/>
              <w:right w:val="nil"/>
            </w:tcBorders>
          </w:tcPr>
          <w:p w14:paraId="49A44584"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top w:val="single" w:sz="4" w:space="0" w:color="auto"/>
              <w:left w:val="nil"/>
              <w:bottom w:val="nil"/>
              <w:right w:val="nil"/>
            </w:tcBorders>
          </w:tcPr>
          <w:p w14:paraId="3E0BA575"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top w:val="single" w:sz="4" w:space="0" w:color="auto"/>
              <w:left w:val="nil"/>
              <w:bottom w:val="nil"/>
              <w:right w:val="nil"/>
            </w:tcBorders>
          </w:tcPr>
          <w:p w14:paraId="5FD73E70" w14:textId="77777777" w:rsidR="008864B7" w:rsidRPr="00C06677" w:rsidRDefault="008864B7" w:rsidP="008864B7">
            <w:pPr>
              <w:keepNext/>
              <w:keepLines/>
              <w:spacing w:before="120" w:after="120"/>
              <w:jc w:val="center"/>
              <w:rPr>
                <w:color w:val="000000" w:themeColor="text1"/>
              </w:rPr>
            </w:pPr>
            <w:r>
              <w:rPr>
                <w:color w:val="000000" w:themeColor="text1"/>
              </w:rPr>
              <w:t>1.33</w:t>
            </w:r>
          </w:p>
        </w:tc>
        <w:tc>
          <w:tcPr>
            <w:tcW w:w="1350" w:type="dxa"/>
            <w:tcBorders>
              <w:top w:val="single" w:sz="4" w:space="0" w:color="auto"/>
              <w:left w:val="nil"/>
              <w:bottom w:val="nil"/>
              <w:right w:val="nil"/>
            </w:tcBorders>
          </w:tcPr>
          <w:p w14:paraId="5F832CB9"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2D4D6780" w14:textId="77777777" w:rsidTr="004A4F95">
        <w:tc>
          <w:tcPr>
            <w:tcW w:w="1980" w:type="dxa"/>
            <w:tcBorders>
              <w:top w:val="nil"/>
              <w:bottom w:val="nil"/>
              <w:right w:val="nil"/>
            </w:tcBorders>
          </w:tcPr>
          <w:p w14:paraId="27DB33C0" w14:textId="77777777" w:rsidR="008864B7" w:rsidRPr="00C06677" w:rsidRDefault="008864B7" w:rsidP="008864B7">
            <w:pPr>
              <w:keepNext/>
              <w:keepLines/>
              <w:spacing w:before="120" w:after="120"/>
              <w:jc w:val="right"/>
              <w:rPr>
                <w:color w:val="000000" w:themeColor="text1"/>
              </w:rPr>
            </w:pPr>
            <w:r w:rsidRPr="00C06677">
              <w:rPr>
                <w:color w:val="000000" w:themeColor="text1"/>
              </w:rPr>
              <w:t>r</w:t>
            </w:r>
            <w:r w:rsidRPr="00C06677">
              <w:rPr>
                <w:color w:val="000000" w:themeColor="text1"/>
                <w:vertAlign w:val="superscript"/>
              </w:rPr>
              <w:t>2</w:t>
            </w:r>
          </w:p>
        </w:tc>
        <w:tc>
          <w:tcPr>
            <w:tcW w:w="1350" w:type="dxa"/>
            <w:tcBorders>
              <w:top w:val="nil"/>
              <w:left w:val="nil"/>
              <w:bottom w:val="nil"/>
              <w:right w:val="nil"/>
            </w:tcBorders>
          </w:tcPr>
          <w:p w14:paraId="1F5D0998" w14:textId="77777777" w:rsidR="008864B7" w:rsidRPr="00C06677" w:rsidRDefault="008864B7" w:rsidP="008864B7">
            <w:pPr>
              <w:keepNext/>
              <w:keepLines/>
              <w:spacing w:before="120" w:after="120"/>
              <w:jc w:val="center"/>
              <w:rPr>
                <w:color w:val="000000" w:themeColor="text1"/>
              </w:rPr>
            </w:pPr>
            <w:r>
              <w:rPr>
                <w:color w:val="000000" w:themeColor="text1"/>
              </w:rPr>
              <w:t>0.58 (0.19)</w:t>
            </w:r>
          </w:p>
        </w:tc>
        <w:tc>
          <w:tcPr>
            <w:tcW w:w="1350" w:type="dxa"/>
            <w:tcBorders>
              <w:top w:val="nil"/>
              <w:left w:val="nil"/>
              <w:bottom w:val="nil"/>
              <w:right w:val="nil"/>
            </w:tcBorders>
          </w:tcPr>
          <w:p w14:paraId="4F45D293" w14:textId="77777777" w:rsidR="008864B7" w:rsidRPr="00C06677" w:rsidRDefault="008864B7" w:rsidP="008864B7">
            <w:pPr>
              <w:keepNext/>
              <w:keepLines/>
              <w:spacing w:before="120" w:after="120"/>
              <w:jc w:val="center"/>
              <w:rPr>
                <w:color w:val="000000" w:themeColor="text1"/>
              </w:rPr>
            </w:pPr>
            <w:r>
              <w:rPr>
                <w:color w:val="000000" w:themeColor="text1"/>
              </w:rPr>
              <w:t>0.45 (0.18)</w:t>
            </w:r>
          </w:p>
        </w:tc>
        <w:tc>
          <w:tcPr>
            <w:tcW w:w="810" w:type="dxa"/>
            <w:tcBorders>
              <w:top w:val="nil"/>
              <w:left w:val="nil"/>
              <w:bottom w:val="nil"/>
              <w:right w:val="nil"/>
            </w:tcBorders>
          </w:tcPr>
          <w:p w14:paraId="44AC40BF" w14:textId="77777777" w:rsidR="008864B7" w:rsidRPr="00C06677" w:rsidRDefault="008864B7" w:rsidP="008864B7">
            <w:pPr>
              <w:keepNext/>
              <w:keepLines/>
              <w:spacing w:before="120" w:after="120"/>
              <w:jc w:val="center"/>
              <w:rPr>
                <w:color w:val="000000" w:themeColor="text1"/>
              </w:rPr>
            </w:pPr>
            <w:r>
              <w:rPr>
                <w:color w:val="000000" w:themeColor="text1"/>
              </w:rPr>
              <w:t>3.71</w:t>
            </w:r>
          </w:p>
        </w:tc>
        <w:tc>
          <w:tcPr>
            <w:tcW w:w="540" w:type="dxa"/>
            <w:tcBorders>
              <w:top w:val="nil"/>
              <w:left w:val="nil"/>
              <w:bottom w:val="nil"/>
              <w:right w:val="nil"/>
            </w:tcBorders>
          </w:tcPr>
          <w:p w14:paraId="1F3CB615"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top w:val="nil"/>
              <w:left w:val="nil"/>
              <w:bottom w:val="nil"/>
              <w:right w:val="nil"/>
            </w:tcBorders>
          </w:tcPr>
          <w:p w14:paraId="7721FD2C"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top w:val="nil"/>
              <w:left w:val="nil"/>
              <w:bottom w:val="nil"/>
              <w:right w:val="nil"/>
            </w:tcBorders>
          </w:tcPr>
          <w:p w14:paraId="6DFA6E01" w14:textId="77777777" w:rsidR="008864B7" w:rsidRPr="00C06677" w:rsidRDefault="008864B7" w:rsidP="008864B7">
            <w:pPr>
              <w:keepNext/>
              <w:keepLines/>
              <w:spacing w:before="120" w:after="120"/>
              <w:jc w:val="center"/>
              <w:rPr>
                <w:color w:val="000000" w:themeColor="text1"/>
              </w:rPr>
            </w:pPr>
            <w:r>
              <w:rPr>
                <w:color w:val="000000" w:themeColor="text1"/>
              </w:rPr>
              <w:t>0.81</w:t>
            </w:r>
          </w:p>
        </w:tc>
        <w:tc>
          <w:tcPr>
            <w:tcW w:w="1350" w:type="dxa"/>
            <w:tcBorders>
              <w:top w:val="nil"/>
              <w:left w:val="nil"/>
              <w:bottom w:val="nil"/>
              <w:right w:val="nil"/>
            </w:tcBorders>
          </w:tcPr>
          <w:p w14:paraId="3B5B014B"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3510E38D" w14:textId="77777777" w:rsidTr="004A4F95">
        <w:tc>
          <w:tcPr>
            <w:tcW w:w="1980" w:type="dxa"/>
            <w:tcBorders>
              <w:top w:val="nil"/>
              <w:bottom w:val="single" w:sz="4" w:space="0" w:color="auto"/>
              <w:right w:val="nil"/>
            </w:tcBorders>
          </w:tcPr>
          <w:p w14:paraId="0D885765" w14:textId="77777777" w:rsidR="008864B7" w:rsidRPr="00C06677" w:rsidRDefault="008864B7" w:rsidP="008864B7">
            <w:pPr>
              <w:keepNext/>
              <w:keepLines/>
              <w:spacing w:before="120"/>
              <w:jc w:val="center"/>
              <w:rPr>
                <w:color w:val="000000" w:themeColor="text1"/>
              </w:rPr>
            </w:pPr>
            <w:r>
              <w:rPr>
                <w:color w:val="000000" w:themeColor="text1"/>
              </w:rPr>
              <w:t>Reaction Time</w:t>
            </w:r>
          </w:p>
        </w:tc>
        <w:tc>
          <w:tcPr>
            <w:tcW w:w="1350" w:type="dxa"/>
            <w:tcBorders>
              <w:top w:val="nil"/>
              <w:left w:val="nil"/>
              <w:bottom w:val="single" w:sz="4" w:space="0" w:color="auto"/>
              <w:right w:val="nil"/>
            </w:tcBorders>
          </w:tcPr>
          <w:p w14:paraId="428D7284"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476F0DF7" w14:textId="77777777" w:rsidR="008864B7" w:rsidRPr="00C06677" w:rsidRDefault="008864B7" w:rsidP="008864B7">
            <w:pPr>
              <w:keepNext/>
              <w:keepLines/>
              <w:jc w:val="center"/>
              <w:rPr>
                <w:color w:val="000000" w:themeColor="text1"/>
              </w:rPr>
            </w:pPr>
          </w:p>
        </w:tc>
        <w:tc>
          <w:tcPr>
            <w:tcW w:w="810" w:type="dxa"/>
            <w:tcBorders>
              <w:top w:val="nil"/>
              <w:left w:val="nil"/>
              <w:bottom w:val="single" w:sz="4" w:space="0" w:color="auto"/>
              <w:right w:val="nil"/>
            </w:tcBorders>
          </w:tcPr>
          <w:p w14:paraId="0A7798AC" w14:textId="77777777" w:rsidR="008864B7" w:rsidRPr="00C06677" w:rsidRDefault="008864B7" w:rsidP="008864B7">
            <w:pPr>
              <w:keepNext/>
              <w:keepLines/>
              <w:jc w:val="center"/>
              <w:rPr>
                <w:color w:val="000000" w:themeColor="text1"/>
              </w:rPr>
            </w:pPr>
          </w:p>
        </w:tc>
        <w:tc>
          <w:tcPr>
            <w:tcW w:w="540" w:type="dxa"/>
            <w:tcBorders>
              <w:top w:val="nil"/>
              <w:left w:val="nil"/>
              <w:bottom w:val="single" w:sz="4" w:space="0" w:color="auto"/>
              <w:right w:val="nil"/>
            </w:tcBorders>
          </w:tcPr>
          <w:p w14:paraId="2928AD17" w14:textId="77777777" w:rsidR="008864B7" w:rsidRPr="00C06677" w:rsidRDefault="008864B7" w:rsidP="008864B7">
            <w:pPr>
              <w:keepNext/>
              <w:keepLines/>
              <w:jc w:val="center"/>
              <w:rPr>
                <w:color w:val="000000" w:themeColor="text1"/>
              </w:rPr>
            </w:pPr>
          </w:p>
        </w:tc>
        <w:tc>
          <w:tcPr>
            <w:tcW w:w="990" w:type="dxa"/>
            <w:tcBorders>
              <w:top w:val="nil"/>
              <w:left w:val="nil"/>
              <w:bottom w:val="single" w:sz="4" w:space="0" w:color="auto"/>
              <w:right w:val="nil"/>
            </w:tcBorders>
          </w:tcPr>
          <w:p w14:paraId="18852473"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46D40221"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4E628839" w14:textId="77777777" w:rsidR="008864B7" w:rsidRPr="00C06677" w:rsidRDefault="008864B7" w:rsidP="008864B7">
            <w:pPr>
              <w:keepNext/>
              <w:keepLines/>
              <w:jc w:val="center"/>
              <w:rPr>
                <w:color w:val="000000" w:themeColor="text1"/>
              </w:rPr>
            </w:pPr>
          </w:p>
        </w:tc>
      </w:tr>
      <w:tr w:rsidR="008864B7" w:rsidRPr="00C06677" w14:paraId="38C5CDE5" w14:textId="77777777" w:rsidTr="004A4F95">
        <w:tc>
          <w:tcPr>
            <w:tcW w:w="1980" w:type="dxa"/>
            <w:tcBorders>
              <w:top w:val="single" w:sz="4" w:space="0" w:color="auto"/>
              <w:bottom w:val="nil"/>
              <w:right w:val="nil"/>
            </w:tcBorders>
          </w:tcPr>
          <w:p w14:paraId="63F660D4" w14:textId="77777777" w:rsidR="008864B7" w:rsidRPr="00C06677" w:rsidRDefault="008864B7" w:rsidP="008864B7">
            <w:pPr>
              <w:keepNext/>
              <w:keepLines/>
              <w:spacing w:before="120" w:after="120"/>
              <w:jc w:val="right"/>
              <w:rPr>
                <w:color w:val="000000" w:themeColor="text1"/>
              </w:rPr>
            </w:pPr>
            <w:r>
              <w:rPr>
                <w:color w:val="000000" w:themeColor="text1"/>
              </w:rPr>
              <w:t>BIC</w:t>
            </w:r>
          </w:p>
        </w:tc>
        <w:tc>
          <w:tcPr>
            <w:tcW w:w="1350" w:type="dxa"/>
            <w:tcBorders>
              <w:top w:val="single" w:sz="4" w:space="0" w:color="auto"/>
              <w:left w:val="nil"/>
              <w:bottom w:val="nil"/>
              <w:right w:val="nil"/>
            </w:tcBorders>
          </w:tcPr>
          <w:p w14:paraId="7DED7F3A" w14:textId="77777777" w:rsidR="008864B7" w:rsidRPr="00C06677" w:rsidRDefault="008864B7" w:rsidP="008864B7">
            <w:pPr>
              <w:keepNext/>
              <w:keepLines/>
              <w:spacing w:before="120" w:after="120"/>
              <w:jc w:val="center"/>
              <w:rPr>
                <w:color w:val="000000" w:themeColor="text1"/>
              </w:rPr>
            </w:pPr>
            <w:r>
              <w:rPr>
                <w:color w:val="000000" w:themeColor="text1"/>
              </w:rPr>
              <w:t>-38 (11)</w:t>
            </w:r>
          </w:p>
        </w:tc>
        <w:tc>
          <w:tcPr>
            <w:tcW w:w="1350" w:type="dxa"/>
            <w:tcBorders>
              <w:top w:val="single" w:sz="4" w:space="0" w:color="auto"/>
              <w:left w:val="nil"/>
              <w:bottom w:val="nil"/>
              <w:right w:val="nil"/>
            </w:tcBorders>
          </w:tcPr>
          <w:p w14:paraId="1B36C896" w14:textId="77777777" w:rsidR="008864B7" w:rsidRPr="00C06677" w:rsidRDefault="008864B7" w:rsidP="008864B7">
            <w:pPr>
              <w:keepNext/>
              <w:keepLines/>
              <w:spacing w:before="120" w:after="120"/>
              <w:jc w:val="center"/>
              <w:rPr>
                <w:color w:val="000000" w:themeColor="text1"/>
              </w:rPr>
            </w:pPr>
            <w:r>
              <w:rPr>
                <w:color w:val="000000" w:themeColor="text1"/>
              </w:rPr>
              <w:t>-26 (11)</w:t>
            </w:r>
          </w:p>
        </w:tc>
        <w:tc>
          <w:tcPr>
            <w:tcW w:w="810" w:type="dxa"/>
            <w:tcBorders>
              <w:top w:val="single" w:sz="4" w:space="0" w:color="auto"/>
              <w:left w:val="nil"/>
              <w:bottom w:val="nil"/>
              <w:right w:val="nil"/>
            </w:tcBorders>
          </w:tcPr>
          <w:p w14:paraId="1FB9E75B" w14:textId="77777777" w:rsidR="008864B7" w:rsidRPr="00C06677" w:rsidRDefault="008864B7" w:rsidP="008864B7">
            <w:pPr>
              <w:keepNext/>
              <w:keepLines/>
              <w:spacing w:before="120" w:after="120"/>
              <w:jc w:val="center"/>
              <w:rPr>
                <w:color w:val="000000" w:themeColor="text1"/>
              </w:rPr>
            </w:pPr>
            <w:r>
              <w:rPr>
                <w:color w:val="000000" w:themeColor="text1"/>
              </w:rPr>
              <w:t>5.42</w:t>
            </w:r>
          </w:p>
        </w:tc>
        <w:tc>
          <w:tcPr>
            <w:tcW w:w="540" w:type="dxa"/>
            <w:tcBorders>
              <w:top w:val="single" w:sz="4" w:space="0" w:color="auto"/>
              <w:left w:val="nil"/>
              <w:bottom w:val="nil"/>
              <w:right w:val="nil"/>
            </w:tcBorders>
          </w:tcPr>
          <w:p w14:paraId="39ED3EC3"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top w:val="single" w:sz="4" w:space="0" w:color="auto"/>
              <w:left w:val="nil"/>
              <w:bottom w:val="nil"/>
              <w:right w:val="nil"/>
            </w:tcBorders>
          </w:tcPr>
          <w:p w14:paraId="5D8D9B3A"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top w:val="single" w:sz="4" w:space="0" w:color="auto"/>
              <w:left w:val="nil"/>
              <w:bottom w:val="nil"/>
              <w:right w:val="nil"/>
            </w:tcBorders>
          </w:tcPr>
          <w:p w14:paraId="1C88D87D" w14:textId="77777777" w:rsidR="008864B7" w:rsidRPr="00C06677" w:rsidRDefault="008864B7" w:rsidP="008864B7">
            <w:pPr>
              <w:keepNext/>
              <w:keepLines/>
              <w:spacing w:before="120" w:after="120"/>
              <w:jc w:val="center"/>
              <w:rPr>
                <w:color w:val="000000" w:themeColor="text1"/>
              </w:rPr>
            </w:pPr>
            <w:r>
              <w:rPr>
                <w:color w:val="000000" w:themeColor="text1"/>
              </w:rPr>
              <w:t>1.18</w:t>
            </w:r>
          </w:p>
        </w:tc>
        <w:tc>
          <w:tcPr>
            <w:tcW w:w="1350" w:type="dxa"/>
            <w:tcBorders>
              <w:top w:val="single" w:sz="4" w:space="0" w:color="auto"/>
              <w:left w:val="nil"/>
              <w:bottom w:val="nil"/>
              <w:right w:val="nil"/>
            </w:tcBorders>
          </w:tcPr>
          <w:p w14:paraId="48E5F3C6"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2F605B01" w14:textId="77777777" w:rsidTr="004A4F95">
        <w:tc>
          <w:tcPr>
            <w:tcW w:w="1980" w:type="dxa"/>
            <w:tcBorders>
              <w:top w:val="nil"/>
              <w:bottom w:val="nil"/>
              <w:right w:val="nil"/>
            </w:tcBorders>
          </w:tcPr>
          <w:p w14:paraId="1778914D" w14:textId="77777777" w:rsidR="008864B7" w:rsidRPr="00C06677" w:rsidRDefault="008864B7" w:rsidP="008864B7">
            <w:pPr>
              <w:keepNext/>
              <w:keepLines/>
              <w:spacing w:before="120" w:after="120"/>
              <w:jc w:val="right"/>
              <w:rPr>
                <w:color w:val="000000" w:themeColor="text1"/>
              </w:rPr>
            </w:pPr>
            <w:r w:rsidRPr="00C06677">
              <w:rPr>
                <w:color w:val="000000" w:themeColor="text1"/>
              </w:rPr>
              <w:t>r</w:t>
            </w:r>
            <w:r w:rsidRPr="00C06677">
              <w:rPr>
                <w:color w:val="000000" w:themeColor="text1"/>
                <w:vertAlign w:val="superscript"/>
              </w:rPr>
              <w:t>2</w:t>
            </w:r>
          </w:p>
        </w:tc>
        <w:tc>
          <w:tcPr>
            <w:tcW w:w="1350" w:type="dxa"/>
            <w:tcBorders>
              <w:top w:val="nil"/>
              <w:left w:val="nil"/>
              <w:bottom w:val="nil"/>
              <w:right w:val="nil"/>
            </w:tcBorders>
          </w:tcPr>
          <w:p w14:paraId="076AF8EA" w14:textId="77777777" w:rsidR="008864B7" w:rsidRPr="00C06677" w:rsidRDefault="008864B7" w:rsidP="008864B7">
            <w:pPr>
              <w:keepNext/>
              <w:keepLines/>
              <w:spacing w:before="120" w:after="120"/>
              <w:jc w:val="center"/>
              <w:rPr>
                <w:color w:val="000000" w:themeColor="text1"/>
              </w:rPr>
            </w:pPr>
            <w:r>
              <w:rPr>
                <w:color w:val="000000" w:themeColor="text1"/>
              </w:rPr>
              <w:t>0.73 (0.2)</w:t>
            </w:r>
          </w:p>
        </w:tc>
        <w:tc>
          <w:tcPr>
            <w:tcW w:w="1350" w:type="dxa"/>
            <w:tcBorders>
              <w:top w:val="nil"/>
              <w:left w:val="nil"/>
              <w:bottom w:val="nil"/>
              <w:right w:val="nil"/>
            </w:tcBorders>
          </w:tcPr>
          <w:p w14:paraId="2DDBD67E" w14:textId="77777777" w:rsidR="008864B7" w:rsidRPr="00C06677" w:rsidRDefault="008864B7" w:rsidP="008864B7">
            <w:pPr>
              <w:keepNext/>
              <w:keepLines/>
              <w:spacing w:before="120" w:after="120"/>
              <w:jc w:val="center"/>
              <w:rPr>
                <w:color w:val="000000" w:themeColor="text1"/>
              </w:rPr>
            </w:pPr>
            <w:r>
              <w:rPr>
                <w:color w:val="000000" w:themeColor="text1"/>
              </w:rPr>
              <w:t>0.57 (0.2)</w:t>
            </w:r>
          </w:p>
        </w:tc>
        <w:tc>
          <w:tcPr>
            <w:tcW w:w="810" w:type="dxa"/>
            <w:tcBorders>
              <w:top w:val="nil"/>
              <w:left w:val="nil"/>
              <w:bottom w:val="nil"/>
              <w:right w:val="nil"/>
            </w:tcBorders>
          </w:tcPr>
          <w:p w14:paraId="65C05D10" w14:textId="77777777" w:rsidR="008864B7" w:rsidRPr="00C06677" w:rsidRDefault="008864B7" w:rsidP="008864B7">
            <w:pPr>
              <w:keepNext/>
              <w:keepLines/>
              <w:spacing w:before="120" w:after="120"/>
              <w:jc w:val="center"/>
              <w:rPr>
                <w:color w:val="000000" w:themeColor="text1"/>
              </w:rPr>
            </w:pPr>
            <w:r>
              <w:rPr>
                <w:color w:val="000000" w:themeColor="text1"/>
              </w:rPr>
              <w:t>4.86</w:t>
            </w:r>
          </w:p>
        </w:tc>
        <w:tc>
          <w:tcPr>
            <w:tcW w:w="540" w:type="dxa"/>
            <w:tcBorders>
              <w:top w:val="nil"/>
              <w:left w:val="nil"/>
              <w:bottom w:val="nil"/>
              <w:right w:val="nil"/>
            </w:tcBorders>
          </w:tcPr>
          <w:p w14:paraId="1FBF1EFC"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top w:val="nil"/>
              <w:left w:val="nil"/>
              <w:bottom w:val="nil"/>
              <w:right w:val="nil"/>
            </w:tcBorders>
          </w:tcPr>
          <w:p w14:paraId="021459CE"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top w:val="nil"/>
              <w:left w:val="nil"/>
              <w:bottom w:val="nil"/>
              <w:right w:val="nil"/>
            </w:tcBorders>
          </w:tcPr>
          <w:p w14:paraId="61C5E669" w14:textId="77777777" w:rsidR="008864B7" w:rsidRPr="00C06677" w:rsidRDefault="008864B7" w:rsidP="008864B7">
            <w:pPr>
              <w:keepNext/>
              <w:keepLines/>
              <w:spacing w:before="120" w:after="120"/>
              <w:jc w:val="center"/>
              <w:rPr>
                <w:color w:val="000000" w:themeColor="text1"/>
              </w:rPr>
            </w:pPr>
            <w:r>
              <w:rPr>
                <w:color w:val="000000" w:themeColor="text1"/>
              </w:rPr>
              <w:t>1.06</w:t>
            </w:r>
          </w:p>
        </w:tc>
        <w:tc>
          <w:tcPr>
            <w:tcW w:w="1350" w:type="dxa"/>
            <w:tcBorders>
              <w:top w:val="nil"/>
              <w:left w:val="nil"/>
              <w:bottom w:val="nil"/>
              <w:right w:val="nil"/>
            </w:tcBorders>
          </w:tcPr>
          <w:p w14:paraId="00253B4B"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1A63292B" w14:textId="77777777" w:rsidTr="004A4F95">
        <w:tc>
          <w:tcPr>
            <w:tcW w:w="1980" w:type="dxa"/>
            <w:tcBorders>
              <w:top w:val="nil"/>
              <w:bottom w:val="single" w:sz="4" w:space="0" w:color="auto"/>
              <w:right w:val="nil"/>
            </w:tcBorders>
          </w:tcPr>
          <w:p w14:paraId="1E8FF608" w14:textId="77777777" w:rsidR="008864B7" w:rsidRPr="00C06677" w:rsidRDefault="008864B7" w:rsidP="008864B7">
            <w:pPr>
              <w:keepNext/>
              <w:keepLines/>
              <w:jc w:val="right"/>
              <w:rPr>
                <w:color w:val="000000" w:themeColor="text1"/>
              </w:rPr>
            </w:pPr>
          </w:p>
        </w:tc>
        <w:tc>
          <w:tcPr>
            <w:tcW w:w="1350" w:type="dxa"/>
            <w:tcBorders>
              <w:top w:val="nil"/>
              <w:left w:val="nil"/>
              <w:bottom w:val="single" w:sz="4" w:space="0" w:color="auto"/>
              <w:right w:val="nil"/>
            </w:tcBorders>
          </w:tcPr>
          <w:p w14:paraId="13DE4968"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51B2CC9C" w14:textId="77777777" w:rsidR="008864B7" w:rsidRPr="00C06677" w:rsidRDefault="008864B7" w:rsidP="008864B7">
            <w:pPr>
              <w:keepNext/>
              <w:keepLines/>
              <w:jc w:val="center"/>
              <w:rPr>
                <w:color w:val="000000" w:themeColor="text1"/>
              </w:rPr>
            </w:pPr>
          </w:p>
        </w:tc>
        <w:tc>
          <w:tcPr>
            <w:tcW w:w="810" w:type="dxa"/>
            <w:tcBorders>
              <w:top w:val="nil"/>
              <w:left w:val="nil"/>
              <w:bottom w:val="single" w:sz="4" w:space="0" w:color="auto"/>
              <w:right w:val="nil"/>
            </w:tcBorders>
          </w:tcPr>
          <w:p w14:paraId="53604E7E" w14:textId="77777777" w:rsidR="008864B7" w:rsidRPr="00C06677" w:rsidRDefault="008864B7" w:rsidP="008864B7">
            <w:pPr>
              <w:keepNext/>
              <w:keepLines/>
              <w:jc w:val="center"/>
              <w:rPr>
                <w:color w:val="000000" w:themeColor="text1"/>
              </w:rPr>
            </w:pPr>
          </w:p>
        </w:tc>
        <w:tc>
          <w:tcPr>
            <w:tcW w:w="540" w:type="dxa"/>
            <w:tcBorders>
              <w:top w:val="nil"/>
              <w:left w:val="nil"/>
              <w:bottom w:val="single" w:sz="4" w:space="0" w:color="auto"/>
              <w:right w:val="nil"/>
            </w:tcBorders>
          </w:tcPr>
          <w:p w14:paraId="30B01F1A" w14:textId="77777777" w:rsidR="008864B7" w:rsidRPr="00C06677" w:rsidRDefault="008864B7" w:rsidP="008864B7">
            <w:pPr>
              <w:keepNext/>
              <w:keepLines/>
              <w:jc w:val="center"/>
              <w:rPr>
                <w:color w:val="000000" w:themeColor="text1"/>
              </w:rPr>
            </w:pPr>
          </w:p>
        </w:tc>
        <w:tc>
          <w:tcPr>
            <w:tcW w:w="990" w:type="dxa"/>
            <w:tcBorders>
              <w:top w:val="nil"/>
              <w:left w:val="nil"/>
              <w:bottom w:val="single" w:sz="4" w:space="0" w:color="auto"/>
              <w:right w:val="nil"/>
            </w:tcBorders>
          </w:tcPr>
          <w:p w14:paraId="6FA5EE6D"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4BB8BE76"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096FA03E" w14:textId="77777777" w:rsidR="008864B7" w:rsidRPr="00C06677" w:rsidRDefault="008864B7" w:rsidP="008864B7">
            <w:pPr>
              <w:keepNext/>
              <w:keepLines/>
              <w:jc w:val="center"/>
              <w:rPr>
                <w:color w:val="000000" w:themeColor="text1"/>
              </w:rPr>
            </w:pPr>
          </w:p>
        </w:tc>
      </w:tr>
      <w:tr w:rsidR="008864B7" w:rsidRPr="00C06677" w14:paraId="134208FB" w14:textId="77777777" w:rsidTr="004A4F95">
        <w:tc>
          <w:tcPr>
            <w:tcW w:w="1980" w:type="dxa"/>
            <w:tcBorders>
              <w:top w:val="single" w:sz="4" w:space="0" w:color="auto"/>
              <w:bottom w:val="nil"/>
              <w:right w:val="nil"/>
            </w:tcBorders>
            <w:vAlign w:val="bottom"/>
          </w:tcPr>
          <w:p w14:paraId="692F0466" w14:textId="77777777" w:rsidR="008864B7" w:rsidRPr="004A26C9" w:rsidRDefault="008864B7" w:rsidP="008864B7">
            <w:pPr>
              <w:keepNext/>
              <w:keepLines/>
              <w:spacing w:before="120"/>
              <w:rPr>
                <w:b/>
                <w:bCs/>
                <w:color w:val="000000" w:themeColor="text1"/>
              </w:rPr>
            </w:pPr>
            <w:r w:rsidRPr="004A26C9">
              <w:rPr>
                <w:b/>
                <w:bCs/>
                <w:color w:val="000000" w:themeColor="text1"/>
              </w:rPr>
              <w:t>Experiment 2</w:t>
            </w:r>
          </w:p>
        </w:tc>
        <w:tc>
          <w:tcPr>
            <w:tcW w:w="1350" w:type="dxa"/>
            <w:tcBorders>
              <w:top w:val="single" w:sz="4" w:space="0" w:color="auto"/>
              <w:left w:val="nil"/>
              <w:bottom w:val="nil"/>
              <w:right w:val="nil"/>
            </w:tcBorders>
            <w:vAlign w:val="bottom"/>
          </w:tcPr>
          <w:p w14:paraId="4BC8BC95" w14:textId="77777777" w:rsidR="008864B7" w:rsidRPr="00C06677" w:rsidRDefault="008864B7" w:rsidP="008864B7">
            <w:pPr>
              <w:keepNext/>
              <w:keepLines/>
              <w:jc w:val="center"/>
              <w:rPr>
                <w:color w:val="000000" w:themeColor="text1"/>
              </w:rPr>
            </w:pPr>
          </w:p>
        </w:tc>
        <w:tc>
          <w:tcPr>
            <w:tcW w:w="1350" w:type="dxa"/>
            <w:tcBorders>
              <w:top w:val="single" w:sz="4" w:space="0" w:color="auto"/>
              <w:left w:val="nil"/>
              <w:bottom w:val="nil"/>
              <w:right w:val="nil"/>
            </w:tcBorders>
            <w:vAlign w:val="bottom"/>
          </w:tcPr>
          <w:p w14:paraId="6EF77FCF" w14:textId="77777777" w:rsidR="008864B7" w:rsidRPr="00C06677" w:rsidRDefault="008864B7" w:rsidP="008864B7">
            <w:pPr>
              <w:keepNext/>
              <w:keepLines/>
              <w:jc w:val="center"/>
              <w:rPr>
                <w:color w:val="000000" w:themeColor="text1"/>
              </w:rPr>
            </w:pPr>
          </w:p>
        </w:tc>
        <w:tc>
          <w:tcPr>
            <w:tcW w:w="810" w:type="dxa"/>
            <w:tcBorders>
              <w:top w:val="single" w:sz="4" w:space="0" w:color="auto"/>
              <w:left w:val="nil"/>
              <w:bottom w:val="nil"/>
              <w:right w:val="nil"/>
            </w:tcBorders>
            <w:vAlign w:val="bottom"/>
          </w:tcPr>
          <w:p w14:paraId="27EF26AE" w14:textId="77777777" w:rsidR="008864B7" w:rsidRPr="00C06677" w:rsidRDefault="008864B7" w:rsidP="008864B7">
            <w:pPr>
              <w:keepNext/>
              <w:keepLines/>
              <w:jc w:val="center"/>
              <w:rPr>
                <w:color w:val="000000" w:themeColor="text1"/>
              </w:rPr>
            </w:pPr>
          </w:p>
        </w:tc>
        <w:tc>
          <w:tcPr>
            <w:tcW w:w="540" w:type="dxa"/>
            <w:tcBorders>
              <w:top w:val="single" w:sz="4" w:space="0" w:color="auto"/>
              <w:left w:val="nil"/>
              <w:bottom w:val="nil"/>
              <w:right w:val="nil"/>
            </w:tcBorders>
            <w:vAlign w:val="bottom"/>
          </w:tcPr>
          <w:p w14:paraId="1CABAC11" w14:textId="77777777" w:rsidR="008864B7" w:rsidRPr="00C06677" w:rsidRDefault="008864B7" w:rsidP="008864B7">
            <w:pPr>
              <w:keepNext/>
              <w:keepLines/>
              <w:jc w:val="center"/>
              <w:rPr>
                <w:color w:val="000000" w:themeColor="text1"/>
              </w:rPr>
            </w:pPr>
          </w:p>
        </w:tc>
        <w:tc>
          <w:tcPr>
            <w:tcW w:w="990" w:type="dxa"/>
            <w:tcBorders>
              <w:top w:val="single" w:sz="4" w:space="0" w:color="auto"/>
              <w:left w:val="nil"/>
              <w:bottom w:val="nil"/>
              <w:right w:val="nil"/>
            </w:tcBorders>
            <w:vAlign w:val="bottom"/>
          </w:tcPr>
          <w:p w14:paraId="00F4CD44" w14:textId="77777777" w:rsidR="008864B7" w:rsidRPr="00C06677" w:rsidRDefault="008864B7" w:rsidP="008864B7">
            <w:pPr>
              <w:keepNext/>
              <w:keepLines/>
              <w:jc w:val="center"/>
              <w:rPr>
                <w:color w:val="000000" w:themeColor="text1"/>
              </w:rPr>
            </w:pPr>
          </w:p>
        </w:tc>
        <w:tc>
          <w:tcPr>
            <w:tcW w:w="1350" w:type="dxa"/>
            <w:tcBorders>
              <w:top w:val="single" w:sz="4" w:space="0" w:color="auto"/>
              <w:left w:val="nil"/>
              <w:bottom w:val="nil"/>
              <w:right w:val="nil"/>
            </w:tcBorders>
            <w:vAlign w:val="bottom"/>
          </w:tcPr>
          <w:p w14:paraId="4A7348F3" w14:textId="77777777" w:rsidR="008864B7" w:rsidRPr="00C06677" w:rsidRDefault="008864B7" w:rsidP="008864B7">
            <w:pPr>
              <w:keepNext/>
              <w:keepLines/>
              <w:jc w:val="center"/>
              <w:rPr>
                <w:color w:val="000000" w:themeColor="text1"/>
              </w:rPr>
            </w:pPr>
          </w:p>
        </w:tc>
        <w:tc>
          <w:tcPr>
            <w:tcW w:w="1350" w:type="dxa"/>
            <w:tcBorders>
              <w:top w:val="single" w:sz="4" w:space="0" w:color="auto"/>
              <w:left w:val="nil"/>
              <w:bottom w:val="nil"/>
              <w:right w:val="nil"/>
            </w:tcBorders>
            <w:vAlign w:val="bottom"/>
          </w:tcPr>
          <w:p w14:paraId="43C2624D" w14:textId="77777777" w:rsidR="008864B7" w:rsidRPr="00C06677" w:rsidRDefault="008864B7" w:rsidP="008864B7">
            <w:pPr>
              <w:keepNext/>
              <w:keepLines/>
              <w:jc w:val="center"/>
              <w:rPr>
                <w:color w:val="000000" w:themeColor="text1"/>
              </w:rPr>
            </w:pPr>
          </w:p>
        </w:tc>
      </w:tr>
      <w:tr w:rsidR="008864B7" w:rsidRPr="00C06677" w14:paraId="36EBA5F2" w14:textId="77777777" w:rsidTr="004A4F95">
        <w:tc>
          <w:tcPr>
            <w:tcW w:w="1980" w:type="dxa"/>
            <w:tcBorders>
              <w:top w:val="nil"/>
              <w:bottom w:val="nil"/>
              <w:right w:val="nil"/>
            </w:tcBorders>
          </w:tcPr>
          <w:p w14:paraId="675F32F6" w14:textId="77777777" w:rsidR="008864B7" w:rsidRPr="00C06677" w:rsidRDefault="008864B7" w:rsidP="008864B7">
            <w:pPr>
              <w:keepNext/>
              <w:keepLines/>
              <w:spacing w:before="120"/>
              <w:jc w:val="center"/>
              <w:rPr>
                <w:color w:val="000000" w:themeColor="text1"/>
              </w:rPr>
            </w:pPr>
            <w:r>
              <w:rPr>
                <w:color w:val="000000" w:themeColor="text1"/>
              </w:rPr>
              <w:t>Choice</w:t>
            </w:r>
          </w:p>
        </w:tc>
        <w:tc>
          <w:tcPr>
            <w:tcW w:w="1350" w:type="dxa"/>
            <w:tcBorders>
              <w:top w:val="nil"/>
              <w:left w:val="nil"/>
              <w:bottom w:val="nil"/>
              <w:right w:val="nil"/>
            </w:tcBorders>
          </w:tcPr>
          <w:p w14:paraId="4A3306E5" w14:textId="77777777" w:rsidR="008864B7" w:rsidRPr="00C06677" w:rsidRDefault="008864B7" w:rsidP="008864B7">
            <w:pPr>
              <w:keepNext/>
              <w:keepLines/>
              <w:jc w:val="center"/>
              <w:rPr>
                <w:color w:val="000000" w:themeColor="text1"/>
              </w:rPr>
            </w:pPr>
          </w:p>
        </w:tc>
        <w:tc>
          <w:tcPr>
            <w:tcW w:w="1350" w:type="dxa"/>
            <w:tcBorders>
              <w:top w:val="nil"/>
              <w:left w:val="nil"/>
              <w:bottom w:val="nil"/>
              <w:right w:val="nil"/>
            </w:tcBorders>
          </w:tcPr>
          <w:p w14:paraId="229C5EE1" w14:textId="77777777" w:rsidR="008864B7" w:rsidRPr="00C06677" w:rsidRDefault="008864B7" w:rsidP="008864B7">
            <w:pPr>
              <w:keepNext/>
              <w:keepLines/>
              <w:jc w:val="center"/>
              <w:rPr>
                <w:color w:val="000000" w:themeColor="text1"/>
              </w:rPr>
            </w:pPr>
          </w:p>
        </w:tc>
        <w:tc>
          <w:tcPr>
            <w:tcW w:w="810" w:type="dxa"/>
            <w:tcBorders>
              <w:top w:val="nil"/>
              <w:left w:val="nil"/>
              <w:bottom w:val="nil"/>
              <w:right w:val="nil"/>
            </w:tcBorders>
          </w:tcPr>
          <w:p w14:paraId="63F08F7D" w14:textId="77777777" w:rsidR="008864B7" w:rsidRPr="00C06677" w:rsidRDefault="008864B7" w:rsidP="008864B7">
            <w:pPr>
              <w:keepNext/>
              <w:keepLines/>
              <w:jc w:val="center"/>
              <w:rPr>
                <w:color w:val="000000" w:themeColor="text1"/>
              </w:rPr>
            </w:pPr>
          </w:p>
        </w:tc>
        <w:tc>
          <w:tcPr>
            <w:tcW w:w="540" w:type="dxa"/>
            <w:tcBorders>
              <w:top w:val="nil"/>
              <w:left w:val="nil"/>
              <w:bottom w:val="nil"/>
              <w:right w:val="nil"/>
            </w:tcBorders>
          </w:tcPr>
          <w:p w14:paraId="1EBD9FA1" w14:textId="77777777" w:rsidR="008864B7" w:rsidRPr="00C06677" w:rsidRDefault="008864B7" w:rsidP="008864B7">
            <w:pPr>
              <w:keepNext/>
              <w:keepLines/>
              <w:jc w:val="center"/>
              <w:rPr>
                <w:color w:val="000000" w:themeColor="text1"/>
              </w:rPr>
            </w:pPr>
          </w:p>
        </w:tc>
        <w:tc>
          <w:tcPr>
            <w:tcW w:w="990" w:type="dxa"/>
            <w:tcBorders>
              <w:top w:val="nil"/>
              <w:left w:val="nil"/>
              <w:right w:val="nil"/>
            </w:tcBorders>
          </w:tcPr>
          <w:p w14:paraId="6BA1A892" w14:textId="77777777" w:rsidR="008864B7" w:rsidRPr="00C06677" w:rsidRDefault="008864B7" w:rsidP="008864B7">
            <w:pPr>
              <w:keepNext/>
              <w:keepLines/>
              <w:jc w:val="center"/>
              <w:rPr>
                <w:color w:val="000000" w:themeColor="text1"/>
              </w:rPr>
            </w:pPr>
          </w:p>
        </w:tc>
        <w:tc>
          <w:tcPr>
            <w:tcW w:w="1350" w:type="dxa"/>
            <w:tcBorders>
              <w:top w:val="nil"/>
              <w:left w:val="nil"/>
              <w:right w:val="nil"/>
            </w:tcBorders>
          </w:tcPr>
          <w:p w14:paraId="33CCD503" w14:textId="77777777" w:rsidR="008864B7" w:rsidRPr="00C06677" w:rsidRDefault="008864B7" w:rsidP="008864B7">
            <w:pPr>
              <w:keepNext/>
              <w:keepLines/>
              <w:jc w:val="center"/>
              <w:rPr>
                <w:color w:val="000000" w:themeColor="text1"/>
              </w:rPr>
            </w:pPr>
          </w:p>
        </w:tc>
        <w:tc>
          <w:tcPr>
            <w:tcW w:w="1350" w:type="dxa"/>
            <w:tcBorders>
              <w:top w:val="nil"/>
              <w:left w:val="nil"/>
              <w:right w:val="nil"/>
            </w:tcBorders>
          </w:tcPr>
          <w:p w14:paraId="5414A430" w14:textId="77777777" w:rsidR="008864B7" w:rsidRPr="00C06677" w:rsidRDefault="008864B7" w:rsidP="008864B7">
            <w:pPr>
              <w:keepNext/>
              <w:keepLines/>
              <w:jc w:val="center"/>
              <w:rPr>
                <w:color w:val="000000" w:themeColor="text1"/>
              </w:rPr>
            </w:pPr>
          </w:p>
        </w:tc>
      </w:tr>
      <w:tr w:rsidR="008864B7" w:rsidRPr="00C06677" w14:paraId="41DA9B90" w14:textId="77777777" w:rsidTr="004A4F95">
        <w:tc>
          <w:tcPr>
            <w:tcW w:w="1980" w:type="dxa"/>
            <w:tcBorders>
              <w:bottom w:val="nil"/>
              <w:right w:val="nil"/>
            </w:tcBorders>
          </w:tcPr>
          <w:p w14:paraId="094A0CF5" w14:textId="77777777" w:rsidR="008864B7" w:rsidRPr="00C06677" w:rsidRDefault="008864B7" w:rsidP="008864B7">
            <w:pPr>
              <w:keepNext/>
              <w:keepLines/>
              <w:spacing w:before="120" w:after="120"/>
              <w:jc w:val="right"/>
              <w:rPr>
                <w:color w:val="000000" w:themeColor="text1"/>
              </w:rPr>
            </w:pPr>
            <w:r>
              <w:rPr>
                <w:color w:val="000000" w:themeColor="text1"/>
              </w:rPr>
              <w:t>BIC</w:t>
            </w:r>
          </w:p>
        </w:tc>
        <w:tc>
          <w:tcPr>
            <w:tcW w:w="1350" w:type="dxa"/>
            <w:tcBorders>
              <w:left w:val="nil"/>
              <w:bottom w:val="nil"/>
              <w:right w:val="nil"/>
            </w:tcBorders>
          </w:tcPr>
          <w:p w14:paraId="78DFD6E3" w14:textId="77777777" w:rsidR="008864B7" w:rsidRPr="00C06677" w:rsidRDefault="008864B7" w:rsidP="008864B7">
            <w:pPr>
              <w:keepNext/>
              <w:keepLines/>
              <w:spacing w:before="120" w:after="120"/>
              <w:jc w:val="center"/>
              <w:rPr>
                <w:color w:val="000000" w:themeColor="text1"/>
              </w:rPr>
            </w:pPr>
            <w:r>
              <w:rPr>
                <w:color w:val="000000" w:themeColor="text1"/>
              </w:rPr>
              <w:t>-46 (16)</w:t>
            </w:r>
          </w:p>
        </w:tc>
        <w:tc>
          <w:tcPr>
            <w:tcW w:w="1350" w:type="dxa"/>
            <w:tcBorders>
              <w:left w:val="nil"/>
              <w:bottom w:val="nil"/>
              <w:right w:val="nil"/>
            </w:tcBorders>
          </w:tcPr>
          <w:p w14:paraId="3E43B209" w14:textId="77777777" w:rsidR="008864B7" w:rsidRPr="00C06677" w:rsidRDefault="008864B7" w:rsidP="008864B7">
            <w:pPr>
              <w:keepNext/>
              <w:keepLines/>
              <w:spacing w:before="120" w:after="120"/>
              <w:jc w:val="center"/>
              <w:rPr>
                <w:color w:val="000000" w:themeColor="text1"/>
              </w:rPr>
            </w:pPr>
            <w:r>
              <w:rPr>
                <w:color w:val="000000" w:themeColor="text1"/>
              </w:rPr>
              <w:t>-19 (14)</w:t>
            </w:r>
          </w:p>
        </w:tc>
        <w:tc>
          <w:tcPr>
            <w:tcW w:w="810" w:type="dxa"/>
            <w:tcBorders>
              <w:left w:val="nil"/>
              <w:bottom w:val="nil"/>
              <w:right w:val="nil"/>
            </w:tcBorders>
          </w:tcPr>
          <w:p w14:paraId="4611C894" w14:textId="77777777" w:rsidR="008864B7" w:rsidRPr="00C06677" w:rsidRDefault="008864B7" w:rsidP="008864B7">
            <w:pPr>
              <w:keepNext/>
              <w:keepLines/>
              <w:spacing w:before="120" w:after="120"/>
              <w:jc w:val="center"/>
              <w:rPr>
                <w:color w:val="000000" w:themeColor="text1"/>
              </w:rPr>
            </w:pPr>
            <w:r>
              <w:rPr>
                <w:color w:val="000000" w:themeColor="text1"/>
              </w:rPr>
              <w:t>8.69</w:t>
            </w:r>
          </w:p>
        </w:tc>
        <w:tc>
          <w:tcPr>
            <w:tcW w:w="540" w:type="dxa"/>
            <w:tcBorders>
              <w:left w:val="nil"/>
              <w:bottom w:val="nil"/>
              <w:right w:val="nil"/>
            </w:tcBorders>
          </w:tcPr>
          <w:p w14:paraId="3348B048"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left w:val="nil"/>
              <w:bottom w:val="nil"/>
              <w:right w:val="nil"/>
            </w:tcBorders>
          </w:tcPr>
          <w:p w14:paraId="069F7DD2"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left w:val="nil"/>
              <w:bottom w:val="nil"/>
              <w:right w:val="nil"/>
            </w:tcBorders>
          </w:tcPr>
          <w:p w14:paraId="2FAA9597" w14:textId="77777777" w:rsidR="008864B7" w:rsidRPr="00C06677" w:rsidRDefault="008864B7" w:rsidP="008864B7">
            <w:pPr>
              <w:keepNext/>
              <w:keepLines/>
              <w:spacing w:before="120" w:after="120"/>
              <w:jc w:val="center"/>
              <w:rPr>
                <w:color w:val="000000" w:themeColor="text1"/>
              </w:rPr>
            </w:pPr>
            <w:r>
              <w:rPr>
                <w:color w:val="000000" w:themeColor="text1"/>
              </w:rPr>
              <w:t>1.89</w:t>
            </w:r>
          </w:p>
        </w:tc>
        <w:tc>
          <w:tcPr>
            <w:tcW w:w="1350" w:type="dxa"/>
            <w:tcBorders>
              <w:left w:val="nil"/>
              <w:bottom w:val="nil"/>
              <w:right w:val="nil"/>
            </w:tcBorders>
          </w:tcPr>
          <w:p w14:paraId="3E399374"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5ED75EA0" w14:textId="77777777" w:rsidTr="004A4F95">
        <w:tc>
          <w:tcPr>
            <w:tcW w:w="1980" w:type="dxa"/>
            <w:tcBorders>
              <w:top w:val="nil"/>
              <w:bottom w:val="nil"/>
              <w:right w:val="nil"/>
            </w:tcBorders>
          </w:tcPr>
          <w:p w14:paraId="7A8EB5A8" w14:textId="77777777" w:rsidR="008864B7" w:rsidRPr="00C06677" w:rsidRDefault="008864B7" w:rsidP="008864B7">
            <w:pPr>
              <w:keepNext/>
              <w:keepLines/>
              <w:spacing w:before="120" w:after="120"/>
              <w:jc w:val="right"/>
              <w:rPr>
                <w:color w:val="000000" w:themeColor="text1"/>
              </w:rPr>
            </w:pPr>
            <w:r w:rsidRPr="00C06677">
              <w:rPr>
                <w:color w:val="000000" w:themeColor="text1"/>
              </w:rPr>
              <w:t>r</w:t>
            </w:r>
            <w:r w:rsidRPr="00C06677">
              <w:rPr>
                <w:color w:val="000000" w:themeColor="text1"/>
                <w:vertAlign w:val="superscript"/>
              </w:rPr>
              <w:t>2</w:t>
            </w:r>
          </w:p>
        </w:tc>
        <w:tc>
          <w:tcPr>
            <w:tcW w:w="1350" w:type="dxa"/>
            <w:tcBorders>
              <w:top w:val="nil"/>
              <w:left w:val="nil"/>
              <w:bottom w:val="nil"/>
              <w:right w:val="nil"/>
            </w:tcBorders>
          </w:tcPr>
          <w:p w14:paraId="4FDBDFC6" w14:textId="77777777" w:rsidR="008864B7" w:rsidRPr="00C06677" w:rsidRDefault="008864B7" w:rsidP="008864B7">
            <w:pPr>
              <w:keepNext/>
              <w:keepLines/>
              <w:spacing w:before="120" w:after="120"/>
              <w:jc w:val="center"/>
              <w:rPr>
                <w:color w:val="000000" w:themeColor="text1"/>
              </w:rPr>
            </w:pPr>
            <w:r>
              <w:rPr>
                <w:color w:val="000000" w:themeColor="text1"/>
              </w:rPr>
              <w:t>0.76 (0.15)</w:t>
            </w:r>
          </w:p>
        </w:tc>
        <w:tc>
          <w:tcPr>
            <w:tcW w:w="1350" w:type="dxa"/>
            <w:tcBorders>
              <w:top w:val="nil"/>
              <w:left w:val="nil"/>
              <w:bottom w:val="nil"/>
              <w:right w:val="nil"/>
            </w:tcBorders>
          </w:tcPr>
          <w:p w14:paraId="41247E94" w14:textId="77777777" w:rsidR="008864B7" w:rsidRPr="00C06677" w:rsidRDefault="008864B7" w:rsidP="008864B7">
            <w:pPr>
              <w:keepNext/>
              <w:keepLines/>
              <w:spacing w:before="120" w:after="120"/>
              <w:jc w:val="center"/>
              <w:rPr>
                <w:color w:val="000000" w:themeColor="text1"/>
              </w:rPr>
            </w:pPr>
            <w:r>
              <w:rPr>
                <w:color w:val="000000" w:themeColor="text1"/>
              </w:rPr>
              <w:t>0.54 (0.15)</w:t>
            </w:r>
          </w:p>
        </w:tc>
        <w:tc>
          <w:tcPr>
            <w:tcW w:w="810" w:type="dxa"/>
            <w:tcBorders>
              <w:top w:val="nil"/>
              <w:left w:val="nil"/>
              <w:bottom w:val="nil"/>
              <w:right w:val="nil"/>
            </w:tcBorders>
          </w:tcPr>
          <w:p w14:paraId="3018D0D4" w14:textId="77777777" w:rsidR="008864B7" w:rsidRPr="00C06677" w:rsidRDefault="008864B7" w:rsidP="008864B7">
            <w:pPr>
              <w:keepNext/>
              <w:keepLines/>
              <w:spacing w:before="120" w:after="120"/>
              <w:jc w:val="center"/>
              <w:rPr>
                <w:color w:val="000000" w:themeColor="text1"/>
              </w:rPr>
            </w:pPr>
            <w:r>
              <w:rPr>
                <w:color w:val="000000" w:themeColor="text1"/>
              </w:rPr>
              <w:t>5.25</w:t>
            </w:r>
          </w:p>
        </w:tc>
        <w:tc>
          <w:tcPr>
            <w:tcW w:w="540" w:type="dxa"/>
            <w:tcBorders>
              <w:top w:val="nil"/>
              <w:left w:val="nil"/>
              <w:bottom w:val="nil"/>
              <w:right w:val="nil"/>
            </w:tcBorders>
          </w:tcPr>
          <w:p w14:paraId="43101F6B"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top w:val="nil"/>
              <w:left w:val="nil"/>
              <w:bottom w:val="nil"/>
              <w:right w:val="nil"/>
            </w:tcBorders>
          </w:tcPr>
          <w:p w14:paraId="5C9233DF"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top w:val="nil"/>
              <w:left w:val="nil"/>
              <w:bottom w:val="nil"/>
              <w:right w:val="nil"/>
            </w:tcBorders>
          </w:tcPr>
          <w:p w14:paraId="6FDCD058" w14:textId="77777777" w:rsidR="008864B7" w:rsidRPr="00C06677" w:rsidRDefault="008864B7" w:rsidP="008864B7">
            <w:pPr>
              <w:keepNext/>
              <w:keepLines/>
              <w:spacing w:before="120" w:after="120"/>
              <w:jc w:val="center"/>
              <w:rPr>
                <w:color w:val="000000" w:themeColor="text1"/>
              </w:rPr>
            </w:pPr>
            <w:r>
              <w:rPr>
                <w:color w:val="000000" w:themeColor="text1"/>
              </w:rPr>
              <w:t>1.15</w:t>
            </w:r>
          </w:p>
        </w:tc>
        <w:tc>
          <w:tcPr>
            <w:tcW w:w="1350" w:type="dxa"/>
            <w:tcBorders>
              <w:top w:val="nil"/>
              <w:left w:val="nil"/>
              <w:bottom w:val="nil"/>
              <w:right w:val="nil"/>
            </w:tcBorders>
          </w:tcPr>
          <w:p w14:paraId="0531B41D"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6CA25737" w14:textId="77777777" w:rsidTr="004A4F95">
        <w:tc>
          <w:tcPr>
            <w:tcW w:w="1980" w:type="dxa"/>
            <w:tcBorders>
              <w:top w:val="nil"/>
              <w:bottom w:val="single" w:sz="4" w:space="0" w:color="auto"/>
              <w:right w:val="nil"/>
            </w:tcBorders>
          </w:tcPr>
          <w:p w14:paraId="075612C5" w14:textId="77777777" w:rsidR="008864B7" w:rsidRPr="00C06677" w:rsidRDefault="008864B7" w:rsidP="008864B7">
            <w:pPr>
              <w:keepNext/>
              <w:keepLines/>
              <w:spacing w:before="120"/>
              <w:jc w:val="center"/>
              <w:rPr>
                <w:color w:val="000000" w:themeColor="text1"/>
              </w:rPr>
            </w:pPr>
            <w:r>
              <w:rPr>
                <w:color w:val="000000" w:themeColor="text1"/>
              </w:rPr>
              <w:t>Reaction Time</w:t>
            </w:r>
          </w:p>
        </w:tc>
        <w:tc>
          <w:tcPr>
            <w:tcW w:w="1350" w:type="dxa"/>
            <w:tcBorders>
              <w:top w:val="nil"/>
              <w:left w:val="nil"/>
              <w:bottom w:val="single" w:sz="4" w:space="0" w:color="auto"/>
              <w:right w:val="nil"/>
            </w:tcBorders>
          </w:tcPr>
          <w:p w14:paraId="0C1ABF99" w14:textId="77777777" w:rsidR="008864B7" w:rsidRPr="00C06677" w:rsidRDefault="008864B7" w:rsidP="008864B7">
            <w:pPr>
              <w:keepNext/>
              <w:keepLines/>
              <w:jc w:val="center"/>
              <w:rPr>
                <w:color w:val="000000" w:themeColor="text1"/>
              </w:rPr>
            </w:pPr>
          </w:p>
        </w:tc>
        <w:tc>
          <w:tcPr>
            <w:tcW w:w="1350" w:type="dxa"/>
            <w:tcBorders>
              <w:top w:val="nil"/>
              <w:left w:val="nil"/>
              <w:bottom w:val="single" w:sz="4" w:space="0" w:color="auto"/>
              <w:right w:val="nil"/>
            </w:tcBorders>
          </w:tcPr>
          <w:p w14:paraId="7935149D" w14:textId="77777777" w:rsidR="008864B7" w:rsidRPr="00C06677" w:rsidRDefault="008864B7" w:rsidP="008864B7">
            <w:pPr>
              <w:keepNext/>
              <w:keepLines/>
              <w:jc w:val="center"/>
              <w:rPr>
                <w:color w:val="000000" w:themeColor="text1"/>
              </w:rPr>
            </w:pPr>
          </w:p>
        </w:tc>
        <w:tc>
          <w:tcPr>
            <w:tcW w:w="810" w:type="dxa"/>
            <w:tcBorders>
              <w:top w:val="nil"/>
              <w:left w:val="nil"/>
              <w:bottom w:val="single" w:sz="4" w:space="0" w:color="auto"/>
              <w:right w:val="nil"/>
            </w:tcBorders>
          </w:tcPr>
          <w:p w14:paraId="0464C88B" w14:textId="77777777" w:rsidR="008864B7" w:rsidRPr="00C06677" w:rsidRDefault="008864B7" w:rsidP="008864B7">
            <w:pPr>
              <w:keepNext/>
              <w:keepLines/>
              <w:jc w:val="center"/>
              <w:rPr>
                <w:color w:val="000000" w:themeColor="text1"/>
              </w:rPr>
            </w:pPr>
          </w:p>
        </w:tc>
        <w:tc>
          <w:tcPr>
            <w:tcW w:w="540" w:type="dxa"/>
            <w:tcBorders>
              <w:top w:val="nil"/>
              <w:left w:val="nil"/>
              <w:bottom w:val="single" w:sz="4" w:space="0" w:color="auto"/>
              <w:right w:val="nil"/>
            </w:tcBorders>
          </w:tcPr>
          <w:p w14:paraId="296E3990" w14:textId="77777777" w:rsidR="008864B7" w:rsidRPr="00C06677" w:rsidRDefault="008864B7" w:rsidP="008864B7">
            <w:pPr>
              <w:keepNext/>
              <w:keepLines/>
              <w:jc w:val="center"/>
              <w:rPr>
                <w:color w:val="000000" w:themeColor="text1"/>
              </w:rPr>
            </w:pPr>
          </w:p>
        </w:tc>
        <w:tc>
          <w:tcPr>
            <w:tcW w:w="990" w:type="dxa"/>
            <w:tcBorders>
              <w:top w:val="nil"/>
              <w:left w:val="nil"/>
              <w:right w:val="nil"/>
            </w:tcBorders>
          </w:tcPr>
          <w:p w14:paraId="04A32494" w14:textId="77777777" w:rsidR="008864B7" w:rsidRPr="00C06677" w:rsidRDefault="008864B7" w:rsidP="008864B7">
            <w:pPr>
              <w:keepNext/>
              <w:keepLines/>
              <w:jc w:val="center"/>
              <w:rPr>
                <w:color w:val="000000" w:themeColor="text1"/>
              </w:rPr>
            </w:pPr>
          </w:p>
        </w:tc>
        <w:tc>
          <w:tcPr>
            <w:tcW w:w="1350" w:type="dxa"/>
            <w:tcBorders>
              <w:top w:val="nil"/>
              <w:left w:val="nil"/>
              <w:right w:val="nil"/>
            </w:tcBorders>
          </w:tcPr>
          <w:p w14:paraId="01BEFE63" w14:textId="77777777" w:rsidR="008864B7" w:rsidRPr="00C06677" w:rsidRDefault="008864B7" w:rsidP="008864B7">
            <w:pPr>
              <w:keepNext/>
              <w:keepLines/>
              <w:jc w:val="center"/>
              <w:rPr>
                <w:color w:val="000000" w:themeColor="text1"/>
              </w:rPr>
            </w:pPr>
          </w:p>
        </w:tc>
        <w:tc>
          <w:tcPr>
            <w:tcW w:w="1350" w:type="dxa"/>
            <w:tcBorders>
              <w:top w:val="nil"/>
              <w:left w:val="nil"/>
              <w:right w:val="nil"/>
            </w:tcBorders>
          </w:tcPr>
          <w:p w14:paraId="1731CD6C" w14:textId="77777777" w:rsidR="008864B7" w:rsidRPr="00C06677" w:rsidRDefault="008864B7" w:rsidP="008864B7">
            <w:pPr>
              <w:keepNext/>
              <w:keepLines/>
              <w:jc w:val="center"/>
              <w:rPr>
                <w:color w:val="000000" w:themeColor="text1"/>
              </w:rPr>
            </w:pPr>
            <w:r>
              <w:rPr>
                <w:color w:val="000000" w:themeColor="text1"/>
              </w:rPr>
              <w:t>PVT</w:t>
            </w:r>
          </w:p>
        </w:tc>
      </w:tr>
      <w:tr w:rsidR="008864B7" w:rsidRPr="00C06677" w14:paraId="7A1E80DF" w14:textId="77777777" w:rsidTr="004A4F95">
        <w:tc>
          <w:tcPr>
            <w:tcW w:w="1980" w:type="dxa"/>
            <w:tcBorders>
              <w:top w:val="single" w:sz="4" w:space="0" w:color="auto"/>
              <w:bottom w:val="nil"/>
              <w:right w:val="nil"/>
            </w:tcBorders>
          </w:tcPr>
          <w:p w14:paraId="2AF8C58E" w14:textId="77777777" w:rsidR="008864B7" w:rsidRPr="00C06677" w:rsidRDefault="008864B7" w:rsidP="008864B7">
            <w:pPr>
              <w:keepNext/>
              <w:keepLines/>
              <w:spacing w:before="120" w:after="120"/>
              <w:jc w:val="right"/>
              <w:rPr>
                <w:color w:val="000000" w:themeColor="text1"/>
              </w:rPr>
            </w:pPr>
            <w:r>
              <w:rPr>
                <w:color w:val="000000" w:themeColor="text1"/>
              </w:rPr>
              <w:t>BIC</w:t>
            </w:r>
          </w:p>
        </w:tc>
        <w:tc>
          <w:tcPr>
            <w:tcW w:w="1350" w:type="dxa"/>
            <w:tcBorders>
              <w:top w:val="single" w:sz="4" w:space="0" w:color="auto"/>
              <w:left w:val="nil"/>
              <w:bottom w:val="nil"/>
              <w:right w:val="nil"/>
            </w:tcBorders>
          </w:tcPr>
          <w:p w14:paraId="24BF93B5" w14:textId="77777777" w:rsidR="008864B7" w:rsidRPr="00C06677" w:rsidRDefault="008864B7" w:rsidP="008864B7">
            <w:pPr>
              <w:keepNext/>
              <w:keepLines/>
              <w:spacing w:before="120" w:after="120"/>
              <w:jc w:val="center"/>
              <w:rPr>
                <w:color w:val="000000" w:themeColor="text1"/>
              </w:rPr>
            </w:pPr>
            <w:r>
              <w:rPr>
                <w:color w:val="000000" w:themeColor="text1"/>
              </w:rPr>
              <w:t>-57 (10)</w:t>
            </w:r>
          </w:p>
        </w:tc>
        <w:tc>
          <w:tcPr>
            <w:tcW w:w="1350" w:type="dxa"/>
            <w:tcBorders>
              <w:top w:val="single" w:sz="4" w:space="0" w:color="auto"/>
              <w:left w:val="nil"/>
              <w:bottom w:val="nil"/>
              <w:right w:val="nil"/>
            </w:tcBorders>
          </w:tcPr>
          <w:p w14:paraId="6492464B" w14:textId="77777777" w:rsidR="008864B7" w:rsidRPr="00C06677" w:rsidRDefault="008864B7" w:rsidP="008864B7">
            <w:pPr>
              <w:keepNext/>
              <w:keepLines/>
              <w:spacing w:before="120" w:after="120"/>
              <w:jc w:val="center"/>
              <w:rPr>
                <w:color w:val="000000" w:themeColor="text1"/>
              </w:rPr>
            </w:pPr>
            <w:r>
              <w:rPr>
                <w:color w:val="000000" w:themeColor="text1"/>
              </w:rPr>
              <w:t>-45 (9)</w:t>
            </w:r>
          </w:p>
        </w:tc>
        <w:tc>
          <w:tcPr>
            <w:tcW w:w="810" w:type="dxa"/>
            <w:tcBorders>
              <w:top w:val="single" w:sz="4" w:space="0" w:color="auto"/>
              <w:left w:val="nil"/>
              <w:bottom w:val="nil"/>
              <w:right w:val="nil"/>
            </w:tcBorders>
          </w:tcPr>
          <w:p w14:paraId="5A9F8648" w14:textId="77777777" w:rsidR="008864B7" w:rsidRPr="00C06677" w:rsidRDefault="008864B7" w:rsidP="008864B7">
            <w:pPr>
              <w:keepNext/>
              <w:keepLines/>
              <w:spacing w:before="120" w:after="120"/>
              <w:jc w:val="center"/>
              <w:rPr>
                <w:color w:val="000000" w:themeColor="text1"/>
              </w:rPr>
            </w:pPr>
            <w:r>
              <w:rPr>
                <w:color w:val="000000" w:themeColor="text1"/>
              </w:rPr>
              <w:t>6.45</w:t>
            </w:r>
          </w:p>
        </w:tc>
        <w:tc>
          <w:tcPr>
            <w:tcW w:w="540" w:type="dxa"/>
            <w:tcBorders>
              <w:top w:val="single" w:sz="4" w:space="0" w:color="auto"/>
              <w:left w:val="nil"/>
              <w:bottom w:val="nil"/>
              <w:right w:val="nil"/>
            </w:tcBorders>
          </w:tcPr>
          <w:p w14:paraId="34EF6C99"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left w:val="nil"/>
              <w:bottom w:val="nil"/>
              <w:right w:val="nil"/>
            </w:tcBorders>
          </w:tcPr>
          <w:p w14:paraId="6025E765"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left w:val="nil"/>
              <w:bottom w:val="nil"/>
              <w:right w:val="nil"/>
            </w:tcBorders>
          </w:tcPr>
          <w:p w14:paraId="292B0847" w14:textId="77777777" w:rsidR="008864B7" w:rsidRPr="00C06677" w:rsidRDefault="008864B7" w:rsidP="008864B7">
            <w:pPr>
              <w:keepNext/>
              <w:keepLines/>
              <w:spacing w:before="120" w:after="120"/>
              <w:jc w:val="center"/>
              <w:rPr>
                <w:color w:val="000000" w:themeColor="text1"/>
              </w:rPr>
            </w:pPr>
            <w:r>
              <w:rPr>
                <w:color w:val="000000" w:themeColor="text1"/>
              </w:rPr>
              <w:t>1.41</w:t>
            </w:r>
          </w:p>
        </w:tc>
        <w:tc>
          <w:tcPr>
            <w:tcW w:w="1350" w:type="dxa"/>
            <w:tcBorders>
              <w:left w:val="nil"/>
              <w:bottom w:val="nil"/>
              <w:right w:val="nil"/>
            </w:tcBorders>
          </w:tcPr>
          <w:p w14:paraId="72E9458F"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r w:rsidR="008864B7" w:rsidRPr="00C06677" w14:paraId="1D0C2A54" w14:textId="77777777" w:rsidTr="004A4F95">
        <w:tc>
          <w:tcPr>
            <w:tcW w:w="1980" w:type="dxa"/>
            <w:tcBorders>
              <w:top w:val="nil"/>
              <w:bottom w:val="single" w:sz="4" w:space="0" w:color="auto"/>
              <w:right w:val="nil"/>
            </w:tcBorders>
          </w:tcPr>
          <w:p w14:paraId="7F42EA03" w14:textId="77777777" w:rsidR="008864B7" w:rsidRPr="00C06677" w:rsidRDefault="008864B7" w:rsidP="008864B7">
            <w:pPr>
              <w:keepNext/>
              <w:keepLines/>
              <w:spacing w:before="120" w:after="120"/>
              <w:jc w:val="right"/>
              <w:rPr>
                <w:color w:val="000000" w:themeColor="text1"/>
              </w:rPr>
            </w:pPr>
            <w:r w:rsidRPr="00C06677">
              <w:rPr>
                <w:color w:val="000000" w:themeColor="text1"/>
              </w:rPr>
              <w:t>r</w:t>
            </w:r>
            <w:r w:rsidRPr="00C06677">
              <w:rPr>
                <w:color w:val="000000" w:themeColor="text1"/>
                <w:vertAlign w:val="superscript"/>
              </w:rPr>
              <w:t>2</w:t>
            </w:r>
          </w:p>
        </w:tc>
        <w:tc>
          <w:tcPr>
            <w:tcW w:w="1350" w:type="dxa"/>
            <w:tcBorders>
              <w:top w:val="nil"/>
              <w:left w:val="nil"/>
              <w:bottom w:val="single" w:sz="4" w:space="0" w:color="auto"/>
              <w:right w:val="nil"/>
            </w:tcBorders>
          </w:tcPr>
          <w:p w14:paraId="451870CC" w14:textId="77777777" w:rsidR="008864B7" w:rsidRPr="00C06677" w:rsidRDefault="008864B7" w:rsidP="008864B7">
            <w:pPr>
              <w:keepNext/>
              <w:keepLines/>
              <w:spacing w:before="120" w:after="120"/>
              <w:jc w:val="center"/>
              <w:rPr>
                <w:color w:val="000000" w:themeColor="text1"/>
              </w:rPr>
            </w:pPr>
            <w:r>
              <w:rPr>
                <w:color w:val="000000" w:themeColor="text1"/>
              </w:rPr>
              <w:t>0.68 (0.2)</w:t>
            </w:r>
          </w:p>
        </w:tc>
        <w:tc>
          <w:tcPr>
            <w:tcW w:w="1350" w:type="dxa"/>
            <w:tcBorders>
              <w:top w:val="nil"/>
              <w:left w:val="nil"/>
              <w:bottom w:val="single" w:sz="4" w:space="0" w:color="auto"/>
              <w:right w:val="nil"/>
            </w:tcBorders>
          </w:tcPr>
          <w:p w14:paraId="55AC17C0" w14:textId="77777777" w:rsidR="008864B7" w:rsidRPr="00C06677" w:rsidRDefault="008864B7" w:rsidP="008864B7">
            <w:pPr>
              <w:keepNext/>
              <w:keepLines/>
              <w:spacing w:before="120" w:after="120"/>
              <w:jc w:val="center"/>
              <w:rPr>
                <w:color w:val="000000" w:themeColor="text1"/>
              </w:rPr>
            </w:pPr>
            <w:r>
              <w:rPr>
                <w:color w:val="000000" w:themeColor="text1"/>
              </w:rPr>
              <w:t>0.50 (0.22)</w:t>
            </w:r>
          </w:p>
        </w:tc>
        <w:tc>
          <w:tcPr>
            <w:tcW w:w="810" w:type="dxa"/>
            <w:tcBorders>
              <w:top w:val="nil"/>
              <w:left w:val="nil"/>
              <w:bottom w:val="single" w:sz="4" w:space="0" w:color="auto"/>
              <w:right w:val="nil"/>
            </w:tcBorders>
          </w:tcPr>
          <w:p w14:paraId="46181231" w14:textId="77777777" w:rsidR="008864B7" w:rsidRPr="00C06677" w:rsidRDefault="008864B7" w:rsidP="008864B7">
            <w:pPr>
              <w:keepNext/>
              <w:keepLines/>
              <w:spacing w:before="120" w:after="120"/>
              <w:jc w:val="center"/>
              <w:rPr>
                <w:color w:val="000000" w:themeColor="text1"/>
              </w:rPr>
            </w:pPr>
            <w:r>
              <w:rPr>
                <w:color w:val="000000" w:themeColor="text1"/>
              </w:rPr>
              <w:t>7.47</w:t>
            </w:r>
          </w:p>
        </w:tc>
        <w:tc>
          <w:tcPr>
            <w:tcW w:w="540" w:type="dxa"/>
            <w:tcBorders>
              <w:top w:val="nil"/>
              <w:left w:val="nil"/>
              <w:bottom w:val="single" w:sz="4" w:space="0" w:color="auto"/>
              <w:right w:val="nil"/>
            </w:tcBorders>
          </w:tcPr>
          <w:p w14:paraId="247EBBCB" w14:textId="77777777" w:rsidR="008864B7" w:rsidRPr="00C06677" w:rsidRDefault="008864B7" w:rsidP="008864B7">
            <w:pPr>
              <w:keepNext/>
              <w:keepLines/>
              <w:spacing w:before="120" w:after="120"/>
              <w:jc w:val="center"/>
              <w:rPr>
                <w:color w:val="000000" w:themeColor="text1"/>
              </w:rPr>
            </w:pPr>
            <w:r>
              <w:rPr>
                <w:color w:val="000000" w:themeColor="text1"/>
              </w:rPr>
              <w:t>21</w:t>
            </w:r>
          </w:p>
        </w:tc>
        <w:tc>
          <w:tcPr>
            <w:tcW w:w="990" w:type="dxa"/>
            <w:tcBorders>
              <w:top w:val="nil"/>
              <w:left w:val="nil"/>
              <w:bottom w:val="single" w:sz="4" w:space="0" w:color="auto"/>
              <w:right w:val="nil"/>
            </w:tcBorders>
          </w:tcPr>
          <w:p w14:paraId="2CF713FE" w14:textId="77777777" w:rsidR="008864B7" w:rsidRPr="00C06677" w:rsidRDefault="008864B7" w:rsidP="008864B7">
            <w:pPr>
              <w:keepNext/>
              <w:keepLines/>
              <w:spacing w:before="120" w:after="120"/>
              <w:jc w:val="center"/>
              <w:rPr>
                <w:color w:val="000000" w:themeColor="text1"/>
              </w:rPr>
            </w:pPr>
            <w:r>
              <w:rPr>
                <w:color w:val="000000" w:themeColor="text1"/>
              </w:rPr>
              <w:t>&lt; 0.001</w:t>
            </w:r>
          </w:p>
        </w:tc>
        <w:tc>
          <w:tcPr>
            <w:tcW w:w="1350" w:type="dxa"/>
            <w:tcBorders>
              <w:top w:val="nil"/>
              <w:left w:val="nil"/>
              <w:bottom w:val="single" w:sz="4" w:space="0" w:color="auto"/>
              <w:right w:val="nil"/>
            </w:tcBorders>
          </w:tcPr>
          <w:p w14:paraId="1DC6C86C" w14:textId="77777777" w:rsidR="008864B7" w:rsidRPr="00C06677" w:rsidRDefault="008864B7" w:rsidP="008864B7">
            <w:pPr>
              <w:keepNext/>
              <w:keepLines/>
              <w:spacing w:before="120" w:after="120"/>
              <w:jc w:val="center"/>
              <w:rPr>
                <w:color w:val="000000" w:themeColor="text1"/>
              </w:rPr>
            </w:pPr>
            <w:r>
              <w:rPr>
                <w:color w:val="000000" w:themeColor="text1"/>
              </w:rPr>
              <w:t>1.63</w:t>
            </w:r>
          </w:p>
        </w:tc>
        <w:tc>
          <w:tcPr>
            <w:tcW w:w="1350" w:type="dxa"/>
            <w:tcBorders>
              <w:top w:val="nil"/>
              <w:left w:val="nil"/>
              <w:bottom w:val="single" w:sz="4" w:space="0" w:color="auto"/>
              <w:right w:val="nil"/>
            </w:tcBorders>
          </w:tcPr>
          <w:p w14:paraId="6E03A635" w14:textId="77777777" w:rsidR="008864B7" w:rsidRPr="00C06677" w:rsidRDefault="008864B7" w:rsidP="008864B7">
            <w:pPr>
              <w:keepNext/>
              <w:keepLines/>
              <w:spacing w:before="120" w:after="120"/>
              <w:jc w:val="center"/>
              <w:rPr>
                <w:color w:val="000000" w:themeColor="text1"/>
              </w:rPr>
            </w:pPr>
            <w:r>
              <w:rPr>
                <w:color w:val="000000" w:themeColor="text1"/>
              </w:rPr>
              <w:t>PVT</w:t>
            </w:r>
          </w:p>
        </w:tc>
      </w:tr>
    </w:tbl>
    <w:p w14:paraId="76C0A1B8" w14:textId="77777777" w:rsidR="008864B7" w:rsidRDefault="008864B7" w:rsidP="008864B7">
      <w:pPr>
        <w:spacing w:line="480" w:lineRule="auto"/>
      </w:pPr>
    </w:p>
    <w:p w14:paraId="5708FB71" w14:textId="3B8A0837" w:rsidR="008864B7" w:rsidRDefault="008864B7" w:rsidP="008864B7">
      <w:pPr>
        <w:spacing w:line="480" w:lineRule="auto"/>
        <w:jc w:val="center"/>
      </w:pPr>
      <w:r w:rsidRPr="00A2494F">
        <w:rPr>
          <w:noProof/>
        </w:rPr>
        <w:lastRenderedPageBreak/>
        <w:drawing>
          <wp:inline distT="0" distB="0" distL="0" distR="0" wp14:anchorId="048E304A" wp14:editId="5DDF2F91">
            <wp:extent cx="3624044" cy="3981016"/>
            <wp:effectExtent l="0" t="0" r="0" b="0"/>
            <wp:docPr id="2135181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81387" name=""/>
                    <pic:cNvPicPr/>
                  </pic:nvPicPr>
                  <pic:blipFill>
                    <a:blip r:embed="rId30"/>
                    <a:stretch>
                      <a:fillRect/>
                    </a:stretch>
                  </pic:blipFill>
                  <pic:spPr>
                    <a:xfrm>
                      <a:off x="0" y="0"/>
                      <a:ext cx="3637610" cy="3995919"/>
                    </a:xfrm>
                    <a:prstGeom prst="rect">
                      <a:avLst/>
                    </a:prstGeom>
                  </pic:spPr>
                </pic:pic>
              </a:graphicData>
            </a:graphic>
          </wp:inline>
        </w:drawing>
      </w:r>
    </w:p>
    <w:p w14:paraId="0EA2F199" w14:textId="77777777" w:rsidR="008864B7" w:rsidRDefault="008864B7" w:rsidP="008864B7">
      <w:r>
        <w:t>Figure 16: Boxplots of the BIC (lower is better) and r2 (higher is better) by item for Experiment 2. The data reveal that PVT predicts charitable choice more accurately than competence and warmth.</w:t>
      </w:r>
    </w:p>
    <w:p w14:paraId="1C1B425E" w14:textId="77777777" w:rsidR="008864B7" w:rsidRDefault="008864B7" w:rsidP="008864B7">
      <w:pPr>
        <w:spacing w:line="480" w:lineRule="auto"/>
      </w:pPr>
    </w:p>
    <w:p w14:paraId="5CCDC413" w14:textId="77777777" w:rsidR="008864B7" w:rsidRDefault="008864B7" w:rsidP="008864B7">
      <w:pPr>
        <w:spacing w:line="480" w:lineRule="auto"/>
      </w:pPr>
      <w:r>
        <w:tab/>
        <w:t xml:space="preserve">We also assessed how well PVT and CW fit the data in Experiment 4. Because Experiment 4 is a yes/no experiment, rather than choosing between two options, we derived different predictions from CW (recall, there is no stated choice model for CW).  RT is a function of the identified threshold, and CW does not have an associated choice model.  Therefore, we did not assess the relation between CW and RT.  Nevertheless, we could derive a prediction for choice. Specifically, the predicted probability of choosing to donate should be a function of the item’s </w:t>
      </w:r>
      <w:r w:rsidRPr="008205CE">
        <w:t>CW value</w:t>
      </w:r>
      <w:r>
        <w:rPr>
          <w:i/>
          <w:iCs/>
        </w:rPr>
        <w:t xml:space="preserve">, </w:t>
      </w:r>
      <w:r w:rsidRPr="00F63691">
        <w:rPr>
          <w:i/>
          <w:iCs/>
        </w:rPr>
        <w:t>CW</w:t>
      </w:r>
      <w:r w:rsidRPr="00100F55">
        <w:rPr>
          <w:i/>
          <w:iCs/>
          <w:vertAlign w:val="subscript"/>
        </w:rPr>
        <w:t>i</w:t>
      </w:r>
      <w:r>
        <w:t xml:space="preserve">. This relation should take the form of a logistic function, </w:t>
      </w:r>
    </w:p>
    <w:p w14:paraId="5CE7E205" w14:textId="777FA710" w:rsidR="008864B7" w:rsidRPr="00D71EE2" w:rsidRDefault="008864B7" w:rsidP="008864B7">
      <w:pPr>
        <w:spacing w:line="480" w:lineRule="auto"/>
        <w:jc w:val="right"/>
      </w:pPr>
      <m:oMath>
        <m:r>
          <w:rPr>
            <w:rFonts w:ascii="Cambria Math" w:eastAsia="Cambria Math" w:hAnsi="Cambria Math" w:cs="Cambria Math"/>
          </w:rPr>
          <m:t>p</m:t>
        </m:r>
        <m:d>
          <m:dPr>
            <m:ctrlPr>
              <w:rPr>
                <w:rFonts w:ascii="Cambria Math" w:eastAsia="Cambria Math" w:hAnsi="Cambria Math" w:cs="Cambria Math"/>
              </w:rPr>
            </m:ctrlPr>
          </m:dPr>
          <m:e>
            <m:sSub>
              <m:sSubPr>
                <m:ctrlPr>
                  <w:rPr>
                    <w:rFonts w:ascii="Cambria Math" w:eastAsia="Cambria Math" w:hAnsi="Cambria Math" w:cs="Cambria Math"/>
                    <w:i/>
                  </w:rPr>
                </m:ctrlPr>
              </m:sSubPr>
              <m:e>
                <m:r>
                  <w:rPr>
                    <w:rFonts w:ascii="Cambria Math" w:eastAsia="Cambria Math" w:hAnsi="Cambria Math" w:cs="Cambria Math"/>
                  </w:rPr>
                  <m:t>donate</m:t>
                </m:r>
              </m:e>
              <m:sub>
                <m:r>
                  <w:rPr>
                    <w:rFonts w:ascii="Cambria Math" w:eastAsia="Cambria Math" w:hAnsi="Cambria Math" w:cs="Cambria Math"/>
                  </w:rPr>
                  <m:t>i</m:t>
                </m:r>
              </m:sub>
            </m:sSub>
          </m:e>
        </m:d>
        <m:r>
          <w:rPr>
            <w:rFonts w:ascii="Cambria Math" w:eastAsia="Cambria Math" w:hAnsi="Cambria Math" w:cs="Cambria Math"/>
          </w:rPr>
          <m:t>= m+</m:t>
        </m:r>
        <m:f>
          <m:fPr>
            <m:ctrlPr>
              <w:rPr>
                <w:rFonts w:ascii="Cambria Math" w:eastAsia="Cambria Math" w:hAnsi="Cambria Math" w:cs="Cambria Math"/>
                <w:i/>
              </w:rPr>
            </m:ctrlPr>
          </m:fPr>
          <m:num>
            <m:d>
              <m:dPr>
                <m:ctrlPr>
                  <w:rPr>
                    <w:rFonts w:ascii="Cambria Math" w:eastAsia="Cambria Math" w:hAnsi="Cambria Math" w:cs="Cambria Math"/>
                  </w:rPr>
                </m:ctrlPr>
              </m:dPr>
              <m:e>
                <m:r>
                  <w:rPr>
                    <w:rFonts w:ascii="Cambria Math" w:eastAsia="Cambria Math" w:hAnsi="Cambria Math" w:cs="Cambria Math"/>
                  </w:rPr>
                  <m:t>1-m</m:t>
                </m:r>
              </m:e>
            </m:d>
          </m:num>
          <m:den>
            <m:d>
              <m:dPr>
                <m:ctrlPr>
                  <w:rPr>
                    <w:rFonts w:ascii="Cambria Math" w:eastAsia="Cambria Math" w:hAnsi="Cambria Math" w:cs="Cambria Math"/>
                  </w:rPr>
                </m:ctrlPr>
              </m:dPr>
              <m:e>
                <m:r>
                  <w:rPr>
                    <w:rFonts w:ascii="Cambria Math" w:eastAsia="Cambria Math" w:hAnsi="Cambria Math" w:cs="Cambria Math"/>
                  </w:rPr>
                  <m:t>1+</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b-s*</m:t>
                    </m:r>
                    <m:sSub>
                      <m:sSubPr>
                        <m:ctrlPr>
                          <w:rPr>
                            <w:rFonts w:ascii="Cambria Math" w:eastAsia="Cambria Math" w:hAnsi="Cambria Math" w:cs="Cambria Math"/>
                            <w:i/>
                          </w:rPr>
                        </m:ctrlPr>
                      </m:sSubPr>
                      <m:e>
                        <m:r>
                          <w:rPr>
                            <w:rFonts w:ascii="Cambria Math" w:eastAsia="Cambria Math" w:hAnsi="Cambria Math" w:cs="Cambria Math"/>
                          </w:rPr>
                          <m:t>CW</m:t>
                        </m:r>
                      </m:e>
                      <m:sub>
                        <m:r>
                          <w:rPr>
                            <w:rFonts w:ascii="Cambria Math" w:eastAsia="Cambria Math" w:hAnsi="Cambria Math" w:cs="Cambria Math"/>
                          </w:rPr>
                          <m:t>i</m:t>
                        </m:r>
                      </m:sub>
                    </m:sSub>
                  </m:sup>
                </m:sSup>
              </m:e>
            </m:d>
          </m:den>
        </m:f>
      </m:oMath>
      <w:r>
        <w:rPr>
          <w:rFonts w:eastAsiaTheme="minorEastAsia"/>
        </w:rPr>
        <w:t>,</w:t>
      </w:r>
      <w:r>
        <w:rPr>
          <w:rFonts w:eastAsiaTheme="minorEastAsia"/>
        </w:rPr>
        <w:tab/>
      </w:r>
      <w:r>
        <w:rPr>
          <w:rFonts w:eastAsiaTheme="minorEastAsia"/>
        </w:rPr>
        <w:tab/>
      </w:r>
      <w:r>
        <w:rPr>
          <w:rFonts w:eastAsiaTheme="minorEastAsia"/>
        </w:rPr>
        <w:tab/>
      </w:r>
      <w:r>
        <w:rPr>
          <w:rFonts w:eastAsiaTheme="minorEastAsia"/>
        </w:rPr>
        <w:tab/>
        <w:t>(</w:t>
      </w:r>
      <w:r w:rsidR="002D0E3A">
        <w:rPr>
          <w:rFonts w:eastAsiaTheme="minorEastAsia"/>
        </w:rPr>
        <w:t>10</w:t>
      </w:r>
      <w:r>
        <w:rPr>
          <w:rFonts w:eastAsiaTheme="minorEastAsia"/>
        </w:rPr>
        <w:t>)</w:t>
      </w:r>
    </w:p>
    <w:p w14:paraId="46D6C0D8" w14:textId="77777777" w:rsidR="008864B7" w:rsidRDefault="008864B7" w:rsidP="008864B7">
      <w:pPr>
        <w:spacing w:line="480" w:lineRule="auto"/>
      </w:pPr>
      <w:r>
        <w:t xml:space="preserve">Where </w:t>
      </w:r>
      <w:r w:rsidRPr="00D71EE2">
        <w:rPr>
          <w:i/>
          <w:iCs/>
        </w:rPr>
        <w:t>m</w:t>
      </w:r>
      <w:r>
        <w:t xml:space="preserve"> is the minimum, </w:t>
      </w:r>
      <w:r w:rsidRPr="00D71EE2">
        <w:rPr>
          <w:i/>
          <w:iCs/>
        </w:rPr>
        <w:t>b</w:t>
      </w:r>
      <w:r>
        <w:t xml:space="preserve"> is the slope, and </w:t>
      </w:r>
      <w:r w:rsidRPr="00D71EE2">
        <w:rPr>
          <w:i/>
          <w:iCs/>
        </w:rPr>
        <w:t>s</w:t>
      </w:r>
      <w:r>
        <w:t xml:space="preserve"> is the scale. </w:t>
      </w:r>
    </w:p>
    <w:p w14:paraId="37B0EEF1" w14:textId="400AE566" w:rsidR="008864B7" w:rsidRDefault="008864B7" w:rsidP="008864B7">
      <w:pPr>
        <w:spacing w:line="480" w:lineRule="auto"/>
        <w:ind w:firstLine="720"/>
      </w:pPr>
      <w:r>
        <w:lastRenderedPageBreak/>
        <w:t xml:space="preserve">To do the same analysis on PVT, we converted overlap with the reference threshold (identified in Experiment 4) to </w:t>
      </w:r>
      <w:r w:rsidR="00CC1007">
        <w:t xml:space="preserve">a </w:t>
      </w:r>
      <w:r>
        <w:t xml:space="preserve">distance measure (termed directional overlap, DO) using the following formula, </w:t>
      </w:r>
    </w:p>
    <w:p w14:paraId="19CB708A" w14:textId="7739027A" w:rsidR="008864B7" w:rsidRDefault="00000000" w:rsidP="008864B7">
      <w:pPr>
        <w:spacing w:line="480" w:lineRule="auto"/>
        <w:jc w:val="right"/>
        <w:rPr>
          <w:rFonts w:eastAsiaTheme="minorEastAsia"/>
        </w:rPr>
      </w:pPr>
      <m:oMath>
        <m:sSub>
          <m:sSubPr>
            <m:ctrlPr>
              <w:rPr>
                <w:rFonts w:ascii="Cambria Math" w:hAnsi="Cambria Math"/>
                <w:i/>
              </w:rPr>
            </m:ctrlPr>
          </m:sSubPr>
          <m:e>
            <m:r>
              <w:rPr>
                <w:rFonts w:ascii="Cambria Math" w:hAnsi="Cambria Math"/>
              </w:rPr>
              <m:t>DO</m:t>
            </m:r>
          </m:e>
          <m:sub>
            <m:r>
              <w:rPr>
                <w:rFonts w:ascii="Cambria Math" w:hAnsi="Cambria Math"/>
              </w:rPr>
              <m:t>i</m:t>
            </m:r>
          </m:sub>
        </m:sSub>
        <m:r>
          <w:rPr>
            <w:rFonts w:ascii="Cambria Math" w:hAnsi="Cambria Math"/>
          </w:rPr>
          <m:t>=abs</m:t>
        </m:r>
        <m:d>
          <m:dPr>
            <m:ctrlPr>
              <w:rPr>
                <w:rFonts w:ascii="Cambria Math" w:hAnsi="Cambria Math"/>
                <w:i/>
              </w:rPr>
            </m:ctrlPr>
          </m:dPr>
          <m:e>
            <m:sSub>
              <m:sSubPr>
                <m:ctrlPr>
                  <w:rPr>
                    <w:rFonts w:ascii="Cambria Math" w:hAnsi="Cambria Math"/>
                    <w:i/>
                  </w:rPr>
                </m:ctrlPr>
              </m:sSubPr>
              <m:e>
                <m:r>
                  <w:rPr>
                    <w:rFonts w:ascii="Cambria Math" w:hAnsi="Cambria Math"/>
                  </w:rPr>
                  <m:t>overlap</m:t>
                </m:r>
              </m:e>
              <m:sub>
                <m:r>
                  <w:rPr>
                    <w:rFonts w:ascii="Cambria Math" w:hAnsi="Cambria Math"/>
                  </w:rPr>
                  <m:t>i</m:t>
                </m:r>
              </m:sub>
            </m:sSub>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direction</m:t>
            </m:r>
          </m:e>
          <m:sub>
            <m:r>
              <w:rPr>
                <w:rFonts w:ascii="Cambria Math" w:hAnsi="Cambria Math"/>
              </w:rPr>
              <m:t>i</m:t>
            </m:r>
          </m:sub>
        </m:sSub>
        <m:r>
          <w:rPr>
            <w:rFonts w:ascii="Cambria Math" w:hAnsi="Cambria Math"/>
          </w:rPr>
          <m:t>,</m:t>
        </m:r>
      </m:oMath>
      <w:r w:rsidR="008864B7">
        <w:rPr>
          <w:rFonts w:eastAsiaTheme="minorEastAsia"/>
        </w:rPr>
        <w:t xml:space="preserve"> </w:t>
      </w:r>
      <w:r w:rsidR="008864B7">
        <w:rPr>
          <w:rFonts w:eastAsiaTheme="minorEastAsia"/>
        </w:rPr>
        <w:tab/>
      </w:r>
      <w:r w:rsidR="008864B7">
        <w:rPr>
          <w:rFonts w:eastAsiaTheme="minorEastAsia"/>
        </w:rPr>
        <w:tab/>
      </w:r>
      <w:r w:rsidR="008864B7">
        <w:rPr>
          <w:rFonts w:eastAsiaTheme="minorEastAsia"/>
        </w:rPr>
        <w:tab/>
      </w:r>
      <w:r w:rsidR="008864B7">
        <w:rPr>
          <w:rFonts w:eastAsiaTheme="minorEastAsia"/>
        </w:rPr>
        <w:tab/>
        <w:t>(1</w:t>
      </w:r>
      <w:r w:rsidR="002D0E3A">
        <w:rPr>
          <w:rFonts w:eastAsiaTheme="minorEastAsia"/>
        </w:rPr>
        <w:t>1</w:t>
      </w:r>
      <w:r w:rsidR="008864B7">
        <w:rPr>
          <w:rFonts w:eastAsiaTheme="minorEastAsia"/>
        </w:rPr>
        <w:t>)</w:t>
      </w:r>
    </w:p>
    <w:p w14:paraId="2CA92192" w14:textId="6120F14A" w:rsidR="008864B7" w:rsidRDefault="008864B7" w:rsidP="008864B7">
      <w:pPr>
        <w:spacing w:line="480" w:lineRule="auto"/>
      </w:pPr>
      <w:r>
        <w:rPr>
          <w:rFonts w:eastAsiaTheme="minorEastAsia"/>
        </w:rPr>
        <w:t>where overlap</w:t>
      </w:r>
      <w:r w:rsidRPr="003469B0">
        <w:rPr>
          <w:rFonts w:eastAsiaTheme="minorEastAsia"/>
          <w:vertAlign w:val="subscript"/>
        </w:rPr>
        <w:t>i</w:t>
      </w:r>
      <w:r>
        <w:rPr>
          <w:rFonts w:eastAsiaTheme="minorEastAsia"/>
        </w:rPr>
        <w:t xml:space="preserve"> is Item </w:t>
      </w:r>
      <w:r w:rsidRPr="003469B0">
        <w:rPr>
          <w:rFonts w:eastAsiaTheme="minorEastAsia"/>
          <w:i/>
          <w:iCs/>
        </w:rPr>
        <w:t>i</w:t>
      </w:r>
      <w:r>
        <w:rPr>
          <w:rFonts w:eastAsiaTheme="minorEastAsia"/>
        </w:rPr>
        <w:t xml:space="preserve">’s overlap with the </w:t>
      </w:r>
      <w:r>
        <w:t>reference threshold (identified in Experiment 4) and direction</w:t>
      </w:r>
      <w:r w:rsidRPr="008550B7">
        <w:rPr>
          <w:vertAlign w:val="subscript"/>
        </w:rPr>
        <w:t>i</w:t>
      </w:r>
      <w:r>
        <w:t xml:space="preserve"> = -1 if Item </w:t>
      </w:r>
      <w:r w:rsidRPr="003469B0">
        <w:rPr>
          <w:i/>
          <w:iCs/>
        </w:rPr>
        <w:t>i</w:t>
      </w:r>
      <w:r>
        <w:t>’s distribution is lower than the reference distribution, otherwise direction</w:t>
      </w:r>
      <w:r w:rsidRPr="008550B7">
        <w:rPr>
          <w:vertAlign w:val="subscript"/>
        </w:rPr>
        <w:t>i</w:t>
      </w:r>
      <w:r>
        <w:t xml:space="preserve"> = 1. DO ranges from -1 (no overlap, with Item I below the reference distribution) to 1 (no overlap, with Item i above the reference distribution). The two distributions overlap completely when DO = 0.  We then fit the same function (Equation </w:t>
      </w:r>
      <w:r w:rsidR="002D0E3A">
        <w:t>10</w:t>
      </w:r>
      <w:r>
        <w:t xml:space="preserve">) using DO as the predictor variable and </w:t>
      </w:r>
      <w:r w:rsidR="00716550">
        <w:t xml:space="preserve">fixed </w:t>
      </w:r>
      <w:r>
        <w:t>the scale to 1.</w:t>
      </w:r>
    </w:p>
    <w:p w14:paraId="6F79A3CB" w14:textId="380FE399" w:rsidR="008864B7" w:rsidRDefault="008864B7" w:rsidP="008864B7">
      <w:pPr>
        <w:spacing w:line="480" w:lineRule="auto"/>
      </w:pPr>
      <w:r>
        <w:tab/>
        <w:t>Table 4 shows the fit statistics comparing the fit statistics of PVT to CW for Experiment 4. As can be seen, PVT outperforms CW.  Figure 17 shows the fits.   Similar results were found when the analysis was calculated for each donation amount ($10, $50, $100; see Supplement</w:t>
      </w:r>
      <w:r w:rsidR="00784FF6">
        <w:t>al Information</w:t>
      </w:r>
      <w:r>
        <w:t xml:space="preserve">). </w:t>
      </w:r>
    </w:p>
    <w:p w14:paraId="288DA712" w14:textId="77777777" w:rsidR="008864B7" w:rsidRDefault="008864B7" w:rsidP="008864B7">
      <w:pPr>
        <w:spacing w:line="480" w:lineRule="auto"/>
      </w:pPr>
    </w:p>
    <w:p w14:paraId="5D4F2EFC" w14:textId="607FEA8E" w:rsidR="008864B7" w:rsidRDefault="008864B7" w:rsidP="008864B7">
      <w:pPr>
        <w:spacing w:line="480" w:lineRule="auto"/>
      </w:pPr>
      <w:r w:rsidRPr="00624C3B">
        <w:rPr>
          <w:noProof/>
        </w:rPr>
        <w:lastRenderedPageBreak/>
        <w:drawing>
          <wp:inline distT="0" distB="0" distL="0" distR="0" wp14:anchorId="5630BFB7" wp14:editId="2737BADB">
            <wp:extent cx="5943600" cy="3100705"/>
            <wp:effectExtent l="0" t="0" r="0" b="0"/>
            <wp:docPr id="1211583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83430" name=""/>
                    <pic:cNvPicPr/>
                  </pic:nvPicPr>
                  <pic:blipFill>
                    <a:blip r:embed="rId31"/>
                    <a:stretch>
                      <a:fillRect/>
                    </a:stretch>
                  </pic:blipFill>
                  <pic:spPr>
                    <a:xfrm>
                      <a:off x="0" y="0"/>
                      <a:ext cx="5943600" cy="3100705"/>
                    </a:xfrm>
                    <a:prstGeom prst="rect">
                      <a:avLst/>
                    </a:prstGeom>
                  </pic:spPr>
                </pic:pic>
              </a:graphicData>
            </a:graphic>
          </wp:inline>
        </w:drawing>
      </w:r>
    </w:p>
    <w:p w14:paraId="41CA6465" w14:textId="77777777" w:rsidR="008864B7" w:rsidRDefault="008864B7" w:rsidP="008864B7">
      <w:r>
        <w:t xml:space="preserve">Figure 17: PVT and CW predictions for the probability of donating in Experiment 4. PVT predicts more accurately than CW.  </w:t>
      </w:r>
    </w:p>
    <w:p w14:paraId="5373BEF9" w14:textId="2B34D3F4" w:rsidR="008864B7" w:rsidRDefault="008864B7" w:rsidP="008864B7"/>
    <w:p w14:paraId="5BC722D3" w14:textId="1EC96976" w:rsidR="008864B7" w:rsidRPr="00C06677" w:rsidRDefault="008864B7" w:rsidP="0035443A">
      <w:pPr>
        <w:spacing w:line="480" w:lineRule="auto"/>
        <w:ind w:firstLine="720"/>
      </w:pPr>
      <w:r>
        <w:t>In sum, the results showed that PVT consistently outperformed competence and warmth as a predictor of charitable giving.  The superiority of PVT over competence and warmth is especially impressive given the predictions based on a competence and warmth account is far less constrained than the precise point predictions of PVT.</w:t>
      </w:r>
      <w:r w:rsidR="008C7A9F">
        <w:t xml:space="preserve"> </w:t>
      </w:r>
      <w:r w:rsidR="008C7A9F" w:rsidRPr="00C06677">
        <w:t>Further discussion of these results and their implications is included in the General Discussion.</w:t>
      </w:r>
    </w:p>
    <w:p w14:paraId="0A67F906" w14:textId="08C8A67A" w:rsidR="001B42BC" w:rsidRPr="00C06677" w:rsidRDefault="004615E6" w:rsidP="00C15493">
      <w:pPr>
        <w:keepNext/>
        <w:spacing w:line="480" w:lineRule="auto"/>
        <w:jc w:val="center"/>
        <w:rPr>
          <w:b/>
          <w:bCs/>
        </w:rPr>
      </w:pPr>
      <w:r w:rsidRPr="00C06677">
        <w:rPr>
          <w:b/>
          <w:bCs/>
        </w:rPr>
        <w:t>General Discussion</w:t>
      </w:r>
    </w:p>
    <w:p w14:paraId="1BC7926F" w14:textId="05EC90B3" w:rsidR="0087323C" w:rsidRPr="00C06677" w:rsidRDefault="007F0FD9" w:rsidP="006253E2">
      <w:pPr>
        <w:spacing w:line="480" w:lineRule="auto"/>
      </w:pPr>
      <w:r w:rsidRPr="00C06677">
        <w:tab/>
      </w:r>
      <w:r w:rsidR="005A05BD" w:rsidRPr="00C06677">
        <w:t xml:space="preserve">Charitable giving </w:t>
      </w:r>
      <w:r w:rsidR="009D587D" w:rsidRPr="00C06677">
        <w:t xml:space="preserve">rests on a </w:t>
      </w:r>
      <w:r w:rsidR="00DF64F0" w:rsidRPr="00C06677">
        <w:t xml:space="preserve">complex social decision in which </w:t>
      </w:r>
      <w:r w:rsidR="001613A3" w:rsidRPr="00C06677">
        <w:t xml:space="preserve">the </w:t>
      </w:r>
      <w:r w:rsidR="00DF64F0" w:rsidRPr="00C06677">
        <w:t xml:space="preserve">benefits to the giver </w:t>
      </w:r>
      <w:r w:rsidR="009A4656" w:rsidRPr="00C06677">
        <w:t>may not be immediately apparent</w:t>
      </w:r>
      <w:r w:rsidR="00DF64F0" w:rsidRPr="00C06677">
        <w:t>.</w:t>
      </w:r>
      <w:r w:rsidR="005A05BD" w:rsidRPr="00C06677">
        <w:t xml:space="preserve"> </w:t>
      </w:r>
      <w:r w:rsidR="00CC0116" w:rsidRPr="00C06677">
        <w:t>To explain charitable giving</w:t>
      </w:r>
      <w:r w:rsidR="004E1B53" w:rsidRPr="00C06677">
        <w:t>,</w:t>
      </w:r>
      <w:r w:rsidR="00CC0116" w:rsidRPr="00C06677">
        <w:t xml:space="preserve"> w</w:t>
      </w:r>
      <w:r w:rsidR="00F15916" w:rsidRPr="00C06677">
        <w:t xml:space="preserve">e propose that </w:t>
      </w:r>
      <w:r w:rsidR="00CC0116" w:rsidRPr="00C06677">
        <w:t>such donations are</w:t>
      </w:r>
      <w:r w:rsidR="00F15916" w:rsidRPr="00C06677">
        <w:t xml:space="preserve"> driven by</w:t>
      </w:r>
      <w:r w:rsidR="009A4656" w:rsidRPr="00C06677">
        <w:t xml:space="preserve"> </w:t>
      </w:r>
      <w:r w:rsidR="00CC0116" w:rsidRPr="00C06677">
        <w:t xml:space="preserve">an assessment of the </w:t>
      </w:r>
      <w:r w:rsidR="009A4656" w:rsidRPr="00C06677">
        <w:t xml:space="preserve">Psychological Value of the recipient as gauged by the giver. </w:t>
      </w:r>
      <w:r w:rsidR="00D54619" w:rsidRPr="00C06677">
        <w:t>T</w:t>
      </w:r>
      <w:r w:rsidR="00526C02" w:rsidRPr="00C06677">
        <w:t xml:space="preserve">o examine </w:t>
      </w:r>
      <w:r w:rsidR="00D54619" w:rsidRPr="00C06677">
        <w:t>this</w:t>
      </w:r>
      <w:r w:rsidR="00526C02" w:rsidRPr="00C06677">
        <w:t xml:space="preserve"> hypothesis</w:t>
      </w:r>
      <w:r w:rsidR="00D54619" w:rsidRPr="00C06677">
        <w:t>,</w:t>
      </w:r>
      <w:r w:rsidR="00526C02" w:rsidRPr="00C06677">
        <w:t xml:space="preserve"> we adopted the conceptual framework </w:t>
      </w:r>
      <w:r w:rsidR="00D54619" w:rsidRPr="00C06677">
        <w:t>of</w:t>
      </w:r>
      <w:r w:rsidR="00526C02" w:rsidRPr="00C06677">
        <w:t xml:space="preserve"> </w:t>
      </w:r>
      <w:r w:rsidR="00380E36" w:rsidRPr="00C06677">
        <w:t xml:space="preserve">PVT.  </w:t>
      </w:r>
      <w:r w:rsidR="006253E2" w:rsidRPr="00C06677">
        <w:t>The theory rests on the assumption that</w:t>
      </w:r>
      <w:r w:rsidR="00D54619" w:rsidRPr="00C06677">
        <w:t xml:space="preserve"> Psychological Value is a perceptual event</w:t>
      </w:r>
      <w:r w:rsidR="0019082B" w:rsidRPr="00C06677">
        <w:t>, and given that such events are susceptible to noise</w:t>
      </w:r>
      <w:r w:rsidR="00817166" w:rsidRPr="00C06677">
        <w:t>,</w:t>
      </w:r>
      <w:r w:rsidR="00D54619" w:rsidRPr="00C06677">
        <w:t xml:space="preserve"> Psychological Value is</w:t>
      </w:r>
      <w:r w:rsidR="006253E2" w:rsidRPr="00C06677">
        <w:t xml:space="preserve"> best captured by a distribution rather than a single estimate. </w:t>
      </w:r>
      <w:r w:rsidR="00D54619" w:rsidRPr="00C06677">
        <w:t>Consistent with SDT,</w:t>
      </w:r>
      <w:r w:rsidR="006253E2" w:rsidRPr="00C06677">
        <w:t xml:space="preserve"> when a decision rests on assessing the relative values of two </w:t>
      </w:r>
      <w:r w:rsidR="006253E2" w:rsidRPr="00C06677">
        <w:lastRenderedPageBreak/>
        <w:t>alternative</w:t>
      </w:r>
      <w:r w:rsidR="00E76D16" w:rsidRPr="00C06677">
        <w:t>s</w:t>
      </w:r>
      <w:r w:rsidR="00817166" w:rsidRPr="00C06677">
        <w:t>, t</w:t>
      </w:r>
      <w:r w:rsidR="006253E2" w:rsidRPr="00C06677">
        <w:t xml:space="preserve">he ease and nature of such decisions </w:t>
      </w:r>
      <w:r w:rsidR="00817166" w:rsidRPr="00C06677">
        <w:t>are</w:t>
      </w:r>
      <w:r w:rsidR="006253E2" w:rsidRPr="00C06677">
        <w:t xml:space="preserve"> gauged relative to the amount of overlap of the distributions</w:t>
      </w:r>
      <w:r w:rsidR="00817166" w:rsidRPr="00C06677">
        <w:t xml:space="preserve"> </w:t>
      </w:r>
      <w:r w:rsidR="00A3148E" w:rsidRPr="00C06677">
        <w:t>of</w:t>
      </w:r>
      <w:r w:rsidR="00817166" w:rsidRPr="00C06677">
        <w:t xml:space="preserve"> the </w:t>
      </w:r>
      <w:r w:rsidR="008E5BCF">
        <w:t xml:space="preserve">Psychological Values of the </w:t>
      </w:r>
      <w:r w:rsidR="00817166" w:rsidRPr="00C06677">
        <w:t>options</w:t>
      </w:r>
      <w:r w:rsidR="006253E2" w:rsidRPr="00C06677">
        <w:t xml:space="preserve">. </w:t>
      </w:r>
      <w:r w:rsidR="00817166" w:rsidRPr="00C06677">
        <w:t>Within the context of PVT</w:t>
      </w:r>
      <w:r w:rsidR="00E76D16" w:rsidRPr="00C06677">
        <w:t>,</w:t>
      </w:r>
      <w:r w:rsidR="006253E2" w:rsidRPr="00C06677">
        <w:t xml:space="preserve"> </w:t>
      </w:r>
      <w:r w:rsidR="00817166" w:rsidRPr="00C06677">
        <w:t>th</w:t>
      </w:r>
      <w:r w:rsidR="008E5BCF">
        <w:t xml:space="preserve">e </w:t>
      </w:r>
      <w:r w:rsidR="00817166" w:rsidRPr="00C06677">
        <w:t xml:space="preserve">amount of </w:t>
      </w:r>
      <w:r w:rsidR="0047160C">
        <w:t xml:space="preserve">this </w:t>
      </w:r>
      <w:r w:rsidR="003B4442" w:rsidRPr="00C06677">
        <w:t>overlap</w:t>
      </w:r>
      <w:r w:rsidR="00817166" w:rsidRPr="00C06677">
        <w:t xml:space="preserve"> </w:t>
      </w:r>
      <w:r w:rsidR="003B4442" w:rsidRPr="00C06677">
        <w:t xml:space="preserve">should predict both the probability of choosing the higher valued option, </w:t>
      </w:r>
      <w:r w:rsidR="003B4442" w:rsidRPr="00C06677">
        <w:rPr>
          <w:i/>
          <w:iCs/>
        </w:rPr>
        <w:t>p</w:t>
      </w:r>
      <w:r w:rsidR="003B4442" w:rsidRPr="00C06677">
        <w:t xml:space="preserve">(HVO), and RT in value-based tasks. </w:t>
      </w:r>
      <w:r w:rsidR="0087323C" w:rsidRPr="00C06677">
        <w:t xml:space="preserve">Evidence in favor of </w:t>
      </w:r>
      <w:r w:rsidR="00D54619" w:rsidRPr="00C06677">
        <w:t xml:space="preserve">the PVT </w:t>
      </w:r>
      <w:r w:rsidR="0087323C" w:rsidRPr="00C06677">
        <w:t>account</w:t>
      </w:r>
      <w:r w:rsidR="004E1B53" w:rsidRPr="00C06677">
        <w:t>,</w:t>
      </w:r>
      <w:r w:rsidR="0087323C" w:rsidRPr="00C06677">
        <w:t xml:space="preserve"> </w:t>
      </w:r>
      <w:r w:rsidR="00D54619" w:rsidRPr="00C06677">
        <w:t>in general</w:t>
      </w:r>
      <w:r w:rsidR="004E1B53" w:rsidRPr="00C06677">
        <w:t>,</w:t>
      </w:r>
      <w:r w:rsidR="00D54619" w:rsidRPr="00C06677">
        <w:t xml:space="preserve"> and our </w:t>
      </w:r>
      <w:r w:rsidR="004E1B53" w:rsidRPr="00C06677">
        <w:t>detailed predictions</w:t>
      </w:r>
      <w:r w:rsidR="00A3148E" w:rsidRPr="00C06677">
        <w:t>, in particular,</w:t>
      </w:r>
      <w:r w:rsidR="004E1B53" w:rsidRPr="00C06677">
        <w:t xml:space="preserve"> is</w:t>
      </w:r>
      <w:r w:rsidR="0087323C" w:rsidRPr="00C06677">
        <w:t xml:space="preserve"> present in the data of </w:t>
      </w:r>
      <w:r w:rsidR="00C1340A" w:rsidRPr="00C06677">
        <w:t xml:space="preserve">all </w:t>
      </w:r>
      <w:r w:rsidR="003F0F22">
        <w:t>five</w:t>
      </w:r>
      <w:r w:rsidR="003F0F22" w:rsidRPr="00C06677">
        <w:t xml:space="preserve"> </w:t>
      </w:r>
      <w:r w:rsidR="0087323C" w:rsidRPr="00C06677">
        <w:t xml:space="preserve">of the experiments reported here. </w:t>
      </w:r>
    </w:p>
    <w:p w14:paraId="60663D2F" w14:textId="3F5BA35F" w:rsidR="00F67919" w:rsidRPr="00C06677" w:rsidRDefault="0019082B" w:rsidP="00F67919">
      <w:pPr>
        <w:spacing w:line="480" w:lineRule="auto"/>
      </w:pPr>
      <w:r w:rsidRPr="00C06677">
        <w:tab/>
      </w:r>
      <w:r w:rsidR="00981DE8" w:rsidRPr="00C06677">
        <w:t>I</w:t>
      </w:r>
      <w:r w:rsidR="003B4442" w:rsidRPr="00C06677">
        <w:t>n Experiment 1</w:t>
      </w:r>
      <w:r w:rsidR="00981DE8" w:rsidRPr="00C06677">
        <w:t xml:space="preserve">, </w:t>
      </w:r>
      <w:r w:rsidR="00D442FB" w:rsidRPr="00C06677">
        <w:t>we assessed performance when</w:t>
      </w:r>
      <w:r w:rsidRPr="00C06677">
        <w:t>,</w:t>
      </w:r>
      <w:r w:rsidR="00D442FB" w:rsidRPr="00C06677">
        <w:t xml:space="preserve"> on each trial</w:t>
      </w:r>
      <w:r w:rsidRPr="00C06677">
        <w:t>,</w:t>
      </w:r>
      <w:r w:rsidR="00D442FB" w:rsidRPr="00C06677">
        <w:t xml:space="preserve"> the participants were forced to choose to give to one of two options when the scenario described the predicament the options were placed in. W</w:t>
      </w:r>
      <w:r w:rsidR="00981DE8" w:rsidRPr="00C06677">
        <w:t xml:space="preserve">e modeled </w:t>
      </w:r>
      <w:r w:rsidR="00D442FB" w:rsidRPr="00C06677">
        <w:t xml:space="preserve">this </w:t>
      </w:r>
      <w:r w:rsidR="00817166" w:rsidRPr="00C06677">
        <w:t xml:space="preserve">donation </w:t>
      </w:r>
      <w:r w:rsidR="00E835D7" w:rsidRPr="00C06677">
        <w:t xml:space="preserve">decision </w:t>
      </w:r>
      <w:r w:rsidR="00981DE8" w:rsidRPr="00C06677">
        <w:t>using a sequential sampling procedure</w:t>
      </w:r>
      <w:r w:rsidR="00A3148E" w:rsidRPr="00C06677">
        <w:t xml:space="preserve"> (i.e., the RRW)</w:t>
      </w:r>
      <w:r w:rsidR="00981DE8" w:rsidRPr="00C06677">
        <w:t xml:space="preserve"> </w:t>
      </w:r>
      <w:r w:rsidR="00817166" w:rsidRPr="00C06677">
        <w:t xml:space="preserve">developed to instantiate the assumption of PVT. We used the </w:t>
      </w:r>
      <w:r w:rsidR="00981DE8" w:rsidRPr="00C06677">
        <w:t xml:space="preserve">distributional overlap of Psychological Value of the </w:t>
      </w:r>
      <w:r w:rsidR="004E18AE">
        <w:t>option</w:t>
      </w:r>
      <w:r w:rsidR="00BF5E0A">
        <w:t>s</w:t>
      </w:r>
      <w:r w:rsidR="004E18AE">
        <w:t xml:space="preserve"> </w:t>
      </w:r>
      <w:r w:rsidR="00981DE8" w:rsidRPr="00C06677">
        <w:t xml:space="preserve">as a direct estimate of drift rate. </w:t>
      </w:r>
      <w:r w:rsidR="00E835D7" w:rsidRPr="00C06677">
        <w:t>Several mode</w:t>
      </w:r>
      <w:r w:rsidR="007870DA" w:rsidRPr="00C06677">
        <w:t>l</w:t>
      </w:r>
      <w:r w:rsidR="00E835D7" w:rsidRPr="00C06677">
        <w:t xml:space="preserve"> variants were compared (see Table 1) and the best fittin</w:t>
      </w:r>
      <w:r w:rsidR="007870DA" w:rsidRPr="00C06677">
        <w:t>g</w:t>
      </w:r>
      <w:r w:rsidR="00E835D7" w:rsidRPr="00C06677">
        <w:t xml:space="preserve"> </w:t>
      </w:r>
      <w:r w:rsidR="00981DE8" w:rsidRPr="00C06677">
        <w:t xml:space="preserve">accounted for about 90% of the variance simultaneously in </w:t>
      </w:r>
      <w:r w:rsidR="00981DE8" w:rsidRPr="00C06677">
        <w:rPr>
          <w:i/>
          <w:iCs/>
        </w:rPr>
        <w:t>p</w:t>
      </w:r>
      <w:r w:rsidR="00981DE8" w:rsidRPr="00C06677">
        <w:t>(HVO) RT</w:t>
      </w:r>
      <w:r w:rsidR="00981DE8" w:rsidRPr="00C06677">
        <w:rPr>
          <w:vertAlign w:val="subscript"/>
        </w:rPr>
        <w:t>LVO</w:t>
      </w:r>
      <w:r w:rsidR="00981DE8" w:rsidRPr="00C06677">
        <w:t>, and RT</w:t>
      </w:r>
      <w:r w:rsidR="00981DE8" w:rsidRPr="00C06677">
        <w:rPr>
          <w:vertAlign w:val="subscript"/>
        </w:rPr>
        <w:t>HVO</w:t>
      </w:r>
      <w:r w:rsidR="00784F46" w:rsidRPr="00C06677">
        <w:t xml:space="preserve">.  </w:t>
      </w:r>
      <w:r w:rsidR="00E835D7" w:rsidRPr="00C06677">
        <w:t>The best fitting model – the Value Constant</w:t>
      </w:r>
      <w:r w:rsidR="00E94067" w:rsidRPr="00C06677">
        <w:t xml:space="preserve"> + Side Bias</w:t>
      </w:r>
      <w:r w:rsidR="00E835D7" w:rsidRPr="00C06677">
        <w:t xml:space="preserve"> model – co</w:t>
      </w:r>
      <w:r w:rsidR="00A3148E" w:rsidRPr="00C06677">
        <w:t>ntained</w:t>
      </w:r>
      <w:r w:rsidR="00E835D7" w:rsidRPr="00C06677">
        <w:t xml:space="preserve"> </w:t>
      </w:r>
      <w:r w:rsidR="00E94067" w:rsidRPr="00C06677">
        <w:t xml:space="preserve">six </w:t>
      </w:r>
      <w:r w:rsidR="007870DA" w:rsidRPr="00C06677">
        <w:t xml:space="preserve">free </w:t>
      </w:r>
      <w:r w:rsidR="00E835D7" w:rsidRPr="00C06677">
        <w:t>parameters</w:t>
      </w:r>
      <w:r w:rsidR="007870DA" w:rsidRPr="00C06677">
        <w:t xml:space="preserve">. </w:t>
      </w:r>
      <w:r w:rsidR="00A3148E" w:rsidRPr="00C06677">
        <w:t xml:space="preserve">The </w:t>
      </w:r>
      <w:r w:rsidR="007870DA" w:rsidRPr="00C06677">
        <w:rPr>
          <w:i/>
          <w:iCs/>
        </w:rPr>
        <w:t>T</w:t>
      </w:r>
      <w:r w:rsidR="007870DA" w:rsidRPr="00C06677">
        <w:rPr>
          <w:i/>
          <w:iCs/>
          <w:vertAlign w:val="subscript"/>
        </w:rPr>
        <w:t>er</w:t>
      </w:r>
      <w:r w:rsidR="007870DA" w:rsidRPr="00C06677">
        <w:rPr>
          <w:vertAlign w:val="subscript"/>
        </w:rPr>
        <w:t>:</w:t>
      </w:r>
      <w:r w:rsidR="007870DA" w:rsidRPr="00C06677">
        <w:t xml:space="preserve"> </w:t>
      </w:r>
      <w:r w:rsidR="00A3148E" w:rsidRPr="00C06677">
        <w:t xml:space="preserve">parameter </w:t>
      </w:r>
      <w:r w:rsidR="007870DA" w:rsidRPr="00C06677">
        <w:t>accounts for all internal processes that are separate from the decision such as basic input (e.g., encoding) and output (motoric response) processes</w:t>
      </w:r>
      <w:r w:rsidR="00A3148E" w:rsidRPr="00C06677">
        <w:t xml:space="preserve"> and defined the</w:t>
      </w:r>
      <w:r w:rsidR="007870DA" w:rsidRPr="00C06677">
        <w:t xml:space="preserve"> distance </w:t>
      </w:r>
      <w:r w:rsidR="00A3148E" w:rsidRPr="00C06677">
        <w:t>between</w:t>
      </w:r>
      <w:r w:rsidR="007870DA" w:rsidRPr="00C06677">
        <w:t xml:space="preserve"> the</w:t>
      </w:r>
      <w:r w:rsidR="00A3148E" w:rsidRPr="00C06677">
        <w:t xml:space="preserve"> two</w:t>
      </w:r>
      <w:r w:rsidR="007870DA" w:rsidRPr="00C06677">
        <w:t xml:space="preserve"> decision boundaries.  </w:t>
      </w:r>
      <w:r w:rsidR="00FB7959" w:rsidRPr="00C06677">
        <w:t xml:space="preserve">The boundary parameter identified </w:t>
      </w:r>
      <w:r w:rsidR="00072723" w:rsidRPr="00C06677">
        <w:t>half</w:t>
      </w:r>
      <w:r w:rsidR="00FB7959" w:rsidRPr="00C06677">
        <w:t xml:space="preserve"> the distance between the boundaries. </w:t>
      </w:r>
      <w:r w:rsidR="00817166" w:rsidRPr="002D6464">
        <w:t>A</w:t>
      </w:r>
      <w:r w:rsidR="007870DA" w:rsidRPr="002D6464">
        <w:t xml:space="preserve"> </w:t>
      </w:r>
      <w:r w:rsidR="00FB7959" w:rsidRPr="002D6464">
        <w:t>third</w:t>
      </w:r>
      <w:r w:rsidR="00A3148E" w:rsidRPr="002D6464">
        <w:t xml:space="preserve"> </w:t>
      </w:r>
      <w:r w:rsidR="007870DA" w:rsidRPr="002D6464">
        <w:t>parameter</w:t>
      </w:r>
      <w:r w:rsidR="00FB7959" w:rsidRPr="002D6464">
        <w:t>,</w:t>
      </w:r>
      <w:r w:rsidR="007870DA" w:rsidRPr="002D6464">
        <w:t xml:space="preserve"> </w:t>
      </w:r>
      <w:r w:rsidR="00A3148E" w:rsidRPr="002D6464">
        <w:rPr>
          <w:i/>
          <w:iCs/>
        </w:rPr>
        <w:t>N</w:t>
      </w:r>
      <w:r w:rsidR="00A3148E" w:rsidRPr="002D6464">
        <w:rPr>
          <w:i/>
          <w:iCs/>
          <w:vertAlign w:val="subscript"/>
        </w:rPr>
        <w:t>SD</w:t>
      </w:r>
      <w:r w:rsidR="00FB7959" w:rsidRPr="002D6464">
        <w:t>,</w:t>
      </w:r>
      <w:r w:rsidR="00A3148E" w:rsidRPr="002D6464">
        <w:t xml:space="preserve"> d</w:t>
      </w:r>
      <w:r w:rsidR="007870DA" w:rsidRPr="002D6464">
        <w:t xml:space="preserve">efined the amount of noise </w:t>
      </w:r>
      <w:r w:rsidR="00817166" w:rsidRPr="002D6464">
        <w:t xml:space="preserve">added </w:t>
      </w:r>
      <w:r w:rsidR="007870DA" w:rsidRPr="002D6464">
        <w:t>to the samples take</w:t>
      </w:r>
      <w:r w:rsidR="003945C4" w:rsidRPr="002D6464">
        <w:t>n</w:t>
      </w:r>
      <w:r w:rsidR="007870DA" w:rsidRPr="002D6464">
        <w:t xml:space="preserve"> on </w:t>
      </w:r>
      <w:r w:rsidR="00F67919" w:rsidRPr="002D6464">
        <w:t xml:space="preserve">each step. Sequential dependencies across trials were modelled by </w:t>
      </w:r>
      <w:r w:rsidR="00F67919" w:rsidRPr="002D6464">
        <w:rPr>
          <w:i/>
          <w:iCs/>
        </w:rPr>
        <w:t>d</w:t>
      </w:r>
      <w:r w:rsidR="00F67919" w:rsidRPr="002D6464">
        <w:rPr>
          <w:i/>
          <w:iCs/>
          <w:vertAlign w:val="subscript"/>
        </w:rPr>
        <w:t>B</w:t>
      </w:r>
      <w:r w:rsidR="00E94067" w:rsidRPr="002D6464">
        <w:t xml:space="preserve">, </w:t>
      </w:r>
      <w:r w:rsidR="00FB7959" w:rsidRPr="002D6464">
        <w:t xml:space="preserve">the side bias was modelled by </w:t>
      </w:r>
      <w:r w:rsidR="00FB7959" w:rsidRPr="002D6464">
        <w:rPr>
          <w:i/>
          <w:iCs/>
        </w:rPr>
        <w:t>s</w:t>
      </w:r>
      <w:r w:rsidR="00F67919" w:rsidRPr="002D6464">
        <w:t xml:space="preserve"> and</w:t>
      </w:r>
      <w:r w:rsidR="00C1340A" w:rsidRPr="002D6464">
        <w:t>,</w:t>
      </w:r>
      <w:r w:rsidR="00F67919" w:rsidRPr="002D6464">
        <w:t xml:space="preserve"> finally</w:t>
      </w:r>
      <w:r w:rsidR="00C1340A" w:rsidRPr="002D6464">
        <w:t>,</w:t>
      </w:r>
      <w:r w:rsidR="00F67919" w:rsidRPr="00C06677">
        <w:rPr>
          <w:rFonts w:ascii="TimesNewRomanPSMT" w:hAnsi="TimesNewRomanPSMT"/>
        </w:rPr>
        <w:t xml:space="preserve"> </w:t>
      </w:r>
      <w:r w:rsidR="00F67919" w:rsidRPr="00C06677">
        <w:rPr>
          <w:i/>
          <w:iCs/>
        </w:rPr>
        <w:t>vc</w:t>
      </w:r>
      <w:r w:rsidR="00207F00" w:rsidRPr="00C06677">
        <w:rPr>
          <w:i/>
          <w:iCs/>
        </w:rPr>
        <w:t xml:space="preserve"> </w:t>
      </w:r>
      <w:r w:rsidR="00F67919" w:rsidRPr="00C06677">
        <w:t>altered the separation of the pair-wise overlap of the option distributions by a constant.</w:t>
      </w:r>
      <w:r w:rsidR="00FA5410" w:rsidRPr="00C06677">
        <w:t xml:space="preserve"> Minor variants on this general model were then able to account for performance </w:t>
      </w:r>
      <w:r w:rsidR="00C1340A" w:rsidRPr="00C06677">
        <w:t>i</w:t>
      </w:r>
      <w:r w:rsidR="00FA5410" w:rsidRPr="00C06677">
        <w:t xml:space="preserve">n </w:t>
      </w:r>
      <w:r w:rsidR="00817166" w:rsidRPr="00C06677">
        <w:t>E</w:t>
      </w:r>
      <w:r w:rsidR="00FA5410" w:rsidRPr="00C06677">
        <w:t>xperiments</w:t>
      </w:r>
      <w:r w:rsidR="00817166" w:rsidRPr="00C06677">
        <w:t xml:space="preserve"> 2 and 3</w:t>
      </w:r>
      <w:r w:rsidR="00FA5410" w:rsidRPr="00C06677">
        <w:t>.</w:t>
      </w:r>
    </w:p>
    <w:p w14:paraId="75BCF6F0" w14:textId="74D9DE97" w:rsidR="00EB2269" w:rsidRDefault="00FA5410" w:rsidP="00F67919">
      <w:pPr>
        <w:spacing w:line="480" w:lineRule="auto"/>
      </w:pPr>
      <w:r w:rsidRPr="00C06677">
        <w:lastRenderedPageBreak/>
        <w:tab/>
        <w:t xml:space="preserve">In Experiment 2 the </w:t>
      </w:r>
      <w:r w:rsidR="00817166" w:rsidRPr="00C06677">
        <w:t xml:space="preserve">same </w:t>
      </w:r>
      <w:r w:rsidRPr="00C06677">
        <w:t>general framework was applied</w:t>
      </w:r>
      <w:r w:rsidR="00817166" w:rsidRPr="00C06677">
        <w:t xml:space="preserve">, </w:t>
      </w:r>
      <w:r w:rsidRPr="00C06677">
        <w:t>but critically</w:t>
      </w:r>
      <w:r w:rsidR="002C6900" w:rsidRPr="00C06677">
        <w:t>,</w:t>
      </w:r>
      <w:r w:rsidRPr="00C06677">
        <w:t xml:space="preserve"> now the scenarios did not provide any background information as to why the options had been placed in a vulnerable predicament</w:t>
      </w:r>
      <w:r w:rsidR="00817166" w:rsidRPr="00C06677">
        <w:t>, nor the specific cause of the</w:t>
      </w:r>
      <w:r w:rsidR="004E1B53" w:rsidRPr="00C06677">
        <w:t>ir</w:t>
      </w:r>
      <w:r w:rsidR="00817166" w:rsidRPr="00C06677">
        <w:t xml:space="preserve"> vulnerab</w:t>
      </w:r>
      <w:r w:rsidR="002C6900" w:rsidRPr="00C06677">
        <w:t>ility</w:t>
      </w:r>
      <w:r w:rsidR="00817166" w:rsidRPr="00C06677">
        <w:t xml:space="preserve"> (e.g., </w:t>
      </w:r>
      <w:r w:rsidR="002C6900" w:rsidRPr="00C06677">
        <w:t xml:space="preserve">their </w:t>
      </w:r>
      <w:r w:rsidR="00817166" w:rsidRPr="00C06677">
        <w:t>house</w:t>
      </w:r>
      <w:r w:rsidR="002C6900" w:rsidRPr="00C06677">
        <w:t xml:space="preserve"> had</w:t>
      </w:r>
      <w:r w:rsidR="00817166" w:rsidRPr="00C06677">
        <w:t xml:space="preserve"> burned down). </w:t>
      </w:r>
      <w:r w:rsidR="003436E0" w:rsidRPr="00C06677">
        <w:t>T</w:t>
      </w:r>
      <w:r w:rsidR="0039280B" w:rsidRPr="00C06677">
        <w:t xml:space="preserve">he Value Constant </w:t>
      </w:r>
      <w:r w:rsidR="00FF34EB" w:rsidRPr="00C06677">
        <w:t xml:space="preserve">+ Side Bias </w:t>
      </w:r>
      <w:r w:rsidR="0039280B" w:rsidRPr="00C06677">
        <w:t xml:space="preserve">model </w:t>
      </w:r>
      <w:r w:rsidR="00FF34EB" w:rsidRPr="00C06677">
        <w:t>again</w:t>
      </w:r>
      <w:r w:rsidR="000C520A" w:rsidRPr="00C06677">
        <w:t xml:space="preserve"> best fit with the data. </w:t>
      </w:r>
      <w:r w:rsidR="007835B4" w:rsidRPr="00C06677">
        <w:t>That is</w:t>
      </w:r>
      <w:r w:rsidR="00817166" w:rsidRPr="00C06677">
        <w:t>,</w:t>
      </w:r>
      <w:r w:rsidR="007835B4" w:rsidRPr="00C06677">
        <w:t xml:space="preserve"> the same model was able to account for decision making regardless of whether or not additional contextual information was contained in the scenarios.</w:t>
      </w:r>
      <w:r w:rsidR="00C1340A" w:rsidRPr="00C06677">
        <w:t xml:space="preserve"> </w:t>
      </w:r>
      <w:r w:rsidR="00817166" w:rsidRPr="00C06677">
        <w:t>Additionally</w:t>
      </w:r>
      <w:r w:rsidR="00C1340A" w:rsidRPr="00C06677">
        <w:t>, the mode</w:t>
      </w:r>
      <w:r w:rsidR="002C6900" w:rsidRPr="00C06677">
        <w:t xml:space="preserve">l </w:t>
      </w:r>
      <w:r w:rsidR="00817166" w:rsidRPr="00C06677">
        <w:t>provided</w:t>
      </w:r>
      <w:r w:rsidR="00C1340A" w:rsidRPr="00C06677">
        <w:t xml:space="preserve"> convincing fits to data</w:t>
      </w:r>
      <w:r w:rsidR="00817166" w:rsidRPr="00C06677">
        <w:t xml:space="preserve"> </w:t>
      </w:r>
      <w:r w:rsidR="00C1340A" w:rsidRPr="00C06677">
        <w:t xml:space="preserve">averaged over participants and to individual participants </w:t>
      </w:r>
      <w:r w:rsidR="002C6900" w:rsidRPr="00C06677">
        <w:t>datasets</w:t>
      </w:r>
      <w:r w:rsidR="0011670C">
        <w:t>, respectively</w:t>
      </w:r>
      <w:r w:rsidR="00C1340A" w:rsidRPr="00C06677">
        <w:t>.</w:t>
      </w:r>
    </w:p>
    <w:p w14:paraId="23482198" w14:textId="55F908FC" w:rsidR="00B64F1A" w:rsidRDefault="00FB6E2F" w:rsidP="00FB6E2F">
      <w:pPr>
        <w:spacing w:line="480" w:lineRule="auto"/>
        <w:ind w:firstLine="720"/>
      </w:pPr>
      <w:r w:rsidRPr="00C06677">
        <w:t xml:space="preserve">Experiment 3 solidifies our main conclusion.  In Experiment 3 we </w:t>
      </w:r>
      <w:r>
        <w:t>demonstrated that PVT’s framework provides a f</w:t>
      </w:r>
      <w:r w:rsidR="00D02CE0">
        <w:t>i</w:t>
      </w:r>
      <w:r>
        <w:t xml:space="preserve">rm, quantified mechanism for assessing the explanatory influence of contextual features on charitable giving.  Specifically, we </w:t>
      </w:r>
      <w:r w:rsidRPr="00C06677">
        <w:t xml:space="preserve">assessed </w:t>
      </w:r>
      <w:r>
        <w:t xml:space="preserve">the nature </w:t>
      </w:r>
      <w:r w:rsidRPr="00C06677">
        <w:t>of in-group designations on charitable giving behavior</w:t>
      </w:r>
      <w:r>
        <w:t xml:space="preserve"> with PVT’s decision model</w:t>
      </w:r>
      <w:r w:rsidRPr="00C06677">
        <w:t xml:space="preserve">.  Now the same sort of scenarios used in Experiment 1 were re-used but in addition the in-group/out-group allegiance of each of the options was also provided. Again, several variants of the basic model were compared in a bid to see whether the influence of group allegiance could be best accounted for by a change in the Psychological Value attributed to the groups, a response bias towards the in-group or a combination of a change in value and an in-group response bias. </w:t>
      </w:r>
      <w:r>
        <w:t xml:space="preserve"> </w:t>
      </w:r>
      <w:r w:rsidRPr="00C06677">
        <w:t>Again, the data were well accounted for by PVT and the evidence provided clear support for the idea that in-group favoritism comes about because the difference in value between in-group members and out-group members becomes more pronounced. On these grounds, the notion of an in-group bias may, more generally, reflect less a decisional bias and more a change in the appraisal of the actual psychological values assigned to the respective in-group vs out-group members.</w:t>
      </w:r>
      <w:r w:rsidR="00B64F1A" w:rsidRPr="00B64F1A">
        <w:t xml:space="preserve"> </w:t>
      </w:r>
      <w:r w:rsidR="00E57711">
        <w:t xml:space="preserve">(By means of clarification here we are using the term ‘bias’ to refer a very particular construct in the </w:t>
      </w:r>
      <w:r w:rsidR="00E57711">
        <w:lastRenderedPageBreak/>
        <w:t>random walk model and this should not be confused with the notion of a cognitive bias qua a deviation from rational normative thought.)</w:t>
      </w:r>
    </w:p>
    <w:p w14:paraId="06168468" w14:textId="40E9372D" w:rsidR="00D02CE0" w:rsidRDefault="00B15685" w:rsidP="00FB6E2F">
      <w:pPr>
        <w:spacing w:line="480" w:lineRule="auto"/>
        <w:ind w:firstLine="720"/>
      </w:pPr>
      <w:r>
        <w:t>I</w:t>
      </w:r>
      <w:r w:rsidR="00D02CE0">
        <w:t xml:space="preserve">n Experiment 4 we presented participants with single charities, one at a time, and asked them whether they would donate or keep the money.  In addition, we varied the dollar donation amount.  PVT proposes that </w:t>
      </w:r>
      <w:r w:rsidR="004E18AE">
        <w:t xml:space="preserve">the decision rests on a </w:t>
      </w:r>
      <w:r w:rsidR="00D02CE0">
        <w:t>compar</w:t>
      </w:r>
      <w:r w:rsidR="004E18AE">
        <w:t>ison of</w:t>
      </w:r>
      <w:r w:rsidR="00D02CE0">
        <w:t xml:space="preserve"> the </w:t>
      </w:r>
      <w:r w:rsidR="00BA28AD">
        <w:t xml:space="preserve">Psychological Value </w:t>
      </w:r>
      <w:r w:rsidR="00331E1E">
        <w:t xml:space="preserve">distribution </w:t>
      </w:r>
      <w:r w:rsidR="00BA28AD">
        <w:t xml:space="preserve">of the </w:t>
      </w:r>
      <w:r w:rsidR="00D02CE0">
        <w:t xml:space="preserve">charity to </w:t>
      </w:r>
      <w:r w:rsidR="00BA28AD">
        <w:t xml:space="preserve">that of </w:t>
      </w:r>
      <w:r w:rsidR="00D02CE0">
        <w:t xml:space="preserve">a </w:t>
      </w:r>
      <w:r w:rsidR="00414BDF">
        <w:t>TD</w:t>
      </w:r>
      <w:r w:rsidR="00D02CE0">
        <w:t xml:space="preserve">, above which they donate and below which they keep the money. The Dollar Value Change model fit the data well, with the </w:t>
      </w:r>
      <w:r w:rsidR="00414BDF">
        <w:t>TD</w:t>
      </w:r>
      <w:r w:rsidR="00D02CE0">
        <w:t xml:space="preserve"> getting increasingly more stringent with the increasing donation dollar amount.  This experiment demonstrated that </w:t>
      </w:r>
      <w:r w:rsidR="00D74840">
        <w:t>the Psychological Value of the receiver drives charitable giving behavior</w:t>
      </w:r>
      <w:r w:rsidR="004E18AE">
        <w:t xml:space="preserve"> in general</w:t>
      </w:r>
      <w:r w:rsidR="00EF3259">
        <w:t xml:space="preserve"> as well the choice of which charity to donate to</w:t>
      </w:r>
      <w:r w:rsidR="00D74840">
        <w:t>.</w:t>
      </w:r>
    </w:p>
    <w:p w14:paraId="2C20237A" w14:textId="08178D85" w:rsidR="007461E2" w:rsidRDefault="00B15685" w:rsidP="00902680">
      <w:pPr>
        <w:spacing w:line="480" w:lineRule="auto"/>
        <w:ind w:firstLine="720"/>
      </w:pPr>
      <w:r>
        <w:t>Finally, in Experiment 5 we compared PVT’s fits to that of the predictions derived from a</w:t>
      </w:r>
      <w:r w:rsidR="00515B0F">
        <w:t xml:space="preserve"> formal</w:t>
      </w:r>
      <w:r>
        <w:t xml:space="preserve"> account of competence and warmth.  </w:t>
      </w:r>
      <w:r w:rsidR="00AE28DF">
        <w:t xml:space="preserve">Competence and warmth are the primary predictor variables in the Stereotype Content Model (e.g., Fiske, et al., 2002; Cuddy, et al., 2007).  </w:t>
      </w:r>
      <w:r>
        <w:t xml:space="preserve">As expected, the competence and warmth account does provide relatively accurate predictors of charitable giving.  Nevertheless, PVT’s predictions are far more accurate (as evidenced by the large effect sizes when comparing model fit statistics). </w:t>
      </w:r>
      <w:r w:rsidR="00541562">
        <w:t>Although</w:t>
      </w:r>
      <w:r w:rsidR="00902680">
        <w:t xml:space="preserve"> w</w:t>
      </w:r>
      <w:r w:rsidR="001F3C38">
        <w:t>e</w:t>
      </w:r>
      <w:r w:rsidR="00AA1148">
        <w:t xml:space="preserve"> suspect that competence and warmth are two perceptual features that contribute </w:t>
      </w:r>
      <w:r w:rsidR="00324FE8">
        <w:t xml:space="preserve">to </w:t>
      </w:r>
      <w:r w:rsidR="00AA1148">
        <w:t>the perceived Psychological Value of people</w:t>
      </w:r>
      <w:r w:rsidR="00902680">
        <w:t xml:space="preserve">, </w:t>
      </w:r>
      <w:r w:rsidR="00AA1148">
        <w:t>P</w:t>
      </w:r>
      <w:r w:rsidR="0019503B">
        <w:t xml:space="preserve">VT’s </w:t>
      </w:r>
      <w:r w:rsidR="00AA1148">
        <w:t xml:space="preserve">superior performance revealed </w:t>
      </w:r>
      <w:r w:rsidR="001F3C38">
        <w:t>in</w:t>
      </w:r>
      <w:r w:rsidR="00AA1148">
        <w:t xml:space="preserve"> Experiment 5 demonstrate</w:t>
      </w:r>
      <w:r w:rsidR="001F3C38">
        <w:t>s</w:t>
      </w:r>
      <w:r w:rsidR="00AA1148">
        <w:t xml:space="preserve"> that Psychological Value does not simply </w:t>
      </w:r>
      <w:r w:rsidR="00AA1148" w:rsidRPr="006762DE">
        <w:t>reduce to competence</w:t>
      </w:r>
      <w:r w:rsidR="00AA1148">
        <w:t xml:space="preserve"> and warmth. Psychological Value is a more general construct than competence and warmth. </w:t>
      </w:r>
      <w:r w:rsidR="001F3C38">
        <w:t>Whereas</w:t>
      </w:r>
      <w:r w:rsidR="00AA1148">
        <w:t xml:space="preserve"> </w:t>
      </w:r>
      <w:r w:rsidR="00CC1007">
        <w:t>PVT holds that people can perceive the</w:t>
      </w:r>
      <w:r w:rsidR="00AA1148">
        <w:t xml:space="preserve"> Psychological Value of any stimulus (e.g., objects, animals, people, concepts, etc., see </w:t>
      </w:r>
      <w:r w:rsidR="00D25DF9">
        <w:t>Cohen &amp; Ahn, 2016</w:t>
      </w:r>
      <w:r w:rsidR="00AA1148">
        <w:t xml:space="preserve">), competence and warmth </w:t>
      </w:r>
      <w:r w:rsidR="00515B0F">
        <w:t>apply to</w:t>
      </w:r>
      <w:r w:rsidR="00AA1148">
        <w:t xml:space="preserve"> only a small subset of possible stimuli (e.g., </w:t>
      </w:r>
      <w:r w:rsidR="00067A86">
        <w:t>people</w:t>
      </w:r>
      <w:r w:rsidR="00AA1148">
        <w:t xml:space="preserve">).  </w:t>
      </w:r>
      <w:r w:rsidR="00850CD6">
        <w:t xml:space="preserve">As a result, PVT will accurately predict your preference when given a choice between </w:t>
      </w:r>
      <w:r w:rsidR="007461E2">
        <w:lastRenderedPageBreak/>
        <w:t xml:space="preserve">two inanimate </w:t>
      </w:r>
      <w:r w:rsidR="00850CD6">
        <w:t xml:space="preserve">objects (e.g., a car vs an umbrella) based on Psychological Value of the options. In contrast, it is unclear how one would predict preference </w:t>
      </w:r>
      <w:r w:rsidR="007461E2">
        <w:t xml:space="preserve">for inanimate objects </w:t>
      </w:r>
      <w:r w:rsidR="00850CD6">
        <w:t xml:space="preserve">using competence and warmth. </w:t>
      </w:r>
      <w:r w:rsidR="00902680">
        <w:t>Thus, PVT is a more precisely specified model that applies more generally than competence and warmth.</w:t>
      </w:r>
    </w:p>
    <w:p w14:paraId="3C608C9A" w14:textId="1D4951A5" w:rsidR="00B64F1A" w:rsidRPr="002D6464" w:rsidRDefault="00B64F1A" w:rsidP="0035443A">
      <w:pPr>
        <w:keepNext/>
        <w:spacing w:line="480" w:lineRule="auto"/>
        <w:rPr>
          <w:b/>
          <w:bCs/>
        </w:rPr>
      </w:pPr>
      <w:r w:rsidRPr="002D6464">
        <w:rPr>
          <w:b/>
          <w:bCs/>
        </w:rPr>
        <w:t xml:space="preserve">PVT </w:t>
      </w:r>
    </w:p>
    <w:p w14:paraId="0628F53F" w14:textId="13877277" w:rsidR="00CA1B05" w:rsidRDefault="00B64F1A" w:rsidP="00401046">
      <w:pPr>
        <w:spacing w:line="480" w:lineRule="auto"/>
        <w:ind w:firstLine="720"/>
      </w:pPr>
      <w:r>
        <w:t xml:space="preserve">In </w:t>
      </w:r>
      <w:r w:rsidR="001F3C38">
        <w:t xml:space="preserve">five </w:t>
      </w:r>
      <w:r>
        <w:t>experiments</w:t>
      </w:r>
      <w:r w:rsidR="00CA1B05">
        <w:t>,</w:t>
      </w:r>
      <w:r>
        <w:t xml:space="preserve"> we have </w:t>
      </w:r>
      <w:r w:rsidR="009E200D">
        <w:t>provided strong evidence that PVT is a valid</w:t>
      </w:r>
      <w:r w:rsidR="00913A46">
        <w:t>ated</w:t>
      </w:r>
      <w:r w:rsidR="009E200D">
        <w:t xml:space="preserve"> computational cognitive model of charitable giving, with the Psychological Value of the receiver serving as the primary driver of the decision process.</w:t>
      </w:r>
      <w:r w:rsidR="001454EA" w:rsidDel="001454EA">
        <w:t xml:space="preserve"> </w:t>
      </w:r>
      <w:r w:rsidR="007E17B6">
        <w:t xml:space="preserve">PVT’s predictions are both precise and accurate. Rather than simply identify a factor that influences charitable giving, PVT is a fully specified computational framework for social and cognitive processes involved in charitable giving.  As such, it </w:t>
      </w:r>
      <w:r w:rsidR="000F70F6">
        <w:t>can serve as a useful and informative computational foundation for the study of charitable giving.</w:t>
      </w:r>
    </w:p>
    <w:p w14:paraId="77D3A843" w14:textId="1D505EE9" w:rsidR="00152192" w:rsidRDefault="000F70F6" w:rsidP="004633C0">
      <w:pPr>
        <w:spacing w:line="480" w:lineRule="auto"/>
        <w:ind w:firstLine="720"/>
      </w:pPr>
      <w:r>
        <w:t>One</w:t>
      </w:r>
      <w:r w:rsidR="007F7F7B">
        <w:t xml:space="preserve"> </w:t>
      </w:r>
      <w:r w:rsidR="00FF7488">
        <w:t>criterion</w:t>
      </w:r>
      <w:r w:rsidR="007F7F7B">
        <w:t xml:space="preserve"> that determines the empirical content of a theory is the </w:t>
      </w:r>
      <w:r w:rsidR="00FF7488">
        <w:t>precision of its predictions (</w:t>
      </w:r>
      <w:r w:rsidR="00CE48AB" w:rsidRPr="00C15493">
        <w:t>Glöckner</w:t>
      </w:r>
      <w:r w:rsidR="00CE48AB">
        <w:t xml:space="preserve"> &amp; Betsch, </w:t>
      </w:r>
      <w:r w:rsidR="00CE48AB">
        <w:fldChar w:fldCharType="begin"/>
      </w:r>
      <w:r w:rsidR="0019503B">
        <w:instrText xml:space="preserve"> ADDIN EN.CITE &lt;EndNote&gt;&lt;Cite&gt;&lt;Author&gt;Glöckner&lt;/Author&gt;&lt;Year&gt;2011&lt;/Year&gt;&lt;RecNum&gt;2679&lt;/RecNum&gt;&lt;DisplayText&gt;2011&lt;/DisplayText&gt;&lt;record&gt;&lt;rec-number&gt;2679&lt;/rec-number&gt;&lt;foreign-keys&gt;&lt;key app="EN" db-id="w0tztzf0h2dft0eaewxxtpr4exwxf90s525w" timestamp="1660047658" guid="04917313-4ddc-4526-b0bd-ceb268edd299"&gt;2679&lt;/key&gt;&lt;/foreign-keys&gt;&lt;ref-type name="Journal Article"&gt;17&lt;/ref-type&gt;&lt;contributors&gt;&lt;authors&gt;&lt;author&gt;Glöckner, A&lt;/author&gt;&lt;author&gt;Betsch, T&lt;/author&gt;&lt;/authors&gt;&lt;/contributors&gt;&lt;titles&gt;&lt;title&gt;The empirical content of theories in judgment and decision making: Shortcomongs and remedies&lt;/title&gt;&lt;secondary-title&gt;Judgment and Decision Making&lt;/secondary-title&gt;&lt;/titles&gt;&lt;periodical&gt;&lt;full-title&gt;Judgment and Decision Making&lt;/full-title&gt;&lt;abbr-1&gt;Judgm. Decis. Making&lt;/abbr-1&gt;&lt;/periodical&gt;&lt;pages&gt;711-721&lt;/pages&gt;&lt;volume&gt;6&lt;/volume&gt;&lt;dates&gt;&lt;year&gt;2011&lt;/year&gt;&lt;/dates&gt;&lt;urls&gt;&lt;/urls&gt;&lt;electronic-resource-num&gt;https://www.proquest.com/scholarly-journals/empirical-content-theories-judgment-decision/docview/1011297243/se-2&lt;/electronic-resource-num&gt;&lt;/record&gt;&lt;/Cite&gt;&lt;/EndNote&gt;</w:instrText>
      </w:r>
      <w:r w:rsidR="00CE48AB">
        <w:fldChar w:fldCharType="separate"/>
      </w:r>
      <w:r w:rsidR="00CE48AB">
        <w:rPr>
          <w:noProof/>
        </w:rPr>
        <w:t>2011</w:t>
      </w:r>
      <w:r w:rsidR="00CE48AB">
        <w:fldChar w:fldCharType="end"/>
      </w:r>
      <w:r w:rsidR="00FF7488">
        <w:t xml:space="preserve">).  Degree of precision is a function of how many alternative </w:t>
      </w:r>
      <w:r w:rsidR="00CD317A">
        <w:t xml:space="preserve">patterns of data the model forbids.  </w:t>
      </w:r>
      <w:r w:rsidR="0006176C">
        <w:t xml:space="preserve">PVT’s </w:t>
      </w:r>
      <w:r w:rsidR="00CD317A">
        <w:t xml:space="preserve">makes point predictions </w:t>
      </w:r>
      <w:r w:rsidR="00FF7488">
        <w:t xml:space="preserve">based on the overlap of </w:t>
      </w:r>
      <w:r w:rsidR="00CD317A">
        <w:t>directly</w:t>
      </w:r>
      <w:r w:rsidR="00FF7488">
        <w:t xml:space="preserve"> measured Psychological Value distributions </w:t>
      </w:r>
      <w:r w:rsidR="00D25DF9">
        <w:t xml:space="preserve">together with </w:t>
      </w:r>
      <w:r w:rsidR="00FF7488">
        <w:t xml:space="preserve">a computationally specified decision process.  </w:t>
      </w:r>
      <w:r w:rsidR="00CD317A">
        <w:t xml:space="preserve">The fact that the model makes point predictions, rather than directional predictions, greatly restricts the </w:t>
      </w:r>
      <w:r w:rsidR="0091129F">
        <w:t>alternative patterns of data that the model can accommodate.  Furthermore, t</w:t>
      </w:r>
      <w:r w:rsidR="00CD317A">
        <w:t xml:space="preserve">hese point predictions are made simultaneously for </w:t>
      </w:r>
      <w:r w:rsidR="00CD317A" w:rsidRPr="00C15493">
        <w:rPr>
          <w:i/>
          <w:iCs/>
        </w:rPr>
        <w:t>p</w:t>
      </w:r>
      <w:r w:rsidR="00CD317A">
        <w:t>(HVO), RT</w:t>
      </w:r>
      <w:r w:rsidR="00CD317A" w:rsidRPr="002D6464">
        <w:rPr>
          <w:vertAlign w:val="subscript"/>
        </w:rPr>
        <w:t>HVO</w:t>
      </w:r>
      <w:r w:rsidR="00CD317A">
        <w:t>, and RT</w:t>
      </w:r>
      <w:r w:rsidR="00CD317A" w:rsidRPr="002D6464">
        <w:rPr>
          <w:vertAlign w:val="subscript"/>
        </w:rPr>
        <w:t>LVO</w:t>
      </w:r>
      <w:r w:rsidR="00CD317A">
        <w:t xml:space="preserve">.  Because the model links these three variables, they must </w:t>
      </w:r>
      <w:r w:rsidR="00D25DF9">
        <w:t xml:space="preserve">change </w:t>
      </w:r>
      <w:r w:rsidR="00CD317A">
        <w:t xml:space="preserve">together in very specific ways.  This linkage further restricts the number of </w:t>
      </w:r>
      <w:r w:rsidR="0091129F">
        <w:t xml:space="preserve">alternative </w:t>
      </w:r>
      <w:r w:rsidR="00CD317A">
        <w:t xml:space="preserve">data patterns that the model will accommodate. </w:t>
      </w:r>
      <w:r w:rsidR="004633C0">
        <w:t xml:space="preserve">Despite the high precision of the model, </w:t>
      </w:r>
      <w:r w:rsidR="00152192">
        <w:t xml:space="preserve">PVT </w:t>
      </w:r>
      <w:r w:rsidR="004633C0">
        <w:t>predict</w:t>
      </w:r>
      <w:r w:rsidR="0035210F">
        <w:t>s</w:t>
      </w:r>
      <w:r w:rsidR="004633C0">
        <w:t xml:space="preserve"> with very high </w:t>
      </w:r>
      <w:r w:rsidR="004633C0">
        <w:lastRenderedPageBreak/>
        <w:t>accuracy</w:t>
      </w:r>
      <w:r w:rsidR="00D25DF9">
        <w:t xml:space="preserve"> the considerable amount of empirical data </w:t>
      </w:r>
      <w:r w:rsidR="0035210F">
        <w:t xml:space="preserve">described both here and elsewhere (Cohen &amp; Ahn, 2016, Cohen et al., </w:t>
      </w:r>
      <w:r w:rsidR="001A32B5">
        <w:t>2022</w:t>
      </w:r>
      <w:r w:rsidR="0035210F">
        <w:t>)</w:t>
      </w:r>
      <w:r w:rsidR="004633C0">
        <w:t>.</w:t>
      </w:r>
    </w:p>
    <w:p w14:paraId="2908C54F" w14:textId="6F6E9D80" w:rsidR="004633C0" w:rsidRDefault="004633C0" w:rsidP="004633C0">
      <w:pPr>
        <w:spacing w:line="480" w:lineRule="auto"/>
        <w:ind w:firstLine="720"/>
        <w:contextualSpacing/>
      </w:pPr>
      <w:r>
        <w:t>We are mindful that</w:t>
      </w:r>
      <w:r w:rsidR="00890484">
        <w:t>, on the surface, PVT’s predictions</w:t>
      </w:r>
      <w:r>
        <w:t xml:space="preserve"> may appear</w:t>
      </w:r>
      <w:r w:rsidR="0035210F">
        <w:t xml:space="preserve"> to be both trivial and</w:t>
      </w:r>
      <w:r>
        <w:t xml:space="preserve"> obvious. For example, many readers are likely </w:t>
      </w:r>
      <w:r w:rsidR="0035210F">
        <w:t xml:space="preserve">to be </w:t>
      </w:r>
      <w:r>
        <w:t xml:space="preserve">unsurprised to learn that </w:t>
      </w:r>
      <w:r w:rsidRPr="00942DF1">
        <w:t xml:space="preserve">people </w:t>
      </w:r>
      <w:r>
        <w:t>will</w:t>
      </w:r>
      <w:r w:rsidRPr="00942DF1">
        <w:t xml:space="preserve"> choose to donate to a mother over a terrorist</w:t>
      </w:r>
      <w:r>
        <w:t xml:space="preserve">. However, when examined carefully, the </w:t>
      </w:r>
      <w:r w:rsidR="00890484">
        <w:t>precision</w:t>
      </w:r>
      <w:r>
        <w:t xml:space="preserve"> of these findings becomes apparent</w:t>
      </w:r>
      <w:r w:rsidRPr="00942DF1">
        <w:t xml:space="preserve">.  </w:t>
      </w:r>
      <w:r w:rsidR="00BA54DF">
        <w:t>That is</w:t>
      </w:r>
      <w:r>
        <w:t>, PVT</w:t>
      </w:r>
      <w:r w:rsidRPr="00942DF1">
        <w:t xml:space="preserve"> predicts </w:t>
      </w:r>
      <w:r>
        <w:t xml:space="preserve">the </w:t>
      </w:r>
      <w:r w:rsidRPr="00942DF1">
        <w:t xml:space="preserve">"less than obvious" </w:t>
      </w:r>
      <w:r>
        <w:t xml:space="preserve">choices (e.g., </w:t>
      </w:r>
      <w:r w:rsidRPr="00942DF1">
        <w:t>nun vs</w:t>
      </w:r>
      <w:r>
        <w:t>.</w:t>
      </w:r>
      <w:r w:rsidRPr="00942DF1">
        <w:t xml:space="preserve"> judge; terrorist vs</w:t>
      </w:r>
      <w:r>
        <w:t>.</w:t>
      </w:r>
      <w:r w:rsidRPr="00942DF1">
        <w:t xml:space="preserve"> pedophile</w:t>
      </w:r>
      <w:r>
        <w:t>)</w:t>
      </w:r>
      <w:r w:rsidRPr="00942DF1">
        <w:t xml:space="preserve"> </w:t>
      </w:r>
      <w:r w:rsidRPr="00695BE5">
        <w:rPr>
          <w:i/>
          <w:iCs/>
        </w:rPr>
        <w:t>just as accurately</w:t>
      </w:r>
      <w:r w:rsidRPr="00942DF1">
        <w:t xml:space="preserve"> </w:t>
      </w:r>
      <w:r>
        <w:t>as it predicts the obvious choices</w:t>
      </w:r>
      <w:r w:rsidRPr="00942DF1">
        <w:t xml:space="preserve">.  </w:t>
      </w:r>
      <w:r>
        <w:t>Perhaps most importantly</w:t>
      </w:r>
      <w:r w:rsidRPr="00942DF1">
        <w:t xml:space="preserve">, </w:t>
      </w:r>
      <w:r>
        <w:t>PVT does</w:t>
      </w:r>
      <w:r w:rsidRPr="00942DF1">
        <w:t xml:space="preserve"> not simply predict “who” will be chosen more often, </w:t>
      </w:r>
      <w:r>
        <w:t>it</w:t>
      </w:r>
      <w:r w:rsidRPr="00942DF1">
        <w:t xml:space="preserve"> predicts the </w:t>
      </w:r>
      <w:r w:rsidRPr="00695BE5">
        <w:rPr>
          <w:i/>
          <w:iCs/>
        </w:rPr>
        <w:t>precise probability</w:t>
      </w:r>
      <w:r w:rsidRPr="00942DF1">
        <w:t xml:space="preserve"> that a participant will choose person A over person B, the time it will take the participant to choose person A</w:t>
      </w:r>
      <w:r>
        <w:t xml:space="preserve"> (RT</w:t>
      </w:r>
      <w:r w:rsidRPr="00695BE5">
        <w:rPr>
          <w:vertAlign w:val="subscript"/>
        </w:rPr>
        <w:t>HVO</w:t>
      </w:r>
      <w:r>
        <w:t>)</w:t>
      </w:r>
      <w:r w:rsidRPr="00942DF1">
        <w:t xml:space="preserve">, </w:t>
      </w:r>
      <w:r w:rsidRPr="00695BE5">
        <w:rPr>
          <w:i/>
          <w:iCs/>
        </w:rPr>
        <w:t>and</w:t>
      </w:r>
      <w:r w:rsidRPr="00942DF1">
        <w:t xml:space="preserve"> the time it will take the participant to choose person B</w:t>
      </w:r>
      <w:r>
        <w:t xml:space="preserve"> (RT</w:t>
      </w:r>
      <w:r>
        <w:rPr>
          <w:vertAlign w:val="subscript"/>
        </w:rPr>
        <w:t>L</w:t>
      </w:r>
      <w:r w:rsidRPr="00147309">
        <w:rPr>
          <w:vertAlign w:val="subscript"/>
        </w:rPr>
        <w:t>VO</w:t>
      </w:r>
      <w:r>
        <w:t>)</w:t>
      </w:r>
      <w:r w:rsidRPr="00942DF1">
        <w:t xml:space="preserve">.  </w:t>
      </w:r>
      <w:r>
        <w:t>PVT</w:t>
      </w:r>
      <w:r w:rsidRPr="00942DF1">
        <w:t xml:space="preserve"> do</w:t>
      </w:r>
      <w:r>
        <w:t>es</w:t>
      </w:r>
      <w:r w:rsidRPr="00942DF1">
        <w:t xml:space="preserve"> this for </w:t>
      </w:r>
      <w:r w:rsidRPr="00695BE5">
        <w:rPr>
          <w:i/>
          <w:iCs/>
        </w:rPr>
        <w:t>all the possible combinations of people in the stimuli set</w:t>
      </w:r>
      <w:r w:rsidRPr="00942DF1">
        <w:t xml:space="preserve">.  </w:t>
      </w:r>
      <w:r>
        <w:t>When taken as a whole, such</w:t>
      </w:r>
      <w:r w:rsidRPr="00942DF1">
        <w:t xml:space="preserve"> predictions are </w:t>
      </w:r>
      <w:r>
        <w:t>neither</w:t>
      </w:r>
      <w:r w:rsidRPr="00942DF1">
        <w:t xml:space="preserve"> </w:t>
      </w:r>
      <w:r w:rsidR="0035210F">
        <w:t>trivial</w:t>
      </w:r>
      <w:r>
        <w:t xml:space="preserve">, nor </w:t>
      </w:r>
      <w:r w:rsidR="0035210F">
        <w:t>obvious</w:t>
      </w:r>
      <w:r w:rsidRPr="00942DF1">
        <w:t xml:space="preserve">.  </w:t>
      </w:r>
      <w:r>
        <w:t>The high accuracy of PVT’s predictions could only have been achieved if the psychometric properties of Psychological Value are well specified, accurate, and (because predictions were derived from distributional overlap) contain meaningful parametric information</w:t>
      </w:r>
      <w:r w:rsidRPr="00942DF1">
        <w:t xml:space="preserve">. </w:t>
      </w:r>
      <w:r>
        <w:t xml:space="preserve">This speaks to the validity of the theoretical construct (Psychological Value) specifically, and the model as a whole (PVT).  </w:t>
      </w:r>
    </w:p>
    <w:p w14:paraId="1998637D" w14:textId="47D57E2C" w:rsidR="00A4299A" w:rsidRPr="00C06677" w:rsidRDefault="00A4299A" w:rsidP="001F3C38">
      <w:pPr>
        <w:spacing w:line="480" w:lineRule="auto"/>
        <w:ind w:firstLine="720"/>
      </w:pPr>
      <w:r>
        <w:t>In science, it i</w:t>
      </w:r>
      <w:r w:rsidR="00DB7A0E">
        <w:t>s</w:t>
      </w:r>
      <w:r w:rsidR="0035210F">
        <w:t>, without doubt,</w:t>
      </w:r>
      <w:r w:rsidR="00DB7A0E">
        <w:t xml:space="preserve"> useful to be able</w:t>
      </w:r>
      <w:r>
        <w:t xml:space="preserve"> to compare the predictions of two competing models.</w:t>
      </w:r>
      <w:r w:rsidR="001F3C38">
        <w:t xml:space="preserve"> </w:t>
      </w:r>
      <w:r>
        <w:t>Unfortunately, there does not currently exist a</w:t>
      </w:r>
      <w:r w:rsidR="00F93AB8">
        <w:t>n alternative</w:t>
      </w:r>
      <w:r>
        <w:t xml:space="preserve"> quantified model of charitable giving that </w:t>
      </w:r>
      <w:r w:rsidR="00DB7A0E">
        <w:t xml:space="preserve">is comparable </w:t>
      </w:r>
      <w:r w:rsidR="00E3029E">
        <w:t xml:space="preserve">in scope and specificity </w:t>
      </w:r>
      <w:r w:rsidR="00DB7A0E">
        <w:t xml:space="preserve">to PVT. </w:t>
      </w:r>
      <w:r w:rsidR="001F3C38">
        <w:t>Nevertheless, we did compare PVTs predictive ability to that of a</w:t>
      </w:r>
      <w:r w:rsidR="0035210F">
        <w:t xml:space="preserve"> formal</w:t>
      </w:r>
      <w:r w:rsidR="001F3C38">
        <w:t xml:space="preserve"> account based on competence and warmth. Even though the account based on competence and warmth is less constrained than that of PVT, PVT proved to be the superior model. </w:t>
      </w:r>
      <w:r w:rsidR="0035210F">
        <w:t xml:space="preserve">We </w:t>
      </w:r>
      <w:r w:rsidR="00863195">
        <w:t>t</w:t>
      </w:r>
      <w:r w:rsidR="0035210F">
        <w:t xml:space="preserve">herefore suggest that </w:t>
      </w:r>
      <w:r w:rsidR="00535933">
        <w:t>future research that explores the role of competence and warmth also assess that of Psychological Value</w:t>
      </w:r>
      <w:r w:rsidR="0035210F">
        <w:t>.</w:t>
      </w:r>
    </w:p>
    <w:p w14:paraId="570B8DBB" w14:textId="207F4454" w:rsidR="0091129F" w:rsidRDefault="00B93742" w:rsidP="0006176C">
      <w:pPr>
        <w:spacing w:line="480" w:lineRule="auto"/>
        <w:ind w:firstLine="720"/>
      </w:pPr>
      <w:r>
        <w:lastRenderedPageBreak/>
        <w:t>A second criterion that determines the empirical content of a theory is the universality of its predictions (</w:t>
      </w:r>
      <w:r w:rsidR="00A55A3E" w:rsidRPr="00050587">
        <w:t>Glöckner</w:t>
      </w:r>
      <w:r w:rsidR="00A55A3E">
        <w:t xml:space="preserve"> &amp; Betsch, </w:t>
      </w:r>
      <w:r w:rsidR="00A55A3E">
        <w:fldChar w:fldCharType="begin"/>
      </w:r>
      <w:r w:rsidR="0019503B">
        <w:instrText xml:space="preserve"> ADDIN EN.CITE &lt;EndNote&gt;&lt;Cite&gt;&lt;Author&gt;Glöckner&lt;/Author&gt;&lt;Year&gt;2011&lt;/Year&gt;&lt;RecNum&gt;2679&lt;/RecNum&gt;&lt;DisplayText&gt;2011&lt;/DisplayText&gt;&lt;record&gt;&lt;rec-number&gt;2679&lt;/rec-number&gt;&lt;foreign-keys&gt;&lt;key app="EN" db-id="w0tztzf0h2dft0eaewxxtpr4exwxf90s525w" timestamp="1660047658" guid="04917313-4ddc-4526-b0bd-ceb268edd299"&gt;2679&lt;/key&gt;&lt;/foreign-keys&gt;&lt;ref-type name="Journal Article"&gt;17&lt;/ref-type&gt;&lt;contributors&gt;&lt;authors&gt;&lt;author&gt;Glöckner, A&lt;/author&gt;&lt;author&gt;Betsch, T&lt;/author&gt;&lt;/authors&gt;&lt;/contributors&gt;&lt;titles&gt;&lt;title&gt;The empirical content of theories in judgment and decision making: Shortcomongs and remedies&lt;/title&gt;&lt;secondary-title&gt;Judgment and Decision Making&lt;/secondary-title&gt;&lt;/titles&gt;&lt;periodical&gt;&lt;full-title&gt;Judgment and Decision Making&lt;/full-title&gt;&lt;abbr-1&gt;Judgm. Decis. Making&lt;/abbr-1&gt;&lt;/periodical&gt;&lt;pages&gt;711-721&lt;/pages&gt;&lt;volume&gt;6&lt;/volume&gt;&lt;dates&gt;&lt;year&gt;2011&lt;/year&gt;&lt;/dates&gt;&lt;urls&gt;&lt;/urls&gt;&lt;electronic-resource-num&gt;https://www.proquest.com/scholarly-journals/empirical-content-theories-judgment-decision/docview/1011297243/se-2&lt;/electronic-resource-num&gt;&lt;/record&gt;&lt;/Cite&gt;&lt;/EndNote&gt;</w:instrText>
      </w:r>
      <w:r w:rsidR="00A55A3E">
        <w:fldChar w:fldCharType="separate"/>
      </w:r>
      <w:r w:rsidR="00A55A3E">
        <w:rPr>
          <w:noProof/>
        </w:rPr>
        <w:t>2011</w:t>
      </w:r>
      <w:r w:rsidR="00A55A3E">
        <w:fldChar w:fldCharType="end"/>
      </w:r>
      <w:r>
        <w:t xml:space="preserve">).  A theory has high universality if it can be applied to many, diverse situations.  PVT proports to have a high universality because it claims to be applicable to all preferential choices.  Despite these claims, to date PVT has only been applied to sacrificial moral dilemmas.  Here, we broaden the applied decision </w:t>
      </w:r>
      <w:r w:rsidR="00FF71D4">
        <w:t xml:space="preserve">types to charitable giving. As part of that application, we test a fundamental prediction of the theory: that the Psychological Value of the </w:t>
      </w:r>
      <w:r w:rsidR="00FF71D4" w:rsidRPr="002F5921">
        <w:rPr>
          <w:i/>
          <w:iCs/>
        </w:rPr>
        <w:t>stimuli</w:t>
      </w:r>
      <w:r w:rsidR="00FF71D4">
        <w:t xml:space="preserve"> drive the choice</w:t>
      </w:r>
      <w:r w:rsidR="004B4BB1">
        <w:t xml:space="preserve">, rather than the consequences </w:t>
      </w:r>
      <w:r w:rsidR="004B4BB1" w:rsidRPr="002F5921">
        <w:rPr>
          <w:i/>
          <w:iCs/>
        </w:rPr>
        <w:t xml:space="preserve">per se </w:t>
      </w:r>
      <w:r w:rsidR="004B4BB1">
        <w:t xml:space="preserve">(as is predicted by </w:t>
      </w:r>
      <w:r w:rsidR="00FF71D4">
        <w:t>economic theory</w:t>
      </w:r>
      <w:r w:rsidR="004B4BB1">
        <w:t>).</w:t>
      </w:r>
      <w:r w:rsidR="00FF71D4">
        <w:t xml:space="preserve"> Specifically, we used the </w:t>
      </w:r>
      <w:r w:rsidR="004B4BB1">
        <w:t xml:space="preserve">same </w:t>
      </w:r>
      <w:r w:rsidR="00FF71D4">
        <w:t xml:space="preserve">Psychological Values that predicted choice in sacrificial moral dilemmas as the input in the RRW to predict choice in charitable giving.  </w:t>
      </w:r>
      <w:r w:rsidR="004B4BB1">
        <w:t>Critically, the consequences for making a $10 charitable donation are much lower than the consequences in a</w:t>
      </w:r>
      <w:r w:rsidR="00B34C4F">
        <w:t xml:space="preserve"> sacrificial moral dilemma </w:t>
      </w:r>
      <w:r w:rsidR="004B4BB1">
        <w:t>in which</w:t>
      </w:r>
      <w:r w:rsidR="00B34C4F">
        <w:t xml:space="preserve"> </w:t>
      </w:r>
      <w:r w:rsidR="00301816">
        <w:t>the respondent makes a life and death decision</w:t>
      </w:r>
      <w:r w:rsidR="00B34C4F">
        <w:t xml:space="preserve">.  </w:t>
      </w:r>
      <w:r w:rsidR="00301816">
        <w:t xml:space="preserve">Nevertheless, </w:t>
      </w:r>
      <w:r w:rsidR="00B34C4F">
        <w:t xml:space="preserve">the </w:t>
      </w:r>
      <w:r w:rsidR="00301816">
        <w:t xml:space="preserve">same </w:t>
      </w:r>
      <w:r w:rsidR="00B34C4F">
        <w:t>Psychological Value of the stimuli</w:t>
      </w:r>
      <w:r w:rsidR="00301816">
        <w:t xml:space="preserve"> predicted both types of choices</w:t>
      </w:r>
      <w:r w:rsidR="00B34C4F">
        <w:t xml:space="preserve">.    </w:t>
      </w:r>
      <w:r w:rsidR="00FF71D4">
        <w:t xml:space="preserve">  </w:t>
      </w:r>
    </w:p>
    <w:p w14:paraId="287FF47A" w14:textId="0FC2C6EC" w:rsidR="00301816" w:rsidRDefault="00B34C4F" w:rsidP="002D6464">
      <w:pPr>
        <w:spacing w:line="480" w:lineRule="auto"/>
      </w:pPr>
      <w:r>
        <w:tab/>
        <w:t>To date, PVT has successfully predicted moral judgments, charitable giving, and economic decisions. The accuracy with which PVT predicts responses and RTs to these vastly different types of decision classes provides some</w:t>
      </w:r>
      <w:r w:rsidR="00B80100">
        <w:t xml:space="preserve"> evidence for its universality.  </w:t>
      </w:r>
      <w:r w:rsidR="00301816">
        <w:t>T</w:t>
      </w:r>
      <w:r w:rsidR="00B80100">
        <w:t xml:space="preserve">o firmly demonstrate universality, </w:t>
      </w:r>
      <w:r w:rsidR="00301816">
        <w:t xml:space="preserve">however, </w:t>
      </w:r>
      <w:r w:rsidR="00B80100">
        <w:t xml:space="preserve">PVT must be applied to a wider variety of decision types, such as health decisions, dating decisions, delayed discounting, etc. </w:t>
      </w:r>
    </w:p>
    <w:p w14:paraId="0D6FCC79" w14:textId="24218717" w:rsidR="00301816" w:rsidRPr="000377CB" w:rsidRDefault="00301816" w:rsidP="000377CB">
      <w:pPr>
        <w:spacing w:line="480" w:lineRule="auto"/>
        <w:rPr>
          <w:b/>
          <w:bCs/>
        </w:rPr>
      </w:pPr>
      <w:r w:rsidRPr="000377CB">
        <w:rPr>
          <w:b/>
          <w:bCs/>
        </w:rPr>
        <w:t>Charitable Giving</w:t>
      </w:r>
    </w:p>
    <w:p w14:paraId="7F6D8B48" w14:textId="210028E1" w:rsidR="00531882" w:rsidRDefault="00E40229" w:rsidP="00301816">
      <w:pPr>
        <w:spacing w:line="480" w:lineRule="auto"/>
        <w:ind w:firstLine="720"/>
      </w:pPr>
      <w:r>
        <w:t>I</w:t>
      </w:r>
      <w:r w:rsidR="003E455D" w:rsidRPr="00C06677">
        <w:t>n basic economic terms,</w:t>
      </w:r>
      <w:r>
        <w:t xml:space="preserve"> our results demonstrate that</w:t>
      </w:r>
      <w:r w:rsidR="003E455D" w:rsidRPr="00C06677">
        <w:t xml:space="preserve"> </w:t>
      </w:r>
      <w:r w:rsidR="003E455D" w:rsidRPr="002D6464">
        <w:rPr>
          <w:i/>
          <w:iCs/>
        </w:rPr>
        <w:t>people are ends in themselves</w:t>
      </w:r>
      <w:r w:rsidR="003E455D" w:rsidRPr="00C06677">
        <w:t xml:space="preserve">. </w:t>
      </w:r>
      <w:r w:rsidR="00D942C0">
        <w:t xml:space="preserve">The </w:t>
      </w:r>
      <w:r w:rsidR="00B85876">
        <w:t>understanding that people can serve as financial ends</w:t>
      </w:r>
      <w:r w:rsidR="00D942C0" w:rsidRPr="00C06677">
        <w:t xml:space="preserve"> </w:t>
      </w:r>
      <w:r w:rsidR="00B85876">
        <w:t xml:space="preserve">provides an objective explanatory mechanism for </w:t>
      </w:r>
      <w:r w:rsidR="00D942C0" w:rsidRPr="00C06677">
        <w:t>charitable donating</w:t>
      </w:r>
      <w:r w:rsidR="00B85876">
        <w:t xml:space="preserve"> (and </w:t>
      </w:r>
      <w:r w:rsidR="00D942C0" w:rsidRPr="00C06677">
        <w:t>gift-giving, in general</w:t>
      </w:r>
      <w:r w:rsidR="00B85876">
        <w:t>), where previously no objective mechanism existed</w:t>
      </w:r>
      <w:r w:rsidR="0025174C">
        <w:t xml:space="preserve"> (see K</w:t>
      </w:r>
      <w:r w:rsidR="00437327">
        <w:t>ha</w:t>
      </w:r>
      <w:r w:rsidR="0025174C">
        <w:t>lil, 2004)</w:t>
      </w:r>
      <w:r w:rsidR="00B85876">
        <w:t xml:space="preserve">.  </w:t>
      </w:r>
      <w:r w:rsidR="00C575DA">
        <w:t>As described in the introduction, many</w:t>
      </w:r>
      <w:r w:rsidR="00B85876">
        <w:t xml:space="preserve"> have </w:t>
      </w:r>
      <w:r w:rsidR="00B85876" w:rsidRPr="00C06677">
        <w:lastRenderedPageBreak/>
        <w:t>hypothesize</w:t>
      </w:r>
      <w:r w:rsidR="00B85876">
        <w:t>d</w:t>
      </w:r>
      <w:r w:rsidR="00B85876" w:rsidRPr="00C06677">
        <w:t xml:space="preserve"> that acts of giving are the result of a variety of altruistic</w:t>
      </w:r>
      <w:r w:rsidR="00C575DA">
        <w:t>-like</w:t>
      </w:r>
      <w:r w:rsidR="00B85876" w:rsidRPr="00C06677">
        <w:t xml:space="preserve"> reasons</w:t>
      </w:r>
      <w:r w:rsidR="00D942C0" w:rsidRPr="00C06677">
        <w:t>.</w:t>
      </w:r>
      <w:r w:rsidR="00B85876">
        <w:t xml:space="preserve">  </w:t>
      </w:r>
      <w:r w:rsidR="00C97A5E">
        <w:t xml:space="preserve">Many of these altruistic-like reasons (and, of course, true altruism) </w:t>
      </w:r>
      <w:r w:rsidR="00CD43F5">
        <w:t xml:space="preserve">cannot </w:t>
      </w:r>
      <w:r w:rsidR="00CD43F5" w:rsidRPr="00C06677">
        <w:t>explain the discerning nature of the giving process (e.g., why give to Charity A rather than Charity B, and why designate the end use of your monetary donation?)</w:t>
      </w:r>
      <w:r w:rsidR="00C97A5E">
        <w:t>, or why the giver doesn’t rely on a free ride.  Here, we demonstrate that the Psychological Value of the r</w:t>
      </w:r>
      <w:r w:rsidR="000931EC">
        <w:t>ecipient</w:t>
      </w:r>
      <w:r w:rsidR="00C97A5E">
        <w:t xml:space="preserve"> to the giver is the primary driver of the donation process.  It explains charitable choice and</w:t>
      </w:r>
      <w:r w:rsidR="009D443F">
        <w:t xml:space="preserve"> charitable giving.  Furthermore, it explains why there is not free ride – because the </w:t>
      </w:r>
      <w:r w:rsidR="00301816">
        <w:t>rec</w:t>
      </w:r>
      <w:r w:rsidR="000931EC">
        <w:t>i</w:t>
      </w:r>
      <w:r w:rsidR="00380134">
        <w:t>pient</w:t>
      </w:r>
      <w:r w:rsidR="009D443F">
        <w:t xml:space="preserve"> is the end in themselves.  So, one is not attempting to gain the consequences of the donation, rather one is donating </w:t>
      </w:r>
      <w:r w:rsidR="009D443F" w:rsidRPr="00401046">
        <w:rPr>
          <w:i/>
          <w:iCs/>
        </w:rPr>
        <w:t>because</w:t>
      </w:r>
      <w:r w:rsidR="009D443F">
        <w:t xml:space="preserve"> one values the rec</w:t>
      </w:r>
      <w:r w:rsidR="000931EC">
        <w:t>ipient</w:t>
      </w:r>
      <w:r w:rsidR="009D443F">
        <w:t xml:space="preserve">. Furthermore, Experiment 4 revealed that the amount donated is a function of the Psychological Value of the receiver.  That is, the giver will be more likely to donate more to those they value more.  </w:t>
      </w:r>
    </w:p>
    <w:p w14:paraId="0FF64FA1" w14:textId="53FDFEB4" w:rsidR="00F81119" w:rsidRDefault="00F81119" w:rsidP="00F81119">
      <w:pPr>
        <w:spacing w:line="480" w:lineRule="auto"/>
        <w:ind w:firstLine="720"/>
      </w:pPr>
      <w:r>
        <w:t xml:space="preserve">Because Psychological Value is a private construct, it can only be directly experienced by the perceiver. As such, some might classify it as a form of impure altruism. Although such labeling does not </w:t>
      </w:r>
      <w:r w:rsidR="0019503B">
        <w:t>determine</w:t>
      </w:r>
      <w:r>
        <w:t xml:space="preserve"> the cognitive process, we hold that Psychological Value of the receiver is a rational, non-altruistic decision.  PVT holds that Psychological Values drive choice – whether that choice is to buy a car or to donate to charity.  That is, the </w:t>
      </w:r>
      <w:r w:rsidR="00FE2123">
        <w:t xml:space="preserve">primary </w:t>
      </w:r>
      <w:r>
        <w:t xml:space="preserve">benefit of purchasing a car is not the car itself, it is a function of a constellation of often psychological features (e.g., convenience and comfort in travel). All these factors contribute to the Psychological Value of the car in one way or another.  Similarly, the </w:t>
      </w:r>
      <w:r w:rsidR="00FE2123">
        <w:t xml:space="preserve">primary </w:t>
      </w:r>
      <w:r>
        <w:t xml:space="preserve">benefit of giving to charity is not the giving itself, it is also a function of a constellation of often psychological features (e.g., the welfare of valued individuals/groups and the social rewards they bring). Because the cognitive process is the same in consumer and charitable choices, then </w:t>
      </w:r>
      <w:r w:rsidR="00535933">
        <w:t xml:space="preserve">it is </w:t>
      </w:r>
      <w:r w:rsidR="00535933">
        <w:lastRenderedPageBreak/>
        <w:t>somewhat arbitrary to</w:t>
      </w:r>
      <w:r>
        <w:t xml:space="preserve"> classify one as economic and the other as a form of altruism.  In our view, they are both preferential choices explained by the same underlying mechanism</w:t>
      </w:r>
      <w:r w:rsidR="0019503B">
        <w:t>s</w:t>
      </w:r>
      <w:r>
        <w:t xml:space="preserve">.    </w:t>
      </w:r>
    </w:p>
    <w:p w14:paraId="6FA68840" w14:textId="3D293881" w:rsidR="00AC2F90" w:rsidRPr="00C06677" w:rsidRDefault="00437820" w:rsidP="002D6464">
      <w:pPr>
        <w:spacing w:line="480" w:lineRule="auto"/>
        <w:ind w:firstLine="720"/>
      </w:pPr>
      <w:r>
        <w:t>I</w:t>
      </w:r>
      <w:r w:rsidR="000A2153">
        <w:t xml:space="preserve">n Experiment 3, we were able to demonstrate how manipulations of interest </w:t>
      </w:r>
      <w:r>
        <w:t xml:space="preserve">in charitable giving </w:t>
      </w:r>
      <w:r w:rsidR="000A2153">
        <w:t xml:space="preserve">can be studied precisely within the framework of PVT.  </w:t>
      </w:r>
      <w:r>
        <w:t xml:space="preserve">To do so, we </w:t>
      </w:r>
      <w:r w:rsidR="000A2153">
        <w:t xml:space="preserve">studied the mechanism by which in-group specifications influence charitable giving.  The data showed that in-group specification changed the perceived Psychological Value of the stimulus, rather than inducing a response bias. </w:t>
      </w:r>
      <w:r w:rsidR="000D6480">
        <w:t xml:space="preserve">The implications of this result are </w:t>
      </w:r>
      <w:r w:rsidR="00FE2F07">
        <w:t>subtle, but important.  That is, a start point response bias</w:t>
      </w:r>
      <w:r w:rsidR="000A2153">
        <w:t xml:space="preserve"> does not influence the phenomenological experience of the stimulus, </w:t>
      </w:r>
      <w:r w:rsidR="00FE2F07">
        <w:t>is generally under cognitive control</w:t>
      </w:r>
      <w:r w:rsidR="000A2153">
        <w:t>,</w:t>
      </w:r>
      <w:r w:rsidR="00FE2F07">
        <w:t xml:space="preserve"> and is relatively easy to manipulate in the experimental setting (</w:t>
      </w:r>
      <w:r w:rsidR="00D13676" w:rsidRPr="00C06677">
        <w:t xml:space="preserve">Macmillan &amp; Creelman, </w:t>
      </w:r>
      <w:r w:rsidR="00D13676" w:rsidRPr="00C06677">
        <w:fldChar w:fldCharType="begin"/>
      </w:r>
      <w:r w:rsidR="0019503B">
        <w:instrText xml:space="preserve"> ADDIN EN.CITE &lt;EndNote&gt;&lt;Cite&gt;&lt;Author&gt;Macmillan&lt;/Author&gt;&lt;Year&gt;2005&lt;/Year&gt;&lt;RecNum&gt;2504&lt;/RecNum&gt;&lt;DisplayText&gt;2005&lt;/DisplayText&gt;&lt;record&gt;&lt;rec-number&gt;2504&lt;/rec-number&gt;&lt;foreign-keys&gt;&lt;key app="EN" db-id="w0tztzf0h2dft0eaewxxtpr4exwxf90s525w" timestamp="1659025442" guid="b53dbf0b-3db9-48c6-9aec-525222e03d7c"&gt;2504&lt;/key&gt;&lt;/foreign-keys&gt;&lt;ref-type name="Book"&gt;6&lt;/ref-type&gt;&lt;contributors&gt;&lt;authors&gt;&lt;author&gt;Macmillan, N. A.&lt;/author&gt;&lt;author&gt;Creelman, C. D.&lt;/author&gt;&lt;/authors&gt;&lt;/contributors&gt;&lt;titles&gt;&lt;title&gt;Detection theory: A user&amp;apos;s guide&lt;/title&gt;&lt;short-title&gt;Detection theory: A user&amp;apos;s guide&lt;/short-title&gt;&lt;/titles&gt;&lt;edition&gt;2nd&lt;/edition&gt;&lt;dates&gt;&lt;year&gt;2005&lt;/year&gt;&lt;/dates&gt;&lt;pub-location&gt;New York, NY&lt;/pub-location&gt;&lt;publisher&gt;Lawrence Erlbaum Associates&lt;/publisher&gt;&lt;urls&gt;&lt;/urls&gt;&lt;/record&gt;&lt;/Cite&gt;&lt;/EndNote&gt;</w:instrText>
      </w:r>
      <w:r w:rsidR="00D13676" w:rsidRPr="00C06677">
        <w:fldChar w:fldCharType="separate"/>
      </w:r>
      <w:r w:rsidR="00D13676">
        <w:rPr>
          <w:noProof/>
        </w:rPr>
        <w:t>2005</w:t>
      </w:r>
      <w:r w:rsidR="00D13676" w:rsidRPr="00C06677">
        <w:fldChar w:fldCharType="end"/>
      </w:r>
      <w:r w:rsidR="00D13676">
        <w:t>, Chapt. 2</w:t>
      </w:r>
      <w:r w:rsidR="00FE2F07">
        <w:t xml:space="preserve">).  If </w:t>
      </w:r>
      <w:r w:rsidR="00FE2F07" w:rsidRPr="00C06677">
        <w:t>in-group favoritism</w:t>
      </w:r>
      <w:r w:rsidR="00FE2F07">
        <w:t xml:space="preserve"> was the result of a start point response bias, that would imply that such a bias is context dependent, easily manipulated, and </w:t>
      </w:r>
      <w:r w:rsidR="00D56C1E">
        <w:t xml:space="preserve">(perhaps most intriguing) </w:t>
      </w:r>
      <w:r w:rsidR="00FE2F07">
        <w:t xml:space="preserve">can be induced in the opposite direction (i.e., producing an in-group </w:t>
      </w:r>
      <w:r w:rsidR="00D56C1E">
        <w:t xml:space="preserve">prejudice).  Our findings, however, show that </w:t>
      </w:r>
      <w:r w:rsidR="00D56C1E" w:rsidRPr="00C06677">
        <w:t>in-group favoritism</w:t>
      </w:r>
      <w:r w:rsidR="00D56C1E">
        <w:t xml:space="preserve"> is the result of a value shift.  That is, people perceive the value of the in-group as higher than the out-group.  If, as PVT theorizes, value is perceived, then the value of the in-group should be relatively robust over context, difficult to manipulate, and unlikely to be shifted in the opposite direction.  </w:t>
      </w:r>
    </w:p>
    <w:p w14:paraId="6B42EE87" w14:textId="5DD10432" w:rsidR="00037773" w:rsidRDefault="00037773" w:rsidP="00037773">
      <w:pPr>
        <w:spacing w:line="480" w:lineRule="auto"/>
      </w:pPr>
      <w:r w:rsidRPr="00C06677">
        <w:tab/>
      </w:r>
      <w:r w:rsidR="00D34213" w:rsidRPr="00C06677">
        <w:t>Our model explained in</w:t>
      </w:r>
      <w:r w:rsidRPr="00C06677">
        <w:t xml:space="preserve">-group favoritism </w:t>
      </w:r>
      <w:r w:rsidR="00D34213" w:rsidRPr="00C06677">
        <w:t>as a</w:t>
      </w:r>
      <w:r w:rsidRPr="00C06677">
        <w:t xml:space="preserve"> </w:t>
      </w:r>
      <w:r w:rsidR="0019305D" w:rsidRPr="00C06677">
        <w:t>shift</w:t>
      </w:r>
      <w:r w:rsidR="00D34213" w:rsidRPr="00C06677">
        <w:t xml:space="preserve"> in Psychological Value, but it does not specify whether the perceived Psychological Value of the in-group increases, the perceived Psychological Value of the out-group decreases, or a combination of both.  </w:t>
      </w:r>
      <w:r w:rsidRPr="00C06677">
        <w:t>Of some relevance in this regard are studies that have been carried out on how minimal in-group attachment affects attitudes regarding group membership (Brewer, 1979). Unfortunately, the evidence appears mixed on this issue. Some studies have shown that attitudes towards the out-group suffer (</w:t>
      </w:r>
      <w:r w:rsidR="006E64EA" w:rsidRPr="00C06677">
        <w:t>Rabbie</w:t>
      </w:r>
      <w:r w:rsidR="002842F9">
        <w:t xml:space="preserve"> et al., </w:t>
      </w:r>
      <w:r w:rsidRPr="00C06677">
        <w:fldChar w:fldCharType="begin"/>
      </w:r>
      <w:r w:rsidR="0019503B">
        <w:instrText xml:space="preserve"> ADDIN EN.CITE &lt;EndNote&gt;&lt;Cite&gt;&lt;Author&gt;Rabbie&lt;/Author&gt;&lt;Year&gt;1974&lt;/Year&gt;&lt;RecNum&gt;2388&lt;/RecNum&gt;&lt;DisplayText&gt;1974&lt;/DisplayText&gt;&lt;record&gt;&lt;rec-number&gt;2388&lt;/rec-number&gt;&lt;foreign-keys&gt;&lt;key app="EN" db-id="w0tztzf0h2dft0eaewxxtpr4exwxf90s525w" timestamp="1659025439" guid="40206124-3f80-4657-8e42-f562ac1b6a7e"&gt;2388&lt;/key&gt;&lt;/foreign-keys&gt;&lt;ref-type name="Journal Article"&gt;17&lt;/ref-type&gt;&lt;contributors&gt;&lt;authors&gt;&lt;author&gt;Rabbie, J. M&lt;/author&gt;&lt;author&gt;Benoist, F&lt;/author&gt;&lt;author&gt;Oosterbaan, H&lt;/author&gt;&lt;author&gt;Visser, L&lt;/author&gt;&lt;/authors&gt;&lt;/contributors&gt;&lt;titles&gt;&lt;title&gt;Differential power and effects of expected competitive and cooperative intergroup interaction on intragroup and outgroup attitudes&lt;/title&gt;&lt;secondary-title&gt;Journal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46-56&lt;/pages&gt;&lt;volume&gt;30&lt;/volume&gt;&lt;dates&gt;&lt;year&gt;1974&lt;/year&gt;&lt;/dates&gt;&lt;urls&gt;&lt;/urls&gt;&lt;electronic-resource-num&gt;https://doi.org/10.1037/h0036620&lt;/electronic-resource-num&gt;&lt;/record&gt;&lt;/Cite&gt;&lt;/EndNote&gt;</w:instrText>
      </w:r>
      <w:r w:rsidRPr="00C06677">
        <w:fldChar w:fldCharType="separate"/>
      </w:r>
      <w:r w:rsidRPr="00C06677">
        <w:rPr>
          <w:noProof/>
        </w:rPr>
        <w:t>1974</w:t>
      </w:r>
      <w:r w:rsidRPr="00C06677">
        <w:fldChar w:fldCharType="end"/>
      </w:r>
      <w:r w:rsidRPr="00C06677">
        <w:t xml:space="preserve">), others have shown both an enhancement towards the in-group together with a </w:t>
      </w:r>
      <w:r w:rsidRPr="00C06677">
        <w:lastRenderedPageBreak/>
        <w:t xml:space="preserve">diminution towards the out-group (Hensley &amp; Duval, </w:t>
      </w:r>
      <w:r w:rsidRPr="00C06677">
        <w:fldChar w:fldCharType="begin"/>
      </w:r>
      <w:r w:rsidR="0019503B">
        <w:instrText xml:space="preserve"> ADDIN EN.CITE &lt;EndNote&gt;&lt;Cite&gt;&lt;Author&gt;Hensley&lt;/Author&gt;&lt;Year&gt;1976&lt;/Year&gt;&lt;RecNum&gt;2389&lt;/RecNum&gt;&lt;DisplayText&gt;1976&lt;/DisplayText&gt;&lt;record&gt;&lt;rec-number&gt;2389&lt;/rec-number&gt;&lt;foreign-keys&gt;&lt;key app="EN" db-id="w0tztzf0h2dft0eaewxxtpr4exwxf90s525w" timestamp="1659025439" guid="9111c2a6-aeab-4318-9812-9409550b8dd1"&gt;2389&lt;/key&gt;&lt;/foreign-keys&gt;&lt;ref-type name="Journal Article"&gt;17&lt;/ref-type&gt;&lt;contributors&gt;&lt;authors&gt;&lt;author&gt;Hensley, V&lt;/author&gt;&lt;author&gt;Duval, S&lt;/author&gt;&lt;/authors&gt;&lt;/contributors&gt;&lt;titles&gt;&lt;title&gt;Some perceptual determinants of perceived similarity, liking, and correctness.&lt;/title&gt;&lt;secondary-title&gt;Journal of Personality and Social Psychology&lt;/secondary-title&gt;&lt;/titles&gt;&lt;periodical&gt;&lt;full-title&gt;Journal of Personality and Social Psychology&lt;/full-title&gt;&lt;abbr-1&gt;J. Pers. Soc. Psychol.&lt;/abbr-1&gt;&lt;abbr-2&gt;J Pers Soc Psychol&lt;/abbr-2&gt;&lt;abbr-3&gt;Journal of Personality &amp;amp; Social Psychology&lt;/abbr-3&gt;&lt;/periodical&gt;&lt;pages&gt;159-168&lt;/pages&gt;&lt;volume&gt;34&lt;/volume&gt;&lt;dates&gt;&lt;year&gt;1976&lt;/year&gt;&lt;/dates&gt;&lt;urls&gt;&lt;/urls&gt;&lt;electronic-resource-num&gt;https://doi.org/10.1037/0022-3514.34.2.159&lt;/electronic-resource-num&gt;&lt;/record&gt;&lt;/Cite&gt;&lt;/EndNote&gt;</w:instrText>
      </w:r>
      <w:r w:rsidRPr="00C06677">
        <w:fldChar w:fldCharType="separate"/>
      </w:r>
      <w:r w:rsidRPr="00C06677">
        <w:rPr>
          <w:noProof/>
        </w:rPr>
        <w:t>1976</w:t>
      </w:r>
      <w:r w:rsidRPr="00C06677">
        <w:fldChar w:fldCharType="end"/>
      </w:r>
      <w:r w:rsidRPr="00C06677">
        <w:t>). In addition, there is other evidence to suggest that the effects merely reflect an enhancement towards the in-group (Stephenson</w:t>
      </w:r>
      <w:r w:rsidR="002842F9">
        <w:t xml:space="preserve"> et al.,</w:t>
      </w:r>
      <w:r w:rsidRPr="00C06677">
        <w:t xml:space="preserve"> </w:t>
      </w:r>
      <w:r w:rsidRPr="00C06677">
        <w:fldChar w:fldCharType="begin"/>
      </w:r>
      <w:r w:rsidR="0019503B">
        <w:instrText xml:space="preserve"> ADDIN EN.CITE &lt;EndNote&gt;&lt;Cite&gt;&lt;Author&gt;Stephenson&lt;/Author&gt;&lt;Year&gt;1976&lt;/Year&gt;&lt;RecNum&gt;2390&lt;/RecNum&gt;&lt;DisplayText&gt;1976&lt;/DisplayText&gt;&lt;record&gt;&lt;rec-number&gt;2390&lt;/rec-number&gt;&lt;foreign-keys&gt;&lt;key app="EN" db-id="w0tztzf0h2dft0eaewxxtpr4exwxf90s525w" timestamp="1659025439" guid="bea316d1-4ec1-4d14-9230-0c5c16c90026"&gt;2390&lt;/key&gt;&lt;/foreign-keys&gt;&lt;ref-type name="Journal Article"&gt;17&lt;/ref-type&gt;&lt;contributors&gt;&lt;authors&gt;&lt;author&gt;Stephenson, G. M&lt;/author&gt;&lt;author&gt;Skinner, M&lt;/author&gt;&lt;author&gt;Brotherton, C. J&lt;/author&gt;&lt;/authors&gt;&lt;/contributors&gt;&lt;titles&gt;&lt;title&gt;Group participation and intergroup relations: An experimental study of negotiation groups&lt;/title&gt;&lt;secondary-title&gt;European Journal of Social Psychology&lt;/secondary-title&gt;&lt;/titles&gt;&lt;periodical&gt;&lt;full-title&gt;European Journal of Social Psychology&lt;/full-title&gt;&lt;abbr-1&gt;Eur. J. Soc. Psychol.&lt;/abbr-1&gt;&lt;/periodical&gt;&lt;pages&gt;51-70&lt;/pages&gt;&lt;volume&gt;6&lt;/volume&gt;&lt;dates&gt;&lt;year&gt;1976&lt;/year&gt;&lt;/dates&gt;&lt;urls&gt;&lt;/urls&gt;&lt;electronic-resource-num&gt;https://doi.org/10.1002/ejsp.2420060105&lt;/electronic-resource-num&gt;&lt;/record&gt;&lt;/Cite&gt;&lt;Cite&gt;&lt;Author&gt;Stephenson&lt;/Author&gt;&lt;Year&gt;1976&lt;/Year&gt;&lt;RecNum&gt;2390&lt;/RecNum&gt;&lt;record&gt;&lt;rec-number&gt;2390&lt;/rec-number&gt;&lt;foreign-keys&gt;&lt;key app="EN" db-id="w0tztzf0h2dft0eaewxxtpr4exwxf90s525w" timestamp="1659025439" guid="bea316d1-4ec1-4d14-9230-0c5c16c90026"&gt;2390&lt;/key&gt;&lt;/foreign-keys&gt;&lt;ref-type name="Journal Article"&gt;17&lt;/ref-type&gt;&lt;contributors&gt;&lt;authors&gt;&lt;author&gt;Stephenson, G. M&lt;/author&gt;&lt;author&gt;Skinner, M&lt;/author&gt;&lt;author&gt;Brotherton, C. J&lt;/author&gt;&lt;/authors&gt;&lt;/contributors&gt;&lt;titles&gt;&lt;title&gt;Group participation and intergroup relations: An experimental study of negotiation groups&lt;/title&gt;&lt;secondary-title&gt;European Journal of Social Psychology&lt;/secondary-title&gt;&lt;/titles&gt;&lt;periodical&gt;&lt;full-title&gt;European Journal of Social Psychology&lt;/full-title&gt;&lt;abbr-1&gt;Eur. J. Soc. Psychol.&lt;/abbr-1&gt;&lt;/periodical&gt;&lt;pages&gt;51-70&lt;/pages&gt;&lt;volume&gt;6&lt;/volume&gt;&lt;dates&gt;&lt;year&gt;1976&lt;/year&gt;&lt;/dates&gt;&lt;urls&gt;&lt;/urls&gt;&lt;electronic-resource-num&gt;https://doi.org/10.1002/ejsp.2420060105&lt;/electronic-resource-num&gt;&lt;/record&gt;&lt;/Cite&gt;&lt;/EndNote&gt;</w:instrText>
      </w:r>
      <w:r w:rsidRPr="00C06677">
        <w:fldChar w:fldCharType="separate"/>
      </w:r>
      <w:r w:rsidRPr="00C06677">
        <w:rPr>
          <w:noProof/>
        </w:rPr>
        <w:t>1976</w:t>
      </w:r>
      <w:r w:rsidRPr="00C06677">
        <w:fldChar w:fldCharType="end"/>
      </w:r>
      <w:r w:rsidRPr="00C06677">
        <w:t xml:space="preserve">). Here all we can conclude is that effects of group membership in charitable giving arise because of a heightened difference in the psychological values attributed to in-group and out-group members. </w:t>
      </w:r>
    </w:p>
    <w:p w14:paraId="6001B770" w14:textId="4C725757" w:rsidR="000E5152" w:rsidRDefault="00313CC8" w:rsidP="00037773">
      <w:pPr>
        <w:spacing w:line="480" w:lineRule="auto"/>
      </w:pPr>
      <w:r>
        <w:tab/>
        <w:t>Our previous research on the psychophysics of Psychological Value provides some evidence concerning the mechanism of action that might have influenced the value of the in</w:t>
      </w:r>
      <w:r w:rsidR="000E5152">
        <w:t>-</w:t>
      </w:r>
      <w:r>
        <w:t xml:space="preserve"> and out</w:t>
      </w:r>
      <w:r w:rsidR="000E5152">
        <w:t>-</w:t>
      </w:r>
      <w:r>
        <w:t>groups. Specifically, Cromley and Cohen (</w:t>
      </w:r>
      <w:r w:rsidR="00F94901">
        <w:fldChar w:fldCharType="begin"/>
      </w:r>
      <w:r w:rsidR="0019503B">
        <w:instrText xml:space="preserve"> ADDIN EN.CITE &lt;EndNote&gt;&lt;Cite&gt;&lt;Author&gt;Cromley&lt;/Author&gt;&lt;Year&gt;2019&lt;/Year&gt;&lt;RecNum&gt;2502&lt;/RecNum&gt;&lt;DisplayText&gt;2019&lt;/DisplayText&gt;&lt;record&gt;&lt;rec-number&gt;2502&lt;/rec-number&gt;&lt;foreign-keys&gt;&lt;key app="EN" db-id="w0tztzf0h2dft0eaewxxtpr4exwxf90s525w" timestamp="1659025442" guid="cc73f55b-f2e7-407d-bf60-b64720f81c12"&gt;2502&lt;/key&gt;&lt;/foreign-keys&gt;&lt;ref-type name="Electronic Article"&gt;43&lt;/ref-type&gt;&lt;contributors&gt;&lt;authors&gt;&lt;author&gt;Cromley, A.R&lt;/author&gt;&lt;author&gt;Cohen, D. J.&lt;/author&gt;&lt;/authors&gt;&lt;/contributors&gt;&lt;titles&gt;&lt;title&gt;Subjective values theory: The psychophysics of psychological value&lt;/title&gt;&lt;secondary-title&gt;PsyArXiv&lt;/secondary-title&gt;&lt;/titles&gt;&lt;periodical&gt;&lt;full-title&gt;PsyArXiv&lt;/full-title&gt;&lt;/periodical&gt;&lt;section&gt;11/11/2019&lt;/section&gt;&lt;dates&gt;&lt;year&gt;2019&lt;/year&gt;&lt;/dates&gt;&lt;urls&gt;&lt;/urls&gt;&lt;electronic-resource-num&gt;http://dx.doi.org/10.31234/osf.io/wfd5s&lt;/electronic-resource-num&gt;&lt;/record&gt;&lt;/Cite&gt;&lt;/EndNote&gt;</w:instrText>
      </w:r>
      <w:r w:rsidR="00F94901">
        <w:fldChar w:fldCharType="separate"/>
      </w:r>
      <w:r w:rsidR="00F94901">
        <w:rPr>
          <w:noProof/>
        </w:rPr>
        <w:t>2019</w:t>
      </w:r>
      <w:r w:rsidR="00F94901">
        <w:fldChar w:fldCharType="end"/>
      </w:r>
      <w:r>
        <w:t xml:space="preserve">) </w:t>
      </w:r>
      <w:r w:rsidR="00A35584">
        <w:t>showed that</w:t>
      </w:r>
      <w:r>
        <w:t xml:space="preserve"> people perceive the value of a group</w:t>
      </w:r>
      <w:r w:rsidR="00A35584">
        <w:t xml:space="preserve"> as the average of the individual items with some bias towards the maximum item.  </w:t>
      </w:r>
      <w:r w:rsidR="00BD3B0D">
        <w:t xml:space="preserve">It may be that the increased value of in-group membership is the result of this pre-attentive and automatic function that perceives the </w:t>
      </w:r>
      <w:r w:rsidR="001D2001">
        <w:t>value</w:t>
      </w:r>
      <w:r w:rsidR="00BD3B0D">
        <w:t xml:space="preserve"> of a group of items.  For example, i</w:t>
      </w:r>
      <w:r w:rsidR="00A35584">
        <w:t xml:space="preserve">n </w:t>
      </w:r>
      <w:r w:rsidR="001D2001">
        <w:t>the present E</w:t>
      </w:r>
      <w:r w:rsidR="00A35584">
        <w:t>xperiment</w:t>
      </w:r>
      <w:r w:rsidR="00BD3B0D">
        <w:t xml:space="preserve"> 3</w:t>
      </w:r>
      <w:r w:rsidR="00A35584">
        <w:t xml:space="preserve">, university alumni status was used to </w:t>
      </w:r>
      <w:r w:rsidR="00F90268">
        <w:t>assign</w:t>
      </w:r>
      <w:r w:rsidR="00A35584">
        <w:t xml:space="preserve"> in</w:t>
      </w:r>
      <w:r w:rsidR="000E5152">
        <w:t>-</w:t>
      </w:r>
      <w:r w:rsidR="00A35584">
        <w:t xml:space="preserve"> and out-group membership. </w:t>
      </w:r>
      <w:r w:rsidR="00F90268">
        <w:t>In this case</w:t>
      </w:r>
      <w:r w:rsidR="00BD3B0D">
        <w:t>, the</w:t>
      </w:r>
      <w:r w:rsidR="00A35584">
        <w:t xml:space="preserve"> </w:t>
      </w:r>
      <w:r w:rsidR="000E5152">
        <w:t xml:space="preserve">value </w:t>
      </w:r>
      <w:r w:rsidR="00BD3B0D">
        <w:t>of the</w:t>
      </w:r>
      <w:r w:rsidR="000E5152">
        <w:t xml:space="preserve"> university </w:t>
      </w:r>
      <w:r w:rsidR="00BD3B0D">
        <w:t xml:space="preserve">would be automatically </w:t>
      </w:r>
      <w:r w:rsidR="000E5152">
        <w:t>“merged” with the value of the alumn</w:t>
      </w:r>
      <w:r w:rsidR="00437820">
        <w:t>us</w:t>
      </w:r>
      <w:r w:rsidR="000E5152">
        <w:t xml:space="preserve">, thus producing a group value equal to the biased average identified by Cromley and Cohen (2019). </w:t>
      </w:r>
      <w:r w:rsidR="00BD3B0D">
        <w:t xml:space="preserve"> Because people value their university more than an unknown university, </w:t>
      </w:r>
      <w:r w:rsidR="00253C32">
        <w:t>participants’</w:t>
      </w:r>
      <w:r w:rsidR="009D26F9">
        <w:t xml:space="preserve"> perceived Psychological Value of the in-group status of the alumn</w:t>
      </w:r>
      <w:r w:rsidR="00437820">
        <w:t>us</w:t>
      </w:r>
      <w:r w:rsidR="009D26F9">
        <w:t xml:space="preserve"> would be higher than the out-group alumn</w:t>
      </w:r>
      <w:r w:rsidR="00437820">
        <w:t>us</w:t>
      </w:r>
      <w:r w:rsidR="009D26F9">
        <w:t>.  This is exactly what we found.</w:t>
      </w:r>
      <w:r w:rsidR="00253C32">
        <w:t xml:space="preserve">  Future research can explore whether this is the mechanism of action for in-group valuation </w:t>
      </w:r>
      <w:r w:rsidR="00BB16F3">
        <w:t>(</w:t>
      </w:r>
      <w:r w:rsidR="00253C32">
        <w:t>because PVT makes explicit point predictions</w:t>
      </w:r>
      <w:r w:rsidR="00BB16F3">
        <w:t xml:space="preserve"> assuming </w:t>
      </w:r>
      <w:r w:rsidR="00253C32">
        <w:t xml:space="preserve">the biased average model, Cromley &amp; Cohen, 2019).  </w:t>
      </w:r>
    </w:p>
    <w:p w14:paraId="0F37A904" w14:textId="4254E549" w:rsidR="00ED7545" w:rsidRDefault="00057FC0" w:rsidP="00ED7545">
      <w:pPr>
        <w:spacing w:line="480" w:lineRule="auto"/>
        <w:ind w:firstLine="720"/>
      </w:pPr>
      <w:r>
        <w:t xml:space="preserve">Experiment 3 demonstrates how PVT provides a framework for understanding how individual factors influence charitable giving.  Specifically, in-group specification influences the perceived Psychological Value of the </w:t>
      </w:r>
      <w:r w:rsidR="004D6994">
        <w:t>recipient</w:t>
      </w:r>
      <w:r>
        <w:t xml:space="preserve">.  </w:t>
      </w:r>
      <w:r w:rsidR="004D6994">
        <w:t>O</w:t>
      </w:r>
      <w:r>
        <w:t xml:space="preserve">ther factors </w:t>
      </w:r>
      <w:r w:rsidR="004D6994">
        <w:t xml:space="preserve">that influence charitable giving </w:t>
      </w:r>
      <w:r>
        <w:t xml:space="preserve">identified in the psychological literature </w:t>
      </w:r>
      <w:r w:rsidR="004D6994">
        <w:t xml:space="preserve">likely </w:t>
      </w:r>
      <w:r>
        <w:t xml:space="preserve">act in a similar vein (e.g., friends, identified </w:t>
      </w:r>
      <w:r>
        <w:lastRenderedPageBreak/>
        <w:t xml:space="preserve">victims, etc.).  </w:t>
      </w:r>
      <w:r w:rsidR="00ED7545">
        <w:t xml:space="preserve">By revealing that seemingly disparate factors influence charitable giving through the same mechanism (e.g., changing the perceived Psychological Value of the recipient), PVT unifies several lines of research.  </w:t>
      </w:r>
    </w:p>
    <w:p w14:paraId="228A5806" w14:textId="15F29B6D" w:rsidR="00ED7545" w:rsidRDefault="00ED7545" w:rsidP="00ED7545">
      <w:pPr>
        <w:spacing w:line="480" w:lineRule="auto"/>
        <w:ind w:firstLine="720"/>
      </w:pPr>
      <w:r>
        <w:t xml:space="preserve">PVT can also accommodate findings that do not relate to the qualities of the recipient. </w:t>
      </w:r>
      <w:r w:rsidR="00787038">
        <w:t>For example, over the recent past, debate in the literature has emerged over the locus of prosocial behavior (e.g., one’s general tendency to give regardless of the receiver).  Yamagashi et al. (</w:t>
      </w:r>
      <w:r w:rsidR="00787038">
        <w:fldChar w:fldCharType="begin"/>
      </w:r>
      <w:r w:rsidR="00787038">
        <w:instrText xml:space="preserve"> ADDIN EN.CITE &lt;EndNote&gt;&lt;Cite&gt;&lt;Author&gt;Yamagishi&lt;/Author&gt;&lt;Year&gt;2017&lt;/Year&gt;&lt;RecNum&gt;2749&lt;/RecNum&gt;&lt;DisplayText&gt;2017&lt;/DisplayText&gt;&lt;record&gt;&lt;rec-number&gt;2749&lt;/rec-number&gt;&lt;foreign-keys&gt;&lt;key app="EN" db-id="w0tztzf0h2dft0eaewxxtpr4exwxf90s525w" timestamp="1681986936" guid="6cb74978-8093-45fe-bb93-167ae41383c0"&gt;2749&lt;/key&gt;&lt;/foreign-keys&gt;&lt;ref-type name="Journal Article"&gt;17&lt;/ref-type&gt;&lt;contributors&gt;&lt;authors&gt;&lt;author&gt;Yamagishi, T&lt;/author&gt;&lt;author&gt;Matsmoto, Y&lt;/author&gt;&lt;author&gt;Kiyonari, T&lt;/author&gt;&lt;author&gt;Takagishi, H&lt;/author&gt;&lt;author&gt;Li, Y&lt;/author&gt;&lt;author&gt;Kanai, R&lt;/author&gt;&lt;author&gt;Sakagami, M&lt;/author&gt;&lt;/authors&gt;&lt;/contributors&gt;&lt;titles&gt;&lt;title&gt;Response time in economic games reflects different types of decision conflict for prosocial and proself individuals&lt;/title&gt;&lt;secondary-title&gt;Proceedings of the National Academy of Sciences&lt;/secondary-title&gt;&lt;/titles&gt;&lt;pages&gt;6394-6399&lt;/pages&gt;&lt;volume&gt;114&lt;/volume&gt;&lt;dates&gt;&lt;year&gt;2017&lt;/year&gt;&lt;/dates&gt;&lt;urls&gt;&lt;/urls&gt;&lt;electronic-resource-num&gt;https://doi.org/10.1073/pnas.1608877114&lt;/electronic-resource-num&gt;&lt;/record&gt;&lt;/Cite&gt;&lt;/EndNote&gt;</w:instrText>
      </w:r>
      <w:r w:rsidR="00787038">
        <w:fldChar w:fldCharType="separate"/>
      </w:r>
      <w:r w:rsidR="00787038">
        <w:rPr>
          <w:noProof/>
        </w:rPr>
        <w:t>2017</w:t>
      </w:r>
      <w:r w:rsidR="00787038">
        <w:fldChar w:fldCharType="end"/>
      </w:r>
      <w:r w:rsidR="00787038">
        <w:t>) suggests that prosocial behavior is generally intuitive (rather than deliberative). Rand et al. (</w:t>
      </w:r>
      <w:r w:rsidR="00787038">
        <w:fldChar w:fldCharType="begin"/>
      </w:r>
      <w:r w:rsidR="00787038">
        <w:instrText xml:space="preserve"> ADDIN EN.CITE &lt;EndNote&gt;&lt;Cite&gt;&lt;Author&gt;Rand&lt;/Author&gt;&lt;Year&gt;2014&lt;/Year&gt;&lt;RecNum&gt;2750&lt;/RecNum&gt;&lt;DisplayText&gt;2014&lt;/DisplayText&gt;&lt;record&gt;&lt;rec-number&gt;2750&lt;/rec-number&gt;&lt;foreign-keys&gt;&lt;key app="EN" db-id="w0tztzf0h2dft0eaewxxtpr4exwxf90s525w" timestamp="1681986936" guid="4fbec2ab-836a-4625-9c8e-e90dc0d88b81"&gt;2750&lt;/key&gt;&lt;/foreign-keys&gt;&lt;ref-type name="Journal Article"&gt;17&lt;/ref-type&gt;&lt;contributors&gt;&lt;authors&gt;&lt;author&gt;Rand, D. G&lt;/author&gt;&lt;author&gt;Peysakhovich, A&lt;/author&gt;&lt;author&gt;Kraft-Todd, G&lt;/author&gt;&lt;author&gt;Newman, G. E&lt;/author&gt;&lt;author&gt;Wurzbacher, O&lt;/author&gt;&lt;author&gt;Nowak, M. A&lt;/author&gt;&lt;author&gt;Greene, J. D.&lt;/author&gt;&lt;/authors&gt;&lt;/contributors&gt;&lt;titles&gt;&lt;title&gt;Social heuristics shape intuitive cooperation&lt;/title&gt;&lt;secondary-title&gt;Nature Communications&lt;/secondary-title&gt;&lt;/titles&gt;&lt;periodical&gt;&lt;full-title&gt;Nature Communications&lt;/full-title&gt;&lt;abbr-1&gt;Nat. Commun.&lt;/abbr-1&gt;&lt;abbr-2&gt;Nat Commun&lt;/abbr-2&gt;&lt;/periodical&gt;&lt;pages&gt;3677&lt;/pages&gt;&lt;volume&gt;5&lt;/volume&gt;&lt;dates&gt;&lt;year&gt;2014&lt;/year&gt;&lt;/dates&gt;&lt;urls&gt;&lt;/urls&gt;&lt;electronic-resource-num&gt;http://dx.doi.org/10.1038/ncomms4677&lt;/electronic-resource-num&gt;&lt;/record&gt;&lt;/Cite&gt;&lt;/EndNote&gt;</w:instrText>
      </w:r>
      <w:r w:rsidR="00787038">
        <w:fldChar w:fldCharType="separate"/>
      </w:r>
      <w:r w:rsidR="00787038">
        <w:rPr>
          <w:noProof/>
        </w:rPr>
        <w:t>2014</w:t>
      </w:r>
      <w:r w:rsidR="00787038">
        <w:fldChar w:fldCharType="end"/>
      </w:r>
      <w:r w:rsidR="00787038">
        <w:t xml:space="preserve">) also suggest that prosocial behavior is a quick, non-deliberative process, but </w:t>
      </w:r>
      <w:r w:rsidR="00787038" w:rsidRPr="00BF0F71">
        <w:rPr>
          <w:i/>
          <w:iCs/>
        </w:rPr>
        <w:t>only</w:t>
      </w:r>
      <w:r w:rsidR="00787038">
        <w:t xml:space="preserve"> for those who live in “</w:t>
      </w:r>
      <w:r w:rsidR="00787038" w:rsidRPr="000D78B1">
        <w:t>environments that favour cooperation</w:t>
      </w:r>
      <w:r w:rsidR="00787038">
        <w:t xml:space="preserve">, and … have </w:t>
      </w:r>
      <w:r w:rsidR="00787038" w:rsidRPr="000D78B1">
        <w:t>little prior experience with laboratory experiments</w:t>
      </w:r>
      <w:r w:rsidR="00787038">
        <w:t>” (p. 2). These dual process approaches are countered by Chen and Krajbich (</w:t>
      </w:r>
      <w:r w:rsidR="00787038">
        <w:fldChar w:fldCharType="begin"/>
      </w:r>
      <w:r w:rsidR="00787038">
        <w:instrText xml:space="preserve"> ADDIN EN.CITE &lt;EndNote&gt;&lt;Cite&gt;&lt;Author&gt;Chen&lt;/Author&gt;&lt;Year&gt;2018&lt;/Year&gt;&lt;RecNum&gt;2747&lt;/RecNum&gt;&lt;DisplayText&gt;2018&lt;/DisplayText&gt;&lt;record&gt;&lt;rec-number&gt;2747&lt;/rec-number&gt;&lt;foreign-keys&gt;&lt;key app="EN" db-id="w0tztzf0h2dft0eaewxxtpr4exwxf90s525w" timestamp="1681986935" guid="e3134044-c955-4adc-b9b0-de6b2d5db142"&gt;2747&lt;/key&gt;&lt;/foreign-keys&gt;&lt;ref-type name="Journal Article"&gt;17&lt;/ref-type&gt;&lt;contributors&gt;&lt;authors&gt;&lt;author&gt;Chen, F&lt;/author&gt;&lt;author&gt;Krajbich, I&lt;/author&gt;&lt;/authors&gt;&lt;/contributors&gt;&lt;titles&gt;&lt;title&gt;Biased sequential sampling underlies the effects of time pressure and delay in social decision making&lt;/title&gt;&lt;secondary-title&gt;Nature Communications&lt;/secondary-title&gt;&lt;/titles&gt;&lt;periodical&gt;&lt;full-title&gt;Nature Communications&lt;/full-title&gt;&lt;abbr-1&gt;Nat. Commun.&lt;/abbr-1&gt;&lt;abbr-2&gt;Nat Commun&lt;/abbr-2&gt;&lt;/periodical&gt;&lt;pages&gt;3557&lt;/pages&gt;&lt;volume&gt;9&lt;/volume&gt;&lt;dates&gt;&lt;year&gt;2018&lt;/year&gt;&lt;/dates&gt;&lt;urls&gt;&lt;/urls&gt;&lt;electronic-resource-num&gt;http://dx.doi.org/10.1038/s41467-018-05994-9&lt;/electronic-resource-num&gt;&lt;/record&gt;&lt;/Cite&gt;&lt;/EndNote&gt;</w:instrText>
      </w:r>
      <w:r w:rsidR="00787038">
        <w:fldChar w:fldCharType="separate"/>
      </w:r>
      <w:r w:rsidR="00787038">
        <w:rPr>
          <w:noProof/>
        </w:rPr>
        <w:t>2018</w:t>
      </w:r>
      <w:r w:rsidR="00787038">
        <w:fldChar w:fldCharType="end"/>
      </w:r>
      <w:r w:rsidR="00787038">
        <w:t>) who provide evidence that a single process can account for conflicting prosocial tendencies.  Chen and Krajbich (</w:t>
      </w:r>
      <w:r w:rsidR="00787038">
        <w:fldChar w:fldCharType="begin"/>
      </w:r>
      <w:r w:rsidR="00787038">
        <w:instrText xml:space="preserve"> ADDIN EN.CITE &lt;EndNote&gt;&lt;Cite&gt;&lt;Author&gt;Chen&lt;/Author&gt;&lt;Year&gt;2018&lt;/Year&gt;&lt;RecNum&gt;2747&lt;/RecNum&gt;&lt;DisplayText&gt;2018&lt;/DisplayText&gt;&lt;record&gt;&lt;rec-number&gt;2747&lt;/rec-number&gt;&lt;foreign-keys&gt;&lt;key app="EN" db-id="w0tztzf0h2dft0eaewxxtpr4exwxf90s525w" timestamp="1681986935" guid="e3134044-c955-4adc-b9b0-de6b2d5db142"&gt;2747&lt;/key&gt;&lt;/foreign-keys&gt;&lt;ref-type name="Journal Article"&gt;17&lt;/ref-type&gt;&lt;contributors&gt;&lt;authors&gt;&lt;author&gt;Chen, F&lt;/author&gt;&lt;author&gt;Krajbich, I&lt;/author&gt;&lt;/authors&gt;&lt;/contributors&gt;&lt;titles&gt;&lt;title&gt;Biased sequential sampling underlies the effects of time pressure and delay in social decision making&lt;/title&gt;&lt;secondary-title&gt;Nature Communications&lt;/secondary-title&gt;&lt;/titles&gt;&lt;periodical&gt;&lt;full-title&gt;Nature Communications&lt;/full-title&gt;&lt;abbr-1&gt;Nat. Commun.&lt;/abbr-1&gt;&lt;abbr-2&gt;Nat Commun&lt;/abbr-2&gt;&lt;/periodical&gt;&lt;pages&gt;3557&lt;/pages&gt;&lt;volume&gt;9&lt;/volume&gt;&lt;dates&gt;&lt;year&gt;2018&lt;/year&gt;&lt;/dates&gt;&lt;urls&gt;&lt;/urls&gt;&lt;electronic-resource-num&gt;http://dx.doi.org/10.1038/s41467-018-05994-9&lt;/electronic-resource-num&gt;&lt;/record&gt;&lt;/Cite&gt;&lt;/EndNote&gt;</w:instrText>
      </w:r>
      <w:r w:rsidR="00787038">
        <w:fldChar w:fldCharType="separate"/>
      </w:r>
      <w:r w:rsidR="00787038">
        <w:rPr>
          <w:noProof/>
        </w:rPr>
        <w:t>2018</w:t>
      </w:r>
      <w:r w:rsidR="00787038">
        <w:fldChar w:fldCharType="end"/>
      </w:r>
      <w:r w:rsidR="00787038">
        <w:t xml:space="preserve">) used a traditional SSP approach to describe the data from a dictator’s game and showed that a simple start point bias toward giving can be readily explain the prosocial RT results in the literature.  </w:t>
      </w:r>
      <w:r>
        <w:t xml:space="preserve">Like Chen and Krajbich (2018), </w:t>
      </w:r>
      <w:r w:rsidR="00787038">
        <w:t xml:space="preserve">PVT can </w:t>
      </w:r>
      <w:r>
        <w:t xml:space="preserve">also </w:t>
      </w:r>
      <w:r w:rsidR="00787038">
        <w:t>account for the tendency toward giving (e.g., prosocial behavior) as a start point bias</w:t>
      </w:r>
      <w:r>
        <w:t xml:space="preserve">. However, because </w:t>
      </w:r>
      <w:r w:rsidR="00787038">
        <w:t xml:space="preserve">PVT specifies the </w:t>
      </w:r>
      <w:r>
        <w:t xml:space="preserve">primary </w:t>
      </w:r>
      <w:r w:rsidR="00787038">
        <w:t>controlling variable (Psychological Value)</w:t>
      </w:r>
      <w:r>
        <w:t>, it</w:t>
      </w:r>
      <w:r w:rsidR="00787038">
        <w:t xml:space="preserve"> provides a </w:t>
      </w:r>
      <w:r>
        <w:t xml:space="preserve">more </w:t>
      </w:r>
      <w:r w:rsidR="00787038">
        <w:t xml:space="preserve">detailed explanatory account of the data. </w:t>
      </w:r>
      <w:r>
        <w:t>In sum, by serving as a unifying framework, PVT advances the scientific study of charitable giving.</w:t>
      </w:r>
    </w:p>
    <w:p w14:paraId="27B93B65" w14:textId="77777777" w:rsidR="00FD3B61" w:rsidRPr="001F7EE0" w:rsidRDefault="00FD3B61" w:rsidP="00FD3B61">
      <w:pPr>
        <w:spacing w:line="480" w:lineRule="auto"/>
        <w:rPr>
          <w:b/>
          <w:bCs/>
        </w:rPr>
      </w:pPr>
      <w:r>
        <w:rPr>
          <w:b/>
          <w:bCs/>
        </w:rPr>
        <w:t xml:space="preserve">Does </w:t>
      </w:r>
      <w:r w:rsidRPr="001F7EE0">
        <w:rPr>
          <w:b/>
          <w:bCs/>
        </w:rPr>
        <w:t>Psychological Value</w:t>
      </w:r>
      <w:r w:rsidRPr="00AD4C63">
        <w:rPr>
          <w:b/>
          <w:bCs/>
        </w:rPr>
        <w:t xml:space="preserve"> </w:t>
      </w:r>
      <w:r>
        <w:rPr>
          <w:b/>
          <w:bCs/>
        </w:rPr>
        <w:t xml:space="preserve">= </w:t>
      </w:r>
      <w:r w:rsidRPr="001F7EE0">
        <w:rPr>
          <w:b/>
          <w:bCs/>
        </w:rPr>
        <w:t>Competence and Warmth</w:t>
      </w:r>
      <w:r>
        <w:rPr>
          <w:b/>
          <w:bCs/>
        </w:rPr>
        <w:t>?</w:t>
      </w:r>
    </w:p>
    <w:p w14:paraId="0828658A" w14:textId="61E4F0E1" w:rsidR="00FD3B61" w:rsidRDefault="00FD3B61" w:rsidP="00FD3B61">
      <w:pPr>
        <w:spacing w:line="480" w:lineRule="auto"/>
        <w:ind w:firstLine="720"/>
      </w:pPr>
      <w:r>
        <w:t>In Experiment 5, we compared the ability of PVT to predict choice to that of a model based on the theoretical constructs of competence and warmth.  The data revealed that</w:t>
      </w:r>
      <w:r w:rsidR="008807BD">
        <w:t xml:space="preserve"> although</w:t>
      </w:r>
      <w:r>
        <w:t xml:space="preserve"> the model based on competence and warmth predicted charitable giving well, PVT predicted charitable giving better than competence and warmth.  To some, the fact that competence and </w:t>
      </w:r>
      <w:r>
        <w:lastRenderedPageBreak/>
        <w:t xml:space="preserve">warmth predicted charity may </w:t>
      </w:r>
      <w:r w:rsidR="00C44E5F">
        <w:t xml:space="preserve">well </w:t>
      </w:r>
      <w:r>
        <w:t>suggest that Psychological Value is</w:t>
      </w:r>
      <w:r w:rsidR="008807BD">
        <w:t xml:space="preserve"> simply an</w:t>
      </w:r>
      <w:r>
        <w:t xml:space="preserve"> aggregate of competence, warmth, and</w:t>
      </w:r>
      <w:r w:rsidR="00C44E5F">
        <w:t>,</w:t>
      </w:r>
      <w:r>
        <w:t xml:space="preserve"> </w:t>
      </w:r>
      <w:r w:rsidR="00AD2885">
        <w:t>perhaps</w:t>
      </w:r>
      <w:r w:rsidR="00C44E5F">
        <w:t>,</w:t>
      </w:r>
      <w:r w:rsidR="00AD2885">
        <w:t xml:space="preserve"> </w:t>
      </w:r>
      <w:r>
        <w:t xml:space="preserve">some other unidentified theoretical construct (in the same way that concrete is a simple aggregate of cement, sand, and rocks). Whereas we agree that competence and warmth </w:t>
      </w:r>
      <w:r w:rsidR="008F51A9">
        <w:t xml:space="preserve">likely </w:t>
      </w:r>
      <w:r>
        <w:t xml:space="preserve">contribute </w:t>
      </w:r>
      <w:r w:rsidR="009E4A78">
        <w:t xml:space="preserve">to </w:t>
      </w:r>
      <w:r>
        <w:t xml:space="preserve">the Psychological Value of </w:t>
      </w:r>
      <w:r w:rsidR="00D74316">
        <w:t>people</w:t>
      </w:r>
      <w:r>
        <w:t xml:space="preserve">, we do not </w:t>
      </w:r>
      <w:r w:rsidR="00AD2885">
        <w:t>accept</w:t>
      </w:r>
      <w:r>
        <w:t xml:space="preserve"> that Psychological Value is a simple aggregate of different features of an item.  Rather, we</w:t>
      </w:r>
      <w:r w:rsidR="00AD2885">
        <w:t xml:space="preserve"> claim</w:t>
      </w:r>
      <w:r>
        <w:t xml:space="preserve"> that Psychological Value is an emergent property that </w:t>
      </w:r>
      <w:r w:rsidRPr="004F3ACD">
        <w:rPr>
          <w:i/>
          <w:iCs/>
        </w:rPr>
        <w:t>arises from</w:t>
      </w:r>
      <w:r>
        <w:t xml:space="preserve"> the individual features of the item.  This emergent property does not depend on any specific features being present and is fundamentally different than the features themselves. For example, emotions are emergent properties of neurons. Yet, (1) no single neuron is sufficient to generate an emotion, (2) no specific neuron is necessary for emotions, and (3) emotions are fundamentally different from neurons.  Emergent properties are common in biological entities (e.g., </w:t>
      </w:r>
      <w:r w:rsidRPr="004F3ACD">
        <w:t xml:space="preserve">Carmichael, </w:t>
      </w:r>
      <w:r w:rsidR="009E4A78">
        <w:fldChar w:fldCharType="begin"/>
      </w:r>
      <w:r w:rsidR="009E4A78">
        <w:instrText xml:space="preserve"> ADDIN EN.CITE &lt;EndNote&gt;&lt;Cite&gt;&lt;Author&gt;Carmichael&lt;/Author&gt;&lt;Year&gt;2016&lt;/Year&gt;&lt;RecNum&gt;2803&lt;/RecNum&gt;&lt;DisplayText&gt;2016&lt;/DisplayText&gt;&lt;record&gt;&lt;rec-number&gt;2803&lt;/rec-number&gt;&lt;foreign-keys&gt;&lt;key app="EN" db-id="w0tztzf0h2dft0eaewxxtpr4exwxf90s525w" timestamp="1689355652" guid="6b8aaa98-101b-4040-9418-4797f4ac0888"&gt;2803&lt;/key&gt;&lt;/foreign-keys&gt;&lt;ref-type name="Journal Article"&gt;17&lt;/ref-type&gt;&lt;contributors&gt;&lt;authors&gt;&lt;author&gt;Carmichael, S. T&lt;/author&gt;&lt;/authors&gt;&lt;/contributors&gt;&lt;titles&gt;&lt;title&gt;Emergent properties of neural repair: elemental biology to therapeutic concepts&lt;/title&gt;&lt;secondary-title&gt;Annals of Neurology&lt;/secondary-title&gt;&lt;/titles&gt;&lt;periodical&gt;&lt;full-title&gt;Annals of Neurology&lt;/full-title&gt;&lt;abbr-1&gt;Ann. Neurol.&lt;/abbr-1&gt;&lt;abbr-2&gt;Ann Neurol&lt;/abbr-2&gt;&lt;/periodical&gt;&lt;pages&gt;895-906&lt;/pages&gt;&lt;volume&gt;79&lt;/volume&gt;&lt;dates&gt;&lt;year&gt;2016&lt;/year&gt;&lt;/dates&gt;&lt;urls&gt;&lt;/urls&gt;&lt;electronic-resource-num&gt;http://dx.doi.org/10.1002/ana.24653&lt;/electronic-resource-num&gt;&lt;/record&gt;&lt;/Cite&gt;&lt;/EndNote&gt;</w:instrText>
      </w:r>
      <w:r w:rsidR="009E4A78">
        <w:fldChar w:fldCharType="separate"/>
      </w:r>
      <w:r w:rsidR="009E4A78">
        <w:rPr>
          <w:noProof/>
        </w:rPr>
        <w:t>2016</w:t>
      </w:r>
      <w:r w:rsidR="009E4A78">
        <w:fldChar w:fldCharType="end"/>
      </w:r>
      <w:r>
        <w:t xml:space="preserve">). </w:t>
      </w:r>
    </w:p>
    <w:p w14:paraId="10CC1C6D" w14:textId="492EBA4B" w:rsidR="00FD3B61" w:rsidRDefault="00FD3B61" w:rsidP="00FD3B61">
      <w:pPr>
        <w:spacing w:line="480" w:lineRule="auto"/>
        <w:ind w:firstLine="720"/>
      </w:pPr>
      <w:r>
        <w:t xml:space="preserve">As stated in the introduction, the Psychological Value of an item is a function of its’ features (see Equation 1).  </w:t>
      </w:r>
      <w:r w:rsidR="00D74316">
        <w:t xml:space="preserve">Nevertheless, we did not intend that </w:t>
      </w:r>
      <w:r>
        <w:t>a reductionist approach can be used to describe Psychological Value.  We therefore clarify the equation below,</w:t>
      </w:r>
    </w:p>
    <w:p w14:paraId="016B4B68" w14:textId="77777777" w:rsidR="00FD3B61" w:rsidRPr="002201FA" w:rsidRDefault="00000000" w:rsidP="00FD3B61">
      <w:pPr>
        <w:spacing w:line="480" w:lineRule="auto"/>
        <w:ind w:firstLine="720"/>
        <w:jc w:val="right"/>
      </w:pPr>
      <m:oMath>
        <m:sSub>
          <m:sSubPr>
            <m:ctrlPr>
              <w:rPr>
                <w:rFonts w:ascii="Cambria Math" w:eastAsia="Cambria Math" w:hAnsi="Cambria Math" w:cs="Cambria Math"/>
              </w:rPr>
            </m:ctrlPr>
          </m:sSubPr>
          <m:e>
            <m:r>
              <w:rPr>
                <w:rFonts w:ascii="Cambria Math" w:hAnsi="Cambria Math"/>
              </w:rPr>
              <m:t>φ</m:t>
            </m:r>
          </m:e>
          <m:sub>
            <m:r>
              <w:rPr>
                <w:rFonts w:ascii="Cambria Math" w:eastAsia="Cambria Math" w:hAnsi="Cambria Math" w:cs="Cambria Math"/>
              </w:rPr>
              <m:t>v</m:t>
            </m:r>
          </m:sub>
        </m:sSub>
        <m:r>
          <w:rPr>
            <w:rFonts w:ascii="Cambria Math" w:eastAsia="Cambria Math" w:hAnsi="Cambria Math" w:cs="Cambria Math"/>
          </w:rPr>
          <m:t>=f</m:t>
        </m:r>
        <m:d>
          <m:dPr>
            <m:ctrlPr>
              <w:rPr>
                <w:rFonts w:ascii="Cambria Math" w:eastAsia="Cambria Math" w:hAnsi="Cambria Math" w:cs="Cambria Math"/>
              </w:rPr>
            </m:ctrlPr>
          </m:dPr>
          <m:e>
            <m:nary>
              <m:naryPr>
                <m:chr m:val="∑"/>
                <m:limLoc m:val="undOvr"/>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m:t>
                </m:r>
              </m:sup>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i</m:t>
                    </m:r>
                  </m:sub>
                </m:sSub>
                <m:sSub>
                  <m:sSubPr>
                    <m:ctrlPr>
                      <w:rPr>
                        <w:rFonts w:ascii="Cambria Math" w:eastAsia="Cambria Math" w:hAnsi="Cambria Math" w:cs="Cambria Math"/>
                        <w:i/>
                      </w:rPr>
                    </m:ctrlPr>
                  </m:sSubPr>
                  <m:e>
                    <m:r>
                      <w:rPr>
                        <w:rFonts w:ascii="Cambria Math" w:eastAsia="Cambria Math" w:hAnsi="Cambria Math" w:cs="Cambria Math"/>
                      </w:rPr>
                      <m:t>P</m:t>
                    </m:r>
                  </m:e>
                  <m:sub>
                    <m:r>
                      <w:rPr>
                        <w:rFonts w:ascii="Cambria Math" w:eastAsia="Cambria Math" w:hAnsi="Cambria Math" w:cs="Cambria Math"/>
                      </w:rPr>
                      <m:t>i</m:t>
                    </m:r>
                  </m:sub>
                </m:sSub>
              </m:e>
            </m:nary>
          </m:e>
        </m:d>
      </m:oMath>
      <w:r w:rsidR="00FD3B61">
        <w:tab/>
      </w:r>
      <w:r w:rsidR="00FD3B61">
        <w:tab/>
      </w:r>
      <w:r w:rsidR="00FD3B61">
        <w:tab/>
      </w:r>
      <w:r w:rsidR="00FD3B61">
        <w:tab/>
      </w:r>
      <w:r w:rsidR="00FD3B61">
        <w:tab/>
      </w:r>
      <w:r w:rsidR="00FD3B61">
        <w:tab/>
        <w:t>(12)</w:t>
      </w:r>
    </w:p>
    <w:p w14:paraId="0C38850A" w14:textId="20AD9A2D" w:rsidR="00FD3B61" w:rsidRPr="009B2BBA" w:rsidRDefault="00FD3B61" w:rsidP="00FD3B61">
      <w:pPr>
        <w:spacing w:line="480" w:lineRule="auto"/>
      </w:pPr>
      <w:r>
        <w:t xml:space="preserve">Equation 12 </w:t>
      </w:r>
      <w:r w:rsidR="009E4A78">
        <w:t xml:space="preserve">should be </w:t>
      </w:r>
      <w:r>
        <w:t>read</w:t>
      </w:r>
      <w:r w:rsidR="009E4A78">
        <w:t xml:space="preserve"> as conveying</w:t>
      </w:r>
      <w:r>
        <w:t xml:space="preserve"> that Psychological Value is a function of cognitive and perceptual factors but is not simply reduced to those factors.  </w:t>
      </w:r>
    </w:p>
    <w:p w14:paraId="6F548335" w14:textId="10EB00DC" w:rsidR="00FD3B61" w:rsidRDefault="00CB2F67" w:rsidP="00AD2885">
      <w:pPr>
        <w:spacing w:line="480" w:lineRule="auto"/>
        <w:ind w:firstLine="720"/>
      </w:pPr>
      <w:r>
        <w:t>Critically,</w:t>
      </w:r>
      <w:r w:rsidR="00AD2885">
        <w:t xml:space="preserve"> </w:t>
      </w:r>
      <w:r w:rsidR="00FD3B61">
        <w:t xml:space="preserve">Psychological Value is a general construct that applies to all classes of items (e.g., objects, animals, people, concepts, etc., see Cohen &amp; Ahn, 2016).  As a result, when presented </w:t>
      </w:r>
      <w:r w:rsidR="009E4A78">
        <w:t xml:space="preserve">with </w:t>
      </w:r>
      <w:r w:rsidR="00FD3B61">
        <w:t xml:space="preserve">a choice between two options, one may not be able to compare the magnitude of specific features across options. For example, imagine a choice between saving the Mona Lisa from destruction or saving a thief from certain death.  Because the features of the Mona Lisa (e.g., artistic qualities, historical importance, etc.) are fundamentally different from the features </w:t>
      </w:r>
      <w:r w:rsidR="00FD3B61">
        <w:lastRenderedPageBreak/>
        <w:t xml:space="preserve">of a thief (e.g., competence, warmth, etc.), one cannot directly compare the magnitude of individual features </w:t>
      </w:r>
      <w:r w:rsidR="00FD3B61" w:rsidRPr="00043420">
        <w:rPr>
          <w:i/>
          <w:iCs/>
        </w:rPr>
        <w:t>across</w:t>
      </w:r>
      <w:r w:rsidR="00FD3B61">
        <w:t xml:space="preserve"> the options when making a choice.  This give rise to </w:t>
      </w:r>
      <w:r w:rsidR="00AD2885">
        <w:t>an apparent</w:t>
      </w:r>
      <w:r w:rsidR="00FD3B61">
        <w:t xml:space="preserve"> conundrum,</w:t>
      </w:r>
      <w:r w:rsidR="00AD2885">
        <w:t xml:space="preserve"> namely,</w:t>
      </w:r>
      <w:r w:rsidR="00FD3B61">
        <w:t xml:space="preserve"> “When presented a choice, what do people compare when</w:t>
      </w:r>
      <w:r w:rsidR="00AD2885">
        <w:t xml:space="preserve"> the</w:t>
      </w:r>
      <w:r w:rsidR="00FD3B61">
        <w:t xml:space="preserve"> features </w:t>
      </w:r>
      <w:r w:rsidR="00AD2885">
        <w:t xml:space="preserve">of the options </w:t>
      </w:r>
      <w:r w:rsidR="00FD3B61">
        <w:t xml:space="preserve">are not directly comparable?” We claim that the individual features of an item give rise to an emergent property that we term Psychological Value.  As a result, people can make the choice by directly comparing the magnitude of Psychological Value of each item. </w:t>
      </w:r>
      <w:r w:rsidR="00AD2885">
        <w:t xml:space="preserve">This allows </w:t>
      </w:r>
      <w:r w:rsidR="00FD3B61">
        <w:t xml:space="preserve">people to compare the Psychological Value of incommensurate items (e.g., Cohen &amp; Ahn, 2016).  </w:t>
      </w:r>
    </w:p>
    <w:p w14:paraId="2F41B49F" w14:textId="35ABD351" w:rsidR="00FD3B61" w:rsidRDefault="00FD3B61" w:rsidP="00FD3B61">
      <w:pPr>
        <w:spacing w:line="480" w:lineRule="auto"/>
        <w:ind w:firstLine="720"/>
      </w:pPr>
      <w:r>
        <w:t xml:space="preserve">As an emergent feature (rather than a simple aggregate), Psychological Value is fundamentally different than the features that give rise to it. Therefore, future research may benefit from a three-pronged approach.  First, similar to the work conducted here, it is important to study which choices Psychological Value predict well, and which choices it does not.  This will provide valuable information about the generalizability of PVT.  Second, research should be directed at examining the features of Psychological Value itself (e.g., grouping properties, independence, etc.). This will provide a deeper understanding of this construct and that knowledge will translate into better predictive models.  Finally, for those interested in specific item classes (e.g., people), researchers can study the features that influence Psychological Value of specific items or item classes.  For example, we suspect that competence and warmth contribute to the Psychological Value of people, whereas other features contribute to the Psychological Value of inanimate objects, etc.   In our view, this will provide a deeper understanding of the item class, rather than Psychological Value per se.  </w:t>
      </w:r>
    </w:p>
    <w:p w14:paraId="2210459F" w14:textId="0C96ABBA" w:rsidR="00D12E70" w:rsidRPr="00C06677" w:rsidRDefault="00D12E70" w:rsidP="00401046">
      <w:pPr>
        <w:keepNext/>
        <w:spacing w:line="480" w:lineRule="auto"/>
        <w:rPr>
          <w:b/>
          <w:bCs/>
        </w:rPr>
      </w:pPr>
      <w:r w:rsidRPr="00C06677">
        <w:rPr>
          <w:b/>
          <w:bCs/>
        </w:rPr>
        <w:t>Generalizability</w:t>
      </w:r>
    </w:p>
    <w:p w14:paraId="4EC47ADF" w14:textId="4701B55B" w:rsidR="00056996" w:rsidRDefault="00D12E70" w:rsidP="00037773">
      <w:pPr>
        <w:spacing w:line="480" w:lineRule="auto"/>
      </w:pPr>
      <w:r w:rsidRPr="00C06677">
        <w:tab/>
      </w:r>
      <w:r w:rsidR="00056996">
        <w:t xml:space="preserve">Here, we have studied how people make charitable giving decisions when the receivers are individuals who hold different social roles.  </w:t>
      </w:r>
      <w:r w:rsidR="00804D44">
        <w:t xml:space="preserve">Although many </w:t>
      </w:r>
      <w:r w:rsidR="00056996">
        <w:t xml:space="preserve">charities are focused on social </w:t>
      </w:r>
      <w:r w:rsidR="00056996">
        <w:lastRenderedPageBreak/>
        <w:t>roles (e.g., the “</w:t>
      </w:r>
      <w:r w:rsidR="00056996" w:rsidRPr="00056996">
        <w:t>National Law Enforcement Officers Memorial Fund</w:t>
      </w:r>
      <w:r w:rsidR="00056996">
        <w:t xml:space="preserve">”), </w:t>
      </w:r>
      <w:r w:rsidR="00804D44">
        <w:t>many are not (e.g., the</w:t>
      </w:r>
      <w:r w:rsidR="00056996">
        <w:t xml:space="preserve"> </w:t>
      </w:r>
      <w:r w:rsidR="00C35165" w:rsidRPr="00C35165">
        <w:t>Natural Resources Defense Council</w:t>
      </w:r>
      <w:r w:rsidR="00804D44">
        <w:t xml:space="preserve">, which is </w:t>
      </w:r>
      <w:r w:rsidR="00C35165">
        <w:t>a climate change charity)</w:t>
      </w:r>
      <w:r w:rsidR="00056996">
        <w:t>.</w:t>
      </w:r>
      <w:r w:rsidR="00C35165">
        <w:t xml:space="preserve"> It is important to study how well PVT predicts donations to </w:t>
      </w:r>
      <w:r w:rsidR="00804D44">
        <w:t xml:space="preserve">those </w:t>
      </w:r>
      <w:r w:rsidR="00C35165">
        <w:t xml:space="preserve">charities focused on more abstract issues.  </w:t>
      </w:r>
      <w:r w:rsidR="00074BE6">
        <w:t xml:space="preserve">There are many ways to approach this topic.  Perhaps the most direct </w:t>
      </w:r>
      <w:r w:rsidR="00C35165">
        <w:t>approach is to estimate the Psychological Values of abstract concepts such as climate change and use those to predict</w:t>
      </w:r>
      <w:r w:rsidR="00804D44">
        <w:t xml:space="preserve"> charitable giving</w:t>
      </w:r>
      <w:r w:rsidR="00C35165">
        <w:t xml:space="preserve">. </w:t>
      </w:r>
      <w:r w:rsidR="00804D44">
        <w:t xml:space="preserve">In our lab, we have successfully collected the perceived Psychological Values of abstract concepts for other purposes, and they predict choice in those instances.  </w:t>
      </w:r>
      <w:r w:rsidR="00C35165">
        <w:t>Another</w:t>
      </w:r>
      <w:r w:rsidR="00074BE6">
        <w:t>, less direct but more applied</w:t>
      </w:r>
      <w:r w:rsidR="00C35165">
        <w:t xml:space="preserve"> </w:t>
      </w:r>
      <w:r w:rsidR="00074BE6">
        <w:t>approach, might be to estimate the Psychological Values of concrete stimuli related to these concepts such as a “stable food supply” and use those terms in a scenario that is connected to the charity of interest.  In any event, PVT provides a strong computational foundation from which these questions can be addressed.</w:t>
      </w:r>
    </w:p>
    <w:p w14:paraId="0B46ADC7" w14:textId="0E7483FA" w:rsidR="00D12E70" w:rsidRDefault="00074BE6" w:rsidP="00074BE6">
      <w:pPr>
        <w:spacing w:line="480" w:lineRule="auto"/>
        <w:ind w:firstLine="720"/>
      </w:pPr>
      <w:r>
        <w:t>We also note that o</w:t>
      </w:r>
      <w:r w:rsidR="00D12E70" w:rsidRPr="00C06677">
        <w:t>ur population sample for both our Psychological Value data and the current choice experiment data are college students.  We suspect that Psychological Values are</w:t>
      </w:r>
      <w:r>
        <w:t xml:space="preserve"> relatively stable, nevertheless they may be</w:t>
      </w:r>
      <w:r w:rsidR="00D12E70" w:rsidRPr="00C06677">
        <w:t xml:space="preserve"> influenced by social factors such as age, culture, etc.  The extent of the influence of social factors is an empirical question that should be explored.  </w:t>
      </w:r>
      <w:r w:rsidR="00A6673D">
        <w:t>Nevertheless, w</w:t>
      </w:r>
      <w:r w:rsidR="00D12E70" w:rsidRPr="00C06677">
        <w:t>e suspect that the decision process described by PVT</w:t>
      </w:r>
      <w:r w:rsidR="0042157D">
        <w:t xml:space="preserve"> </w:t>
      </w:r>
      <w:r w:rsidR="00437327">
        <w:t>reflect</w:t>
      </w:r>
      <w:r w:rsidR="0042157D">
        <w:t>s a</w:t>
      </w:r>
      <w:r w:rsidR="00D12E70" w:rsidRPr="00C06677">
        <w:t xml:space="preserve"> basic cognitive </w:t>
      </w:r>
      <w:r w:rsidR="00437327">
        <w:t>system</w:t>
      </w:r>
      <w:r w:rsidR="00D12E70" w:rsidRPr="00C06677">
        <w:t xml:space="preserve"> that is independent of social</w:t>
      </w:r>
      <w:r w:rsidR="00067A86">
        <w:t>/cultural</w:t>
      </w:r>
      <w:r w:rsidR="00D12E70" w:rsidRPr="00C06677">
        <w:t xml:space="preserve"> factors. </w:t>
      </w:r>
    </w:p>
    <w:p w14:paraId="1037603A" w14:textId="078E0A25" w:rsidR="00E628F9" w:rsidRPr="00C06677" w:rsidRDefault="00E628F9" w:rsidP="0074737D">
      <w:pPr>
        <w:spacing w:line="480" w:lineRule="auto"/>
        <w:ind w:firstLine="720"/>
      </w:pPr>
      <w:r>
        <w:t xml:space="preserve">Finally, although we propose that the Psychological Value of the receiver is the primary influence of charitable giving, </w:t>
      </w:r>
      <w:r w:rsidR="004B0A57">
        <w:t xml:space="preserve">there </w:t>
      </w:r>
      <w:r w:rsidR="00067A86">
        <w:t>remain an indefinite</w:t>
      </w:r>
      <w:r w:rsidR="004B0A57">
        <w:t xml:space="preserve"> number of</w:t>
      </w:r>
      <w:r>
        <w:t xml:space="preserve"> </w:t>
      </w:r>
      <w:r w:rsidR="0074737D">
        <w:t xml:space="preserve">other </w:t>
      </w:r>
      <w:r w:rsidR="00C209FC">
        <w:t>influential</w:t>
      </w:r>
      <w:r w:rsidR="00A6673D">
        <w:t xml:space="preserve"> </w:t>
      </w:r>
      <w:r w:rsidR="0074737D">
        <w:t>f</w:t>
      </w:r>
      <w:r>
        <w:t xml:space="preserve">actors </w:t>
      </w:r>
      <w:r w:rsidR="00C269EC">
        <w:t xml:space="preserve">(see </w:t>
      </w:r>
      <w:r w:rsidR="0074737D">
        <w:t xml:space="preserve">e.g., </w:t>
      </w:r>
      <w:r w:rsidR="00C269EC">
        <w:t>Bekke</w:t>
      </w:r>
      <w:r w:rsidR="00C269EC" w:rsidRPr="00FB3669">
        <w:t>rs &amp; Wiepking,</w:t>
      </w:r>
      <w:r w:rsidR="0074737D">
        <w:t xml:space="preserve"> </w:t>
      </w:r>
      <w:r w:rsidR="0074737D">
        <w:fldChar w:fldCharType="begin"/>
      </w:r>
      <w:r w:rsidR="0019503B">
        <w:instrText xml:space="preserve"> ADDIN EN.CITE &lt;EndNote&gt;&lt;Cite&gt;&lt;Author&gt;Bekkers&lt;/Author&gt;&lt;Year&gt;2011&lt;/Year&gt;&lt;RecNum&gt;2682&lt;/RecNum&gt;&lt;DisplayText&gt;2011&lt;/DisplayText&gt;&lt;record&gt;&lt;rec-number&gt;2682&lt;/rec-number&gt;&lt;foreign-keys&gt;&lt;key app="EN" db-id="w0tztzf0h2dft0eaewxxtpr4exwxf90s525w" timestamp="1660053335" guid="90027578-ec9d-4aae-a1c7-a8a21d47d5db"&gt;2682&lt;/key&gt;&lt;/foreign-keys&gt;&lt;ref-type name="Journal Article"&gt;17&lt;/ref-type&gt;&lt;contributors&gt;&lt;authors&gt;&lt;author&gt;Bekkers, R&lt;/author&gt;&lt;author&gt;Weipking, P&lt;/author&gt;&lt;/authors&gt;&lt;/contributors&gt;&lt;titles&gt;&lt;title&gt;A literature review of empirical studies of philanthropy: Eight mechanisms that drive charitable giving&lt;/title&gt;&lt;secondary-title&gt;Nonprofit and Voluntary Sector Quarterly&lt;/secondary-title&gt;&lt;/titles&gt;&lt;pages&gt;924-973&lt;/pages&gt;&lt;volume&gt;40&lt;/volume&gt;&lt;dates&gt;&lt;year&gt;2011&lt;/year&gt;&lt;/dates&gt;&lt;urls&gt;&lt;/urls&gt;&lt;electronic-resource-num&gt;http://dx.doi.org/10.1 177/0899764010380927&lt;/electronic-resource-num&gt;&lt;/record&gt;&lt;/Cite&gt;&lt;/EndNote&gt;</w:instrText>
      </w:r>
      <w:r w:rsidR="0074737D">
        <w:fldChar w:fldCharType="separate"/>
      </w:r>
      <w:r w:rsidR="0074737D">
        <w:rPr>
          <w:noProof/>
        </w:rPr>
        <w:t>2011</w:t>
      </w:r>
      <w:r w:rsidR="0074737D">
        <w:fldChar w:fldCharType="end"/>
      </w:r>
      <w:r w:rsidR="0074737D">
        <w:t>)</w:t>
      </w:r>
      <w:r w:rsidR="00C15493">
        <w:t xml:space="preserve">. </w:t>
      </w:r>
      <w:r>
        <w:t xml:space="preserve">For example, </w:t>
      </w:r>
      <w:r w:rsidR="00604AB8">
        <w:t xml:space="preserve">is there an influence of familial membership (e.g., your mother vs a mother) above the contribution of Psychological Value and </w:t>
      </w:r>
      <w:r>
        <w:t xml:space="preserve">how does the perceived financial need of the receiver influence giving?  Although the current set of </w:t>
      </w:r>
      <w:r>
        <w:lastRenderedPageBreak/>
        <w:t>experiments does not address this question, we do provide the framework for studying factors of interest within the context of PVT.  We encourage researchers to do so.</w:t>
      </w:r>
    </w:p>
    <w:p w14:paraId="11906787" w14:textId="0328A548" w:rsidR="00C80FB8" w:rsidRPr="00C06677" w:rsidRDefault="00C80FB8" w:rsidP="00037773">
      <w:pPr>
        <w:spacing w:line="480" w:lineRule="auto"/>
        <w:rPr>
          <w:b/>
          <w:bCs/>
        </w:rPr>
      </w:pPr>
      <w:r w:rsidRPr="00C06677">
        <w:rPr>
          <w:b/>
          <w:bCs/>
        </w:rPr>
        <w:t>Concluding remarks</w:t>
      </w:r>
    </w:p>
    <w:p w14:paraId="0410B320" w14:textId="5C9E1759" w:rsidR="0010570A" w:rsidRDefault="00B34E38" w:rsidP="0010570A">
      <w:pPr>
        <w:spacing w:line="480" w:lineRule="auto"/>
      </w:pPr>
      <w:r w:rsidRPr="00C06677">
        <w:tab/>
      </w:r>
      <w:r w:rsidR="0010570A">
        <w:t xml:space="preserve">In sum, PVT provides a computational cognitive model of charitable giving.  This model makes precise, point predictions.  As such, only very select patterns of data will fit the predictions.  </w:t>
      </w:r>
      <w:r w:rsidR="00A6673D">
        <w:t>W</w:t>
      </w:r>
      <w:r w:rsidR="0010570A">
        <w:t>e show how PVT provides a quantitative framework for studying the influence of features of interest on charitable giving.  Such a framework should be of some help to researchers interested in understanding how features of interest influence the decision processes associated with charitable giving.</w:t>
      </w:r>
    </w:p>
    <w:p w14:paraId="1C076F28" w14:textId="228CAA0D" w:rsidR="00B34E38" w:rsidRPr="00C06677" w:rsidRDefault="00B34E38" w:rsidP="002D6464">
      <w:pPr>
        <w:spacing w:line="480" w:lineRule="auto"/>
        <w:ind w:firstLine="720"/>
      </w:pPr>
      <w:r w:rsidRPr="00C06677">
        <w:t xml:space="preserve">PVT was originally applied to modelling decision making in classic sacrificial moral dilemmas (Cohen &amp; Ahn, </w:t>
      </w:r>
      <w:r w:rsidR="00CC40D9" w:rsidRPr="00C06677">
        <w:t>2016</w:t>
      </w:r>
      <w:r w:rsidRPr="00C06677">
        <w:t>). The theory was then broaden</w:t>
      </w:r>
      <w:r w:rsidR="00037773" w:rsidRPr="00C06677">
        <w:t>ed</w:t>
      </w:r>
      <w:r w:rsidRPr="00C06677">
        <w:t xml:space="preserve"> to account for </w:t>
      </w:r>
      <w:r w:rsidR="00E628F9">
        <w:t xml:space="preserve">economic </w:t>
      </w:r>
      <w:r w:rsidRPr="00C06677">
        <w:t>decisions (Cohen et al.</w:t>
      </w:r>
      <w:r w:rsidR="00CC40D9" w:rsidRPr="00C06677">
        <w:t>,</w:t>
      </w:r>
      <w:r w:rsidRPr="00C06677">
        <w:t xml:space="preserve"> </w:t>
      </w:r>
      <w:r w:rsidR="001A32B5" w:rsidRPr="00C06677">
        <w:t>202</w:t>
      </w:r>
      <w:r w:rsidR="001A32B5">
        <w:t>2</w:t>
      </w:r>
      <w:r w:rsidRPr="00C06677">
        <w:t xml:space="preserve">). Here we have extended the theory further to show how the same putative processes apparently underpin decisions about charitable giving and </w:t>
      </w:r>
      <w:r w:rsidR="00C44E5F">
        <w:t xml:space="preserve">this theory </w:t>
      </w:r>
      <w:r w:rsidR="00A6673D">
        <w:t>has</w:t>
      </w:r>
      <w:r w:rsidRPr="00C06677">
        <w:t xml:space="preserve"> provided a detailed insight into the reasons behin</w:t>
      </w:r>
      <w:r w:rsidR="00567FEB" w:rsidRPr="00C06677">
        <w:t>d</w:t>
      </w:r>
      <w:r w:rsidRPr="00C06677">
        <w:t xml:space="preserve"> in-group bias.  </w:t>
      </w:r>
    </w:p>
    <w:p w14:paraId="437FD63D" w14:textId="50B1B78E" w:rsidR="004A1EE9" w:rsidRPr="00C06677" w:rsidRDefault="00567FEB" w:rsidP="002414A6">
      <w:pPr>
        <w:spacing w:line="480" w:lineRule="auto"/>
        <w:ind w:firstLine="720"/>
      </w:pPr>
      <w:r w:rsidRPr="00C06677">
        <w:t>By extending the application of PVT in this way we claim that the same general</w:t>
      </w:r>
      <w:r w:rsidR="004E1B53" w:rsidRPr="00C06677">
        <w:t>-</w:t>
      </w:r>
      <w:r w:rsidRPr="00C06677">
        <w:t>purpose decision</w:t>
      </w:r>
      <w:r w:rsidR="004E1B53" w:rsidRPr="00C06677">
        <w:t>-</w:t>
      </w:r>
      <w:r w:rsidRPr="00C06677">
        <w:t xml:space="preserve">making processes underpin preferential judgments in a range of applications </w:t>
      </w:r>
      <w:r w:rsidR="005676D6" w:rsidRPr="00C06677">
        <w:t xml:space="preserve">including </w:t>
      </w:r>
      <w:r w:rsidRPr="00C06677">
        <w:t>charitable giving. We therefore feel that</w:t>
      </w:r>
      <w:r w:rsidR="001E0A26">
        <w:t>,</w:t>
      </w:r>
      <w:r w:rsidRPr="00C06677">
        <w:t xml:space="preserve"> despite arguments to the contrary – that charitable giving implicates special purpose cognitive/neurological mechanisms (Harbaugh</w:t>
      </w:r>
      <w:r w:rsidR="00C7788A">
        <w:t xml:space="preserve"> et al.</w:t>
      </w:r>
      <w:r w:rsidRPr="00C06677">
        <w:t>,</w:t>
      </w:r>
      <w:r w:rsidR="00F10A12" w:rsidRPr="00C06677">
        <w:t xml:space="preserve"> </w:t>
      </w:r>
      <w:r w:rsidR="00F10A12" w:rsidRPr="00C06677">
        <w:fldChar w:fldCharType="begin"/>
      </w:r>
      <w:r w:rsidR="0019503B">
        <w:instrText xml:space="preserve"> ADDIN EN.CITE &lt;EndNote&gt;&lt;Cite&gt;&lt;Author&gt;Harbaugh&lt;/Author&gt;&lt;Year&gt;2007&lt;/Year&gt;&lt;RecNum&gt;2529&lt;/RecNum&gt;&lt;DisplayText&gt;2007&lt;/DisplayText&gt;&lt;record&gt;&lt;rec-number&gt;2529&lt;/rec-number&gt;&lt;foreign-keys&gt;&lt;key app="EN" db-id="w0tztzf0h2dft0eaewxxtpr4exwxf90s525w" timestamp="1659025443" guid="169455c6-031d-4d2f-94b9-944e072d8ad1"&gt;2529&lt;/key&gt;&lt;/foreign-keys&gt;&lt;ref-type name="Journal Article"&gt;17&lt;/ref-type&gt;&lt;contributors&gt;&lt;authors&gt;&lt;author&gt;Harbaugh, W. T&lt;/author&gt;&lt;author&gt;Mayr, U.&lt;/author&gt;&lt;author&gt;Burghart, D. R&lt;/author&gt;&lt;/authors&gt;&lt;/contributors&gt;&lt;titles&gt;&lt;title&gt;Neural responses to taxation and voluntary giving reveal motives for charitable donations&lt;/title&gt;&lt;secondary-title&gt;Science&lt;/secondary-title&gt;&lt;/titles&gt;&lt;periodical&gt;&lt;full-title&gt;Science&lt;/full-title&gt;&lt;abbr-1&gt;Science&lt;/abbr-1&gt;&lt;abbr-2&gt;Science&lt;/abbr-2&gt;&lt;/periodical&gt;&lt;pages&gt;1622-1625&lt;/pages&gt;&lt;volume&gt;316&lt;/volume&gt;&lt;dates&gt;&lt;year&gt;2007&lt;/year&gt;&lt;/dates&gt;&lt;urls&gt;&lt;/urls&gt;&lt;electronic-resource-num&gt;http://dx.doi.org/10.1126/science.1140738&lt;/electronic-resource-num&gt;&lt;/record&gt;&lt;/Cite&gt;&lt;/EndNote&gt;</w:instrText>
      </w:r>
      <w:r w:rsidR="00F10A12" w:rsidRPr="00C06677">
        <w:fldChar w:fldCharType="separate"/>
      </w:r>
      <w:r w:rsidR="00F10A12" w:rsidRPr="00C06677">
        <w:rPr>
          <w:noProof/>
        </w:rPr>
        <w:t>2007</w:t>
      </w:r>
      <w:r w:rsidR="00F10A12" w:rsidRPr="00C06677">
        <w:fldChar w:fldCharType="end"/>
      </w:r>
      <w:r w:rsidR="00F10A12" w:rsidRPr="00C06677">
        <w:t xml:space="preserve">; </w:t>
      </w:r>
      <w:r w:rsidRPr="00C06677">
        <w:rPr>
          <w:color w:val="222222"/>
        </w:rPr>
        <w:t>Hare</w:t>
      </w:r>
      <w:r w:rsidR="00C7788A">
        <w:rPr>
          <w:color w:val="222222"/>
        </w:rPr>
        <w:t xml:space="preserve"> et al., </w:t>
      </w:r>
      <w:r w:rsidRPr="00C06677">
        <w:rPr>
          <w:color w:val="222222"/>
        </w:rPr>
        <w:fldChar w:fldCharType="begin"/>
      </w:r>
      <w:r w:rsidR="0019503B">
        <w:rPr>
          <w:color w:val="222222"/>
        </w:rPr>
        <w:instrText xml:space="preserve"> ADDIN EN.CITE &lt;EndNote&gt;&lt;Cite&gt;&lt;Author&gt;Hare&lt;/Author&gt;&lt;Year&gt;2010&lt;/Year&gt;&lt;RecNum&gt;2387&lt;/RecNum&gt;&lt;DisplayText&gt;2010&lt;/DisplayText&gt;&lt;record&gt;&lt;rec-number&gt;2387&lt;/rec-number&gt;&lt;foreign-keys&gt;&lt;key app="EN" db-id="w0tztzf0h2dft0eaewxxtpr4exwxf90s525w" timestamp="1659025439" guid="4e14e365-94b0-4cdc-af71-8b4ea348fc5a"&gt;2387&lt;/key&gt;&lt;/foreign-keys&gt;&lt;ref-type name="Journal Article"&gt;17&lt;/ref-type&gt;&lt;contributors&gt;&lt;authors&gt;&lt;author&gt;Hare, T. A&lt;/author&gt;&lt;author&gt;Camerer, C. F&lt;/author&gt;&lt;author&gt;Knoepfle, D. T&lt;/author&gt;&lt;author&gt;O’Doherty, J. P&lt;/author&gt;&lt;author&gt;Rangel, A.&lt;/author&gt;&lt;/authors&gt;&lt;/contributors&gt;&lt;titles&gt;&lt;title&gt;Value computations in ventral medial prefrontal cortex during charitable decision making incorporate input from regions involved in social cognition&lt;/title&gt;&lt;secondary-title&gt;Journal of Neuroscience&lt;/secondary-title&gt;&lt;/titles&gt;&lt;periodical&gt;&lt;full-title&gt;Journal of Neuroscience&lt;/full-title&gt;&lt;abbr-1&gt;J. Neurosci.&lt;/abbr-1&gt;&lt;abbr-2&gt;J Neurosci&lt;/abbr-2&gt;&lt;/periodical&gt;&lt;pages&gt;583-590&lt;/pages&gt;&lt;volume&gt;30&lt;/volume&gt;&lt;dates&gt;&lt;year&gt;2010&lt;/year&gt;&lt;/dates&gt;&lt;urls&gt;&lt;/urls&gt;&lt;electronic-resource-num&gt;http://dx.doi.org/10.1523/JNEUROSCI.4089-09.2010&lt;/electronic-resource-num&gt;&lt;/record&gt;&lt;/Cite&gt;&lt;/EndNote&gt;</w:instrText>
      </w:r>
      <w:r w:rsidRPr="00C06677">
        <w:rPr>
          <w:color w:val="222222"/>
        </w:rPr>
        <w:fldChar w:fldCharType="separate"/>
      </w:r>
      <w:r w:rsidRPr="00C06677">
        <w:rPr>
          <w:noProof/>
          <w:color w:val="222222"/>
        </w:rPr>
        <w:t>2010</w:t>
      </w:r>
      <w:r w:rsidRPr="00C06677">
        <w:rPr>
          <w:color w:val="222222"/>
        </w:rPr>
        <w:fldChar w:fldCharType="end"/>
      </w:r>
      <w:r w:rsidRPr="00C06677">
        <w:rPr>
          <w:color w:val="222222"/>
        </w:rPr>
        <w:t>)</w:t>
      </w:r>
      <w:r w:rsidRPr="00C06677">
        <w:t xml:space="preserve"> - the emerging evidence is that the same general purpose mechanisms are theoretically adequate. We do not claim that the current evidence is incontrovertible</w:t>
      </w:r>
      <w:r w:rsidR="005676D6" w:rsidRPr="00C06677">
        <w:t>,</w:t>
      </w:r>
      <w:r w:rsidRPr="00C06677">
        <w:t xml:space="preserve"> but in the absence of alternative computational accounts</w:t>
      </w:r>
      <w:r w:rsidR="005676D6" w:rsidRPr="00C06677">
        <w:t>,</w:t>
      </w:r>
      <w:r w:rsidRPr="00C06677">
        <w:t xml:space="preserve"> we feel that PVT has garnered strong support. Without the level of specification and predictive precision that such models provide</w:t>
      </w:r>
      <w:r w:rsidR="00CC40D9" w:rsidRPr="00C06677">
        <w:t>,</w:t>
      </w:r>
      <w:r w:rsidRPr="00C06677">
        <w:t xml:space="preserve"> it is impossible to adjudicate between putative competing accounts</w:t>
      </w:r>
      <w:r w:rsidR="00CC7815" w:rsidRPr="00C06677">
        <w:t xml:space="preserve"> of cognitive processes.</w:t>
      </w:r>
      <w:r w:rsidR="001E0A26">
        <w:t xml:space="preserve"> </w:t>
      </w:r>
      <w:r w:rsidR="004A1EE9" w:rsidRPr="00C06677">
        <w:br w:type="page"/>
      </w:r>
    </w:p>
    <w:p w14:paraId="0A188B2E" w14:textId="77777777" w:rsidR="00B75834" w:rsidRPr="00C06677" w:rsidRDefault="00B75834" w:rsidP="00C44E5F">
      <w:pPr>
        <w:spacing w:line="480" w:lineRule="auto"/>
        <w:jc w:val="center"/>
      </w:pPr>
      <w:r w:rsidRPr="00C06677">
        <w:lastRenderedPageBreak/>
        <w:t>Open Practices Statement</w:t>
      </w:r>
    </w:p>
    <w:p w14:paraId="6AA02A4B" w14:textId="27924306" w:rsidR="00B75834" w:rsidRPr="00C06677" w:rsidRDefault="00B75834" w:rsidP="009E7FC8">
      <w:pPr>
        <w:spacing w:line="480" w:lineRule="auto"/>
      </w:pPr>
      <w:r w:rsidRPr="00C06677">
        <w:t>The data and R code for the analysis of Experiments 1</w:t>
      </w:r>
      <w:r w:rsidR="00FD6603">
        <w:t>-</w:t>
      </w:r>
      <w:r w:rsidR="00373025">
        <w:t>5</w:t>
      </w:r>
      <w:r w:rsidR="00373025" w:rsidRPr="00C06677">
        <w:t xml:space="preserve"> </w:t>
      </w:r>
      <w:r w:rsidRPr="00C06677">
        <w:t>can be downloaded at:</w:t>
      </w:r>
      <w:r w:rsidRPr="00C06677">
        <w:br/>
      </w:r>
      <w:hyperlink r:id="rId32" w:history="1">
        <w:r w:rsidR="00776795" w:rsidRPr="00C06677">
          <w:rPr>
            <w:rStyle w:val="Hyperlink"/>
          </w:rPr>
          <w:t>https://github.com/ccpluncw/ccpl_data_PVTcharity2021.git</w:t>
        </w:r>
      </w:hyperlink>
    </w:p>
    <w:p w14:paraId="3FAB5431" w14:textId="7EC8D749" w:rsidR="00776795" w:rsidRPr="00C06677" w:rsidRDefault="00776795" w:rsidP="009E7FC8">
      <w:pPr>
        <w:spacing w:line="480" w:lineRule="auto"/>
      </w:pPr>
    </w:p>
    <w:p w14:paraId="1FC752C8" w14:textId="01C9044A" w:rsidR="00776795" w:rsidRPr="00C06677" w:rsidRDefault="00776795" w:rsidP="009E7FC8">
      <w:pPr>
        <w:spacing w:line="480" w:lineRule="auto"/>
      </w:pPr>
      <w:r w:rsidRPr="00C06677">
        <w:t>The analyses of Experiments 1-</w:t>
      </w:r>
      <w:r w:rsidR="00373025">
        <w:t>5</w:t>
      </w:r>
      <w:r w:rsidR="00373025" w:rsidRPr="00C06677">
        <w:t xml:space="preserve"> </w:t>
      </w:r>
      <w:r w:rsidRPr="00C06677">
        <w:t>rely on five R packages written by the first author.  These packages can be retrieved from Github at the following URLs:</w:t>
      </w:r>
    </w:p>
    <w:p w14:paraId="3CBF959A" w14:textId="77777777" w:rsidR="00776795" w:rsidRPr="00C06677" w:rsidRDefault="00776795" w:rsidP="009E7FC8">
      <w:pPr>
        <w:spacing w:line="480" w:lineRule="auto"/>
      </w:pPr>
    </w:p>
    <w:p w14:paraId="1CDB11B6" w14:textId="77777777" w:rsidR="00776795" w:rsidRPr="00C06677" w:rsidRDefault="00776795" w:rsidP="009E7FC8">
      <w:pPr>
        <w:spacing w:line="480" w:lineRule="auto"/>
      </w:pPr>
      <w:r w:rsidRPr="00C06677">
        <w:t>https://github.com/ccpluncw/ccpl_R_chutils</w:t>
      </w:r>
    </w:p>
    <w:p w14:paraId="1B4321A6" w14:textId="77777777" w:rsidR="00776795" w:rsidRPr="00C06677" w:rsidRDefault="00776795" w:rsidP="009E7FC8">
      <w:pPr>
        <w:spacing w:line="480" w:lineRule="auto"/>
      </w:pPr>
      <w:r w:rsidRPr="00C06677">
        <w:t>https://github.com/ccpluncw/ccpl_R_chValues</w:t>
      </w:r>
    </w:p>
    <w:p w14:paraId="796EAF6C" w14:textId="77777777" w:rsidR="00776795" w:rsidRPr="00C06677" w:rsidRDefault="00776795" w:rsidP="009E7FC8">
      <w:pPr>
        <w:spacing w:line="480" w:lineRule="auto"/>
      </w:pPr>
      <w:r w:rsidRPr="00C06677">
        <w:t>https://github.com/ccpluncw/ccpl_R_chMorals</w:t>
      </w:r>
    </w:p>
    <w:p w14:paraId="264CC570" w14:textId="77777777" w:rsidR="00776795" w:rsidRPr="00C06677" w:rsidRDefault="00776795" w:rsidP="009E7FC8">
      <w:pPr>
        <w:spacing w:line="480" w:lineRule="auto"/>
      </w:pPr>
      <w:r w:rsidRPr="00C06677">
        <w:t>https://github.com/ccpluncw/ccpl_R_RRW</w:t>
      </w:r>
    </w:p>
    <w:p w14:paraId="10395250" w14:textId="0686E0BD" w:rsidR="00776795" w:rsidRPr="00C06677" w:rsidRDefault="00000000" w:rsidP="009E7FC8">
      <w:pPr>
        <w:spacing w:line="480" w:lineRule="auto"/>
      </w:pPr>
      <w:hyperlink r:id="rId33" w:history="1">
        <w:r w:rsidR="00776795" w:rsidRPr="00C06677">
          <w:rPr>
            <w:rStyle w:val="Hyperlink"/>
          </w:rPr>
          <w:t>https://github.com/ccpluncw/ccpl_R_smartGridSearch</w:t>
        </w:r>
      </w:hyperlink>
    </w:p>
    <w:p w14:paraId="7F686B27" w14:textId="77777777" w:rsidR="00776795" w:rsidRPr="00C06677" w:rsidRDefault="00776795" w:rsidP="009E7FC8">
      <w:pPr>
        <w:spacing w:line="480" w:lineRule="auto"/>
      </w:pPr>
    </w:p>
    <w:p w14:paraId="1D835D22" w14:textId="1BFD40D4" w:rsidR="00B75834" w:rsidRPr="00C06677" w:rsidRDefault="00776795" w:rsidP="009E7FC8">
      <w:pPr>
        <w:spacing w:line="480" w:lineRule="auto"/>
      </w:pPr>
      <w:r w:rsidRPr="00C06677">
        <w:t xml:space="preserve">These packages are continuously updated. The most recent analyses for the current manuscript were conducted in June, 2021. </w:t>
      </w:r>
    </w:p>
    <w:p w14:paraId="751B2E95" w14:textId="77777777" w:rsidR="00776795" w:rsidRPr="00C06677" w:rsidRDefault="00776795" w:rsidP="009E7FC8">
      <w:pPr>
        <w:spacing w:line="480" w:lineRule="auto"/>
      </w:pPr>
    </w:p>
    <w:p w14:paraId="5398ABAE" w14:textId="77777777" w:rsidR="00B75834" w:rsidRPr="00C06677" w:rsidRDefault="00B75834" w:rsidP="009E7FC8">
      <w:pPr>
        <w:spacing w:line="480" w:lineRule="auto"/>
      </w:pPr>
      <w:r w:rsidRPr="00C06677">
        <w:t xml:space="preserve">Please cite this article if data is used in any way to produce a publication. These data cannot be used without the first author’s consent for any for profit endeavor. </w:t>
      </w:r>
    </w:p>
    <w:p w14:paraId="22FF133F" w14:textId="77777777" w:rsidR="00B75834" w:rsidRPr="00C06677" w:rsidRDefault="00B75834" w:rsidP="009E7FC8">
      <w:pPr>
        <w:spacing w:line="480" w:lineRule="auto"/>
      </w:pPr>
    </w:p>
    <w:p w14:paraId="2E9213FB" w14:textId="1C615609" w:rsidR="00B75834" w:rsidRPr="00C06677" w:rsidRDefault="00B75834" w:rsidP="009E7FC8">
      <w:pPr>
        <w:spacing w:line="480" w:lineRule="auto"/>
      </w:pPr>
      <w:r w:rsidRPr="00C06677">
        <w:t>The experimental presentation code is proprietary and is not open sourced. These experiments were not pre-registered.</w:t>
      </w:r>
    </w:p>
    <w:p w14:paraId="17FAEA3C" w14:textId="77777777" w:rsidR="00776795" w:rsidRPr="00C06677" w:rsidRDefault="00776795" w:rsidP="009E7FC8">
      <w:pPr>
        <w:spacing w:line="480" w:lineRule="auto"/>
      </w:pPr>
    </w:p>
    <w:p w14:paraId="70BD971A" w14:textId="77777777" w:rsidR="00776795" w:rsidRPr="00C06677" w:rsidRDefault="00776795" w:rsidP="00C44E5F">
      <w:pPr>
        <w:spacing w:line="480" w:lineRule="auto"/>
      </w:pPr>
    </w:p>
    <w:p w14:paraId="05B0E5A0" w14:textId="77777777" w:rsidR="00AA59EB" w:rsidRPr="00C06677" w:rsidRDefault="00AA59EB" w:rsidP="00C44E5F">
      <w:pPr>
        <w:spacing w:line="480" w:lineRule="auto"/>
      </w:pPr>
    </w:p>
    <w:p w14:paraId="1C80891B" w14:textId="77777777" w:rsidR="00B75834" w:rsidRPr="00C06677" w:rsidRDefault="00B75834">
      <w:pPr>
        <w:rPr>
          <w:b/>
          <w:bCs/>
        </w:rPr>
      </w:pPr>
      <w:r w:rsidRPr="00C06677">
        <w:rPr>
          <w:b/>
          <w:bCs/>
        </w:rPr>
        <w:br w:type="page"/>
      </w:r>
    </w:p>
    <w:p w14:paraId="4FDCC901" w14:textId="7DAACCD2" w:rsidR="00AA59EB" w:rsidRPr="00C06677" w:rsidRDefault="00AA59EB" w:rsidP="001F3B67">
      <w:pPr>
        <w:spacing w:line="480" w:lineRule="auto"/>
        <w:jc w:val="center"/>
        <w:rPr>
          <w:color w:val="000000" w:themeColor="text1"/>
        </w:rPr>
      </w:pPr>
      <w:r w:rsidRPr="00C06677">
        <w:rPr>
          <w:b/>
          <w:bCs/>
        </w:rPr>
        <w:lastRenderedPageBreak/>
        <w:t>References</w:t>
      </w:r>
    </w:p>
    <w:p w14:paraId="60A6D1E5" w14:textId="343DFFF0" w:rsidR="00C42417" w:rsidRPr="00C42417" w:rsidRDefault="00AA59EB" w:rsidP="009E7FC8">
      <w:pPr>
        <w:pStyle w:val="EndNoteBibliography"/>
        <w:spacing w:line="480" w:lineRule="auto"/>
        <w:ind w:left="720" w:hanging="720"/>
        <w:rPr>
          <w:noProof/>
        </w:rPr>
      </w:pPr>
      <w:r w:rsidRPr="00C44E5F">
        <w:rPr>
          <w:color w:val="000000" w:themeColor="text1"/>
        </w:rPr>
        <w:fldChar w:fldCharType="begin"/>
      </w:r>
      <w:r w:rsidRPr="00C44E5F">
        <w:rPr>
          <w:color w:val="000000" w:themeColor="text1"/>
        </w:rPr>
        <w:instrText xml:space="preserve"> ADDIN EN.REFLIST </w:instrText>
      </w:r>
      <w:r w:rsidRPr="00C44E5F">
        <w:rPr>
          <w:color w:val="000000" w:themeColor="text1"/>
        </w:rPr>
        <w:fldChar w:fldCharType="separate"/>
      </w:r>
      <w:r w:rsidR="00C42417" w:rsidRPr="00C42417">
        <w:rPr>
          <w:noProof/>
        </w:rPr>
        <w:t xml:space="preserve">Andreoni, J. (1990). Impure altruism and donations to public goods: a theory of warm-glow giving. </w:t>
      </w:r>
      <w:r w:rsidR="00C42417" w:rsidRPr="00C42417">
        <w:rPr>
          <w:i/>
          <w:noProof/>
        </w:rPr>
        <w:t>The Economic Journal, 100</w:t>
      </w:r>
      <w:r w:rsidR="00C42417" w:rsidRPr="00C42417">
        <w:rPr>
          <w:noProof/>
        </w:rPr>
        <w:t xml:space="preserve">, 464–477. doi: </w:t>
      </w:r>
      <w:hyperlink r:id="rId34" w:history="1">
        <w:r w:rsidR="00C42417" w:rsidRPr="00C42417">
          <w:rPr>
            <w:rStyle w:val="Hyperlink"/>
            <w:noProof/>
          </w:rPr>
          <w:t>https://doi.org/10.2307/2234133</w:t>
        </w:r>
      </w:hyperlink>
    </w:p>
    <w:p w14:paraId="016918E4" w14:textId="77777777" w:rsidR="00C42417" w:rsidRPr="00C42417" w:rsidRDefault="00C42417" w:rsidP="009E7FC8">
      <w:pPr>
        <w:pStyle w:val="EndNoteBibliography"/>
        <w:spacing w:line="480" w:lineRule="auto"/>
        <w:ind w:left="720" w:hanging="720"/>
        <w:rPr>
          <w:noProof/>
        </w:rPr>
      </w:pPr>
      <w:r w:rsidRPr="00C42417">
        <w:rPr>
          <w:noProof/>
        </w:rPr>
        <w:t xml:space="preserve">Andreoni, J., Harbaugh, W. T., &amp; Vesterlund, L. (2010). Altruism in experiments </w:t>
      </w:r>
      <w:r w:rsidRPr="00C42417">
        <w:rPr>
          <w:i/>
          <w:noProof/>
        </w:rPr>
        <w:t>Behavioural and experimental economics</w:t>
      </w:r>
      <w:r w:rsidRPr="00C42417">
        <w:rPr>
          <w:noProof/>
        </w:rPr>
        <w:t xml:space="preserve"> (pp. 6-13). London, UK: Palgrave Macmillan.</w:t>
      </w:r>
    </w:p>
    <w:p w14:paraId="6C410304" w14:textId="12D9343E" w:rsidR="00C42417" w:rsidRPr="00C42417" w:rsidRDefault="00C42417" w:rsidP="009E7FC8">
      <w:pPr>
        <w:pStyle w:val="EndNoteBibliography"/>
        <w:spacing w:line="480" w:lineRule="auto"/>
        <w:ind w:left="720" w:hanging="720"/>
        <w:rPr>
          <w:noProof/>
        </w:rPr>
      </w:pPr>
      <w:r w:rsidRPr="00C42417">
        <w:rPr>
          <w:noProof/>
        </w:rPr>
        <w:t xml:space="preserve">Andreoni, J., &amp; Miller, J. H. (2002). Giving according to GARP: an experimental test of the consistency of preferences for altruism. </w:t>
      </w:r>
      <w:r w:rsidRPr="00C42417">
        <w:rPr>
          <w:i/>
          <w:noProof/>
        </w:rPr>
        <w:t>Econometrica, 70</w:t>
      </w:r>
      <w:r w:rsidRPr="00C42417">
        <w:rPr>
          <w:noProof/>
        </w:rPr>
        <w:t xml:space="preserve">, 737-753. doi: </w:t>
      </w:r>
      <w:hyperlink r:id="rId35" w:history="1">
        <w:r w:rsidRPr="00C42417">
          <w:rPr>
            <w:rStyle w:val="Hyperlink"/>
            <w:noProof/>
          </w:rPr>
          <w:t>http://dx.doi.org/10.1111/1468-0262.00302</w:t>
        </w:r>
      </w:hyperlink>
    </w:p>
    <w:p w14:paraId="495EE07F" w14:textId="1D25AAB9" w:rsidR="00C42417" w:rsidRPr="00C42417" w:rsidRDefault="00C42417" w:rsidP="009E7FC8">
      <w:pPr>
        <w:pStyle w:val="EndNoteBibliography"/>
        <w:spacing w:line="480" w:lineRule="auto"/>
        <w:ind w:left="720" w:hanging="720"/>
        <w:rPr>
          <w:noProof/>
        </w:rPr>
      </w:pPr>
      <w:r w:rsidRPr="00C42417">
        <w:rPr>
          <w:noProof/>
        </w:rPr>
        <w:t xml:space="preserve">Ashby, F. G., Jekel, M., Dickert, S., &amp; Glöckner, A. (2016). Finding the right fit: A comparison of process assumptions underlying popular drift-diffusion models. </w:t>
      </w:r>
      <w:r w:rsidRPr="00C42417">
        <w:rPr>
          <w:i/>
          <w:noProof/>
        </w:rPr>
        <w:t>Journal of Experimental Psychology: Learning, Memory, and Cognition, 42</w:t>
      </w:r>
      <w:r w:rsidRPr="00C42417">
        <w:rPr>
          <w:noProof/>
        </w:rPr>
        <w:t xml:space="preserve">, 19821993. doi: </w:t>
      </w:r>
      <w:hyperlink r:id="rId36" w:history="1">
        <w:r w:rsidRPr="00C42417">
          <w:rPr>
            <w:rStyle w:val="Hyperlink"/>
            <w:noProof/>
          </w:rPr>
          <w:t>http://dx.doi.org/10.1037/xlm0000279</w:t>
        </w:r>
      </w:hyperlink>
    </w:p>
    <w:p w14:paraId="3792A65A" w14:textId="51E3DFA2" w:rsidR="00C42417" w:rsidRPr="00C42417" w:rsidRDefault="00C42417" w:rsidP="009E7FC8">
      <w:pPr>
        <w:pStyle w:val="EndNoteBibliography"/>
        <w:spacing w:line="480" w:lineRule="auto"/>
        <w:ind w:left="720" w:hanging="720"/>
        <w:rPr>
          <w:noProof/>
        </w:rPr>
      </w:pPr>
      <w:r w:rsidRPr="00C42417">
        <w:rPr>
          <w:noProof/>
        </w:rPr>
        <w:t xml:space="preserve">Ashby, F. G., &amp; Lee, W. W. (1993). Perceptual variability as a fundamental axiom of perceptual science. </w:t>
      </w:r>
      <w:r w:rsidRPr="00C42417">
        <w:rPr>
          <w:i/>
          <w:noProof/>
        </w:rPr>
        <w:t>Advances in psychology, 99</w:t>
      </w:r>
      <w:r w:rsidRPr="00C42417">
        <w:rPr>
          <w:noProof/>
        </w:rPr>
        <w:t xml:space="preserve">, 369-399. doi: </w:t>
      </w:r>
      <w:hyperlink r:id="rId37" w:history="1">
        <w:r w:rsidRPr="00C42417">
          <w:rPr>
            <w:rStyle w:val="Hyperlink"/>
            <w:noProof/>
          </w:rPr>
          <w:t>http://dx.doi.org/10.1016/S0166-4115(08)62778-8</w:t>
        </w:r>
      </w:hyperlink>
    </w:p>
    <w:p w14:paraId="5C4CD136" w14:textId="5C8C6FC2" w:rsidR="00C42417" w:rsidRPr="00C42417" w:rsidRDefault="00C42417" w:rsidP="009E7FC8">
      <w:pPr>
        <w:pStyle w:val="EndNoteBibliography"/>
        <w:spacing w:line="480" w:lineRule="auto"/>
        <w:ind w:left="720" w:hanging="720"/>
        <w:rPr>
          <w:noProof/>
        </w:rPr>
      </w:pPr>
      <w:r w:rsidRPr="00C42417">
        <w:rPr>
          <w:noProof/>
        </w:rPr>
        <w:t xml:space="preserve">Balakrishnan, J. D., &amp; Ratcliff, R. (1996). Testing models of decision making under confidence ratings in classification. </w:t>
      </w:r>
      <w:r w:rsidRPr="00C42417">
        <w:rPr>
          <w:i/>
          <w:noProof/>
        </w:rPr>
        <w:t>Journal of Experimental Psychology: Human Perception and Performance, 22</w:t>
      </w:r>
      <w:r w:rsidRPr="00C42417">
        <w:rPr>
          <w:noProof/>
        </w:rPr>
        <w:t xml:space="preserve">, 615-633. doi: </w:t>
      </w:r>
      <w:hyperlink r:id="rId38" w:history="1">
        <w:r w:rsidRPr="00C42417">
          <w:rPr>
            <w:rStyle w:val="Hyperlink"/>
            <w:noProof/>
          </w:rPr>
          <w:t>http://dx.doi.org/10.1037/0096-1523.22.3.615</w:t>
        </w:r>
      </w:hyperlink>
    </w:p>
    <w:p w14:paraId="2C5C11D2" w14:textId="032B009C" w:rsidR="00C42417" w:rsidRPr="00C42417" w:rsidRDefault="00C42417" w:rsidP="009E7FC8">
      <w:pPr>
        <w:pStyle w:val="EndNoteBibliography"/>
        <w:spacing w:line="480" w:lineRule="auto"/>
        <w:ind w:left="720" w:hanging="720"/>
        <w:rPr>
          <w:noProof/>
        </w:rPr>
      </w:pPr>
      <w:r w:rsidRPr="00C42417">
        <w:rPr>
          <w:noProof/>
        </w:rPr>
        <w:t xml:space="preserve">Barberis, N. C. (2013). Thirty years of prospect theory in economics: A review and assessment. </w:t>
      </w:r>
      <w:r w:rsidRPr="00C42417">
        <w:rPr>
          <w:i/>
          <w:noProof/>
        </w:rPr>
        <w:t>Journal of Economic Perspectives, 27</w:t>
      </w:r>
      <w:r w:rsidRPr="00C42417">
        <w:rPr>
          <w:noProof/>
        </w:rPr>
        <w:t xml:space="preserve">, 173-196. doi: </w:t>
      </w:r>
      <w:hyperlink r:id="rId39" w:history="1">
        <w:r w:rsidRPr="00C42417">
          <w:rPr>
            <w:rStyle w:val="Hyperlink"/>
            <w:noProof/>
          </w:rPr>
          <w:t>https://doi.org/10.1257/jep.27.1.173</w:t>
        </w:r>
      </w:hyperlink>
    </w:p>
    <w:p w14:paraId="550A612D" w14:textId="7DFE8DCD" w:rsidR="00C42417" w:rsidRPr="00C42417" w:rsidRDefault="00C42417" w:rsidP="009E7FC8">
      <w:pPr>
        <w:pStyle w:val="EndNoteBibliography"/>
        <w:spacing w:line="480" w:lineRule="auto"/>
        <w:ind w:left="720" w:hanging="720"/>
        <w:rPr>
          <w:noProof/>
        </w:rPr>
      </w:pPr>
      <w:r w:rsidRPr="00C42417">
        <w:rPr>
          <w:noProof/>
        </w:rPr>
        <w:t xml:space="preserve">Bekkers, R., &amp; Weipking, P. (2011). A literature review of empirical studies of philanthropy: Eight mechanisms that drive charitable giving. </w:t>
      </w:r>
      <w:r w:rsidRPr="00C42417">
        <w:rPr>
          <w:i/>
          <w:noProof/>
        </w:rPr>
        <w:t>Nonprofit and Voluntary Sector Quarterly, 40</w:t>
      </w:r>
      <w:r w:rsidRPr="00C42417">
        <w:rPr>
          <w:noProof/>
        </w:rPr>
        <w:t xml:space="preserve">, 924-973. doi: </w:t>
      </w:r>
      <w:hyperlink r:id="rId40" w:history="1">
        <w:r w:rsidRPr="00C42417">
          <w:rPr>
            <w:rStyle w:val="Hyperlink"/>
            <w:noProof/>
          </w:rPr>
          <w:t>http://dx.doi.org/10.1</w:t>
        </w:r>
      </w:hyperlink>
      <w:r w:rsidRPr="00C42417">
        <w:rPr>
          <w:noProof/>
        </w:rPr>
        <w:t xml:space="preserve"> 177/0899764010380927</w:t>
      </w:r>
    </w:p>
    <w:p w14:paraId="121E8279" w14:textId="256253C2" w:rsidR="00C42417" w:rsidRPr="00C42417" w:rsidRDefault="00C42417" w:rsidP="009E7FC8">
      <w:pPr>
        <w:pStyle w:val="EndNoteBibliography"/>
        <w:spacing w:line="480" w:lineRule="auto"/>
        <w:ind w:left="720" w:hanging="720"/>
        <w:rPr>
          <w:noProof/>
        </w:rPr>
      </w:pPr>
      <w:r w:rsidRPr="00C42417">
        <w:rPr>
          <w:noProof/>
        </w:rPr>
        <w:lastRenderedPageBreak/>
        <w:t xml:space="preserve">Billig, M., &amp; Tajfel, H. (1973). Social categorization and similarity in intergroup behaviour. </w:t>
      </w:r>
      <w:r w:rsidRPr="00C42417">
        <w:rPr>
          <w:i/>
          <w:noProof/>
        </w:rPr>
        <w:t>European Journal of Social Psychology, 3</w:t>
      </w:r>
      <w:r w:rsidRPr="00C42417">
        <w:rPr>
          <w:noProof/>
        </w:rPr>
        <w:t xml:space="preserve">, 27-52. doi: </w:t>
      </w:r>
      <w:hyperlink r:id="rId41" w:history="1">
        <w:r w:rsidRPr="00C42417">
          <w:rPr>
            <w:rStyle w:val="Hyperlink"/>
            <w:noProof/>
          </w:rPr>
          <w:t>https://doi.org/10.1002/ejsp.2420030103</w:t>
        </w:r>
      </w:hyperlink>
    </w:p>
    <w:p w14:paraId="68B52F81" w14:textId="188C6858" w:rsidR="00C42417" w:rsidRPr="00C42417" w:rsidRDefault="00C42417" w:rsidP="009E7FC8">
      <w:pPr>
        <w:pStyle w:val="EndNoteBibliography"/>
        <w:spacing w:line="480" w:lineRule="auto"/>
        <w:ind w:left="720" w:hanging="720"/>
        <w:rPr>
          <w:noProof/>
        </w:rPr>
      </w:pPr>
      <w:r w:rsidRPr="00C42417">
        <w:rPr>
          <w:noProof/>
        </w:rPr>
        <w:t xml:space="preserve">Brewer, M. B. (1979). In-group bias in the minimal intergroup situation: A cognitive-motivational analysis. </w:t>
      </w:r>
      <w:r w:rsidRPr="00C42417">
        <w:rPr>
          <w:i/>
          <w:noProof/>
        </w:rPr>
        <w:t>Psychological Bulletin, 86</w:t>
      </w:r>
      <w:r w:rsidRPr="00C42417">
        <w:rPr>
          <w:noProof/>
        </w:rPr>
        <w:t xml:space="preserve">, 307-324. doi: </w:t>
      </w:r>
      <w:hyperlink r:id="rId42" w:history="1">
        <w:r w:rsidRPr="00C42417">
          <w:rPr>
            <w:rStyle w:val="Hyperlink"/>
            <w:noProof/>
          </w:rPr>
          <w:t>https://doi.org/10.1037/0033-2909.86.2.307</w:t>
        </w:r>
      </w:hyperlink>
    </w:p>
    <w:p w14:paraId="44C05197" w14:textId="3010B075" w:rsidR="00C42417" w:rsidRPr="00C42417" w:rsidRDefault="00C42417" w:rsidP="009E7FC8">
      <w:pPr>
        <w:pStyle w:val="EndNoteBibliography"/>
        <w:spacing w:line="480" w:lineRule="auto"/>
        <w:ind w:left="720" w:hanging="720"/>
        <w:rPr>
          <w:noProof/>
        </w:rPr>
      </w:pPr>
      <w:r w:rsidRPr="00C42417">
        <w:rPr>
          <w:noProof/>
        </w:rPr>
        <w:t xml:space="preserve">Busemeyer, J. R., Gluth, S., Rieskamp, J., &amp; Turner, B. M. (2019). Cognitive and neural bases of multi-attribute, multi-alternative, value-based decisions. </w:t>
      </w:r>
      <w:r w:rsidRPr="00C42417">
        <w:rPr>
          <w:i/>
          <w:noProof/>
        </w:rPr>
        <w:t>Trends in Cognitive Sciences, 23</w:t>
      </w:r>
      <w:r w:rsidRPr="00C42417">
        <w:rPr>
          <w:noProof/>
        </w:rPr>
        <w:t xml:space="preserve">, 251-263. doi: </w:t>
      </w:r>
      <w:hyperlink r:id="rId43" w:history="1">
        <w:r w:rsidRPr="00C42417">
          <w:rPr>
            <w:rStyle w:val="Hyperlink"/>
            <w:noProof/>
          </w:rPr>
          <w:t>https://doi.org/10.1016/j.tics.2018.12.003</w:t>
        </w:r>
      </w:hyperlink>
    </w:p>
    <w:p w14:paraId="3316E076" w14:textId="22712C48" w:rsidR="00C42417" w:rsidRPr="00C42417" w:rsidRDefault="00C42417" w:rsidP="009E7FC8">
      <w:pPr>
        <w:pStyle w:val="EndNoteBibliography"/>
        <w:spacing w:line="480" w:lineRule="auto"/>
        <w:ind w:left="720" w:hanging="720"/>
        <w:rPr>
          <w:noProof/>
        </w:rPr>
      </w:pPr>
      <w:r w:rsidRPr="00C42417">
        <w:rPr>
          <w:noProof/>
        </w:rPr>
        <w:t xml:space="preserve">Busemeyer, J. R., &amp; Townsend, J. T. (1993). Decision field theory: a dynamic-cognitive approach to decision making in an uncertain environment. </w:t>
      </w:r>
      <w:r w:rsidRPr="00C42417">
        <w:rPr>
          <w:i/>
          <w:noProof/>
        </w:rPr>
        <w:t>Psychological Review, 100</w:t>
      </w:r>
      <w:r w:rsidRPr="00C42417">
        <w:rPr>
          <w:noProof/>
        </w:rPr>
        <w:t xml:space="preserve">, 432-459. doi: </w:t>
      </w:r>
      <w:hyperlink r:id="rId44" w:history="1">
        <w:r w:rsidRPr="00C42417">
          <w:rPr>
            <w:rStyle w:val="Hyperlink"/>
            <w:noProof/>
          </w:rPr>
          <w:t>http://dx.doi.org/10.1037/0033-295X.100.3.432</w:t>
        </w:r>
      </w:hyperlink>
    </w:p>
    <w:p w14:paraId="1DA87AB9" w14:textId="321A2715" w:rsidR="00C42417" w:rsidRPr="00C42417" w:rsidRDefault="00C42417" w:rsidP="009E7FC8">
      <w:pPr>
        <w:pStyle w:val="EndNoteBibliography"/>
        <w:spacing w:line="480" w:lineRule="auto"/>
        <w:ind w:left="720" w:hanging="720"/>
        <w:rPr>
          <w:noProof/>
        </w:rPr>
      </w:pPr>
      <w:r w:rsidRPr="00C42417">
        <w:rPr>
          <w:noProof/>
        </w:rPr>
        <w:t xml:space="preserve">Carmichael, S. T. (2016). Emergent properties of neural repair: elemental biology to therapeutic concepts. </w:t>
      </w:r>
      <w:r w:rsidRPr="00C42417">
        <w:rPr>
          <w:i/>
          <w:noProof/>
        </w:rPr>
        <w:t>Annals of Neurology, 79</w:t>
      </w:r>
      <w:r w:rsidRPr="00C42417">
        <w:rPr>
          <w:noProof/>
        </w:rPr>
        <w:t xml:space="preserve">, 895-906. doi: </w:t>
      </w:r>
      <w:hyperlink r:id="rId45" w:history="1">
        <w:r w:rsidRPr="00C42417">
          <w:rPr>
            <w:rStyle w:val="Hyperlink"/>
            <w:noProof/>
          </w:rPr>
          <w:t>http://dx.doi.org/10.1002/ana.24653</w:t>
        </w:r>
      </w:hyperlink>
    </w:p>
    <w:p w14:paraId="0CC7B3C8" w14:textId="44343425" w:rsidR="00C42417" w:rsidRPr="00C42417" w:rsidRDefault="00C42417" w:rsidP="009E7FC8">
      <w:pPr>
        <w:pStyle w:val="EndNoteBibliography"/>
        <w:spacing w:line="480" w:lineRule="auto"/>
        <w:ind w:left="720" w:hanging="720"/>
        <w:rPr>
          <w:noProof/>
        </w:rPr>
      </w:pPr>
      <w:r w:rsidRPr="00C42417">
        <w:rPr>
          <w:noProof/>
        </w:rPr>
        <w:t xml:space="preserve">Chen, F., &amp; Krajbich, I. (2018). Biased sequential sampling underlies the effects of time pressure and delay in social decision making. </w:t>
      </w:r>
      <w:r w:rsidRPr="00C42417">
        <w:rPr>
          <w:i/>
          <w:noProof/>
        </w:rPr>
        <w:t>Nature Communications, 9</w:t>
      </w:r>
      <w:r w:rsidRPr="00C42417">
        <w:rPr>
          <w:noProof/>
        </w:rPr>
        <w:t xml:space="preserve">, 3557. doi: </w:t>
      </w:r>
      <w:hyperlink r:id="rId46" w:history="1">
        <w:r w:rsidRPr="00C42417">
          <w:rPr>
            <w:rStyle w:val="Hyperlink"/>
            <w:noProof/>
          </w:rPr>
          <w:t>http://dx.doi.org/10.1038/s41467-018-05994-9</w:t>
        </w:r>
      </w:hyperlink>
    </w:p>
    <w:p w14:paraId="36E75E06" w14:textId="1E3C072D" w:rsidR="00C42417" w:rsidRPr="00C42417" w:rsidRDefault="00C42417" w:rsidP="009E7FC8">
      <w:pPr>
        <w:pStyle w:val="EndNoteBibliography"/>
        <w:spacing w:line="480" w:lineRule="auto"/>
        <w:ind w:left="720" w:hanging="720"/>
        <w:rPr>
          <w:noProof/>
        </w:rPr>
      </w:pPr>
      <w:r w:rsidRPr="00C42417">
        <w:rPr>
          <w:noProof/>
        </w:rPr>
        <w:t xml:space="preserve">Chibb, V. S., Rangel, A., Shimojo, S., &amp; O’Doherty, J. P. (2009). Evidence for a common representation of decision values for dissimilar goods in human ventromedial prefrontal cortex. </w:t>
      </w:r>
      <w:r w:rsidRPr="00C42417">
        <w:rPr>
          <w:i/>
          <w:noProof/>
        </w:rPr>
        <w:t>Journal of Neuroscience, 29</w:t>
      </w:r>
      <w:r w:rsidRPr="00C42417">
        <w:rPr>
          <w:noProof/>
        </w:rPr>
        <w:t xml:space="preserve">, 12315-12320. doi: </w:t>
      </w:r>
      <w:hyperlink r:id="rId47" w:history="1">
        <w:r w:rsidRPr="00C42417">
          <w:rPr>
            <w:rStyle w:val="Hyperlink"/>
            <w:noProof/>
          </w:rPr>
          <w:t>https://doi.org/10.1523/JNEUROSCI.2575-09.2009</w:t>
        </w:r>
      </w:hyperlink>
    </w:p>
    <w:p w14:paraId="65521203" w14:textId="4C545380" w:rsidR="00C42417" w:rsidRPr="00C42417" w:rsidRDefault="00C42417" w:rsidP="009E7FC8">
      <w:pPr>
        <w:pStyle w:val="EndNoteBibliography"/>
        <w:spacing w:line="480" w:lineRule="auto"/>
        <w:ind w:left="720" w:hanging="720"/>
        <w:rPr>
          <w:noProof/>
        </w:rPr>
      </w:pPr>
      <w:r w:rsidRPr="00C42417">
        <w:rPr>
          <w:noProof/>
        </w:rPr>
        <w:lastRenderedPageBreak/>
        <w:t xml:space="preserve">Cohen, D. J., &amp; Ahn, M. (2016). A subjective utilitarian theory of moral judgment. </w:t>
      </w:r>
      <w:r w:rsidRPr="00C42417">
        <w:rPr>
          <w:i/>
          <w:noProof/>
        </w:rPr>
        <w:t>Journal of Experimental Psychology: General, 145</w:t>
      </w:r>
      <w:r w:rsidRPr="00C42417">
        <w:rPr>
          <w:noProof/>
        </w:rPr>
        <w:t xml:space="preserve">, 1359-1381. doi: </w:t>
      </w:r>
      <w:hyperlink r:id="rId48" w:history="1">
        <w:r w:rsidRPr="00C42417">
          <w:rPr>
            <w:rStyle w:val="Hyperlink"/>
            <w:noProof/>
          </w:rPr>
          <w:t>http://dx.doi.org/10.1037/xge0000210</w:t>
        </w:r>
      </w:hyperlink>
    </w:p>
    <w:p w14:paraId="358A99CC" w14:textId="345DBF21" w:rsidR="00C42417" w:rsidRPr="00C42417" w:rsidRDefault="00C42417" w:rsidP="009E7FC8">
      <w:pPr>
        <w:pStyle w:val="EndNoteBibliography"/>
        <w:spacing w:line="480" w:lineRule="auto"/>
        <w:ind w:left="720" w:hanging="720"/>
        <w:rPr>
          <w:noProof/>
        </w:rPr>
      </w:pPr>
      <w:r w:rsidRPr="00C42417">
        <w:rPr>
          <w:noProof/>
        </w:rPr>
        <w:t xml:space="preserve">Cohen, D. J., Cromley, A. R., Freda, K. E., &amp; White, M. (2022). Psychological value theory: The psychological value of human lives and economic goods. </w:t>
      </w:r>
      <w:r w:rsidRPr="00C42417">
        <w:rPr>
          <w:i/>
          <w:noProof/>
        </w:rPr>
        <w:t>Journal of Experimental Psychology: Learning, Memory, and Cognition</w:t>
      </w:r>
      <w:r w:rsidRPr="00C42417">
        <w:rPr>
          <w:noProof/>
        </w:rPr>
        <w:t xml:space="preserve">, 2015–2050. doi: </w:t>
      </w:r>
      <w:hyperlink r:id="rId49" w:history="1">
        <w:r w:rsidRPr="00C42417">
          <w:rPr>
            <w:rStyle w:val="Hyperlink"/>
            <w:noProof/>
          </w:rPr>
          <w:t>http://dx.doi.org/10.1037/xlm0001047</w:t>
        </w:r>
      </w:hyperlink>
    </w:p>
    <w:p w14:paraId="420DF3DA" w14:textId="7193E6A8" w:rsidR="00C42417" w:rsidRPr="00C42417" w:rsidRDefault="00C42417" w:rsidP="009E7FC8">
      <w:pPr>
        <w:pStyle w:val="EndNoteBibliography"/>
        <w:spacing w:line="480" w:lineRule="auto"/>
        <w:ind w:left="720" w:hanging="720"/>
        <w:rPr>
          <w:noProof/>
        </w:rPr>
      </w:pPr>
      <w:r w:rsidRPr="00C42417">
        <w:rPr>
          <w:noProof/>
        </w:rPr>
        <w:t xml:space="preserve">Cohen, D. J., &amp; Quinlan, P. T. (2016). How numbers mean: Comparing random walk models of numerical cognition varying both encoding processes and underlying quantity representations. </w:t>
      </w:r>
      <w:r w:rsidRPr="00C42417">
        <w:rPr>
          <w:i/>
          <w:noProof/>
        </w:rPr>
        <w:t>Cognitive Psychology, 91</w:t>
      </w:r>
      <w:r w:rsidRPr="00C42417">
        <w:rPr>
          <w:noProof/>
        </w:rPr>
        <w:t xml:space="preserve">, 63-81. doi: </w:t>
      </w:r>
      <w:hyperlink r:id="rId50" w:history="1">
        <w:r w:rsidRPr="00C42417">
          <w:rPr>
            <w:rStyle w:val="Hyperlink"/>
            <w:noProof/>
          </w:rPr>
          <w:t>http://dx.doi.org/10.1016/j.cogpsych.2016.10.002</w:t>
        </w:r>
      </w:hyperlink>
    </w:p>
    <w:p w14:paraId="7A90BFB7" w14:textId="34299D48" w:rsidR="00C42417" w:rsidRPr="00C42417" w:rsidRDefault="00C42417" w:rsidP="009E7FC8">
      <w:pPr>
        <w:pStyle w:val="EndNoteBibliography"/>
        <w:spacing w:line="480" w:lineRule="auto"/>
        <w:ind w:left="720" w:hanging="720"/>
        <w:rPr>
          <w:noProof/>
        </w:rPr>
      </w:pPr>
      <w:r w:rsidRPr="00C42417">
        <w:rPr>
          <w:noProof/>
        </w:rPr>
        <w:t xml:space="preserve">Colas, J. T., &amp; Lu, J. (2017). Learning where to look for high value improves decision making asymmetrically. </w:t>
      </w:r>
      <w:r w:rsidRPr="00C42417">
        <w:rPr>
          <w:i/>
          <w:noProof/>
        </w:rPr>
        <w:t>Frontiers in Psychology, 8</w:t>
      </w:r>
      <w:r w:rsidRPr="00C42417">
        <w:rPr>
          <w:noProof/>
        </w:rPr>
        <w:t xml:space="preserve">, 2000. doi: </w:t>
      </w:r>
      <w:hyperlink r:id="rId51" w:history="1">
        <w:r w:rsidRPr="00C42417">
          <w:rPr>
            <w:rStyle w:val="Hyperlink"/>
            <w:noProof/>
          </w:rPr>
          <w:t>https://doi.org/10.3389/fpsyg.2017.02000</w:t>
        </w:r>
      </w:hyperlink>
    </w:p>
    <w:p w14:paraId="130E5852" w14:textId="192166DC" w:rsidR="00C42417" w:rsidRPr="00C42417" w:rsidRDefault="00C42417" w:rsidP="009E7FC8">
      <w:pPr>
        <w:pStyle w:val="EndNoteBibliography"/>
        <w:spacing w:line="480" w:lineRule="auto"/>
        <w:ind w:left="720" w:hanging="720"/>
        <w:rPr>
          <w:noProof/>
        </w:rPr>
      </w:pPr>
      <w:r w:rsidRPr="00C42417">
        <w:rPr>
          <w:noProof/>
        </w:rPr>
        <w:t xml:space="preserve">Cromley, A. R., &amp; Cohen, D. J. (2019). Subjective values theory: The psychophysics of psychological value. </w:t>
      </w:r>
      <w:r w:rsidRPr="00C42417">
        <w:rPr>
          <w:i/>
          <w:noProof/>
        </w:rPr>
        <w:t>PsyArXiv</w:t>
      </w:r>
      <w:r w:rsidRPr="00C42417">
        <w:rPr>
          <w:noProof/>
        </w:rPr>
        <w:t>.  doi:</w:t>
      </w:r>
      <w:hyperlink r:id="rId52" w:history="1">
        <w:r w:rsidRPr="00C42417">
          <w:rPr>
            <w:rStyle w:val="Hyperlink"/>
            <w:noProof/>
          </w:rPr>
          <w:t>http://dx.doi.org/10.31234/osf.io/wfd5s</w:t>
        </w:r>
      </w:hyperlink>
    </w:p>
    <w:p w14:paraId="39D47051" w14:textId="03F5644F" w:rsidR="00C42417" w:rsidRPr="00C42417" w:rsidRDefault="00C42417" w:rsidP="009E7FC8">
      <w:pPr>
        <w:pStyle w:val="EndNoteBibliography"/>
        <w:spacing w:line="480" w:lineRule="auto"/>
        <w:ind w:left="720" w:hanging="720"/>
        <w:rPr>
          <w:noProof/>
        </w:rPr>
      </w:pPr>
      <w:r w:rsidRPr="00C42417">
        <w:rPr>
          <w:noProof/>
        </w:rPr>
        <w:t xml:space="preserve">Cuddy, A. J. C., Fiske, S. T., &amp; Glick, P. (2007). The BIAS map: Behaviors from intregroup affect and stereotypes. </w:t>
      </w:r>
      <w:r w:rsidRPr="00C42417">
        <w:rPr>
          <w:i/>
          <w:noProof/>
        </w:rPr>
        <w:t>Journal of Personality and Social Psychology, 92</w:t>
      </w:r>
      <w:r w:rsidRPr="00C42417">
        <w:rPr>
          <w:noProof/>
        </w:rPr>
        <w:t xml:space="preserve">, 631-648. doi: </w:t>
      </w:r>
      <w:hyperlink r:id="rId53" w:history="1">
        <w:r w:rsidRPr="00C42417">
          <w:rPr>
            <w:rStyle w:val="Hyperlink"/>
            <w:noProof/>
          </w:rPr>
          <w:t>http://dx.doi.org/10.1037/0022-3514.92.4.631</w:t>
        </w:r>
      </w:hyperlink>
    </w:p>
    <w:p w14:paraId="47857775" w14:textId="508A4ABB" w:rsidR="00C42417" w:rsidRPr="00C42417" w:rsidRDefault="00C42417" w:rsidP="009E7FC8">
      <w:pPr>
        <w:pStyle w:val="EndNoteBibliography"/>
        <w:spacing w:line="480" w:lineRule="auto"/>
        <w:ind w:left="720" w:hanging="720"/>
        <w:rPr>
          <w:noProof/>
        </w:rPr>
      </w:pPr>
      <w:r w:rsidRPr="00C42417">
        <w:rPr>
          <w:noProof/>
        </w:rPr>
        <w:t xml:space="preserve">Dickert, S., Sagara, N., &amp; Slovic, P. (2011). Affective motivations to help others: A two‐stage model of donation decisions. </w:t>
      </w:r>
      <w:r w:rsidRPr="00C42417">
        <w:rPr>
          <w:i/>
          <w:noProof/>
        </w:rPr>
        <w:t>Journal of Behavioral Decision Making, 24</w:t>
      </w:r>
      <w:r w:rsidRPr="00C42417">
        <w:rPr>
          <w:noProof/>
        </w:rPr>
        <w:t xml:space="preserve">, 361-376. doi: </w:t>
      </w:r>
      <w:hyperlink r:id="rId54" w:history="1">
        <w:r w:rsidRPr="00C42417">
          <w:rPr>
            <w:rStyle w:val="Hyperlink"/>
            <w:noProof/>
          </w:rPr>
          <w:t>http://dx.doi.org/10.1002/bdm.697</w:t>
        </w:r>
      </w:hyperlink>
    </w:p>
    <w:p w14:paraId="1FDDF0BF" w14:textId="2938CA7C" w:rsidR="00C42417" w:rsidRPr="00C42417" w:rsidRDefault="00C42417" w:rsidP="009E7FC8">
      <w:pPr>
        <w:pStyle w:val="EndNoteBibliography"/>
        <w:spacing w:line="480" w:lineRule="auto"/>
        <w:ind w:left="720" w:hanging="720"/>
        <w:rPr>
          <w:noProof/>
        </w:rPr>
      </w:pPr>
      <w:r w:rsidRPr="00C42417">
        <w:rPr>
          <w:noProof/>
        </w:rPr>
        <w:lastRenderedPageBreak/>
        <w:t xml:space="preserve">Echazu, L., &amp; Nocetti, D. (2015). Charitable giving: Altruism has no limits. </w:t>
      </w:r>
      <w:r w:rsidRPr="00C42417">
        <w:rPr>
          <w:i/>
          <w:noProof/>
        </w:rPr>
        <w:t>Journal of Public Economics, 125</w:t>
      </w:r>
      <w:r w:rsidRPr="00C42417">
        <w:rPr>
          <w:noProof/>
        </w:rPr>
        <w:t xml:space="preserve">, 46-53. doi: </w:t>
      </w:r>
      <w:hyperlink r:id="rId55" w:history="1">
        <w:r w:rsidRPr="00C42417">
          <w:rPr>
            <w:rStyle w:val="Hyperlink"/>
            <w:noProof/>
          </w:rPr>
          <w:t>https://doi.org/10.1016/j.jpubeco.2015.03.002</w:t>
        </w:r>
      </w:hyperlink>
    </w:p>
    <w:p w14:paraId="0D800AEC" w14:textId="2382119F" w:rsidR="00C42417" w:rsidRPr="00C42417" w:rsidRDefault="00C42417" w:rsidP="009E7FC8">
      <w:pPr>
        <w:pStyle w:val="EndNoteBibliography"/>
        <w:spacing w:line="480" w:lineRule="auto"/>
        <w:ind w:left="720" w:hanging="720"/>
        <w:rPr>
          <w:noProof/>
        </w:rPr>
      </w:pPr>
      <w:r w:rsidRPr="00C42417">
        <w:rPr>
          <w:noProof/>
        </w:rPr>
        <w:t xml:space="preserve">Fehr, E., Bernhard, H., &amp; Rockenbach, B. (2008). Egalitarianism in young children. </w:t>
      </w:r>
      <w:r w:rsidRPr="00C42417">
        <w:rPr>
          <w:i/>
          <w:noProof/>
        </w:rPr>
        <w:t>Nature, 454</w:t>
      </w:r>
      <w:r w:rsidRPr="00C42417">
        <w:rPr>
          <w:noProof/>
        </w:rPr>
        <w:t xml:space="preserve">, 1079-1083. doi: </w:t>
      </w:r>
      <w:hyperlink r:id="rId56" w:history="1">
        <w:r w:rsidRPr="00C42417">
          <w:rPr>
            <w:rStyle w:val="Hyperlink"/>
            <w:noProof/>
          </w:rPr>
          <w:t>https://doi.org/10.1038/nature07155</w:t>
        </w:r>
      </w:hyperlink>
    </w:p>
    <w:p w14:paraId="4308F8AF" w14:textId="12C14A7A" w:rsidR="00C42417" w:rsidRPr="00C42417" w:rsidRDefault="00C42417" w:rsidP="009E7FC8">
      <w:pPr>
        <w:pStyle w:val="EndNoteBibliography"/>
        <w:spacing w:line="480" w:lineRule="auto"/>
        <w:ind w:left="720" w:hanging="720"/>
        <w:rPr>
          <w:noProof/>
        </w:rPr>
      </w:pPr>
      <w:r w:rsidRPr="00C42417">
        <w:rPr>
          <w:noProof/>
        </w:rPr>
        <w:t xml:space="preserve">Fishburn, P. C. (1981). Subjective expected utility: A review of normative theories. </w:t>
      </w:r>
      <w:r w:rsidRPr="00C42417">
        <w:rPr>
          <w:i/>
          <w:noProof/>
        </w:rPr>
        <w:t>Theory and decision, 13</w:t>
      </w:r>
      <w:r w:rsidRPr="00C42417">
        <w:rPr>
          <w:noProof/>
        </w:rPr>
        <w:t xml:space="preserve">, 139-199. doi: </w:t>
      </w:r>
      <w:hyperlink r:id="rId57" w:history="1">
        <w:r w:rsidRPr="00C42417">
          <w:rPr>
            <w:rStyle w:val="Hyperlink"/>
            <w:noProof/>
          </w:rPr>
          <w:t>http://dx.doi.org/10.1007/BF00134215</w:t>
        </w:r>
      </w:hyperlink>
    </w:p>
    <w:p w14:paraId="442C3A14" w14:textId="4B0CE3F2" w:rsidR="00C42417" w:rsidRPr="00C42417" w:rsidRDefault="00C42417" w:rsidP="009E7FC8">
      <w:pPr>
        <w:pStyle w:val="EndNoteBibliography"/>
        <w:spacing w:line="480" w:lineRule="auto"/>
        <w:ind w:left="720" w:hanging="720"/>
        <w:rPr>
          <w:noProof/>
        </w:rPr>
      </w:pPr>
      <w:r w:rsidRPr="00C42417">
        <w:rPr>
          <w:noProof/>
        </w:rPr>
        <w:t xml:space="preserve">Fiske, S. T. (2015). Intergroup bias: A focus on stereotype content. </w:t>
      </w:r>
      <w:r w:rsidRPr="00C42417">
        <w:rPr>
          <w:i/>
          <w:noProof/>
        </w:rPr>
        <w:t>Current Opinion in Behavioral Sciences, 3</w:t>
      </w:r>
      <w:r w:rsidRPr="00C42417">
        <w:rPr>
          <w:noProof/>
        </w:rPr>
        <w:t xml:space="preserve">, 45-50. doi: </w:t>
      </w:r>
      <w:hyperlink r:id="rId58" w:history="1">
        <w:r w:rsidRPr="00C42417">
          <w:rPr>
            <w:rStyle w:val="Hyperlink"/>
            <w:noProof/>
          </w:rPr>
          <w:t>http://dx.doi.org/10.1016/j.cobeha.2015.01.010</w:t>
        </w:r>
      </w:hyperlink>
    </w:p>
    <w:p w14:paraId="3D7D301B" w14:textId="60CF5EE5" w:rsidR="00C42417" w:rsidRPr="00C42417" w:rsidRDefault="00C42417" w:rsidP="009E7FC8">
      <w:pPr>
        <w:pStyle w:val="EndNoteBibliography"/>
        <w:spacing w:line="480" w:lineRule="auto"/>
        <w:ind w:left="720" w:hanging="720"/>
        <w:rPr>
          <w:noProof/>
        </w:rPr>
      </w:pPr>
      <w:r w:rsidRPr="00C42417">
        <w:rPr>
          <w:noProof/>
        </w:rPr>
        <w:t xml:space="preserve">Fiske, S. T., Cuddy, A. J. C., &amp; Glick, P. (2007). Universal dimensions of social perception: warmth and competence. </w:t>
      </w:r>
      <w:r w:rsidRPr="00C42417">
        <w:rPr>
          <w:i/>
          <w:noProof/>
        </w:rPr>
        <w:t>Trends in Cognitive Sciences, 11</w:t>
      </w:r>
      <w:r w:rsidRPr="00C42417">
        <w:rPr>
          <w:noProof/>
        </w:rPr>
        <w:t xml:space="preserve">. doi: </w:t>
      </w:r>
      <w:hyperlink r:id="rId59" w:history="1">
        <w:r w:rsidRPr="00C42417">
          <w:rPr>
            <w:rStyle w:val="Hyperlink"/>
            <w:noProof/>
          </w:rPr>
          <w:t>http://dx.doi.org/10.1016/j.tics.2006.11.005</w:t>
        </w:r>
      </w:hyperlink>
    </w:p>
    <w:p w14:paraId="435C2831" w14:textId="65BCCE62" w:rsidR="00C42417" w:rsidRPr="00C42417" w:rsidRDefault="00C42417" w:rsidP="009E7FC8">
      <w:pPr>
        <w:pStyle w:val="EndNoteBibliography"/>
        <w:spacing w:line="480" w:lineRule="auto"/>
        <w:ind w:left="720" w:hanging="720"/>
        <w:rPr>
          <w:noProof/>
        </w:rPr>
      </w:pPr>
      <w:r w:rsidRPr="00C42417">
        <w:rPr>
          <w:noProof/>
        </w:rPr>
        <w:t xml:space="preserve">Fiske, S. T., Cuddy, A. J. C., Glick, P., &amp; Xu, J. (2002). A model of (often mixed) stereotype content: Competence and warmth respectively follow from perceived status and competition </w:t>
      </w:r>
      <w:r w:rsidRPr="00C42417">
        <w:rPr>
          <w:i/>
          <w:noProof/>
        </w:rPr>
        <w:t>Journal of Personality and Social Psyhology, 82</w:t>
      </w:r>
      <w:r w:rsidRPr="00C42417">
        <w:rPr>
          <w:noProof/>
        </w:rPr>
        <w:t xml:space="preserve">, 878-902. doi: </w:t>
      </w:r>
      <w:hyperlink r:id="rId60" w:history="1">
        <w:r w:rsidRPr="00C42417">
          <w:rPr>
            <w:rStyle w:val="Hyperlink"/>
            <w:noProof/>
          </w:rPr>
          <w:t>http://dx.doi.org/10.1037//0022-3514.82.6.878</w:t>
        </w:r>
      </w:hyperlink>
    </w:p>
    <w:p w14:paraId="358D9B49" w14:textId="77777777" w:rsidR="00C42417" w:rsidRPr="00C42417" w:rsidRDefault="00C42417" w:rsidP="009E7FC8">
      <w:pPr>
        <w:pStyle w:val="EndNoteBibliography"/>
        <w:spacing w:line="480" w:lineRule="auto"/>
        <w:ind w:left="720" w:hanging="720"/>
        <w:rPr>
          <w:noProof/>
        </w:rPr>
      </w:pPr>
      <w:r w:rsidRPr="00C42417">
        <w:rPr>
          <w:noProof/>
        </w:rPr>
        <w:t xml:space="preserve">Furnham, A. (1996). Factors relating to the allocation of medical resources. </w:t>
      </w:r>
      <w:r w:rsidRPr="00C42417">
        <w:rPr>
          <w:i/>
          <w:noProof/>
        </w:rPr>
        <w:t>Journal of Social Behavior and Personality, 11</w:t>
      </w:r>
      <w:r w:rsidRPr="00C42417">
        <w:rPr>
          <w:noProof/>
        </w:rPr>
        <w:t xml:space="preserve">, 615-624. </w:t>
      </w:r>
    </w:p>
    <w:p w14:paraId="46F41EA3" w14:textId="77777777" w:rsidR="00C42417" w:rsidRPr="00C42417" w:rsidRDefault="00C42417" w:rsidP="009E7FC8">
      <w:pPr>
        <w:pStyle w:val="EndNoteBibliography"/>
        <w:spacing w:line="480" w:lineRule="auto"/>
        <w:ind w:left="720" w:hanging="720"/>
        <w:rPr>
          <w:noProof/>
        </w:rPr>
      </w:pPr>
      <w:r w:rsidRPr="00C42417">
        <w:rPr>
          <w:noProof/>
        </w:rPr>
        <w:t xml:space="preserve">Furnham, A., Simmons, K., &amp; McClelland, A. (2000). Decisions concerning the allocation of scarce medical resources. </w:t>
      </w:r>
      <w:r w:rsidRPr="00C42417">
        <w:rPr>
          <w:i/>
          <w:noProof/>
        </w:rPr>
        <w:t>Journal of Social Behavior and Personality</w:t>
      </w:r>
      <w:r w:rsidRPr="00C42417">
        <w:rPr>
          <w:noProof/>
        </w:rPr>
        <w:t xml:space="preserve">, 185-200. </w:t>
      </w:r>
    </w:p>
    <w:p w14:paraId="51966806" w14:textId="77777777" w:rsidR="00C42417" w:rsidRPr="00C42417" w:rsidRDefault="00C42417" w:rsidP="009E7FC8">
      <w:pPr>
        <w:pStyle w:val="EndNoteBibliography"/>
        <w:spacing w:line="480" w:lineRule="auto"/>
        <w:ind w:left="720" w:hanging="720"/>
        <w:rPr>
          <w:noProof/>
        </w:rPr>
      </w:pPr>
      <w:r w:rsidRPr="00C42417">
        <w:rPr>
          <w:noProof/>
        </w:rPr>
        <w:t xml:space="preserve">Gescheider, G. A. (1988). Psychophysical scaling. </w:t>
      </w:r>
      <w:r w:rsidRPr="00C42417">
        <w:rPr>
          <w:i/>
          <w:noProof/>
        </w:rPr>
        <w:t>Annual Review of Psychology, 39</w:t>
      </w:r>
      <w:r w:rsidRPr="00C42417">
        <w:rPr>
          <w:noProof/>
        </w:rPr>
        <w:t xml:space="preserve">, 169-200. </w:t>
      </w:r>
    </w:p>
    <w:p w14:paraId="0165F5F4" w14:textId="0B173692" w:rsidR="00C42417" w:rsidRPr="00C42417" w:rsidRDefault="00C42417" w:rsidP="009E7FC8">
      <w:pPr>
        <w:pStyle w:val="EndNoteBibliography"/>
        <w:spacing w:line="480" w:lineRule="auto"/>
        <w:ind w:left="720" w:hanging="720"/>
        <w:rPr>
          <w:noProof/>
        </w:rPr>
      </w:pPr>
      <w:r w:rsidRPr="00C42417">
        <w:rPr>
          <w:noProof/>
        </w:rPr>
        <w:t xml:space="preserve">Glazer, A., &amp; Konrad, K. A. (1996). A signaling explanation for charity. </w:t>
      </w:r>
      <w:r w:rsidRPr="00C42417">
        <w:rPr>
          <w:i/>
          <w:noProof/>
        </w:rPr>
        <w:t>American Economic Review, 86</w:t>
      </w:r>
      <w:r w:rsidRPr="00C42417">
        <w:rPr>
          <w:noProof/>
        </w:rPr>
        <w:t xml:space="preserve">, 1019-1028. doi: </w:t>
      </w:r>
      <w:hyperlink r:id="rId61" w:history="1">
        <w:r w:rsidRPr="00C42417">
          <w:rPr>
            <w:rStyle w:val="Hyperlink"/>
            <w:noProof/>
          </w:rPr>
          <w:t>https://www.jstor.org/stable/2118317</w:t>
        </w:r>
      </w:hyperlink>
    </w:p>
    <w:p w14:paraId="33BDF28F" w14:textId="3A66451C" w:rsidR="00C42417" w:rsidRPr="00C42417" w:rsidRDefault="00C42417" w:rsidP="009E7FC8">
      <w:pPr>
        <w:pStyle w:val="EndNoteBibliography"/>
        <w:spacing w:line="480" w:lineRule="auto"/>
        <w:ind w:left="720" w:hanging="720"/>
        <w:rPr>
          <w:noProof/>
        </w:rPr>
      </w:pPr>
      <w:r w:rsidRPr="00C42417">
        <w:rPr>
          <w:noProof/>
        </w:rPr>
        <w:lastRenderedPageBreak/>
        <w:t xml:space="preserve">Glöckner, A., &amp; Betsch, T. (2011). The empirical content of theories in judgment and decision making: Shortcomongs and remedies. </w:t>
      </w:r>
      <w:r w:rsidRPr="00C42417">
        <w:rPr>
          <w:i/>
          <w:noProof/>
        </w:rPr>
        <w:t>Judgment and Decision Making, 6</w:t>
      </w:r>
      <w:r w:rsidRPr="00C42417">
        <w:rPr>
          <w:noProof/>
        </w:rPr>
        <w:t xml:space="preserve">, 711-721. doi: </w:t>
      </w:r>
      <w:hyperlink r:id="rId62" w:history="1">
        <w:r w:rsidRPr="00C42417">
          <w:rPr>
            <w:rStyle w:val="Hyperlink"/>
            <w:noProof/>
          </w:rPr>
          <w:t>https://www.proquest.com/scholarly-journals/empirical-content-theories-judgment-decision/docview/1011297243/se-2</w:t>
        </w:r>
      </w:hyperlink>
    </w:p>
    <w:p w14:paraId="784F8565" w14:textId="7D064455" w:rsidR="00C42417" w:rsidRPr="00C42417" w:rsidRDefault="00C42417" w:rsidP="009E7FC8">
      <w:pPr>
        <w:pStyle w:val="EndNoteBibliography"/>
        <w:spacing w:line="480" w:lineRule="auto"/>
        <w:ind w:left="720" w:hanging="720"/>
        <w:rPr>
          <w:noProof/>
        </w:rPr>
      </w:pPr>
      <w:r w:rsidRPr="00C42417">
        <w:rPr>
          <w:noProof/>
        </w:rPr>
        <w:t xml:space="preserve">Goodwin, G. P., &amp; Landy, J. F. (2014). Valuing different human lives. </w:t>
      </w:r>
      <w:r w:rsidRPr="00C42417">
        <w:rPr>
          <w:i/>
          <w:noProof/>
        </w:rPr>
        <w:t>Journal of Experimental Psychology: General, 143</w:t>
      </w:r>
      <w:r w:rsidRPr="00C42417">
        <w:rPr>
          <w:noProof/>
        </w:rPr>
        <w:t xml:space="preserve">, 778-803. doi: </w:t>
      </w:r>
      <w:hyperlink r:id="rId63" w:history="1">
        <w:r w:rsidRPr="00C42417">
          <w:rPr>
            <w:rStyle w:val="Hyperlink"/>
            <w:noProof/>
          </w:rPr>
          <w:t>http://dx.doi.org/10.1037/a0032796</w:t>
        </w:r>
      </w:hyperlink>
    </w:p>
    <w:p w14:paraId="095B9B33" w14:textId="509C797C" w:rsidR="00C42417" w:rsidRPr="00C42417" w:rsidRDefault="00C42417" w:rsidP="009E7FC8">
      <w:pPr>
        <w:pStyle w:val="EndNoteBibliography"/>
        <w:spacing w:line="480" w:lineRule="auto"/>
        <w:ind w:left="720" w:hanging="720"/>
        <w:rPr>
          <w:noProof/>
        </w:rPr>
      </w:pPr>
      <w:r w:rsidRPr="00C42417">
        <w:rPr>
          <w:noProof/>
        </w:rPr>
        <w:t xml:space="preserve">Grueschow, M., Polania, R., Hare, T. A., &amp; Ruff, C. C. (2015). Automatic versus choice-dependent value representations in the human brain. </w:t>
      </w:r>
      <w:r w:rsidRPr="00C42417">
        <w:rPr>
          <w:i/>
          <w:noProof/>
        </w:rPr>
        <w:t>Neuron, 85</w:t>
      </w:r>
      <w:r w:rsidRPr="00C42417">
        <w:rPr>
          <w:noProof/>
        </w:rPr>
        <w:t xml:space="preserve">, 874-885. doi: </w:t>
      </w:r>
      <w:hyperlink r:id="rId64" w:history="1">
        <w:r w:rsidRPr="00C42417">
          <w:rPr>
            <w:rStyle w:val="Hyperlink"/>
            <w:noProof/>
          </w:rPr>
          <w:t>http://dx.doi.org/10.1016/j.neuron.2014.12.054</w:t>
        </w:r>
      </w:hyperlink>
    </w:p>
    <w:p w14:paraId="7FAD47EB" w14:textId="3CEB23C3" w:rsidR="00C42417" w:rsidRPr="00C42417" w:rsidRDefault="00C42417" w:rsidP="009E7FC8">
      <w:pPr>
        <w:pStyle w:val="EndNoteBibliography"/>
        <w:spacing w:line="480" w:lineRule="auto"/>
        <w:ind w:left="720" w:hanging="720"/>
        <w:rPr>
          <w:noProof/>
        </w:rPr>
      </w:pPr>
      <w:r w:rsidRPr="00C42417">
        <w:rPr>
          <w:noProof/>
        </w:rPr>
        <w:t xml:space="preserve">Gwinn, R., Leber, A. B., &amp; Krajbich, I. (2019). The spillover effects of attentional learning on value-based choice. </w:t>
      </w:r>
      <w:r w:rsidRPr="00C42417">
        <w:rPr>
          <w:i/>
          <w:noProof/>
        </w:rPr>
        <w:t>Cognition, 182</w:t>
      </w:r>
      <w:r w:rsidRPr="00C42417">
        <w:rPr>
          <w:noProof/>
        </w:rPr>
        <w:t xml:space="preserve">, 294-306. doi: </w:t>
      </w:r>
      <w:hyperlink r:id="rId65" w:history="1">
        <w:r w:rsidRPr="00C42417">
          <w:rPr>
            <w:rStyle w:val="Hyperlink"/>
            <w:noProof/>
          </w:rPr>
          <w:t>http://dx.doi.org/10.1016/j.cognition.2018.10.012</w:t>
        </w:r>
      </w:hyperlink>
    </w:p>
    <w:p w14:paraId="48D0FB73" w14:textId="5AD539E6" w:rsidR="00C42417" w:rsidRPr="00C42417" w:rsidRDefault="00C42417" w:rsidP="009E7FC8">
      <w:pPr>
        <w:pStyle w:val="EndNoteBibliography"/>
        <w:spacing w:line="480" w:lineRule="auto"/>
        <w:ind w:left="720" w:hanging="720"/>
        <w:rPr>
          <w:noProof/>
        </w:rPr>
      </w:pPr>
      <w:r w:rsidRPr="00C42417">
        <w:rPr>
          <w:noProof/>
        </w:rPr>
        <w:t xml:space="preserve">Harbaugh, W. T., Mayr, U., &amp; Burghart, D. R. (2007). Neural responses to taxation and voluntary giving reveal motives for charitable donations. </w:t>
      </w:r>
      <w:r w:rsidRPr="00C42417">
        <w:rPr>
          <w:i/>
          <w:noProof/>
        </w:rPr>
        <w:t>Science, 316</w:t>
      </w:r>
      <w:r w:rsidRPr="00C42417">
        <w:rPr>
          <w:noProof/>
        </w:rPr>
        <w:t xml:space="preserve">, 1622-1625. doi: </w:t>
      </w:r>
      <w:hyperlink r:id="rId66" w:history="1">
        <w:r w:rsidRPr="00C42417">
          <w:rPr>
            <w:rStyle w:val="Hyperlink"/>
            <w:noProof/>
          </w:rPr>
          <w:t>http://dx.doi.org/10.1126/science.1140738</w:t>
        </w:r>
      </w:hyperlink>
    </w:p>
    <w:p w14:paraId="06AC7950" w14:textId="21B54B60" w:rsidR="00C42417" w:rsidRPr="00C42417" w:rsidRDefault="00C42417" w:rsidP="009E7FC8">
      <w:pPr>
        <w:pStyle w:val="EndNoteBibliography"/>
        <w:spacing w:line="480" w:lineRule="auto"/>
        <w:ind w:left="720" w:hanging="720"/>
        <w:rPr>
          <w:noProof/>
        </w:rPr>
      </w:pPr>
      <w:r w:rsidRPr="00C42417">
        <w:rPr>
          <w:noProof/>
        </w:rPr>
        <w:t xml:space="preserve">Hare, T. A., Camerer, C. F., Knoepfle, D. T., O’Doherty, J. P., &amp; Rangel, A. (2010). Value computations in ventral medial prefrontal cortex during charitable decision making incorporate input from regions involved in social cognition. </w:t>
      </w:r>
      <w:r w:rsidRPr="00C42417">
        <w:rPr>
          <w:i/>
          <w:noProof/>
        </w:rPr>
        <w:t>Journal of Neuroscience, 30</w:t>
      </w:r>
      <w:r w:rsidRPr="00C42417">
        <w:rPr>
          <w:noProof/>
        </w:rPr>
        <w:t xml:space="preserve">, 583-590. doi: </w:t>
      </w:r>
      <w:hyperlink r:id="rId67" w:history="1">
        <w:r w:rsidRPr="00C42417">
          <w:rPr>
            <w:rStyle w:val="Hyperlink"/>
            <w:noProof/>
          </w:rPr>
          <w:t>http://dx.doi.org/10.1523/JNEUROSCI.4089-09.2010</w:t>
        </w:r>
      </w:hyperlink>
    </w:p>
    <w:p w14:paraId="11F9830C" w14:textId="403B1570" w:rsidR="00C42417" w:rsidRPr="00C42417" w:rsidRDefault="00C42417" w:rsidP="009E7FC8">
      <w:pPr>
        <w:pStyle w:val="EndNoteBibliography"/>
        <w:spacing w:line="480" w:lineRule="auto"/>
        <w:ind w:left="720" w:hanging="720"/>
        <w:rPr>
          <w:noProof/>
        </w:rPr>
      </w:pPr>
      <w:r w:rsidRPr="00C42417">
        <w:rPr>
          <w:noProof/>
        </w:rPr>
        <w:t xml:space="preserve">Hensley, V., &amp; Duval, S. (1976). Some perceptual determinants of perceived similarity, liking, and correctness. </w:t>
      </w:r>
      <w:r w:rsidRPr="00C42417">
        <w:rPr>
          <w:i/>
          <w:noProof/>
        </w:rPr>
        <w:t>Journal of Personality and Social Psychology, 34</w:t>
      </w:r>
      <w:r w:rsidRPr="00C42417">
        <w:rPr>
          <w:noProof/>
        </w:rPr>
        <w:t xml:space="preserve">, 159-168. doi: </w:t>
      </w:r>
      <w:hyperlink r:id="rId68" w:history="1">
        <w:r w:rsidRPr="00C42417">
          <w:rPr>
            <w:rStyle w:val="Hyperlink"/>
            <w:noProof/>
          </w:rPr>
          <w:t>https://doi.org/10.1037/0022-3514.34.2.159</w:t>
        </w:r>
      </w:hyperlink>
    </w:p>
    <w:p w14:paraId="6CB00DC8" w14:textId="17499540" w:rsidR="00C42417" w:rsidRPr="00C42417" w:rsidRDefault="00C42417" w:rsidP="009E7FC8">
      <w:pPr>
        <w:pStyle w:val="EndNoteBibliography"/>
        <w:spacing w:line="480" w:lineRule="auto"/>
        <w:ind w:left="720" w:hanging="720"/>
        <w:rPr>
          <w:noProof/>
        </w:rPr>
      </w:pPr>
      <w:r w:rsidRPr="00C42417">
        <w:rPr>
          <w:noProof/>
        </w:rPr>
        <w:lastRenderedPageBreak/>
        <w:t xml:space="preserve">Jenkins, A. C., Karashchuk, P., Zhu, L., &amp; Hsu, M. (2018). Predicting human behavior toward members of different social groups. </w:t>
      </w:r>
      <w:r w:rsidRPr="00C42417">
        <w:rPr>
          <w:i/>
          <w:noProof/>
        </w:rPr>
        <w:t>Proceedings of the National Academy of Sciences of the United States of America, 115</w:t>
      </w:r>
      <w:r w:rsidRPr="00C42417">
        <w:rPr>
          <w:noProof/>
        </w:rPr>
        <w:t xml:space="preserve">, 9696-9701. doi: </w:t>
      </w:r>
      <w:hyperlink r:id="rId69" w:history="1">
        <w:r w:rsidRPr="00C42417">
          <w:rPr>
            <w:rStyle w:val="Hyperlink"/>
            <w:noProof/>
          </w:rPr>
          <w:t>https://www.jstor.org/stable/26531753</w:t>
        </w:r>
      </w:hyperlink>
    </w:p>
    <w:p w14:paraId="76FC11EB" w14:textId="113CA630" w:rsidR="00C42417" w:rsidRPr="00C42417" w:rsidRDefault="00C42417" w:rsidP="009E7FC8">
      <w:pPr>
        <w:pStyle w:val="EndNoteBibliography"/>
        <w:spacing w:line="480" w:lineRule="auto"/>
        <w:ind w:left="720" w:hanging="720"/>
        <w:rPr>
          <w:noProof/>
        </w:rPr>
      </w:pPr>
      <w:r w:rsidRPr="00C42417">
        <w:rPr>
          <w:noProof/>
        </w:rPr>
        <w:t xml:space="preserve">Jenni, K., &amp; Loewenstein, G. (1997). Explaining the identifiable victim effect. </w:t>
      </w:r>
      <w:r w:rsidRPr="00C42417">
        <w:rPr>
          <w:i/>
          <w:noProof/>
        </w:rPr>
        <w:t>Journal of Risk and uncertainty, 14</w:t>
      </w:r>
      <w:r w:rsidRPr="00C42417">
        <w:rPr>
          <w:noProof/>
        </w:rPr>
        <w:t xml:space="preserve">, 235-257. doi: </w:t>
      </w:r>
      <w:hyperlink r:id="rId70" w:history="1">
        <w:r w:rsidRPr="00C42417">
          <w:rPr>
            <w:rStyle w:val="Hyperlink"/>
            <w:noProof/>
          </w:rPr>
          <w:t>https://doi.org/10.1023/A:1007740225484</w:t>
        </w:r>
      </w:hyperlink>
    </w:p>
    <w:p w14:paraId="710A2EBD" w14:textId="7E281EA1" w:rsidR="00C42417" w:rsidRPr="00C42417" w:rsidRDefault="00C42417" w:rsidP="009E7FC8">
      <w:pPr>
        <w:pStyle w:val="EndNoteBibliography"/>
        <w:spacing w:line="480" w:lineRule="auto"/>
        <w:ind w:left="720" w:hanging="720"/>
        <w:rPr>
          <w:noProof/>
        </w:rPr>
      </w:pPr>
      <w:r w:rsidRPr="00C42417">
        <w:rPr>
          <w:noProof/>
        </w:rPr>
        <w:t xml:space="preserve">Judd, C. M., James-Hawkins, L., Yzerbyt, V., &amp; Kashima, Y. (2005). Fundamental dimensions of social judgment: Understanding the relations between judgments of competence and warmth. </w:t>
      </w:r>
      <w:r w:rsidRPr="00C42417">
        <w:rPr>
          <w:i/>
          <w:noProof/>
        </w:rPr>
        <w:t>Journal of Personality and Social Psychology, 89</w:t>
      </w:r>
      <w:r w:rsidRPr="00C42417">
        <w:rPr>
          <w:noProof/>
        </w:rPr>
        <w:t xml:space="preserve">, 899-913. doi: </w:t>
      </w:r>
      <w:hyperlink r:id="rId71" w:history="1">
        <w:r w:rsidRPr="00C42417">
          <w:rPr>
            <w:rStyle w:val="Hyperlink"/>
            <w:noProof/>
          </w:rPr>
          <w:t>http://dx.doi.org/10.1037/0022-3514.89.6.899</w:t>
        </w:r>
      </w:hyperlink>
    </w:p>
    <w:p w14:paraId="72302033" w14:textId="127CCB15" w:rsidR="00C42417" w:rsidRPr="00C42417" w:rsidRDefault="00C42417" w:rsidP="009E7FC8">
      <w:pPr>
        <w:pStyle w:val="EndNoteBibliography"/>
        <w:spacing w:line="480" w:lineRule="auto"/>
        <w:ind w:left="720" w:hanging="720"/>
        <w:rPr>
          <w:noProof/>
        </w:rPr>
      </w:pPr>
      <w:r w:rsidRPr="00C42417">
        <w:rPr>
          <w:noProof/>
        </w:rPr>
        <w:t xml:space="preserve">Khalil, E. L. (2004). What is altruism? </w:t>
      </w:r>
      <w:r w:rsidRPr="00C42417">
        <w:rPr>
          <w:i/>
          <w:noProof/>
        </w:rPr>
        <w:t>Journal of Economic Psychology, 25</w:t>
      </w:r>
      <w:r w:rsidRPr="00C42417">
        <w:rPr>
          <w:noProof/>
        </w:rPr>
        <w:t xml:space="preserve">, 97-123. doi: </w:t>
      </w:r>
      <w:hyperlink r:id="rId72" w:history="1">
        <w:r w:rsidRPr="00C42417">
          <w:rPr>
            <w:rStyle w:val="Hyperlink"/>
            <w:noProof/>
          </w:rPr>
          <w:t>https://doi.org/10.1016/S0167-4870(03)00075-8</w:t>
        </w:r>
      </w:hyperlink>
    </w:p>
    <w:p w14:paraId="10A054BD" w14:textId="25621445" w:rsidR="00C42417" w:rsidRPr="00C42417" w:rsidRDefault="00C42417" w:rsidP="009E7FC8">
      <w:pPr>
        <w:pStyle w:val="EndNoteBibliography"/>
        <w:spacing w:line="480" w:lineRule="auto"/>
        <w:ind w:left="720" w:hanging="720"/>
        <w:rPr>
          <w:noProof/>
        </w:rPr>
      </w:pPr>
      <w:r w:rsidRPr="00C42417">
        <w:rPr>
          <w:noProof/>
        </w:rPr>
        <w:t xml:space="preserve">Krajbich, I. (2019). Accounting for attention in sequential sampling models of decision making. </w:t>
      </w:r>
      <w:r w:rsidRPr="00C42417">
        <w:rPr>
          <w:i/>
          <w:noProof/>
        </w:rPr>
        <w:t>Current Opinion in Psychology, 29</w:t>
      </w:r>
      <w:r w:rsidRPr="00C42417">
        <w:rPr>
          <w:noProof/>
        </w:rPr>
        <w:t xml:space="preserve">, 6-11. doi: </w:t>
      </w:r>
      <w:hyperlink r:id="rId73" w:history="1">
        <w:r w:rsidRPr="00C42417">
          <w:rPr>
            <w:rStyle w:val="Hyperlink"/>
            <w:noProof/>
          </w:rPr>
          <w:t>https://doi.org/10.1016/j.copsyc.2018.10.008</w:t>
        </w:r>
      </w:hyperlink>
    </w:p>
    <w:p w14:paraId="08B514D1" w14:textId="2B0E2B6C" w:rsidR="00C42417" w:rsidRPr="00C42417" w:rsidRDefault="00C42417" w:rsidP="009E7FC8">
      <w:pPr>
        <w:pStyle w:val="EndNoteBibliography"/>
        <w:spacing w:line="480" w:lineRule="auto"/>
        <w:ind w:left="720" w:hanging="720"/>
        <w:rPr>
          <w:noProof/>
        </w:rPr>
      </w:pPr>
      <w:r w:rsidRPr="00C42417">
        <w:rPr>
          <w:noProof/>
        </w:rPr>
        <w:t xml:space="preserve">Krajbich, I., Armel, C., &amp; Rangel, A. (2010). Visual fixations and the computation and comparison of value in simple choice. </w:t>
      </w:r>
      <w:r w:rsidRPr="00C42417">
        <w:rPr>
          <w:i/>
          <w:noProof/>
        </w:rPr>
        <w:t>Nature Neuroscience, 13</w:t>
      </w:r>
      <w:r w:rsidRPr="00C42417">
        <w:rPr>
          <w:noProof/>
        </w:rPr>
        <w:t xml:space="preserve">, 1292. doi: </w:t>
      </w:r>
      <w:hyperlink r:id="rId74" w:history="1">
        <w:r w:rsidRPr="00C42417">
          <w:rPr>
            <w:rStyle w:val="Hyperlink"/>
            <w:noProof/>
          </w:rPr>
          <w:t>https://doi.org/10.1038/nn.2635</w:t>
        </w:r>
      </w:hyperlink>
    </w:p>
    <w:p w14:paraId="45534D7C" w14:textId="4A9907BC" w:rsidR="00C42417" w:rsidRPr="00C42417" w:rsidRDefault="00C42417" w:rsidP="009E7FC8">
      <w:pPr>
        <w:pStyle w:val="EndNoteBibliography"/>
        <w:spacing w:line="480" w:lineRule="auto"/>
        <w:ind w:left="720" w:hanging="720"/>
        <w:rPr>
          <w:noProof/>
        </w:rPr>
      </w:pPr>
      <w:r w:rsidRPr="00C42417">
        <w:rPr>
          <w:noProof/>
        </w:rPr>
        <w:t xml:space="preserve">Krajbich, I., Hare, T. A., Bartling, B., Morishima, Y., &amp; Fehr, E. (2015). A common mechanism underlying food choice and social decisions. </w:t>
      </w:r>
      <w:r w:rsidRPr="00C42417">
        <w:rPr>
          <w:i/>
          <w:noProof/>
        </w:rPr>
        <w:t>PLoS Computational Biology, 11</w:t>
      </w:r>
      <w:r w:rsidRPr="00C42417">
        <w:rPr>
          <w:noProof/>
        </w:rPr>
        <w:t xml:space="preserve">, e1004371. doi: </w:t>
      </w:r>
      <w:hyperlink r:id="rId75" w:history="1">
        <w:r w:rsidRPr="00C42417">
          <w:rPr>
            <w:rStyle w:val="Hyperlink"/>
            <w:noProof/>
          </w:rPr>
          <w:t>https://doi.org/10.1371/journal.pcbi.1004371</w:t>
        </w:r>
      </w:hyperlink>
    </w:p>
    <w:p w14:paraId="44BB32BC" w14:textId="07800832" w:rsidR="00C42417" w:rsidRPr="00C42417" w:rsidRDefault="00C42417" w:rsidP="009E7FC8">
      <w:pPr>
        <w:pStyle w:val="EndNoteBibliography"/>
        <w:spacing w:line="480" w:lineRule="auto"/>
        <w:ind w:left="720" w:hanging="720"/>
        <w:rPr>
          <w:noProof/>
        </w:rPr>
      </w:pPr>
      <w:r w:rsidRPr="00C42417">
        <w:rPr>
          <w:noProof/>
        </w:rPr>
        <w:lastRenderedPageBreak/>
        <w:t xml:space="preserve">Lebreton, M., Jorge, S., Michel, V., Thiron, B., &amp; Pessiglione, M. (2009). An automatic valuation system in the human brain: evidence from functional neuroimaging. </w:t>
      </w:r>
      <w:r w:rsidRPr="00C42417">
        <w:rPr>
          <w:i/>
          <w:noProof/>
        </w:rPr>
        <w:t>Neuron, 64</w:t>
      </w:r>
      <w:r w:rsidRPr="00C42417">
        <w:rPr>
          <w:noProof/>
        </w:rPr>
        <w:t xml:space="preserve">, 431-439. doi: </w:t>
      </w:r>
      <w:hyperlink r:id="rId76" w:history="1">
        <w:r w:rsidRPr="00C42417">
          <w:rPr>
            <w:rStyle w:val="Hyperlink"/>
            <w:noProof/>
          </w:rPr>
          <w:t>http://dx.doi.org/10.1016/j.neuron.2009.09.040</w:t>
        </w:r>
      </w:hyperlink>
    </w:p>
    <w:p w14:paraId="0B6F36BD" w14:textId="60A930B5" w:rsidR="00C42417" w:rsidRPr="00C42417" w:rsidRDefault="00C42417" w:rsidP="009E7FC8">
      <w:pPr>
        <w:pStyle w:val="EndNoteBibliography"/>
        <w:spacing w:line="480" w:lineRule="auto"/>
        <w:ind w:left="720" w:hanging="720"/>
        <w:rPr>
          <w:noProof/>
        </w:rPr>
      </w:pPr>
      <w:r w:rsidRPr="00C42417">
        <w:rPr>
          <w:noProof/>
        </w:rPr>
        <w:t xml:space="preserve">Levine, M., Prosser, A., Evans, D., &amp; Reicher, S. (2005). Identity and Emergency Intervention: How Social Group Membership and Inclusiveness of Group Boundaries Shape Helping Behavior. </w:t>
      </w:r>
      <w:r w:rsidRPr="00C42417">
        <w:rPr>
          <w:i/>
          <w:noProof/>
        </w:rPr>
        <w:t>Personality and Social Psychology Bulletin, 31</w:t>
      </w:r>
      <w:r w:rsidRPr="00C42417">
        <w:rPr>
          <w:noProof/>
        </w:rPr>
        <w:t xml:space="preserve">, 443-453. doi: </w:t>
      </w:r>
      <w:hyperlink r:id="rId77" w:history="1">
        <w:r w:rsidRPr="00C42417">
          <w:rPr>
            <w:rStyle w:val="Hyperlink"/>
            <w:noProof/>
          </w:rPr>
          <w:t>https://journals.sagepub.com/doi/pdf/10.1177/0146167204271651</w:t>
        </w:r>
      </w:hyperlink>
    </w:p>
    <w:p w14:paraId="5A87B680" w14:textId="4E62D815" w:rsidR="00C42417" w:rsidRPr="00C42417" w:rsidRDefault="00C42417" w:rsidP="009E7FC8">
      <w:pPr>
        <w:pStyle w:val="EndNoteBibliography"/>
        <w:spacing w:line="480" w:lineRule="auto"/>
        <w:ind w:left="720" w:hanging="720"/>
        <w:rPr>
          <w:noProof/>
        </w:rPr>
      </w:pPr>
      <w:r w:rsidRPr="00C42417">
        <w:rPr>
          <w:noProof/>
        </w:rPr>
        <w:t xml:space="preserve">Lin, A., Adolphs, R., &amp; Rangel, A. (2011). Dynamic construction of stimulus values in the ventromedial prefrontal cortex. </w:t>
      </w:r>
      <w:r w:rsidRPr="00C42417">
        <w:rPr>
          <w:i/>
          <w:noProof/>
        </w:rPr>
        <w:t>PLoS ONE, 6</w:t>
      </w:r>
      <w:r w:rsidRPr="00C42417">
        <w:rPr>
          <w:noProof/>
        </w:rPr>
        <w:t xml:space="preserve">, e21074. doi: </w:t>
      </w:r>
      <w:hyperlink r:id="rId78" w:history="1">
        <w:r w:rsidRPr="00C42417">
          <w:rPr>
            <w:rStyle w:val="Hyperlink"/>
            <w:noProof/>
          </w:rPr>
          <w:t>https://doi.org/10.1371/journal.pone.0021074</w:t>
        </w:r>
      </w:hyperlink>
    </w:p>
    <w:p w14:paraId="4B1CF822" w14:textId="51E35DF3" w:rsidR="00C42417" w:rsidRPr="00C42417" w:rsidRDefault="00C42417" w:rsidP="009E7FC8">
      <w:pPr>
        <w:pStyle w:val="EndNoteBibliography"/>
        <w:spacing w:line="480" w:lineRule="auto"/>
        <w:ind w:left="720" w:hanging="720"/>
        <w:rPr>
          <w:noProof/>
        </w:rPr>
      </w:pPr>
      <w:r w:rsidRPr="00C42417">
        <w:rPr>
          <w:noProof/>
        </w:rPr>
        <w:t>Link, S. W., &amp; Heath, R. A. (1975). A sequential theory of psychological discrimination.</w:t>
      </w:r>
      <w:r w:rsidRPr="00C42417">
        <w:rPr>
          <w:i/>
          <w:noProof/>
        </w:rPr>
        <w:t xml:space="preserve"> Psychometrika</w:t>
      </w:r>
      <w:r w:rsidRPr="00C42417">
        <w:rPr>
          <w:noProof/>
        </w:rPr>
        <w:t xml:space="preserve">. doi: </w:t>
      </w:r>
      <w:hyperlink r:id="rId79" w:history="1">
        <w:r w:rsidRPr="00C42417">
          <w:rPr>
            <w:rStyle w:val="Hyperlink"/>
            <w:noProof/>
          </w:rPr>
          <w:t>http://dx.doi.org/10.1007/BF02291481</w:t>
        </w:r>
      </w:hyperlink>
    </w:p>
    <w:p w14:paraId="0B414CF2" w14:textId="77777777" w:rsidR="00C42417" w:rsidRPr="00C42417" w:rsidRDefault="00C42417" w:rsidP="009E7FC8">
      <w:pPr>
        <w:pStyle w:val="EndNoteBibliography"/>
        <w:spacing w:line="480" w:lineRule="auto"/>
        <w:ind w:left="720" w:hanging="720"/>
        <w:rPr>
          <w:noProof/>
        </w:rPr>
      </w:pPr>
      <w:r w:rsidRPr="00C42417">
        <w:rPr>
          <w:noProof/>
        </w:rPr>
        <w:t xml:space="preserve">Macmillan, N. A., &amp; Creelman, C. D. (2005). </w:t>
      </w:r>
      <w:r w:rsidRPr="00C42417">
        <w:rPr>
          <w:i/>
          <w:noProof/>
        </w:rPr>
        <w:t>Detection theory: A user's guide</w:t>
      </w:r>
      <w:r w:rsidRPr="00C42417">
        <w:rPr>
          <w:noProof/>
        </w:rPr>
        <w:t xml:space="preserve"> (2nd ed.). New York, NY: Lawrence Erlbaum Associates.</w:t>
      </w:r>
    </w:p>
    <w:p w14:paraId="34F9657B" w14:textId="5E1B37A9" w:rsidR="00C42417" w:rsidRPr="00C42417" w:rsidRDefault="00C42417" w:rsidP="009E7FC8">
      <w:pPr>
        <w:pStyle w:val="EndNoteBibliography"/>
        <w:spacing w:line="480" w:lineRule="auto"/>
        <w:ind w:left="720" w:hanging="720"/>
        <w:rPr>
          <w:noProof/>
        </w:rPr>
      </w:pPr>
      <w:r w:rsidRPr="00C42417">
        <w:rPr>
          <w:noProof/>
        </w:rPr>
        <w:t xml:space="preserve">Marks, L. E. (1974). On scales of sensation: Prolegomena to any future psychophysics that will be able to come forth as science. </w:t>
      </w:r>
      <w:r w:rsidRPr="00C42417">
        <w:rPr>
          <w:i/>
          <w:noProof/>
        </w:rPr>
        <w:t>Perception &amp; Psychophysics, 16</w:t>
      </w:r>
      <w:r w:rsidRPr="00C42417">
        <w:rPr>
          <w:noProof/>
        </w:rPr>
        <w:t xml:space="preserve">, 358-376. doi: </w:t>
      </w:r>
      <w:hyperlink r:id="rId80" w:history="1">
        <w:r w:rsidRPr="00C42417">
          <w:rPr>
            <w:rStyle w:val="Hyperlink"/>
            <w:noProof/>
          </w:rPr>
          <w:t>https://doi.org/10.3758/BF03203956</w:t>
        </w:r>
      </w:hyperlink>
    </w:p>
    <w:p w14:paraId="1C53FE01" w14:textId="0796702C" w:rsidR="00C42417" w:rsidRPr="00C42417" w:rsidRDefault="00C42417" w:rsidP="009E7FC8">
      <w:pPr>
        <w:pStyle w:val="EndNoteBibliography"/>
        <w:spacing w:line="480" w:lineRule="auto"/>
        <w:ind w:left="720" w:hanging="720"/>
        <w:rPr>
          <w:noProof/>
        </w:rPr>
      </w:pPr>
      <w:r w:rsidRPr="00C42417">
        <w:rPr>
          <w:noProof/>
        </w:rPr>
        <w:t xml:space="preserve">Milosavljevic, M., Malmaud, J., Huth, A., Koch, C., &amp; Rangel, A. (2010). The drift diffusion model can account for the accuracy and reaction time of value-based choices under high and low time pressure. </w:t>
      </w:r>
      <w:r w:rsidRPr="00C42417">
        <w:rPr>
          <w:i/>
          <w:noProof/>
        </w:rPr>
        <w:t>Judgment and Decision Making, 5</w:t>
      </w:r>
      <w:r w:rsidRPr="00C42417">
        <w:rPr>
          <w:noProof/>
        </w:rPr>
        <w:t xml:space="preserve">, 437-449. doi: </w:t>
      </w:r>
      <w:hyperlink r:id="rId81" w:history="1">
        <w:r w:rsidRPr="00C42417">
          <w:rPr>
            <w:rStyle w:val="Hyperlink"/>
            <w:noProof/>
          </w:rPr>
          <w:t>https://doi.org/10.1017/S1930297500001285</w:t>
        </w:r>
      </w:hyperlink>
    </w:p>
    <w:p w14:paraId="013DEA91" w14:textId="5A5B0038" w:rsidR="00C42417" w:rsidRPr="00C42417" w:rsidRDefault="00C42417" w:rsidP="009E7FC8">
      <w:pPr>
        <w:pStyle w:val="EndNoteBibliography"/>
        <w:spacing w:line="480" w:lineRule="auto"/>
        <w:ind w:left="720" w:hanging="720"/>
        <w:rPr>
          <w:noProof/>
        </w:rPr>
      </w:pPr>
      <w:r w:rsidRPr="00C42417">
        <w:rPr>
          <w:noProof/>
        </w:rPr>
        <w:lastRenderedPageBreak/>
        <w:t xml:space="preserve">Misch, A., Fergusson, G., &amp; Dunham, Y. (2018). Temporal dynamics of partisan identity fusion and prosociality during the 2016 US presidential election. </w:t>
      </w:r>
      <w:r w:rsidRPr="00C42417">
        <w:rPr>
          <w:i/>
          <w:noProof/>
        </w:rPr>
        <w:t>Self and Identity, 17</w:t>
      </w:r>
      <w:r w:rsidRPr="00C42417">
        <w:rPr>
          <w:noProof/>
        </w:rPr>
        <w:t xml:space="preserve">, 531-548. doi: </w:t>
      </w:r>
      <w:hyperlink r:id="rId82" w:history="1">
        <w:r w:rsidRPr="00C42417">
          <w:rPr>
            <w:rStyle w:val="Hyperlink"/>
            <w:noProof/>
          </w:rPr>
          <w:t>https://doi.org/10.1080/15298868.2018.1430063</w:t>
        </w:r>
      </w:hyperlink>
    </w:p>
    <w:p w14:paraId="67E0BB48" w14:textId="25973F1D" w:rsidR="00C42417" w:rsidRPr="00C42417" w:rsidRDefault="00C42417" w:rsidP="009E7FC8">
      <w:pPr>
        <w:pStyle w:val="EndNoteBibliography"/>
        <w:spacing w:line="480" w:lineRule="auto"/>
        <w:ind w:left="720" w:hanging="720"/>
        <w:rPr>
          <w:noProof/>
        </w:rPr>
      </w:pPr>
      <w:r w:rsidRPr="00C42417">
        <w:rPr>
          <w:noProof/>
        </w:rPr>
        <w:t xml:space="preserve">Niesta Kayser, D., Greitemeyer, T., Fischer, P., &amp; Frey, D. (2010). Why mood affects help giving, but not moral courage: Comparing two types of prosocial behaviour. </w:t>
      </w:r>
      <w:r w:rsidRPr="00C42417">
        <w:rPr>
          <w:i/>
          <w:noProof/>
        </w:rPr>
        <w:t>European Journal of Social Psychology, 40</w:t>
      </w:r>
      <w:r w:rsidRPr="00C42417">
        <w:rPr>
          <w:noProof/>
        </w:rPr>
        <w:t xml:space="preserve">, 1136-1157. doi: </w:t>
      </w:r>
      <w:hyperlink r:id="rId83" w:history="1">
        <w:r w:rsidRPr="00C42417">
          <w:rPr>
            <w:rStyle w:val="Hyperlink"/>
            <w:noProof/>
          </w:rPr>
          <w:t>http://dx.doi.org/10.1002/ejsp.717</w:t>
        </w:r>
      </w:hyperlink>
    </w:p>
    <w:p w14:paraId="0FA6D968" w14:textId="24DA4479" w:rsidR="00C42417" w:rsidRPr="00C42417" w:rsidRDefault="00C42417" w:rsidP="009E7FC8">
      <w:pPr>
        <w:pStyle w:val="EndNoteBibliography"/>
        <w:spacing w:line="480" w:lineRule="auto"/>
        <w:ind w:left="720" w:hanging="720"/>
        <w:rPr>
          <w:noProof/>
        </w:rPr>
      </w:pPr>
      <w:r w:rsidRPr="00C42417">
        <w:rPr>
          <w:noProof/>
        </w:rPr>
        <w:t xml:space="preserve">Ockenfels, A., &amp; Werner, P. (2014). Beliefs and ingroup favoritism. </w:t>
      </w:r>
      <w:r w:rsidRPr="00C42417">
        <w:rPr>
          <w:i/>
          <w:noProof/>
        </w:rPr>
        <w:t>Journal of Economic Behavior and Organization, 108</w:t>
      </w:r>
      <w:r w:rsidRPr="00C42417">
        <w:rPr>
          <w:noProof/>
        </w:rPr>
        <w:t xml:space="preserve">, 453-462. doi: </w:t>
      </w:r>
      <w:hyperlink r:id="rId84" w:history="1">
        <w:r w:rsidRPr="00C42417">
          <w:rPr>
            <w:rStyle w:val="Hyperlink"/>
            <w:noProof/>
          </w:rPr>
          <w:t>http://dx.doi.org/10.1016/j.jebo.2013.12.003</w:t>
        </w:r>
      </w:hyperlink>
    </w:p>
    <w:p w14:paraId="2B73E821" w14:textId="1CD265E2" w:rsidR="00C42417" w:rsidRPr="00C42417" w:rsidRDefault="00C42417" w:rsidP="009E7FC8">
      <w:pPr>
        <w:pStyle w:val="EndNoteBibliography"/>
        <w:spacing w:line="480" w:lineRule="auto"/>
        <w:ind w:left="720" w:hanging="720"/>
        <w:rPr>
          <w:noProof/>
        </w:rPr>
      </w:pPr>
      <w:r w:rsidRPr="00C42417">
        <w:rPr>
          <w:noProof/>
        </w:rPr>
        <w:t xml:space="preserve">Preston, J. L., &amp; Ritter, R. S. (2013). Different effects of religion and God on prosociality with the ingroup and outgroup. </w:t>
      </w:r>
      <w:r w:rsidRPr="00C42417">
        <w:rPr>
          <w:i/>
          <w:noProof/>
        </w:rPr>
        <w:t>Personality and Social Psychology Bulletin, 39</w:t>
      </w:r>
      <w:r w:rsidRPr="00C42417">
        <w:rPr>
          <w:noProof/>
        </w:rPr>
        <w:t xml:space="preserve">, 1471-1483. doi: </w:t>
      </w:r>
      <w:hyperlink r:id="rId85" w:history="1">
        <w:r w:rsidRPr="00C42417">
          <w:rPr>
            <w:rStyle w:val="Hyperlink"/>
            <w:noProof/>
          </w:rPr>
          <w:t>http://dx.doi.org/10.1177/0146167213499937</w:t>
        </w:r>
      </w:hyperlink>
    </w:p>
    <w:p w14:paraId="62A5AA77" w14:textId="51A79A96" w:rsidR="00C42417" w:rsidRPr="00C42417" w:rsidRDefault="00C42417" w:rsidP="009E7FC8">
      <w:pPr>
        <w:pStyle w:val="EndNoteBibliography"/>
        <w:spacing w:line="480" w:lineRule="auto"/>
        <w:ind w:left="720" w:hanging="720"/>
        <w:rPr>
          <w:noProof/>
        </w:rPr>
      </w:pPr>
      <w:r w:rsidRPr="00C42417">
        <w:rPr>
          <w:noProof/>
        </w:rPr>
        <w:t xml:space="preserve">Rabbie, J. M., Benoist, F., Oosterbaan, H., &amp; Visser, L. (1974). Differential power and effects of expected competitive and cooperative intergroup interaction on intragroup and outgroup attitudes. </w:t>
      </w:r>
      <w:r w:rsidRPr="00C42417">
        <w:rPr>
          <w:i/>
          <w:noProof/>
        </w:rPr>
        <w:t>Journal of Personality and Social Psychology, 30</w:t>
      </w:r>
      <w:r w:rsidRPr="00C42417">
        <w:rPr>
          <w:noProof/>
        </w:rPr>
        <w:t xml:space="preserve">, 46-56. doi: </w:t>
      </w:r>
      <w:hyperlink r:id="rId86" w:history="1">
        <w:r w:rsidRPr="00C42417">
          <w:rPr>
            <w:rStyle w:val="Hyperlink"/>
            <w:noProof/>
          </w:rPr>
          <w:t>https://doi.org/10.1037/h0036620</w:t>
        </w:r>
      </w:hyperlink>
    </w:p>
    <w:p w14:paraId="1E3971AF" w14:textId="750263FB" w:rsidR="00C42417" w:rsidRPr="00C42417" w:rsidRDefault="00C42417" w:rsidP="009E7FC8">
      <w:pPr>
        <w:pStyle w:val="EndNoteBibliography"/>
        <w:spacing w:line="480" w:lineRule="auto"/>
        <w:ind w:left="720" w:hanging="720"/>
        <w:rPr>
          <w:noProof/>
        </w:rPr>
      </w:pPr>
      <w:r w:rsidRPr="00C42417">
        <w:rPr>
          <w:noProof/>
        </w:rPr>
        <w:t xml:space="preserve">Rand, D. G., Peysakhovich, A., Kraft-Todd, G., Newman, G. E., Wurzbacher, O., Nowak, M. A., &amp; Greene, J. D. (2014). Social heuristics shape intuitive cooperation. </w:t>
      </w:r>
      <w:r w:rsidRPr="00C42417">
        <w:rPr>
          <w:i/>
          <w:noProof/>
        </w:rPr>
        <w:t>Nature Communications, 5</w:t>
      </w:r>
      <w:r w:rsidRPr="00C42417">
        <w:rPr>
          <w:noProof/>
        </w:rPr>
        <w:t xml:space="preserve">, 3677. doi: </w:t>
      </w:r>
      <w:hyperlink r:id="rId87" w:history="1">
        <w:r w:rsidRPr="00C42417">
          <w:rPr>
            <w:rStyle w:val="Hyperlink"/>
            <w:noProof/>
          </w:rPr>
          <w:t>http://dx.doi.org/10.1038/ncomms4677</w:t>
        </w:r>
      </w:hyperlink>
    </w:p>
    <w:p w14:paraId="31FBB57E" w14:textId="77777777" w:rsidR="00C42417" w:rsidRPr="00C42417" w:rsidRDefault="00C42417" w:rsidP="009E7FC8">
      <w:pPr>
        <w:pStyle w:val="EndNoteBibliography"/>
        <w:spacing w:line="480" w:lineRule="auto"/>
        <w:ind w:left="720" w:hanging="720"/>
        <w:rPr>
          <w:noProof/>
        </w:rPr>
      </w:pPr>
      <w:r w:rsidRPr="00C42417">
        <w:rPr>
          <w:noProof/>
        </w:rPr>
        <w:t xml:space="preserve">Rangel, A., &amp; Clithero, J. A. (2014). The computation of stimulus values in simple choice </w:t>
      </w:r>
      <w:r w:rsidRPr="00C42417">
        <w:rPr>
          <w:i/>
          <w:noProof/>
        </w:rPr>
        <w:t>Neuroeconomics</w:t>
      </w:r>
      <w:r w:rsidRPr="00C42417">
        <w:rPr>
          <w:noProof/>
        </w:rPr>
        <w:t xml:space="preserve"> (pp. 125-148): Academic Press.</w:t>
      </w:r>
    </w:p>
    <w:p w14:paraId="7B2B91E4" w14:textId="0B7DD39B" w:rsidR="00C42417" w:rsidRPr="00C42417" w:rsidRDefault="00C42417" w:rsidP="009E7FC8">
      <w:pPr>
        <w:pStyle w:val="EndNoteBibliography"/>
        <w:spacing w:line="480" w:lineRule="auto"/>
        <w:ind w:left="720" w:hanging="720"/>
        <w:rPr>
          <w:noProof/>
        </w:rPr>
      </w:pPr>
      <w:r w:rsidRPr="00C42417">
        <w:rPr>
          <w:noProof/>
        </w:rPr>
        <w:t xml:space="preserve">Ratcliff, R. (1978). A theory of memory retrieval. </w:t>
      </w:r>
      <w:r w:rsidRPr="00C42417">
        <w:rPr>
          <w:i/>
          <w:noProof/>
        </w:rPr>
        <w:t>Psychological Review, 85</w:t>
      </w:r>
      <w:r w:rsidRPr="00C42417">
        <w:rPr>
          <w:noProof/>
        </w:rPr>
        <w:t xml:space="preserve">, 59-108. doi: </w:t>
      </w:r>
      <w:hyperlink r:id="rId88" w:history="1">
        <w:r w:rsidRPr="00C42417">
          <w:rPr>
            <w:rStyle w:val="Hyperlink"/>
            <w:noProof/>
          </w:rPr>
          <w:t>http://dx.doi.org/10.1037/0033-295X.85.2.59</w:t>
        </w:r>
      </w:hyperlink>
    </w:p>
    <w:p w14:paraId="092244AD" w14:textId="66C5F552" w:rsidR="00C42417" w:rsidRPr="00C42417" w:rsidRDefault="00C42417" w:rsidP="009E7FC8">
      <w:pPr>
        <w:pStyle w:val="EndNoteBibliography"/>
        <w:spacing w:line="480" w:lineRule="auto"/>
        <w:ind w:left="720" w:hanging="720"/>
        <w:rPr>
          <w:noProof/>
        </w:rPr>
      </w:pPr>
      <w:r w:rsidRPr="00C42417">
        <w:rPr>
          <w:noProof/>
        </w:rPr>
        <w:lastRenderedPageBreak/>
        <w:t xml:space="preserve">Ratcliff, R., &amp; Rouder, J. N. (1998). Modeling response times for two-choice decisions. </w:t>
      </w:r>
      <w:r w:rsidRPr="00C42417">
        <w:rPr>
          <w:i/>
          <w:noProof/>
        </w:rPr>
        <w:t>Psychological Science, 9</w:t>
      </w:r>
      <w:r w:rsidRPr="00C42417">
        <w:rPr>
          <w:noProof/>
        </w:rPr>
        <w:t xml:space="preserve">, 347-356. doi: </w:t>
      </w:r>
      <w:hyperlink r:id="rId89" w:history="1">
        <w:r w:rsidRPr="00C42417">
          <w:rPr>
            <w:rStyle w:val="Hyperlink"/>
            <w:noProof/>
          </w:rPr>
          <w:t>https://doi.org/10.1111/1467-9280.00067</w:t>
        </w:r>
      </w:hyperlink>
    </w:p>
    <w:p w14:paraId="6D500C8E" w14:textId="3D2BEF2E" w:rsidR="00C42417" w:rsidRPr="00C42417" w:rsidRDefault="00C42417" w:rsidP="009E7FC8">
      <w:pPr>
        <w:pStyle w:val="EndNoteBibliography"/>
        <w:spacing w:line="480" w:lineRule="auto"/>
        <w:ind w:left="720" w:hanging="720"/>
        <w:rPr>
          <w:noProof/>
        </w:rPr>
      </w:pPr>
      <w:r w:rsidRPr="00C42417">
        <w:rPr>
          <w:noProof/>
        </w:rPr>
        <w:t xml:space="preserve">Ratcliff, R., Smith, P. L., &amp; McKoon, G. (2015). Modeling regularities in response time and accuracy data with the diffusion model. </w:t>
      </w:r>
      <w:r w:rsidRPr="00C42417">
        <w:rPr>
          <w:i/>
          <w:noProof/>
        </w:rPr>
        <w:t>Current Directions in Psychological Science, 24</w:t>
      </w:r>
      <w:r w:rsidRPr="00C42417">
        <w:rPr>
          <w:noProof/>
        </w:rPr>
        <w:t xml:space="preserve">, 458-470. doi: </w:t>
      </w:r>
      <w:hyperlink r:id="rId90" w:history="1">
        <w:r w:rsidRPr="00C42417">
          <w:rPr>
            <w:rStyle w:val="Hyperlink"/>
            <w:noProof/>
          </w:rPr>
          <w:t>http://dx.doi.org/10.1177/0963721415596228</w:t>
        </w:r>
      </w:hyperlink>
    </w:p>
    <w:p w14:paraId="1C8E396C" w14:textId="77E09C10" w:rsidR="00C42417" w:rsidRPr="00C42417" w:rsidRDefault="00C42417" w:rsidP="009E7FC8">
      <w:pPr>
        <w:pStyle w:val="EndNoteBibliography"/>
        <w:spacing w:line="480" w:lineRule="auto"/>
        <w:ind w:left="720" w:hanging="720"/>
        <w:rPr>
          <w:noProof/>
        </w:rPr>
      </w:pPr>
      <w:r w:rsidRPr="00C42417">
        <w:rPr>
          <w:noProof/>
        </w:rPr>
        <w:t xml:space="preserve">Reed II, A., &amp; Aquino, K. F. (2003). Moral identity and the expanding circle of moral regard toward out-groups. </w:t>
      </w:r>
      <w:r w:rsidRPr="00C42417">
        <w:rPr>
          <w:i/>
          <w:noProof/>
        </w:rPr>
        <w:t>Journal of Personality and Social Psychology, 84</w:t>
      </w:r>
      <w:r w:rsidRPr="00C42417">
        <w:rPr>
          <w:noProof/>
        </w:rPr>
        <w:t xml:space="preserve">, 1270-1286. doi: </w:t>
      </w:r>
      <w:hyperlink r:id="rId91" w:history="1">
        <w:r w:rsidRPr="00C42417">
          <w:rPr>
            <w:rStyle w:val="Hyperlink"/>
            <w:noProof/>
          </w:rPr>
          <w:t>http://dx.doi.org/10.1037/0022-3514.84.6.1270</w:t>
        </w:r>
      </w:hyperlink>
    </w:p>
    <w:p w14:paraId="27A1F87E" w14:textId="19634AC6" w:rsidR="00C42417" w:rsidRPr="00C42417" w:rsidRDefault="00C42417" w:rsidP="009E7FC8">
      <w:pPr>
        <w:pStyle w:val="EndNoteBibliography"/>
        <w:spacing w:line="480" w:lineRule="auto"/>
        <w:ind w:left="720" w:hanging="720"/>
        <w:rPr>
          <w:noProof/>
        </w:rPr>
      </w:pPr>
      <w:r w:rsidRPr="00C42417">
        <w:rPr>
          <w:noProof/>
        </w:rPr>
        <w:t xml:space="preserve">Simon, B., Stürmer, S., &amp; Steffens, K. (2000). Helping individuals or group members? The role of individual and collective identification in AIDS volunteerism. </w:t>
      </w:r>
      <w:r w:rsidRPr="00C42417">
        <w:rPr>
          <w:i/>
          <w:noProof/>
        </w:rPr>
        <w:t>Personality and Social Psychology Bulletin, 26</w:t>
      </w:r>
      <w:r w:rsidRPr="00C42417">
        <w:rPr>
          <w:noProof/>
        </w:rPr>
        <w:t xml:space="preserve">, 5-16. doi: </w:t>
      </w:r>
      <w:hyperlink r:id="rId92" w:history="1">
        <w:r w:rsidRPr="00C42417">
          <w:rPr>
            <w:rStyle w:val="Hyperlink"/>
            <w:noProof/>
          </w:rPr>
          <w:t>http://dx.doi.org/10.1177/0146167200266008</w:t>
        </w:r>
      </w:hyperlink>
    </w:p>
    <w:p w14:paraId="52EA2DAD" w14:textId="01522DC4" w:rsidR="00C42417" w:rsidRPr="00C42417" w:rsidRDefault="00C42417" w:rsidP="009E7FC8">
      <w:pPr>
        <w:pStyle w:val="EndNoteBibliography"/>
        <w:spacing w:line="480" w:lineRule="auto"/>
        <w:ind w:left="720" w:hanging="720"/>
        <w:rPr>
          <w:noProof/>
        </w:rPr>
      </w:pPr>
      <w:r w:rsidRPr="00C42417">
        <w:rPr>
          <w:noProof/>
        </w:rPr>
        <w:t xml:space="preserve">Small, D. A., &amp; Loewenstein, G. (2003). Helping a victim or helping the victim: Altruism and identifiability. </w:t>
      </w:r>
      <w:r w:rsidRPr="00C42417">
        <w:rPr>
          <w:i/>
          <w:noProof/>
        </w:rPr>
        <w:t>Jourrnal of Risk and uncertainty, 26</w:t>
      </w:r>
      <w:r w:rsidRPr="00C42417">
        <w:rPr>
          <w:noProof/>
        </w:rPr>
        <w:t xml:space="preserve">, 5-16. doi: </w:t>
      </w:r>
      <w:hyperlink r:id="rId93" w:history="1">
        <w:r w:rsidRPr="00C42417">
          <w:rPr>
            <w:rStyle w:val="Hyperlink"/>
            <w:noProof/>
          </w:rPr>
          <w:t>http://dx.doi.org/0.1023/A:1022299422219</w:t>
        </w:r>
      </w:hyperlink>
    </w:p>
    <w:p w14:paraId="0FB838EA" w14:textId="35906778" w:rsidR="00C42417" w:rsidRPr="00C42417" w:rsidRDefault="00C42417" w:rsidP="009E7FC8">
      <w:pPr>
        <w:pStyle w:val="EndNoteBibliography"/>
        <w:spacing w:line="480" w:lineRule="auto"/>
        <w:ind w:left="720" w:hanging="720"/>
        <w:rPr>
          <w:noProof/>
        </w:rPr>
      </w:pPr>
      <w:r w:rsidRPr="00C42417">
        <w:rPr>
          <w:noProof/>
        </w:rPr>
        <w:t xml:space="preserve">Small, D. A., &amp; Simonsohn, U. (2008). Friends of victims: Personal experience and prosocial behavior. </w:t>
      </w:r>
      <w:r w:rsidRPr="00C42417">
        <w:rPr>
          <w:i/>
          <w:noProof/>
        </w:rPr>
        <w:t>Journal of Consumer Research, 35</w:t>
      </w:r>
      <w:r w:rsidRPr="00C42417">
        <w:rPr>
          <w:noProof/>
        </w:rPr>
        <w:t xml:space="preserve">, 532-542. doi: </w:t>
      </w:r>
      <w:hyperlink r:id="rId94" w:history="1">
        <w:r w:rsidRPr="00C42417">
          <w:rPr>
            <w:rStyle w:val="Hyperlink"/>
            <w:noProof/>
          </w:rPr>
          <w:t>https://doi.org/10.1086/527268</w:t>
        </w:r>
      </w:hyperlink>
    </w:p>
    <w:p w14:paraId="31B3480F" w14:textId="77777777" w:rsidR="00C42417" w:rsidRPr="00C42417" w:rsidRDefault="00C42417" w:rsidP="009E7FC8">
      <w:pPr>
        <w:pStyle w:val="EndNoteBibliography"/>
        <w:spacing w:line="480" w:lineRule="auto"/>
        <w:ind w:left="720" w:hanging="720"/>
        <w:rPr>
          <w:noProof/>
        </w:rPr>
      </w:pPr>
      <w:r w:rsidRPr="00C42417">
        <w:rPr>
          <w:noProof/>
        </w:rPr>
        <w:t xml:space="preserve">Smith, V. L. (1989). Theory, experiment and economics. </w:t>
      </w:r>
      <w:r w:rsidRPr="00C42417">
        <w:rPr>
          <w:i/>
          <w:noProof/>
        </w:rPr>
        <w:t>Journal of Economic Perspectives, 3</w:t>
      </w:r>
      <w:r w:rsidRPr="00C42417">
        <w:rPr>
          <w:noProof/>
        </w:rPr>
        <w:t xml:space="preserve">, 151-169. </w:t>
      </w:r>
    </w:p>
    <w:p w14:paraId="18E2A40D" w14:textId="5ACB307B" w:rsidR="00C42417" w:rsidRPr="00C42417" w:rsidRDefault="00C42417" w:rsidP="009E7FC8">
      <w:pPr>
        <w:pStyle w:val="EndNoteBibliography"/>
        <w:spacing w:line="480" w:lineRule="auto"/>
        <w:ind w:left="720" w:hanging="720"/>
        <w:rPr>
          <w:noProof/>
        </w:rPr>
      </w:pPr>
      <w:r w:rsidRPr="00C42417">
        <w:rPr>
          <w:noProof/>
        </w:rPr>
        <w:t xml:space="preserve">Stephenson, G. M., Skinner, M., &amp; Brotherton, C. J. (1976). Group participation and intergroup relations: An experimental study of negotiation groups. </w:t>
      </w:r>
      <w:r w:rsidRPr="00C42417">
        <w:rPr>
          <w:i/>
          <w:noProof/>
        </w:rPr>
        <w:t>European Journal of Social Psychology, 6</w:t>
      </w:r>
      <w:r w:rsidRPr="00C42417">
        <w:rPr>
          <w:noProof/>
        </w:rPr>
        <w:t xml:space="preserve">, 51-70. doi: </w:t>
      </w:r>
      <w:hyperlink r:id="rId95" w:history="1">
        <w:r w:rsidRPr="00C42417">
          <w:rPr>
            <w:rStyle w:val="Hyperlink"/>
            <w:noProof/>
          </w:rPr>
          <w:t>https://doi.org/10.1002/ejsp.2420060105</w:t>
        </w:r>
      </w:hyperlink>
    </w:p>
    <w:p w14:paraId="557E5344" w14:textId="6A8CE24D" w:rsidR="00C42417" w:rsidRPr="00C42417" w:rsidRDefault="00C42417" w:rsidP="009E7FC8">
      <w:pPr>
        <w:pStyle w:val="EndNoteBibliography"/>
        <w:spacing w:line="480" w:lineRule="auto"/>
        <w:ind w:left="720" w:hanging="720"/>
        <w:rPr>
          <w:noProof/>
        </w:rPr>
      </w:pPr>
      <w:r w:rsidRPr="00C42417">
        <w:rPr>
          <w:noProof/>
        </w:rPr>
        <w:lastRenderedPageBreak/>
        <w:t xml:space="preserve">Stevens, S. S. (1956). The direct estimation of sensory magnitudes-loudness. </w:t>
      </w:r>
      <w:r w:rsidRPr="00C42417">
        <w:rPr>
          <w:i/>
          <w:noProof/>
        </w:rPr>
        <w:t>The American Journal of Psychology, 69</w:t>
      </w:r>
      <w:r w:rsidRPr="00C42417">
        <w:rPr>
          <w:noProof/>
        </w:rPr>
        <w:t xml:space="preserve">, 1-25. doi: </w:t>
      </w:r>
      <w:hyperlink r:id="rId96" w:history="1">
        <w:r w:rsidRPr="00C42417">
          <w:rPr>
            <w:rStyle w:val="Hyperlink"/>
            <w:noProof/>
          </w:rPr>
          <w:t>http://www.jstor.org/stable/1418112</w:t>
        </w:r>
      </w:hyperlink>
    </w:p>
    <w:p w14:paraId="2E7B12C8" w14:textId="77777777" w:rsidR="00C42417" w:rsidRPr="00C42417" w:rsidRDefault="00C42417" w:rsidP="009E7FC8">
      <w:pPr>
        <w:pStyle w:val="EndNoteBibliography"/>
        <w:spacing w:line="480" w:lineRule="auto"/>
        <w:ind w:left="720" w:hanging="720"/>
        <w:rPr>
          <w:noProof/>
        </w:rPr>
      </w:pPr>
      <w:r w:rsidRPr="00C42417">
        <w:rPr>
          <w:noProof/>
        </w:rPr>
        <w:t xml:space="preserve">Stevens, S. S. (1975). </w:t>
      </w:r>
      <w:r w:rsidRPr="00C42417">
        <w:rPr>
          <w:i/>
          <w:noProof/>
        </w:rPr>
        <w:t>Psychophysics: Introduction to its Perceptual, Neural, and Social Prospects</w:t>
      </w:r>
      <w:r w:rsidRPr="00C42417">
        <w:rPr>
          <w:noProof/>
        </w:rPr>
        <w:t>. New York: Wiley.</w:t>
      </w:r>
    </w:p>
    <w:p w14:paraId="0B0B344A" w14:textId="77777777" w:rsidR="00C42417" w:rsidRPr="00C42417" w:rsidRDefault="00C42417" w:rsidP="009E7FC8">
      <w:pPr>
        <w:pStyle w:val="EndNoteBibliography"/>
        <w:spacing w:line="480" w:lineRule="auto"/>
        <w:ind w:left="720" w:hanging="720"/>
        <w:rPr>
          <w:noProof/>
        </w:rPr>
      </w:pPr>
      <w:r w:rsidRPr="00C42417">
        <w:rPr>
          <w:noProof/>
        </w:rPr>
        <w:t xml:space="preserve">Stigler, G. J. (1950). The development of utility theory. I. </w:t>
      </w:r>
      <w:r w:rsidRPr="00C42417">
        <w:rPr>
          <w:i/>
          <w:noProof/>
        </w:rPr>
        <w:t>Journal of Political Economy, 58</w:t>
      </w:r>
      <w:r w:rsidRPr="00C42417">
        <w:rPr>
          <w:noProof/>
        </w:rPr>
        <w:t xml:space="preserve">, 307-327. </w:t>
      </w:r>
    </w:p>
    <w:p w14:paraId="38130F49" w14:textId="7A939EA6" w:rsidR="00C42417" w:rsidRPr="00C42417" w:rsidRDefault="00C42417" w:rsidP="009E7FC8">
      <w:pPr>
        <w:pStyle w:val="EndNoteBibliography"/>
        <w:spacing w:line="480" w:lineRule="auto"/>
        <w:ind w:left="720" w:hanging="720"/>
        <w:rPr>
          <w:noProof/>
        </w:rPr>
      </w:pPr>
      <w:r w:rsidRPr="00C42417">
        <w:rPr>
          <w:noProof/>
        </w:rPr>
        <w:t xml:space="preserve">Sugden, R. (1984). Reciprocity: the supply of public goods through voluntary contributions. </w:t>
      </w:r>
      <w:r w:rsidRPr="00C42417">
        <w:rPr>
          <w:i/>
          <w:noProof/>
        </w:rPr>
        <w:t>The Economic Journal, 94</w:t>
      </w:r>
      <w:r w:rsidRPr="00C42417">
        <w:rPr>
          <w:noProof/>
        </w:rPr>
        <w:t xml:space="preserve">, 772-787. doi: </w:t>
      </w:r>
      <w:hyperlink r:id="rId97" w:history="1">
        <w:r w:rsidRPr="00C42417">
          <w:rPr>
            <w:rStyle w:val="Hyperlink"/>
            <w:noProof/>
          </w:rPr>
          <w:t>https://doi.org/10.2307/2232294</w:t>
        </w:r>
      </w:hyperlink>
    </w:p>
    <w:p w14:paraId="130672FA" w14:textId="6665E26B" w:rsidR="00C42417" w:rsidRPr="00C42417" w:rsidRDefault="00C42417" w:rsidP="009E7FC8">
      <w:pPr>
        <w:pStyle w:val="EndNoteBibliography"/>
        <w:spacing w:line="480" w:lineRule="auto"/>
        <w:ind w:left="720" w:hanging="720"/>
        <w:rPr>
          <w:noProof/>
        </w:rPr>
      </w:pPr>
      <w:r w:rsidRPr="00C42417">
        <w:rPr>
          <w:noProof/>
        </w:rPr>
        <w:t xml:space="preserve">Tajfel, H. (1970). Experiments in intergroup discrimination. </w:t>
      </w:r>
      <w:r w:rsidRPr="00C42417">
        <w:rPr>
          <w:i/>
          <w:noProof/>
        </w:rPr>
        <w:t>Scientific American, 223</w:t>
      </w:r>
      <w:r w:rsidRPr="00C42417">
        <w:rPr>
          <w:noProof/>
        </w:rPr>
        <w:t xml:space="preserve">, 96-103. doi: </w:t>
      </w:r>
      <w:hyperlink r:id="rId98" w:history="1">
        <w:r w:rsidRPr="00C42417">
          <w:rPr>
            <w:rStyle w:val="Hyperlink"/>
            <w:noProof/>
          </w:rPr>
          <w:t>https://www.jstor.org/stable/10.2307/24927662</w:t>
        </w:r>
      </w:hyperlink>
    </w:p>
    <w:p w14:paraId="691D53F3" w14:textId="2CAF3114" w:rsidR="00C42417" w:rsidRPr="00C42417" w:rsidRDefault="00C42417" w:rsidP="009E7FC8">
      <w:pPr>
        <w:pStyle w:val="EndNoteBibliography"/>
        <w:spacing w:line="480" w:lineRule="auto"/>
        <w:ind w:left="720" w:hanging="720"/>
        <w:rPr>
          <w:noProof/>
        </w:rPr>
      </w:pPr>
      <w:r w:rsidRPr="00C42417">
        <w:rPr>
          <w:noProof/>
        </w:rPr>
        <w:t xml:space="preserve">Tajfel, H., Billig, M., Bundy, R. P., &amp; Flament, C. (1971). Social categorization and intergroup behaviour. </w:t>
      </w:r>
      <w:r w:rsidRPr="00C42417">
        <w:rPr>
          <w:i/>
          <w:noProof/>
        </w:rPr>
        <w:t>European Journal of Social Psychology, 1</w:t>
      </w:r>
      <w:r w:rsidRPr="00C42417">
        <w:rPr>
          <w:noProof/>
        </w:rPr>
        <w:t xml:space="preserve">, 149-178. doi: </w:t>
      </w:r>
      <w:hyperlink r:id="rId99" w:history="1">
        <w:r w:rsidRPr="00C42417">
          <w:rPr>
            <w:rStyle w:val="Hyperlink"/>
            <w:noProof/>
          </w:rPr>
          <w:t>http://dx.doi.org/10.1002/ejsp.2420010202</w:t>
        </w:r>
      </w:hyperlink>
    </w:p>
    <w:p w14:paraId="6A16B024" w14:textId="18E93CBE" w:rsidR="00C42417" w:rsidRPr="00C42417" w:rsidRDefault="00C42417" w:rsidP="009E7FC8">
      <w:pPr>
        <w:pStyle w:val="EndNoteBibliography"/>
        <w:spacing w:line="480" w:lineRule="auto"/>
        <w:ind w:left="720" w:hanging="720"/>
        <w:rPr>
          <w:noProof/>
        </w:rPr>
      </w:pPr>
      <w:r w:rsidRPr="00C42417">
        <w:rPr>
          <w:noProof/>
        </w:rPr>
        <w:t xml:space="preserve">Thornhill, R., &amp; Gangstad, S. W. (1999). Facial attractiveness. </w:t>
      </w:r>
      <w:r w:rsidRPr="00C42417">
        <w:rPr>
          <w:i/>
          <w:noProof/>
        </w:rPr>
        <w:t>Trends in Cognitive Sciences, 3</w:t>
      </w:r>
      <w:r w:rsidRPr="00C42417">
        <w:rPr>
          <w:noProof/>
        </w:rPr>
        <w:t xml:space="preserve">, 452-460. doi: </w:t>
      </w:r>
      <w:hyperlink r:id="rId100" w:history="1">
        <w:r w:rsidRPr="00C42417">
          <w:rPr>
            <w:rStyle w:val="Hyperlink"/>
            <w:noProof/>
          </w:rPr>
          <w:t>https://doi.org/10.1016/S1364-6613(99)01403-5</w:t>
        </w:r>
      </w:hyperlink>
    </w:p>
    <w:p w14:paraId="167B42DC" w14:textId="25A59E7E" w:rsidR="00C42417" w:rsidRPr="00C42417" w:rsidRDefault="00C42417" w:rsidP="009E7FC8">
      <w:pPr>
        <w:pStyle w:val="EndNoteBibliography"/>
        <w:spacing w:line="480" w:lineRule="auto"/>
        <w:ind w:left="720" w:hanging="720"/>
        <w:rPr>
          <w:noProof/>
        </w:rPr>
      </w:pPr>
      <w:r w:rsidRPr="00C42417">
        <w:rPr>
          <w:noProof/>
        </w:rPr>
        <w:t xml:space="preserve">Voss, A., Voss, J., &amp; Lerche, V. (2015). Assessing cognitive processes with diffusion model analyses: A tutorial based on fast-dm-30. </w:t>
      </w:r>
      <w:r w:rsidRPr="00C42417">
        <w:rPr>
          <w:i/>
          <w:noProof/>
        </w:rPr>
        <w:t>Frontiers in Psychology, 6</w:t>
      </w:r>
      <w:r w:rsidRPr="00C42417">
        <w:rPr>
          <w:noProof/>
        </w:rPr>
        <w:t xml:space="preserve">. doi: </w:t>
      </w:r>
      <w:hyperlink r:id="rId101" w:history="1">
        <w:r w:rsidRPr="00C42417">
          <w:rPr>
            <w:rStyle w:val="Hyperlink"/>
            <w:noProof/>
          </w:rPr>
          <w:t>https://doi.org/10.3389/fpsyg.2015.00336</w:t>
        </w:r>
      </w:hyperlink>
    </w:p>
    <w:p w14:paraId="1A5A5D2F" w14:textId="77777777" w:rsidR="00C42417" w:rsidRPr="00C42417" w:rsidRDefault="00C42417" w:rsidP="009E7FC8">
      <w:pPr>
        <w:pStyle w:val="EndNoteBibliography"/>
        <w:spacing w:line="480" w:lineRule="auto"/>
        <w:ind w:left="720" w:hanging="720"/>
        <w:rPr>
          <w:noProof/>
        </w:rPr>
      </w:pPr>
      <w:r w:rsidRPr="00C42417">
        <w:rPr>
          <w:noProof/>
        </w:rPr>
        <w:t xml:space="preserve">Watson, M. V. S. (2015). Mueller and Mises: Integrating the gift and “final distribution” with Praxeology. </w:t>
      </w:r>
      <w:r w:rsidRPr="00C42417">
        <w:rPr>
          <w:i/>
          <w:noProof/>
        </w:rPr>
        <w:t>The Quarterly Journal of Austrian Economics, 18</w:t>
      </w:r>
      <w:r w:rsidRPr="00C42417">
        <w:rPr>
          <w:noProof/>
        </w:rPr>
        <w:t xml:space="preserve">, 173-202. </w:t>
      </w:r>
    </w:p>
    <w:p w14:paraId="204430A3" w14:textId="560EC973" w:rsidR="00C42417" w:rsidRPr="00C42417" w:rsidRDefault="00C42417" w:rsidP="009E7FC8">
      <w:pPr>
        <w:pStyle w:val="EndNoteBibliography"/>
        <w:spacing w:line="480" w:lineRule="auto"/>
        <w:ind w:left="720" w:hanging="720"/>
        <w:rPr>
          <w:noProof/>
        </w:rPr>
      </w:pPr>
      <w:r w:rsidRPr="00C42417">
        <w:rPr>
          <w:noProof/>
        </w:rPr>
        <w:t xml:space="preserve">Yamagishi, T., Matsmoto, Y., Kiyonari, T., Takagishi, H., Li, Y., Kanai, R., &amp; Sakagami, M. (2017). Response time in economic games reflects different types of decision conflict for </w:t>
      </w:r>
      <w:r w:rsidRPr="00C42417">
        <w:rPr>
          <w:noProof/>
        </w:rPr>
        <w:lastRenderedPageBreak/>
        <w:t xml:space="preserve">prosocial and proself individuals. </w:t>
      </w:r>
      <w:r w:rsidRPr="00C42417">
        <w:rPr>
          <w:i/>
          <w:noProof/>
        </w:rPr>
        <w:t>Proceedings of the National Academy of Sciences, 114</w:t>
      </w:r>
      <w:r w:rsidRPr="00C42417">
        <w:rPr>
          <w:noProof/>
        </w:rPr>
        <w:t xml:space="preserve">, 6394-6399. doi: </w:t>
      </w:r>
      <w:hyperlink r:id="rId102" w:history="1">
        <w:r w:rsidRPr="00C42417">
          <w:rPr>
            <w:rStyle w:val="Hyperlink"/>
            <w:noProof/>
          </w:rPr>
          <w:t>https://doi.org/10.1073/pnas.1608877114</w:t>
        </w:r>
      </w:hyperlink>
    </w:p>
    <w:p w14:paraId="64B68130" w14:textId="38CDA814" w:rsidR="00C42417" w:rsidRPr="00C42417" w:rsidRDefault="00C42417" w:rsidP="009E7FC8">
      <w:pPr>
        <w:pStyle w:val="EndNoteBibliography"/>
        <w:spacing w:line="480" w:lineRule="auto"/>
        <w:ind w:left="720" w:hanging="720"/>
        <w:rPr>
          <w:noProof/>
        </w:rPr>
      </w:pPr>
      <w:r w:rsidRPr="00C42417">
        <w:rPr>
          <w:noProof/>
        </w:rPr>
        <w:t xml:space="preserve">Zagefka, H., Noor, M., Brown, R., de Moura, G. R., &amp; Hopthrow, T. (2011). Donating to disaster victims: Responses to natural and humanly caused events. </w:t>
      </w:r>
      <w:r w:rsidRPr="00C42417">
        <w:rPr>
          <w:i/>
          <w:noProof/>
        </w:rPr>
        <w:t>European Journal of Social Psychology, 41</w:t>
      </w:r>
      <w:r w:rsidRPr="00C42417">
        <w:rPr>
          <w:noProof/>
        </w:rPr>
        <w:t xml:space="preserve">, 353-363. doi: </w:t>
      </w:r>
      <w:hyperlink r:id="rId103" w:history="1">
        <w:r w:rsidRPr="00C42417">
          <w:rPr>
            <w:rStyle w:val="Hyperlink"/>
            <w:noProof/>
          </w:rPr>
          <w:t>http://dx.doi.org/10.1002/ejsp.781</w:t>
        </w:r>
      </w:hyperlink>
    </w:p>
    <w:p w14:paraId="684DB3D1" w14:textId="78941A01" w:rsidR="00CA49B3" w:rsidRPr="00C44E5F" w:rsidRDefault="00AA59EB" w:rsidP="00CF7058">
      <w:pPr>
        <w:spacing w:line="480" w:lineRule="auto"/>
      </w:pPr>
      <w:r w:rsidRPr="00C44E5F">
        <w:rPr>
          <w:color w:val="000000" w:themeColor="text1"/>
        </w:rPr>
        <w:fldChar w:fldCharType="end"/>
      </w:r>
    </w:p>
    <w:p w14:paraId="6BCC8C82" w14:textId="77777777" w:rsidR="006B227D" w:rsidRPr="00C44E5F" w:rsidRDefault="006B227D" w:rsidP="009E7FC8">
      <w:pPr>
        <w:spacing w:line="480" w:lineRule="auto"/>
      </w:pPr>
      <w:r w:rsidRPr="00C44E5F">
        <w:br w:type="page"/>
      </w:r>
    </w:p>
    <w:p w14:paraId="2FF8D76B" w14:textId="77777777" w:rsidR="006B227D" w:rsidRPr="002D6464" w:rsidRDefault="006B227D" w:rsidP="002D6464">
      <w:pPr>
        <w:spacing w:line="480" w:lineRule="auto"/>
        <w:jc w:val="center"/>
        <w:rPr>
          <w:b/>
          <w:bCs/>
        </w:rPr>
      </w:pPr>
      <w:r w:rsidRPr="002D6464">
        <w:rPr>
          <w:b/>
          <w:bCs/>
        </w:rPr>
        <w:lastRenderedPageBreak/>
        <w:t>Appendix A</w:t>
      </w:r>
    </w:p>
    <w:p w14:paraId="786CE91A" w14:textId="091DAE63" w:rsidR="006B227D" w:rsidRDefault="006B227D" w:rsidP="002D6464">
      <w:pPr>
        <w:spacing w:line="480" w:lineRule="auto"/>
      </w:pPr>
      <w:r>
        <w:tab/>
        <w:t xml:space="preserve">PVT holds that when presented </w:t>
      </w:r>
      <w:r w:rsidR="007F71F3">
        <w:t xml:space="preserve">with </w:t>
      </w:r>
      <w:r>
        <w:t>a yes/no task, the respondent compares the item to a Threshold Distribution (TD).  Whereas one may have a specific hypothesis about the moments of this distribution (based on utility functions, etc.), more often that distribution is unknown.  As such, the researcher must infer the TD from the data.  There are many ways to do this.  In a traditional VSSP, the distributional overlap is inferred for each stimulus/condition from the data while fitting the VSSP model (</w:t>
      </w:r>
      <w:r w:rsidR="00524FD9">
        <w:t xml:space="preserve">Voss et al., </w:t>
      </w:r>
      <w:r w:rsidR="00524FD9">
        <w:fldChar w:fldCharType="begin"/>
      </w:r>
      <w:r w:rsidR="0019503B">
        <w:instrText xml:space="preserve"> ADDIN EN.CITE &lt;EndNote&gt;&lt;Cite&gt;&lt;Author&gt;Voss&lt;/Author&gt;&lt;Year&gt;2015&lt;/Year&gt;&lt;RecNum&gt;2690&lt;/RecNum&gt;&lt;DisplayText&gt;2015&lt;/DisplayText&gt;&lt;record&gt;&lt;rec-number&gt;2690&lt;/rec-number&gt;&lt;foreign-keys&gt;&lt;key app="EN" db-id="w0tztzf0h2dft0eaewxxtpr4exwxf90s525w" timestamp="1660139024" guid="e5a51b88-dd56-4074-a061-e6607416110d"&gt;2690&lt;/key&gt;&lt;/foreign-keys&gt;&lt;ref-type name="Journal Article"&gt;17&lt;/ref-type&gt;&lt;contributors&gt;&lt;authors&gt;&lt;author&gt;Voss, A&lt;/author&gt;&lt;author&gt;Voss, J&lt;/author&gt;&lt;author&gt;Lerche, V&lt;/author&gt;&lt;/authors&gt;&lt;/contributors&gt;&lt;titles&gt;&lt;title&gt; Assessing cognitive processes with diffusion model analyses: A tutorial based on fast-dm-30&lt;/title&gt;&lt;secondary-title&gt;Frontiers in Psychology&lt;/secondary-title&gt;&lt;/titles&gt;&lt;periodical&gt;&lt;full-title&gt;Frontiers in Psychology&lt;/full-title&gt;&lt;abbr-1&gt;Front. Psychol.&lt;/abbr-1&gt;&lt;/periodical&gt;&lt;volume&gt;6&lt;/volume&gt;&lt;section&gt;336&lt;/section&gt;&lt;dates&gt;&lt;year&gt;2015&lt;/year&gt;&lt;/dates&gt;&lt;urls&gt;&lt;/urls&gt;&lt;electronic-resource-num&gt;https://doi.org/10.3389/fpsyg.2015.00336&lt;/electronic-resource-num&gt;&lt;/record&gt;&lt;/Cite&gt;&lt;/EndNote&gt;</w:instrText>
      </w:r>
      <w:r w:rsidR="00524FD9">
        <w:fldChar w:fldCharType="separate"/>
      </w:r>
      <w:r w:rsidR="00524FD9">
        <w:rPr>
          <w:noProof/>
        </w:rPr>
        <w:t>2015</w:t>
      </w:r>
      <w:r w:rsidR="00524FD9">
        <w:fldChar w:fldCharType="end"/>
      </w:r>
      <w:r w:rsidR="00524FD9">
        <w:t>)</w:t>
      </w:r>
      <w:r>
        <w:t>.  This is a minimally constrained process, because it permits a free parameter for each stimulus used.  We take a different approach.  We have measured Psychological Value distributions for each of our stimuli.  We assume that a single TD is compared against every distribution.  This greatly increases the constraint of the model.  Furthermore, we do not identify the TD while fitting the PVT.  Rather, we identify the TD in a separate analytical step and then test that TD in the model.  This will undoubtedly produce a less optimal fit than identifying the TD while fitting the PVT model.  Nevertheless, the fit will be more robust because it will be less susceptible to the pitfalls of overfitting to the data.</w:t>
      </w:r>
    </w:p>
    <w:p w14:paraId="0537845C" w14:textId="77777777" w:rsidR="006B227D" w:rsidRDefault="006B227D" w:rsidP="002D6464">
      <w:pPr>
        <w:spacing w:line="480" w:lineRule="auto"/>
      </w:pPr>
      <w:r>
        <w:tab/>
        <w:t>To identify the TD in the current experiment, we made the following assumptions:</w:t>
      </w:r>
    </w:p>
    <w:p w14:paraId="3DDD5EEA" w14:textId="77777777" w:rsidR="006B227D" w:rsidRDefault="006B227D" w:rsidP="006B227D">
      <w:pPr>
        <w:pStyle w:val="ListParagraph"/>
        <w:numPr>
          <w:ilvl w:val="0"/>
          <w:numId w:val="12"/>
        </w:numPr>
        <w:spacing w:line="480" w:lineRule="auto"/>
      </w:pPr>
      <w:r>
        <w:t>The TD is gaussian</w:t>
      </w:r>
    </w:p>
    <w:p w14:paraId="708F1843" w14:textId="77777777" w:rsidR="006B227D" w:rsidRDefault="006B227D" w:rsidP="006B227D">
      <w:pPr>
        <w:pStyle w:val="ListParagraph"/>
        <w:numPr>
          <w:ilvl w:val="0"/>
          <w:numId w:val="12"/>
        </w:numPr>
        <w:spacing w:line="480" w:lineRule="auto"/>
      </w:pPr>
      <w:r>
        <w:t>When the data is split only by Overlap and Item</w:t>
      </w:r>
      <w:r w:rsidRPr="00991C14">
        <w:rPr>
          <w:vertAlign w:val="subscript"/>
        </w:rPr>
        <w:t>HVO</w:t>
      </w:r>
      <w:r>
        <w:t>/Item</w:t>
      </w:r>
      <w:r w:rsidRPr="00991C14">
        <w:rPr>
          <w:vertAlign w:val="subscript"/>
        </w:rPr>
        <w:t>LVO</w:t>
      </w:r>
    </w:p>
    <w:p w14:paraId="3CA2B9B3" w14:textId="77777777" w:rsidR="006B227D" w:rsidRDefault="006B227D" w:rsidP="006B227D">
      <w:pPr>
        <w:pStyle w:val="ListParagraph"/>
        <w:numPr>
          <w:ilvl w:val="1"/>
          <w:numId w:val="12"/>
        </w:numPr>
        <w:spacing w:line="480" w:lineRule="auto"/>
      </w:pPr>
      <w:r>
        <w:t xml:space="preserve">The function relating </w:t>
      </w:r>
      <w:r w:rsidRPr="007865B1">
        <w:rPr>
          <w:i/>
          <w:iCs/>
        </w:rPr>
        <w:t>p</w:t>
      </w:r>
      <w:r>
        <w:t>(HVO) to Overlap is an exponential decay function:</w:t>
      </w:r>
    </w:p>
    <w:p w14:paraId="49BAEF81" w14:textId="77777777" w:rsidR="006B227D" w:rsidRDefault="006B227D" w:rsidP="006B227D">
      <w:pPr>
        <w:pStyle w:val="ListParagraph"/>
        <w:numPr>
          <w:ilvl w:val="1"/>
          <w:numId w:val="12"/>
        </w:numPr>
        <w:spacing w:line="480" w:lineRule="auto"/>
      </w:pPr>
      <w:r>
        <w:t xml:space="preserve">The function relating </w:t>
      </w:r>
      <w:r w:rsidRPr="007865B1">
        <w:rPr>
          <w:i/>
          <w:iCs/>
        </w:rPr>
        <w:t>p</w:t>
      </w:r>
      <w:r>
        <w:t>(HVO) to Overlap for Item</w:t>
      </w:r>
      <w:r w:rsidRPr="00991C14">
        <w:rPr>
          <w:vertAlign w:val="subscript"/>
        </w:rPr>
        <w:t>HVO</w:t>
      </w:r>
      <w:r>
        <w:t xml:space="preserve"> and Item</w:t>
      </w:r>
      <w:r w:rsidRPr="00991C14">
        <w:rPr>
          <w:vertAlign w:val="subscript"/>
        </w:rPr>
        <w:t>LVO</w:t>
      </w:r>
      <w:r>
        <w:t xml:space="preserve"> will share a beta coefficient.  When Overlap = 1, Item</w:t>
      </w:r>
      <w:r w:rsidRPr="00991C14">
        <w:rPr>
          <w:vertAlign w:val="subscript"/>
        </w:rPr>
        <w:t>HVO</w:t>
      </w:r>
      <w:r>
        <w:t xml:space="preserve"> and Item</w:t>
      </w:r>
      <w:r w:rsidRPr="00991C14">
        <w:rPr>
          <w:vertAlign w:val="subscript"/>
        </w:rPr>
        <w:t>LVO</w:t>
      </w:r>
      <w:r>
        <w:t xml:space="preserve"> will be equal, but opposite distance from the chance line.</w:t>
      </w:r>
    </w:p>
    <w:p w14:paraId="2382FBC9" w14:textId="77777777" w:rsidR="006B227D" w:rsidRDefault="006B227D" w:rsidP="006B227D">
      <w:pPr>
        <w:pStyle w:val="ListParagraph"/>
        <w:numPr>
          <w:ilvl w:val="1"/>
          <w:numId w:val="12"/>
        </w:numPr>
        <w:spacing w:line="480" w:lineRule="auto"/>
      </w:pPr>
      <w:r>
        <w:t xml:space="preserve">The function relating RT to Overlap will be positive and linear. </w:t>
      </w:r>
    </w:p>
    <w:p w14:paraId="73021247" w14:textId="77777777" w:rsidR="006B227D" w:rsidRDefault="006B227D" w:rsidP="006B227D">
      <w:pPr>
        <w:pStyle w:val="ListParagraph"/>
        <w:numPr>
          <w:ilvl w:val="1"/>
          <w:numId w:val="12"/>
        </w:numPr>
        <w:spacing w:line="480" w:lineRule="auto"/>
      </w:pPr>
      <w:r>
        <w:lastRenderedPageBreak/>
        <w:t>The RT functions for Item</w:t>
      </w:r>
      <w:r w:rsidRPr="00991C14">
        <w:rPr>
          <w:vertAlign w:val="subscript"/>
        </w:rPr>
        <w:t>HVO</w:t>
      </w:r>
      <w:r>
        <w:t xml:space="preserve"> and Item</w:t>
      </w:r>
      <w:r w:rsidRPr="00991C14">
        <w:rPr>
          <w:vertAlign w:val="subscript"/>
        </w:rPr>
        <w:t>LVO</w:t>
      </w:r>
      <w:r>
        <w:t xml:space="preserve"> will share a slope, but may have different intercepts.</w:t>
      </w:r>
    </w:p>
    <w:p w14:paraId="318419D7" w14:textId="77777777" w:rsidR="006B227D" w:rsidRDefault="006B227D" w:rsidP="002D6464">
      <w:pPr>
        <w:spacing w:line="480" w:lineRule="auto"/>
        <w:ind w:firstLine="720"/>
      </w:pPr>
      <w:r>
        <w:t xml:space="preserve">Before estimating the TD, filtered the choice data as described in the text, with the exception that we did not identify the participant who switched keys (that required the TD to be identified first).  We then used our Smart Grid Optimization algorithm to identify the TD that best satisfied the assumptions.  The algorithm systematically adjusted the mean and SD of the TD until the RT and </w:t>
      </w:r>
      <w:r w:rsidRPr="007865B1">
        <w:rPr>
          <w:i/>
          <w:iCs/>
        </w:rPr>
        <w:t>p</w:t>
      </w:r>
      <w:r>
        <w:t xml:space="preserve">(HVO) functions produced the best fit to the data. </w:t>
      </w:r>
    </w:p>
    <w:p w14:paraId="5C0C7FF2" w14:textId="510FF23A" w:rsidR="00AA59EB" w:rsidRPr="00C06677" w:rsidRDefault="00AA59EB" w:rsidP="006B227D">
      <w:pPr>
        <w:spacing w:line="480" w:lineRule="auto"/>
      </w:pPr>
      <w:r w:rsidRPr="00C06677">
        <w:br w:type="page"/>
      </w:r>
    </w:p>
    <w:p w14:paraId="41B15B11" w14:textId="6435EF6A" w:rsidR="00321649" w:rsidRPr="00C06677" w:rsidRDefault="00321649" w:rsidP="00321649">
      <w:pPr>
        <w:spacing w:line="480" w:lineRule="auto"/>
        <w:rPr>
          <w:color w:val="000000" w:themeColor="text1"/>
        </w:rPr>
      </w:pPr>
    </w:p>
    <w:p w14:paraId="30377DDC" w14:textId="44C3CE9B" w:rsidR="00790B5F" w:rsidRDefault="00B91229" w:rsidP="004C2436">
      <w:pPr>
        <w:spacing w:line="480" w:lineRule="auto"/>
        <w:jc w:val="center"/>
        <w:rPr>
          <w:color w:val="000000" w:themeColor="text1"/>
        </w:rPr>
      </w:pPr>
      <w:r w:rsidRPr="00C06677">
        <w:rPr>
          <w:color w:val="000000" w:themeColor="text1"/>
        </w:rPr>
        <w:t>Footnotes</w:t>
      </w:r>
    </w:p>
    <w:sectPr w:rsidR="00790B5F" w:rsidSect="00ED6CF8">
      <w:headerReference w:type="even" r:id="rId104"/>
      <w:headerReference w:type="default" r:id="rId105"/>
      <w:headerReference w:type="first" r:id="rId106"/>
      <w:endnotePr>
        <w:numFmt w:val="decimal"/>
      </w:end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0ED9B" w14:textId="77777777" w:rsidR="002613BF" w:rsidRDefault="002613BF" w:rsidP="00353844">
      <w:r>
        <w:separator/>
      </w:r>
    </w:p>
  </w:endnote>
  <w:endnote w:type="continuationSeparator" w:id="0">
    <w:p w14:paraId="3CC84524" w14:textId="77777777" w:rsidR="002613BF" w:rsidRDefault="002613BF" w:rsidP="00353844">
      <w:r>
        <w:continuationSeparator/>
      </w:r>
    </w:p>
  </w:endnote>
  <w:endnote w:id="1">
    <w:p w14:paraId="111D6755" w14:textId="57C60F10" w:rsidR="00F6410D" w:rsidRPr="007865B1" w:rsidRDefault="00F6410D" w:rsidP="007865B1">
      <w:pPr>
        <w:pStyle w:val="EndnoteText"/>
        <w:spacing w:line="480" w:lineRule="auto"/>
        <w:rPr>
          <w:rFonts w:ascii="Times New Roman" w:hAnsi="Times New Roman" w:cs="Times New Roman"/>
          <w:sz w:val="24"/>
          <w:szCs w:val="24"/>
        </w:rPr>
      </w:pPr>
      <w:r>
        <w:rPr>
          <w:rStyle w:val="EndnoteReference"/>
        </w:rPr>
        <w:endnoteRef/>
      </w:r>
      <w:r>
        <w:t xml:space="preserve"> </w:t>
      </w:r>
      <w:r>
        <w:rPr>
          <w:rFonts w:ascii="Times New Roman" w:hAnsi="Times New Roman" w:cs="Times New Roman"/>
          <w:sz w:val="24"/>
          <w:szCs w:val="24"/>
        </w:rPr>
        <w:t>These typically involved the participant notifying the experimenter that the program exited unexpectedly, etc. during the experiment. Because the experimenter was not in the room with the participant when they were running, we could not observe what the participant did prior to the program exiting.</w:t>
      </w:r>
    </w:p>
  </w:endnote>
  <w:endnote w:id="2">
    <w:p w14:paraId="0F56AD2D" w14:textId="2A53EFA7" w:rsidR="00424D73" w:rsidRPr="002414A6" w:rsidRDefault="00424D73" w:rsidP="002414A6">
      <w:pPr>
        <w:pStyle w:val="EndnoteText"/>
        <w:spacing w:line="480" w:lineRule="auto"/>
        <w:rPr>
          <w:rFonts w:ascii="Times New Roman" w:hAnsi="Times New Roman" w:cs="Times New Roman"/>
          <w:sz w:val="24"/>
          <w:szCs w:val="24"/>
        </w:rPr>
      </w:pPr>
      <w:r w:rsidRPr="002414A6">
        <w:rPr>
          <w:rStyle w:val="EndnoteReference"/>
          <w:rFonts w:ascii="Times New Roman" w:hAnsi="Times New Roman" w:cs="Times New Roman"/>
          <w:sz w:val="24"/>
          <w:szCs w:val="24"/>
        </w:rPr>
        <w:endnoteRef/>
      </w:r>
      <w:r w:rsidRPr="002414A6">
        <w:rPr>
          <w:rFonts w:ascii="Times New Roman" w:hAnsi="Times New Roman" w:cs="Times New Roman"/>
          <w:sz w:val="24"/>
          <w:szCs w:val="24"/>
        </w:rPr>
        <w:t xml:space="preserve"> Because the SD of </w:t>
      </w:r>
      <w:r w:rsidR="009D4DAB">
        <w:rPr>
          <w:rFonts w:ascii="Times New Roman" w:hAnsi="Times New Roman" w:cs="Times New Roman"/>
          <w:sz w:val="24"/>
          <w:szCs w:val="24"/>
        </w:rPr>
        <w:t xml:space="preserve">RTs </w:t>
      </w:r>
      <w:r w:rsidRPr="002414A6">
        <w:rPr>
          <w:rFonts w:ascii="Times New Roman" w:hAnsi="Times New Roman" w:cs="Times New Roman"/>
          <w:sz w:val="24"/>
          <w:szCs w:val="24"/>
        </w:rPr>
        <w:t xml:space="preserve">inherently increase with </w:t>
      </w:r>
      <w:r w:rsidR="009D4DAB">
        <w:rPr>
          <w:rFonts w:ascii="Times New Roman" w:hAnsi="Times New Roman" w:cs="Times New Roman"/>
          <w:sz w:val="24"/>
          <w:szCs w:val="24"/>
        </w:rPr>
        <w:t xml:space="preserve">their </w:t>
      </w:r>
      <w:r w:rsidRPr="002414A6">
        <w:rPr>
          <w:rFonts w:ascii="Times New Roman" w:hAnsi="Times New Roman" w:cs="Times New Roman"/>
          <w:sz w:val="24"/>
          <w:szCs w:val="24"/>
        </w:rPr>
        <w:t xml:space="preserve">mean, SD alone is not a useful measure of </w:t>
      </w:r>
      <w:r w:rsidR="003977F0" w:rsidRPr="002414A6">
        <w:rPr>
          <w:rFonts w:ascii="Times New Roman" w:hAnsi="Times New Roman" w:cs="Times New Roman"/>
          <w:sz w:val="24"/>
          <w:szCs w:val="24"/>
        </w:rPr>
        <w:t>RT consistency</w:t>
      </w:r>
      <w:r w:rsidRPr="002414A6">
        <w:rPr>
          <w:rFonts w:ascii="Times New Roman" w:hAnsi="Times New Roman" w:cs="Times New Roman"/>
          <w:sz w:val="24"/>
          <w:szCs w:val="24"/>
        </w:rPr>
        <w:t>.</w:t>
      </w:r>
    </w:p>
  </w:endnote>
  <w:endnote w:id="3">
    <w:p w14:paraId="198074DF" w14:textId="3BDDA7B3" w:rsidR="00C36D6E" w:rsidRPr="002414A6" w:rsidRDefault="00C36D6E" w:rsidP="002414A6">
      <w:pPr>
        <w:pStyle w:val="EndnoteText"/>
        <w:spacing w:line="480" w:lineRule="auto"/>
        <w:rPr>
          <w:rFonts w:ascii="Times New Roman" w:hAnsi="Times New Roman" w:cs="Times New Roman"/>
          <w:sz w:val="24"/>
          <w:szCs w:val="24"/>
        </w:rPr>
      </w:pPr>
      <w:r w:rsidRPr="002414A6">
        <w:rPr>
          <w:rStyle w:val="EndnoteReference"/>
          <w:rFonts w:ascii="Times New Roman" w:hAnsi="Times New Roman" w:cs="Times New Roman"/>
          <w:sz w:val="24"/>
          <w:szCs w:val="24"/>
        </w:rPr>
        <w:endnoteRef/>
      </w:r>
      <w:r w:rsidRPr="002414A6">
        <w:rPr>
          <w:rFonts w:ascii="Times New Roman" w:hAnsi="Times New Roman" w:cs="Times New Roman"/>
          <w:sz w:val="24"/>
          <w:szCs w:val="24"/>
        </w:rPr>
        <w:t xml:space="preserve"> The same pattern of results </w:t>
      </w:r>
      <w:r w:rsidR="00B65F7B" w:rsidRPr="002414A6">
        <w:rPr>
          <w:rFonts w:ascii="Times New Roman" w:hAnsi="Times New Roman" w:cs="Times New Roman"/>
          <w:sz w:val="24"/>
          <w:szCs w:val="24"/>
        </w:rPr>
        <w:t>was</w:t>
      </w:r>
      <w:r w:rsidRPr="002414A6">
        <w:rPr>
          <w:rFonts w:ascii="Times New Roman" w:hAnsi="Times New Roman" w:cs="Times New Roman"/>
          <w:sz w:val="24"/>
          <w:szCs w:val="24"/>
        </w:rPr>
        <w:t xml:space="preserve"> found when the side bias parameter was included in the models.</w:t>
      </w:r>
    </w:p>
  </w:endnote>
  <w:endnote w:id="4">
    <w:p w14:paraId="7379646F" w14:textId="2DB84040" w:rsidR="00A27B83" w:rsidRPr="00EB1CF3" w:rsidRDefault="00A27B83" w:rsidP="00EB1CF3">
      <w:pPr>
        <w:pStyle w:val="EndnoteText"/>
        <w:spacing w:line="480" w:lineRule="auto"/>
        <w:rPr>
          <w:rFonts w:ascii="Times New Roman" w:hAnsi="Times New Roman" w:cs="Times New Roman"/>
          <w:sz w:val="24"/>
          <w:szCs w:val="24"/>
        </w:rPr>
      </w:pPr>
      <w:r w:rsidRPr="00EB1CF3">
        <w:rPr>
          <w:rStyle w:val="EndnoteReference"/>
          <w:rFonts w:ascii="Times New Roman" w:hAnsi="Times New Roman" w:cs="Times New Roman"/>
          <w:sz w:val="24"/>
          <w:szCs w:val="24"/>
        </w:rPr>
        <w:endnoteRef/>
      </w:r>
      <w:r w:rsidRPr="00EB1CF3">
        <w:rPr>
          <w:rFonts w:ascii="Times New Roman" w:hAnsi="Times New Roman" w:cs="Times New Roman"/>
          <w:sz w:val="24"/>
          <w:szCs w:val="24"/>
        </w:rPr>
        <w:t xml:space="preserve"> </w:t>
      </w:r>
      <w:r>
        <w:rPr>
          <w:rFonts w:ascii="Times New Roman" w:hAnsi="Times New Roman" w:cs="Times New Roman"/>
          <w:sz w:val="24"/>
          <w:szCs w:val="24"/>
        </w:rPr>
        <w:t xml:space="preserve">We did not include the counseling scenario because we </w:t>
      </w:r>
      <w:r w:rsidR="00D24D50">
        <w:rPr>
          <w:rFonts w:ascii="Times New Roman" w:hAnsi="Times New Roman" w:cs="Times New Roman"/>
          <w:sz w:val="24"/>
          <w:szCs w:val="24"/>
        </w:rPr>
        <w:t xml:space="preserve">have a separate research </w:t>
      </w:r>
      <w:r w:rsidR="003559D1">
        <w:rPr>
          <w:rFonts w:ascii="Times New Roman" w:hAnsi="Times New Roman" w:cs="Times New Roman"/>
          <w:sz w:val="24"/>
          <w:szCs w:val="24"/>
        </w:rPr>
        <w:t>program</w:t>
      </w:r>
      <w:r w:rsidR="00D24D50">
        <w:rPr>
          <w:rFonts w:ascii="Times New Roman" w:hAnsi="Times New Roman" w:cs="Times New Roman"/>
          <w:sz w:val="24"/>
          <w:szCs w:val="24"/>
        </w:rPr>
        <w:t xml:space="preserve"> addressing</w:t>
      </w:r>
      <w:r>
        <w:rPr>
          <w:rFonts w:ascii="Times New Roman" w:hAnsi="Times New Roman" w:cs="Times New Roman"/>
          <w:sz w:val="24"/>
          <w:szCs w:val="24"/>
        </w:rPr>
        <w:t xml:space="preserve"> mental health specific charity research.</w:t>
      </w:r>
    </w:p>
  </w:endnote>
  <w:endnote w:id="5">
    <w:p w14:paraId="446CFADB" w14:textId="5B5E534F" w:rsidR="0099306D" w:rsidRPr="002D6464" w:rsidRDefault="0099306D" w:rsidP="0099306D">
      <w:pPr>
        <w:pStyle w:val="EndnoteText"/>
        <w:rPr>
          <w:rFonts w:ascii="Times New Roman" w:hAnsi="Times New Roman" w:cs="Times New Roman"/>
          <w:sz w:val="24"/>
          <w:szCs w:val="24"/>
        </w:rPr>
      </w:pPr>
      <w:r w:rsidRPr="002D6464">
        <w:rPr>
          <w:rStyle w:val="EndnoteReference"/>
          <w:rFonts w:ascii="Times New Roman" w:hAnsi="Times New Roman" w:cs="Times New Roman"/>
          <w:sz w:val="24"/>
          <w:szCs w:val="24"/>
        </w:rPr>
        <w:endnoteRef/>
      </w:r>
      <w:r w:rsidRPr="002D6464">
        <w:rPr>
          <w:rFonts w:ascii="Times New Roman" w:hAnsi="Times New Roman" w:cs="Times New Roman"/>
          <w:sz w:val="24"/>
          <w:szCs w:val="24"/>
        </w:rPr>
        <w:t xml:space="preserve"> The results do not change when the </w:t>
      </w:r>
      <w:r w:rsidR="006B227D">
        <w:rPr>
          <w:rFonts w:ascii="Times New Roman" w:hAnsi="Times New Roman" w:cs="Times New Roman"/>
          <w:sz w:val="24"/>
          <w:szCs w:val="24"/>
        </w:rPr>
        <w:t xml:space="preserve">deleted </w:t>
      </w:r>
      <w:r w:rsidRPr="002D6464">
        <w:rPr>
          <w:rFonts w:ascii="Times New Roman" w:hAnsi="Times New Roman" w:cs="Times New Roman"/>
          <w:sz w:val="24"/>
          <w:szCs w:val="24"/>
        </w:rPr>
        <w:t>participant remains in the dataset.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sNewRomanPS">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5961E" w14:textId="77777777" w:rsidR="002613BF" w:rsidRDefault="002613BF" w:rsidP="00353844">
      <w:r>
        <w:separator/>
      </w:r>
    </w:p>
  </w:footnote>
  <w:footnote w:type="continuationSeparator" w:id="0">
    <w:p w14:paraId="240CBD08" w14:textId="77777777" w:rsidR="002613BF" w:rsidRDefault="002613BF" w:rsidP="00353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1738270"/>
      <w:docPartObj>
        <w:docPartGallery w:val="Page Numbers (Top of Page)"/>
        <w:docPartUnique/>
      </w:docPartObj>
    </w:sdtPr>
    <w:sdtContent>
      <w:p w14:paraId="0B2CCE93" w14:textId="29390A18" w:rsidR="001F484D" w:rsidRDefault="001F484D" w:rsidP="0045669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0531A4" w14:textId="77777777" w:rsidR="001F484D" w:rsidRDefault="001F484D" w:rsidP="00ED6CF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4442797"/>
      <w:docPartObj>
        <w:docPartGallery w:val="Page Numbers (Top of Page)"/>
        <w:docPartUnique/>
      </w:docPartObj>
    </w:sdtPr>
    <w:sdtContent>
      <w:p w14:paraId="123596CB" w14:textId="60E17054" w:rsidR="001F484D" w:rsidRDefault="001F484D" w:rsidP="0045669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E2538ED" w14:textId="6A72E2DA" w:rsidR="001F484D" w:rsidRDefault="001F484D" w:rsidP="00ED6CF8">
    <w:pPr>
      <w:pStyle w:val="Header"/>
      <w:ind w:right="360"/>
    </w:pPr>
    <w:r>
      <w:t>SUBJECTIVE VALUES IN CHARITABLE GIVING</w:t>
    </w:r>
  </w:p>
  <w:p w14:paraId="0AC182E7" w14:textId="77777777" w:rsidR="001F484D" w:rsidRDefault="001F48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9852792"/>
      <w:docPartObj>
        <w:docPartGallery w:val="Page Numbers (Top of Page)"/>
        <w:docPartUnique/>
      </w:docPartObj>
    </w:sdtPr>
    <w:sdtContent>
      <w:p w14:paraId="20A7D42F" w14:textId="320EB1F2" w:rsidR="001F484D" w:rsidRDefault="001F484D" w:rsidP="0045669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997E6C" w14:textId="5F66381B" w:rsidR="001F484D" w:rsidRDefault="001F484D" w:rsidP="00ED6CF8">
    <w:pPr>
      <w:pStyle w:val="Header"/>
      <w:ind w:right="360"/>
    </w:pPr>
    <w:r>
      <w:t xml:space="preserve">Running Head: </w:t>
    </w:r>
    <w:r w:rsidR="00613DAB">
      <w:t>PSYCHOLOGICAL</w:t>
    </w:r>
    <w:r>
      <w:t xml:space="preserve"> VALUE IN CHARITABLE GIVING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BE"/>
    <w:multiLevelType w:val="hybridMultilevel"/>
    <w:tmpl w:val="C56EC54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5FA0533"/>
    <w:multiLevelType w:val="hybridMultilevel"/>
    <w:tmpl w:val="E2A4477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C37C9"/>
    <w:multiLevelType w:val="hybridMultilevel"/>
    <w:tmpl w:val="8FE8365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14C87822"/>
    <w:multiLevelType w:val="hybridMultilevel"/>
    <w:tmpl w:val="C3066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33ADB"/>
    <w:multiLevelType w:val="hybridMultilevel"/>
    <w:tmpl w:val="BAF871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A4A74"/>
    <w:multiLevelType w:val="hybridMultilevel"/>
    <w:tmpl w:val="07C697F6"/>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296B1D06"/>
    <w:multiLevelType w:val="hybridMultilevel"/>
    <w:tmpl w:val="5B34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C7187B"/>
    <w:multiLevelType w:val="hybridMultilevel"/>
    <w:tmpl w:val="0B7AAF2E"/>
    <w:lvl w:ilvl="0" w:tplc="7938CA7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BB3E6C"/>
    <w:multiLevelType w:val="hybridMultilevel"/>
    <w:tmpl w:val="DFC29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5C29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97C3C9D"/>
    <w:multiLevelType w:val="hybridMultilevel"/>
    <w:tmpl w:val="4996869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15:restartNumberingAfterBreak="0">
    <w:nsid w:val="7D7F5579"/>
    <w:multiLevelType w:val="hybridMultilevel"/>
    <w:tmpl w:val="A3521968"/>
    <w:lvl w:ilvl="0" w:tplc="107847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8793944">
    <w:abstractNumId w:val="7"/>
  </w:num>
  <w:num w:numId="2" w16cid:durableId="173808437">
    <w:abstractNumId w:val="4"/>
  </w:num>
  <w:num w:numId="3" w16cid:durableId="1698046685">
    <w:abstractNumId w:val="11"/>
  </w:num>
  <w:num w:numId="4" w16cid:durableId="1018626670">
    <w:abstractNumId w:val="3"/>
  </w:num>
  <w:num w:numId="5" w16cid:durableId="918750642">
    <w:abstractNumId w:val="6"/>
  </w:num>
  <w:num w:numId="6" w16cid:durableId="1601646624">
    <w:abstractNumId w:val="0"/>
  </w:num>
  <w:num w:numId="7" w16cid:durableId="151991615">
    <w:abstractNumId w:val="10"/>
  </w:num>
  <w:num w:numId="8" w16cid:durableId="1284338821">
    <w:abstractNumId w:val="5"/>
  </w:num>
  <w:num w:numId="9" w16cid:durableId="669064611">
    <w:abstractNumId w:val="9"/>
  </w:num>
  <w:num w:numId="10" w16cid:durableId="159659344">
    <w:abstractNumId w:val="2"/>
  </w:num>
  <w:num w:numId="11" w16cid:durableId="1873765781">
    <w:abstractNumId w:val="1"/>
  </w:num>
  <w:num w:numId="12" w16cid:durableId="19422978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activeWritingStyle w:appName="MSWord" w:lang="en-US" w:vendorID="64" w:dllVersion="4096"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tztzf0h2dft0eaewxxtpr4exwxf90s525w&quot;&gt;My EndNote Library-22&lt;record-ids&gt;&lt;item&gt;59&lt;/item&gt;&lt;item&gt;351&lt;/item&gt;&lt;item&gt;648&lt;/item&gt;&lt;item&gt;1635&lt;/item&gt;&lt;item&gt;1944&lt;/item&gt;&lt;item&gt;2337&lt;/item&gt;&lt;item&gt;2338&lt;/item&gt;&lt;item&gt;2339&lt;/item&gt;&lt;item&gt;2376&lt;/item&gt;&lt;item&gt;2377&lt;/item&gt;&lt;item&gt;2378&lt;/item&gt;&lt;item&gt;2379&lt;/item&gt;&lt;item&gt;2380&lt;/item&gt;&lt;item&gt;2381&lt;/item&gt;&lt;item&gt;2382&lt;/item&gt;&lt;item&gt;2383&lt;/item&gt;&lt;item&gt;2384&lt;/item&gt;&lt;item&gt;2385&lt;/item&gt;&lt;item&gt;2386&lt;/item&gt;&lt;item&gt;2387&lt;/item&gt;&lt;item&gt;2388&lt;/item&gt;&lt;item&gt;2389&lt;/item&gt;&lt;item&gt;2390&lt;/item&gt;&lt;item&gt;2394&lt;/item&gt;&lt;item&gt;2395&lt;/item&gt;&lt;item&gt;2396&lt;/item&gt;&lt;item&gt;2397&lt;/item&gt;&lt;item&gt;2399&lt;/item&gt;&lt;item&gt;2407&lt;/item&gt;&lt;item&gt;2417&lt;/item&gt;&lt;item&gt;2445&lt;/item&gt;&lt;item&gt;2502&lt;/item&gt;&lt;item&gt;2504&lt;/item&gt;&lt;item&gt;2521&lt;/item&gt;&lt;item&gt;2526&lt;/item&gt;&lt;item&gt;2529&lt;/item&gt;&lt;item&gt;2541&lt;/item&gt;&lt;item&gt;2560&lt;/item&gt;&lt;item&gt;2591&lt;/item&gt;&lt;item&gt;2593&lt;/item&gt;&lt;item&gt;2602&lt;/item&gt;&lt;item&gt;2605&lt;/item&gt;&lt;item&gt;2630&lt;/item&gt;&lt;item&gt;2635&lt;/item&gt;&lt;item&gt;2636&lt;/item&gt;&lt;item&gt;2675&lt;/item&gt;&lt;item&gt;2676&lt;/item&gt;&lt;item&gt;2677&lt;/item&gt;&lt;item&gt;2678&lt;/item&gt;&lt;item&gt;2679&lt;/item&gt;&lt;item&gt;2680&lt;/item&gt;&lt;item&gt;2682&lt;/item&gt;&lt;item&gt;2683&lt;/item&gt;&lt;item&gt;2684&lt;/item&gt;&lt;item&gt;2686&lt;/item&gt;&lt;item&gt;2687&lt;/item&gt;&lt;item&gt;2688&lt;/item&gt;&lt;item&gt;2690&lt;/item&gt;&lt;item&gt;2746&lt;/item&gt;&lt;item&gt;2747&lt;/item&gt;&lt;item&gt;2749&lt;/item&gt;&lt;item&gt;2750&lt;/item&gt;&lt;item&gt;2751&lt;/item&gt;&lt;item&gt;2753&lt;/item&gt;&lt;item&gt;2754&lt;/item&gt;&lt;item&gt;2755&lt;/item&gt;&lt;item&gt;2761&lt;/item&gt;&lt;item&gt;2764&lt;/item&gt;&lt;item&gt;2802&lt;/item&gt;&lt;item&gt;2803&lt;/item&gt;&lt;item&gt;2804&lt;/item&gt;&lt;item&gt;2805&lt;/item&gt;&lt;item&gt;2806&lt;/item&gt;&lt;item&gt;2807&lt;/item&gt;&lt;item&gt;2808&lt;/item&gt;&lt;item&gt;2809&lt;/item&gt;&lt;item&gt;2810&lt;/item&gt;&lt;item&gt;2811&lt;/item&gt;&lt;item&gt;2812&lt;/item&gt;&lt;/record-ids&gt;&lt;/item&gt;&lt;/Libraries&gt;"/>
  </w:docVars>
  <w:rsids>
    <w:rsidRoot w:val="00353844"/>
    <w:rsid w:val="0000099B"/>
    <w:rsid w:val="00003B7B"/>
    <w:rsid w:val="00004797"/>
    <w:rsid w:val="00004893"/>
    <w:rsid w:val="000050A1"/>
    <w:rsid w:val="00006394"/>
    <w:rsid w:val="00006970"/>
    <w:rsid w:val="00006AE0"/>
    <w:rsid w:val="00007745"/>
    <w:rsid w:val="00010746"/>
    <w:rsid w:val="00010A0E"/>
    <w:rsid w:val="00010AD7"/>
    <w:rsid w:val="00011010"/>
    <w:rsid w:val="000121DF"/>
    <w:rsid w:val="000133F3"/>
    <w:rsid w:val="0001426D"/>
    <w:rsid w:val="0001497E"/>
    <w:rsid w:val="000152AD"/>
    <w:rsid w:val="00015FFE"/>
    <w:rsid w:val="00016077"/>
    <w:rsid w:val="00016597"/>
    <w:rsid w:val="00016947"/>
    <w:rsid w:val="00016A19"/>
    <w:rsid w:val="00016CA8"/>
    <w:rsid w:val="000178BD"/>
    <w:rsid w:val="0002174C"/>
    <w:rsid w:val="00022A82"/>
    <w:rsid w:val="00022D13"/>
    <w:rsid w:val="00023F7A"/>
    <w:rsid w:val="000240AD"/>
    <w:rsid w:val="0002446C"/>
    <w:rsid w:val="0002472A"/>
    <w:rsid w:val="00024AD1"/>
    <w:rsid w:val="00025D2C"/>
    <w:rsid w:val="00026222"/>
    <w:rsid w:val="00026B97"/>
    <w:rsid w:val="000271FB"/>
    <w:rsid w:val="0002763F"/>
    <w:rsid w:val="00027B3C"/>
    <w:rsid w:val="00027CBF"/>
    <w:rsid w:val="00030915"/>
    <w:rsid w:val="00030CB5"/>
    <w:rsid w:val="00031667"/>
    <w:rsid w:val="00031C9A"/>
    <w:rsid w:val="00033489"/>
    <w:rsid w:val="000334D4"/>
    <w:rsid w:val="00033DAF"/>
    <w:rsid w:val="00034AFB"/>
    <w:rsid w:val="0003547A"/>
    <w:rsid w:val="00035CFA"/>
    <w:rsid w:val="00037358"/>
    <w:rsid w:val="00037773"/>
    <w:rsid w:val="000377CB"/>
    <w:rsid w:val="00037899"/>
    <w:rsid w:val="00037BEF"/>
    <w:rsid w:val="0004035A"/>
    <w:rsid w:val="00040D3B"/>
    <w:rsid w:val="00041198"/>
    <w:rsid w:val="000415DF"/>
    <w:rsid w:val="0004187A"/>
    <w:rsid w:val="00041BDC"/>
    <w:rsid w:val="00041DD7"/>
    <w:rsid w:val="00041F5D"/>
    <w:rsid w:val="00041FD2"/>
    <w:rsid w:val="0004228E"/>
    <w:rsid w:val="000427C2"/>
    <w:rsid w:val="000430F2"/>
    <w:rsid w:val="00043412"/>
    <w:rsid w:val="0004411C"/>
    <w:rsid w:val="0004443B"/>
    <w:rsid w:val="0004482D"/>
    <w:rsid w:val="00044E12"/>
    <w:rsid w:val="000453E3"/>
    <w:rsid w:val="00046216"/>
    <w:rsid w:val="00046395"/>
    <w:rsid w:val="000463B9"/>
    <w:rsid w:val="00046452"/>
    <w:rsid w:val="00046CEA"/>
    <w:rsid w:val="00046F51"/>
    <w:rsid w:val="000472F0"/>
    <w:rsid w:val="00047484"/>
    <w:rsid w:val="00047762"/>
    <w:rsid w:val="000511C8"/>
    <w:rsid w:val="000524D5"/>
    <w:rsid w:val="00052974"/>
    <w:rsid w:val="00053323"/>
    <w:rsid w:val="00054B2C"/>
    <w:rsid w:val="000553A1"/>
    <w:rsid w:val="00055FA0"/>
    <w:rsid w:val="00056168"/>
    <w:rsid w:val="00056996"/>
    <w:rsid w:val="00057FC0"/>
    <w:rsid w:val="00061230"/>
    <w:rsid w:val="00061523"/>
    <w:rsid w:val="0006176C"/>
    <w:rsid w:val="0006186E"/>
    <w:rsid w:val="00062BF0"/>
    <w:rsid w:val="00062C27"/>
    <w:rsid w:val="00063528"/>
    <w:rsid w:val="00063B94"/>
    <w:rsid w:val="0006452E"/>
    <w:rsid w:val="00064605"/>
    <w:rsid w:val="00064FC4"/>
    <w:rsid w:val="00065D8F"/>
    <w:rsid w:val="00066968"/>
    <w:rsid w:val="00067A86"/>
    <w:rsid w:val="00067E35"/>
    <w:rsid w:val="000705F8"/>
    <w:rsid w:val="0007076B"/>
    <w:rsid w:val="00070CDE"/>
    <w:rsid w:val="00071240"/>
    <w:rsid w:val="0007136B"/>
    <w:rsid w:val="000714B5"/>
    <w:rsid w:val="00071BCF"/>
    <w:rsid w:val="00071F9F"/>
    <w:rsid w:val="00072376"/>
    <w:rsid w:val="000726F8"/>
    <w:rsid w:val="00072723"/>
    <w:rsid w:val="000745AC"/>
    <w:rsid w:val="000747F8"/>
    <w:rsid w:val="00074BE6"/>
    <w:rsid w:val="00074D00"/>
    <w:rsid w:val="00075154"/>
    <w:rsid w:val="0007670A"/>
    <w:rsid w:val="000772EE"/>
    <w:rsid w:val="00077B47"/>
    <w:rsid w:val="00077EA2"/>
    <w:rsid w:val="00077F85"/>
    <w:rsid w:val="000811CB"/>
    <w:rsid w:val="000813D9"/>
    <w:rsid w:val="000817BE"/>
    <w:rsid w:val="00081A05"/>
    <w:rsid w:val="000826A3"/>
    <w:rsid w:val="00082DB1"/>
    <w:rsid w:val="00082E00"/>
    <w:rsid w:val="00082F37"/>
    <w:rsid w:val="0008302F"/>
    <w:rsid w:val="000835DF"/>
    <w:rsid w:val="00083735"/>
    <w:rsid w:val="000837F6"/>
    <w:rsid w:val="00083EEF"/>
    <w:rsid w:val="00085CA8"/>
    <w:rsid w:val="000868AC"/>
    <w:rsid w:val="00086E80"/>
    <w:rsid w:val="00087DD6"/>
    <w:rsid w:val="00090A0E"/>
    <w:rsid w:val="00090FC4"/>
    <w:rsid w:val="000910BB"/>
    <w:rsid w:val="0009128D"/>
    <w:rsid w:val="0009213E"/>
    <w:rsid w:val="000922CF"/>
    <w:rsid w:val="00092F64"/>
    <w:rsid w:val="000930CB"/>
    <w:rsid w:val="000931EC"/>
    <w:rsid w:val="000934AD"/>
    <w:rsid w:val="00094482"/>
    <w:rsid w:val="000948A4"/>
    <w:rsid w:val="00096512"/>
    <w:rsid w:val="000965CE"/>
    <w:rsid w:val="00097B28"/>
    <w:rsid w:val="000A0A3C"/>
    <w:rsid w:val="000A0B47"/>
    <w:rsid w:val="000A2153"/>
    <w:rsid w:val="000A26E1"/>
    <w:rsid w:val="000A2963"/>
    <w:rsid w:val="000A2D0A"/>
    <w:rsid w:val="000A35FF"/>
    <w:rsid w:val="000A3AAD"/>
    <w:rsid w:val="000A42F6"/>
    <w:rsid w:val="000A5279"/>
    <w:rsid w:val="000A52D8"/>
    <w:rsid w:val="000A6F0A"/>
    <w:rsid w:val="000B0D4C"/>
    <w:rsid w:val="000B0E39"/>
    <w:rsid w:val="000B1359"/>
    <w:rsid w:val="000B25F1"/>
    <w:rsid w:val="000B3649"/>
    <w:rsid w:val="000B407E"/>
    <w:rsid w:val="000B449F"/>
    <w:rsid w:val="000B4AB6"/>
    <w:rsid w:val="000B6322"/>
    <w:rsid w:val="000B657A"/>
    <w:rsid w:val="000B68E8"/>
    <w:rsid w:val="000C00BD"/>
    <w:rsid w:val="000C00C3"/>
    <w:rsid w:val="000C0324"/>
    <w:rsid w:val="000C0E53"/>
    <w:rsid w:val="000C17D8"/>
    <w:rsid w:val="000C2031"/>
    <w:rsid w:val="000C2B9B"/>
    <w:rsid w:val="000C3780"/>
    <w:rsid w:val="000C3E91"/>
    <w:rsid w:val="000C4618"/>
    <w:rsid w:val="000C4751"/>
    <w:rsid w:val="000C4811"/>
    <w:rsid w:val="000C5040"/>
    <w:rsid w:val="000C520A"/>
    <w:rsid w:val="000C5632"/>
    <w:rsid w:val="000C66DD"/>
    <w:rsid w:val="000C6DC3"/>
    <w:rsid w:val="000C6EDE"/>
    <w:rsid w:val="000C6F03"/>
    <w:rsid w:val="000C7551"/>
    <w:rsid w:val="000D05F0"/>
    <w:rsid w:val="000D121E"/>
    <w:rsid w:val="000D14DD"/>
    <w:rsid w:val="000D1AF0"/>
    <w:rsid w:val="000D29E7"/>
    <w:rsid w:val="000D2C92"/>
    <w:rsid w:val="000D3404"/>
    <w:rsid w:val="000D34A9"/>
    <w:rsid w:val="000D4987"/>
    <w:rsid w:val="000D6480"/>
    <w:rsid w:val="000D6AC2"/>
    <w:rsid w:val="000D714C"/>
    <w:rsid w:val="000E0270"/>
    <w:rsid w:val="000E0597"/>
    <w:rsid w:val="000E0A62"/>
    <w:rsid w:val="000E0E6B"/>
    <w:rsid w:val="000E152B"/>
    <w:rsid w:val="000E195A"/>
    <w:rsid w:val="000E1AE0"/>
    <w:rsid w:val="000E2D82"/>
    <w:rsid w:val="000E4331"/>
    <w:rsid w:val="000E5152"/>
    <w:rsid w:val="000E643A"/>
    <w:rsid w:val="000E6FD1"/>
    <w:rsid w:val="000E7C59"/>
    <w:rsid w:val="000E7CCF"/>
    <w:rsid w:val="000E7D8F"/>
    <w:rsid w:val="000F0AFF"/>
    <w:rsid w:val="000F13FB"/>
    <w:rsid w:val="000F195B"/>
    <w:rsid w:val="000F1CBF"/>
    <w:rsid w:val="000F30BB"/>
    <w:rsid w:val="000F31F6"/>
    <w:rsid w:val="000F34F8"/>
    <w:rsid w:val="000F3650"/>
    <w:rsid w:val="000F43C1"/>
    <w:rsid w:val="000F548A"/>
    <w:rsid w:val="000F5759"/>
    <w:rsid w:val="000F6C7D"/>
    <w:rsid w:val="000F6EF0"/>
    <w:rsid w:val="000F70F6"/>
    <w:rsid w:val="000F762E"/>
    <w:rsid w:val="00100329"/>
    <w:rsid w:val="0010051B"/>
    <w:rsid w:val="00101926"/>
    <w:rsid w:val="0010221D"/>
    <w:rsid w:val="00102F31"/>
    <w:rsid w:val="0010364A"/>
    <w:rsid w:val="00104473"/>
    <w:rsid w:val="00104597"/>
    <w:rsid w:val="00105390"/>
    <w:rsid w:val="0010548F"/>
    <w:rsid w:val="00105533"/>
    <w:rsid w:val="0010570A"/>
    <w:rsid w:val="00105C7E"/>
    <w:rsid w:val="00105D88"/>
    <w:rsid w:val="00106D56"/>
    <w:rsid w:val="00106E0C"/>
    <w:rsid w:val="0010737E"/>
    <w:rsid w:val="001074A7"/>
    <w:rsid w:val="00107F4A"/>
    <w:rsid w:val="00107FE6"/>
    <w:rsid w:val="00110479"/>
    <w:rsid w:val="00110493"/>
    <w:rsid w:val="0011070C"/>
    <w:rsid w:val="00111EDA"/>
    <w:rsid w:val="001120E9"/>
    <w:rsid w:val="00112A12"/>
    <w:rsid w:val="00113874"/>
    <w:rsid w:val="00113B7F"/>
    <w:rsid w:val="00113C22"/>
    <w:rsid w:val="00113C51"/>
    <w:rsid w:val="00114550"/>
    <w:rsid w:val="00115A2D"/>
    <w:rsid w:val="00115C36"/>
    <w:rsid w:val="00116508"/>
    <w:rsid w:val="0011670C"/>
    <w:rsid w:val="00116881"/>
    <w:rsid w:val="00116E6D"/>
    <w:rsid w:val="00116FE8"/>
    <w:rsid w:val="00117025"/>
    <w:rsid w:val="001179B9"/>
    <w:rsid w:val="0012064D"/>
    <w:rsid w:val="00120C46"/>
    <w:rsid w:val="001224EB"/>
    <w:rsid w:val="001236FC"/>
    <w:rsid w:val="00124549"/>
    <w:rsid w:val="001246CC"/>
    <w:rsid w:val="00125C7E"/>
    <w:rsid w:val="00126825"/>
    <w:rsid w:val="001268CB"/>
    <w:rsid w:val="00126AC7"/>
    <w:rsid w:val="00126B18"/>
    <w:rsid w:val="00127628"/>
    <w:rsid w:val="00127FCE"/>
    <w:rsid w:val="00130070"/>
    <w:rsid w:val="0013022D"/>
    <w:rsid w:val="001302A9"/>
    <w:rsid w:val="0013032D"/>
    <w:rsid w:val="001303BA"/>
    <w:rsid w:val="0013109B"/>
    <w:rsid w:val="0013157D"/>
    <w:rsid w:val="0013166B"/>
    <w:rsid w:val="001324C6"/>
    <w:rsid w:val="00133EB2"/>
    <w:rsid w:val="00133F17"/>
    <w:rsid w:val="001342F1"/>
    <w:rsid w:val="00134AE3"/>
    <w:rsid w:val="00134AFA"/>
    <w:rsid w:val="00134D3C"/>
    <w:rsid w:val="00134D66"/>
    <w:rsid w:val="001370B7"/>
    <w:rsid w:val="00137B3F"/>
    <w:rsid w:val="00141656"/>
    <w:rsid w:val="0014253D"/>
    <w:rsid w:val="00142678"/>
    <w:rsid w:val="00142A21"/>
    <w:rsid w:val="00142BC4"/>
    <w:rsid w:val="00142CB0"/>
    <w:rsid w:val="00142FCA"/>
    <w:rsid w:val="001437CA"/>
    <w:rsid w:val="00143FD8"/>
    <w:rsid w:val="00144349"/>
    <w:rsid w:val="001447D0"/>
    <w:rsid w:val="001454EA"/>
    <w:rsid w:val="00145B96"/>
    <w:rsid w:val="001460A6"/>
    <w:rsid w:val="00146B08"/>
    <w:rsid w:val="00147569"/>
    <w:rsid w:val="00150176"/>
    <w:rsid w:val="00150182"/>
    <w:rsid w:val="00150660"/>
    <w:rsid w:val="00150E87"/>
    <w:rsid w:val="001517D9"/>
    <w:rsid w:val="00151C4B"/>
    <w:rsid w:val="001520EA"/>
    <w:rsid w:val="00152192"/>
    <w:rsid w:val="00152FC4"/>
    <w:rsid w:val="00153218"/>
    <w:rsid w:val="0015431E"/>
    <w:rsid w:val="001548E5"/>
    <w:rsid w:val="00155270"/>
    <w:rsid w:val="00156346"/>
    <w:rsid w:val="001571F5"/>
    <w:rsid w:val="00157868"/>
    <w:rsid w:val="001605DA"/>
    <w:rsid w:val="001610C6"/>
    <w:rsid w:val="001613A3"/>
    <w:rsid w:val="00163E36"/>
    <w:rsid w:val="0016493E"/>
    <w:rsid w:val="001652D1"/>
    <w:rsid w:val="00166074"/>
    <w:rsid w:val="00166442"/>
    <w:rsid w:val="001670F7"/>
    <w:rsid w:val="001673C8"/>
    <w:rsid w:val="00167B69"/>
    <w:rsid w:val="00170225"/>
    <w:rsid w:val="00171D32"/>
    <w:rsid w:val="001731E7"/>
    <w:rsid w:val="00173202"/>
    <w:rsid w:val="001738F4"/>
    <w:rsid w:val="00173AFB"/>
    <w:rsid w:val="00173F1A"/>
    <w:rsid w:val="00173F6D"/>
    <w:rsid w:val="00174106"/>
    <w:rsid w:val="00174A1A"/>
    <w:rsid w:val="00176A3E"/>
    <w:rsid w:val="00180022"/>
    <w:rsid w:val="0018033E"/>
    <w:rsid w:val="001829DB"/>
    <w:rsid w:val="00182E4B"/>
    <w:rsid w:val="00182E5E"/>
    <w:rsid w:val="00182F85"/>
    <w:rsid w:val="00183B30"/>
    <w:rsid w:val="00184552"/>
    <w:rsid w:val="001851DE"/>
    <w:rsid w:val="0018706B"/>
    <w:rsid w:val="00187224"/>
    <w:rsid w:val="00187A0B"/>
    <w:rsid w:val="00190533"/>
    <w:rsid w:val="0019082B"/>
    <w:rsid w:val="00190955"/>
    <w:rsid w:val="00191FA7"/>
    <w:rsid w:val="0019266A"/>
    <w:rsid w:val="00193021"/>
    <w:rsid w:val="0019305D"/>
    <w:rsid w:val="00193CA0"/>
    <w:rsid w:val="001944C8"/>
    <w:rsid w:val="00194B22"/>
    <w:rsid w:val="0019503B"/>
    <w:rsid w:val="001959B4"/>
    <w:rsid w:val="001969F7"/>
    <w:rsid w:val="00196AAB"/>
    <w:rsid w:val="00196CAB"/>
    <w:rsid w:val="00197106"/>
    <w:rsid w:val="00197206"/>
    <w:rsid w:val="0019753E"/>
    <w:rsid w:val="001A00CA"/>
    <w:rsid w:val="001A0C72"/>
    <w:rsid w:val="001A0E40"/>
    <w:rsid w:val="001A15F9"/>
    <w:rsid w:val="001A327F"/>
    <w:rsid w:val="001A32B5"/>
    <w:rsid w:val="001A34FC"/>
    <w:rsid w:val="001A3737"/>
    <w:rsid w:val="001A439A"/>
    <w:rsid w:val="001A5CB0"/>
    <w:rsid w:val="001A5F0E"/>
    <w:rsid w:val="001A6F0D"/>
    <w:rsid w:val="001A78EF"/>
    <w:rsid w:val="001A7FF3"/>
    <w:rsid w:val="001B03BC"/>
    <w:rsid w:val="001B05E2"/>
    <w:rsid w:val="001B0B2D"/>
    <w:rsid w:val="001B1885"/>
    <w:rsid w:val="001B26FF"/>
    <w:rsid w:val="001B3173"/>
    <w:rsid w:val="001B37C2"/>
    <w:rsid w:val="001B3E1E"/>
    <w:rsid w:val="001B42BC"/>
    <w:rsid w:val="001B4435"/>
    <w:rsid w:val="001B44E5"/>
    <w:rsid w:val="001B5971"/>
    <w:rsid w:val="001B5AE1"/>
    <w:rsid w:val="001B65B2"/>
    <w:rsid w:val="001B7274"/>
    <w:rsid w:val="001B7609"/>
    <w:rsid w:val="001C02FA"/>
    <w:rsid w:val="001C0DCC"/>
    <w:rsid w:val="001C1ABC"/>
    <w:rsid w:val="001C1D3D"/>
    <w:rsid w:val="001C1F52"/>
    <w:rsid w:val="001C23EF"/>
    <w:rsid w:val="001C3EA2"/>
    <w:rsid w:val="001C4BC8"/>
    <w:rsid w:val="001C4C53"/>
    <w:rsid w:val="001C4E85"/>
    <w:rsid w:val="001C54D8"/>
    <w:rsid w:val="001C5EAF"/>
    <w:rsid w:val="001C6B31"/>
    <w:rsid w:val="001C6D30"/>
    <w:rsid w:val="001C7BAE"/>
    <w:rsid w:val="001C7C1B"/>
    <w:rsid w:val="001D10E9"/>
    <w:rsid w:val="001D2001"/>
    <w:rsid w:val="001D2D2C"/>
    <w:rsid w:val="001D327E"/>
    <w:rsid w:val="001D3461"/>
    <w:rsid w:val="001D3614"/>
    <w:rsid w:val="001D3DB4"/>
    <w:rsid w:val="001D4076"/>
    <w:rsid w:val="001D4BDF"/>
    <w:rsid w:val="001D4DF5"/>
    <w:rsid w:val="001D4FA8"/>
    <w:rsid w:val="001D59F0"/>
    <w:rsid w:val="001D6B66"/>
    <w:rsid w:val="001D764F"/>
    <w:rsid w:val="001E054C"/>
    <w:rsid w:val="001E06F3"/>
    <w:rsid w:val="001E08A3"/>
    <w:rsid w:val="001E0A26"/>
    <w:rsid w:val="001E0D71"/>
    <w:rsid w:val="001E1684"/>
    <w:rsid w:val="001E1C24"/>
    <w:rsid w:val="001E1C25"/>
    <w:rsid w:val="001E26B5"/>
    <w:rsid w:val="001E3752"/>
    <w:rsid w:val="001E3F97"/>
    <w:rsid w:val="001E5D8C"/>
    <w:rsid w:val="001E65EF"/>
    <w:rsid w:val="001E79C4"/>
    <w:rsid w:val="001F0A1E"/>
    <w:rsid w:val="001F1D49"/>
    <w:rsid w:val="001F221F"/>
    <w:rsid w:val="001F2350"/>
    <w:rsid w:val="001F281E"/>
    <w:rsid w:val="001F3113"/>
    <w:rsid w:val="001F3472"/>
    <w:rsid w:val="001F3B67"/>
    <w:rsid w:val="001F3C38"/>
    <w:rsid w:val="001F3DC1"/>
    <w:rsid w:val="001F3FDA"/>
    <w:rsid w:val="001F484D"/>
    <w:rsid w:val="001F559D"/>
    <w:rsid w:val="001F55CA"/>
    <w:rsid w:val="001F5A42"/>
    <w:rsid w:val="001F602B"/>
    <w:rsid w:val="001F69EF"/>
    <w:rsid w:val="001F73B1"/>
    <w:rsid w:val="00200201"/>
    <w:rsid w:val="00200EA0"/>
    <w:rsid w:val="0020323D"/>
    <w:rsid w:val="0020333A"/>
    <w:rsid w:val="00203369"/>
    <w:rsid w:val="002039F4"/>
    <w:rsid w:val="00203ABC"/>
    <w:rsid w:val="00203CEB"/>
    <w:rsid w:val="002049FA"/>
    <w:rsid w:val="00205030"/>
    <w:rsid w:val="00205C71"/>
    <w:rsid w:val="002066CC"/>
    <w:rsid w:val="00206C98"/>
    <w:rsid w:val="0020712A"/>
    <w:rsid w:val="002072D1"/>
    <w:rsid w:val="00207911"/>
    <w:rsid w:val="00207940"/>
    <w:rsid w:val="00207F00"/>
    <w:rsid w:val="00210246"/>
    <w:rsid w:val="00211A49"/>
    <w:rsid w:val="00212534"/>
    <w:rsid w:val="00212CD5"/>
    <w:rsid w:val="00213072"/>
    <w:rsid w:val="002137B5"/>
    <w:rsid w:val="002157A6"/>
    <w:rsid w:val="00215D53"/>
    <w:rsid w:val="002161AC"/>
    <w:rsid w:val="002166D7"/>
    <w:rsid w:val="00217506"/>
    <w:rsid w:val="00217780"/>
    <w:rsid w:val="00217AC2"/>
    <w:rsid w:val="00217BE6"/>
    <w:rsid w:val="00220A68"/>
    <w:rsid w:val="002216FE"/>
    <w:rsid w:val="00221A16"/>
    <w:rsid w:val="00221E02"/>
    <w:rsid w:val="00222313"/>
    <w:rsid w:val="00222527"/>
    <w:rsid w:val="00222C8C"/>
    <w:rsid w:val="00222DF7"/>
    <w:rsid w:val="002233EC"/>
    <w:rsid w:val="00223BAA"/>
    <w:rsid w:val="0022426F"/>
    <w:rsid w:val="00225559"/>
    <w:rsid w:val="002257B7"/>
    <w:rsid w:val="00225B38"/>
    <w:rsid w:val="00226486"/>
    <w:rsid w:val="002269A9"/>
    <w:rsid w:val="002270E6"/>
    <w:rsid w:val="002278E6"/>
    <w:rsid w:val="00227980"/>
    <w:rsid w:val="00230975"/>
    <w:rsid w:val="00230BA1"/>
    <w:rsid w:val="00230CFF"/>
    <w:rsid w:val="002322A1"/>
    <w:rsid w:val="00232A02"/>
    <w:rsid w:val="00232B0A"/>
    <w:rsid w:val="002336B7"/>
    <w:rsid w:val="002337C6"/>
    <w:rsid w:val="00235193"/>
    <w:rsid w:val="00235A15"/>
    <w:rsid w:val="00235DB6"/>
    <w:rsid w:val="00236071"/>
    <w:rsid w:val="00236130"/>
    <w:rsid w:val="00236C28"/>
    <w:rsid w:val="00237011"/>
    <w:rsid w:val="00237A5E"/>
    <w:rsid w:val="00237BE9"/>
    <w:rsid w:val="0024042C"/>
    <w:rsid w:val="00240ACC"/>
    <w:rsid w:val="00240BC1"/>
    <w:rsid w:val="002414A6"/>
    <w:rsid w:val="002415A1"/>
    <w:rsid w:val="0024171D"/>
    <w:rsid w:val="00242587"/>
    <w:rsid w:val="00244088"/>
    <w:rsid w:val="00244B59"/>
    <w:rsid w:val="00244C4A"/>
    <w:rsid w:val="00244FBD"/>
    <w:rsid w:val="00245143"/>
    <w:rsid w:val="002451F8"/>
    <w:rsid w:val="00245248"/>
    <w:rsid w:val="0024579B"/>
    <w:rsid w:val="0024648E"/>
    <w:rsid w:val="0025073B"/>
    <w:rsid w:val="00250ABF"/>
    <w:rsid w:val="00250EE1"/>
    <w:rsid w:val="00251321"/>
    <w:rsid w:val="0025174C"/>
    <w:rsid w:val="00252311"/>
    <w:rsid w:val="002525EE"/>
    <w:rsid w:val="002528DD"/>
    <w:rsid w:val="00253195"/>
    <w:rsid w:val="00253A78"/>
    <w:rsid w:val="00253C32"/>
    <w:rsid w:val="002558E9"/>
    <w:rsid w:val="00256054"/>
    <w:rsid w:val="00260058"/>
    <w:rsid w:val="00260844"/>
    <w:rsid w:val="002612C7"/>
    <w:rsid w:val="002612E4"/>
    <w:rsid w:val="002613BF"/>
    <w:rsid w:val="0026170F"/>
    <w:rsid w:val="00262041"/>
    <w:rsid w:val="0026279E"/>
    <w:rsid w:val="00263259"/>
    <w:rsid w:val="00263452"/>
    <w:rsid w:val="00263482"/>
    <w:rsid w:val="00263928"/>
    <w:rsid w:val="00265D6B"/>
    <w:rsid w:val="002660F2"/>
    <w:rsid w:val="00266925"/>
    <w:rsid w:val="00266ABF"/>
    <w:rsid w:val="002674E5"/>
    <w:rsid w:val="002677E7"/>
    <w:rsid w:val="0026796E"/>
    <w:rsid w:val="00270696"/>
    <w:rsid w:val="00270A36"/>
    <w:rsid w:val="00270AAB"/>
    <w:rsid w:val="0027250C"/>
    <w:rsid w:val="002726E8"/>
    <w:rsid w:val="0027286D"/>
    <w:rsid w:val="00272DC3"/>
    <w:rsid w:val="00273DD9"/>
    <w:rsid w:val="00274276"/>
    <w:rsid w:val="0027578A"/>
    <w:rsid w:val="002759A3"/>
    <w:rsid w:val="00275A14"/>
    <w:rsid w:val="00275DAF"/>
    <w:rsid w:val="00276278"/>
    <w:rsid w:val="00276288"/>
    <w:rsid w:val="00276807"/>
    <w:rsid w:val="002772AB"/>
    <w:rsid w:val="00277CE4"/>
    <w:rsid w:val="00277EAA"/>
    <w:rsid w:val="002818FD"/>
    <w:rsid w:val="00282049"/>
    <w:rsid w:val="00282156"/>
    <w:rsid w:val="0028234B"/>
    <w:rsid w:val="002827DA"/>
    <w:rsid w:val="00282E5D"/>
    <w:rsid w:val="00282FE6"/>
    <w:rsid w:val="00283145"/>
    <w:rsid w:val="00284013"/>
    <w:rsid w:val="00284158"/>
    <w:rsid w:val="002842F9"/>
    <w:rsid w:val="00284D62"/>
    <w:rsid w:val="00285D95"/>
    <w:rsid w:val="00285E10"/>
    <w:rsid w:val="00286AE7"/>
    <w:rsid w:val="00290B2C"/>
    <w:rsid w:val="00291D5E"/>
    <w:rsid w:val="00291E7F"/>
    <w:rsid w:val="00291FC3"/>
    <w:rsid w:val="00292970"/>
    <w:rsid w:val="00292D3A"/>
    <w:rsid w:val="00293355"/>
    <w:rsid w:val="00293620"/>
    <w:rsid w:val="002937A4"/>
    <w:rsid w:val="00293B35"/>
    <w:rsid w:val="00293C7E"/>
    <w:rsid w:val="00294131"/>
    <w:rsid w:val="0029424D"/>
    <w:rsid w:val="00294F49"/>
    <w:rsid w:val="00295D11"/>
    <w:rsid w:val="00297F56"/>
    <w:rsid w:val="002A04DA"/>
    <w:rsid w:val="002A08F9"/>
    <w:rsid w:val="002A181A"/>
    <w:rsid w:val="002A1BA1"/>
    <w:rsid w:val="002A1F6F"/>
    <w:rsid w:val="002A26BD"/>
    <w:rsid w:val="002A2AC7"/>
    <w:rsid w:val="002A425A"/>
    <w:rsid w:val="002A5018"/>
    <w:rsid w:val="002A53FA"/>
    <w:rsid w:val="002A59C0"/>
    <w:rsid w:val="002A5D77"/>
    <w:rsid w:val="002A61D6"/>
    <w:rsid w:val="002A6622"/>
    <w:rsid w:val="002A6793"/>
    <w:rsid w:val="002A7170"/>
    <w:rsid w:val="002A7BDF"/>
    <w:rsid w:val="002A7C1C"/>
    <w:rsid w:val="002B019F"/>
    <w:rsid w:val="002B0581"/>
    <w:rsid w:val="002B0657"/>
    <w:rsid w:val="002B1195"/>
    <w:rsid w:val="002B1AED"/>
    <w:rsid w:val="002B201B"/>
    <w:rsid w:val="002B2183"/>
    <w:rsid w:val="002B2237"/>
    <w:rsid w:val="002B4072"/>
    <w:rsid w:val="002B40DC"/>
    <w:rsid w:val="002B487F"/>
    <w:rsid w:val="002B5075"/>
    <w:rsid w:val="002B52DF"/>
    <w:rsid w:val="002B5C32"/>
    <w:rsid w:val="002B66C5"/>
    <w:rsid w:val="002B6B2D"/>
    <w:rsid w:val="002B71C2"/>
    <w:rsid w:val="002B747C"/>
    <w:rsid w:val="002B7822"/>
    <w:rsid w:val="002B78A4"/>
    <w:rsid w:val="002B7B72"/>
    <w:rsid w:val="002B7E1A"/>
    <w:rsid w:val="002C0104"/>
    <w:rsid w:val="002C0595"/>
    <w:rsid w:val="002C1258"/>
    <w:rsid w:val="002C182E"/>
    <w:rsid w:val="002C2477"/>
    <w:rsid w:val="002C2748"/>
    <w:rsid w:val="002C282A"/>
    <w:rsid w:val="002C29BE"/>
    <w:rsid w:val="002C2DE5"/>
    <w:rsid w:val="002C301B"/>
    <w:rsid w:val="002C3343"/>
    <w:rsid w:val="002C3351"/>
    <w:rsid w:val="002C342C"/>
    <w:rsid w:val="002C3970"/>
    <w:rsid w:val="002C3BB1"/>
    <w:rsid w:val="002C40AD"/>
    <w:rsid w:val="002C4735"/>
    <w:rsid w:val="002C4A17"/>
    <w:rsid w:val="002C5278"/>
    <w:rsid w:val="002C6900"/>
    <w:rsid w:val="002C6A24"/>
    <w:rsid w:val="002C798A"/>
    <w:rsid w:val="002C7A12"/>
    <w:rsid w:val="002D0E3A"/>
    <w:rsid w:val="002D11E1"/>
    <w:rsid w:val="002D144A"/>
    <w:rsid w:val="002D2BCA"/>
    <w:rsid w:val="002D3346"/>
    <w:rsid w:val="002D34AD"/>
    <w:rsid w:val="002D34EB"/>
    <w:rsid w:val="002D489D"/>
    <w:rsid w:val="002D4E3A"/>
    <w:rsid w:val="002D5528"/>
    <w:rsid w:val="002D5BE3"/>
    <w:rsid w:val="002D5E3D"/>
    <w:rsid w:val="002D629B"/>
    <w:rsid w:val="002D6464"/>
    <w:rsid w:val="002D72B0"/>
    <w:rsid w:val="002D779E"/>
    <w:rsid w:val="002D7F61"/>
    <w:rsid w:val="002E0249"/>
    <w:rsid w:val="002E042D"/>
    <w:rsid w:val="002E0562"/>
    <w:rsid w:val="002E11AC"/>
    <w:rsid w:val="002E2E23"/>
    <w:rsid w:val="002E4045"/>
    <w:rsid w:val="002E4196"/>
    <w:rsid w:val="002E41F8"/>
    <w:rsid w:val="002E42C3"/>
    <w:rsid w:val="002E4EDC"/>
    <w:rsid w:val="002E50CD"/>
    <w:rsid w:val="002E6888"/>
    <w:rsid w:val="002E698A"/>
    <w:rsid w:val="002E6FA6"/>
    <w:rsid w:val="002E742D"/>
    <w:rsid w:val="002E78F9"/>
    <w:rsid w:val="002E79E4"/>
    <w:rsid w:val="002F0D1C"/>
    <w:rsid w:val="002F2924"/>
    <w:rsid w:val="002F2ADC"/>
    <w:rsid w:val="002F385E"/>
    <w:rsid w:val="002F399C"/>
    <w:rsid w:val="002F4609"/>
    <w:rsid w:val="002F4C3D"/>
    <w:rsid w:val="002F5921"/>
    <w:rsid w:val="002F5AB1"/>
    <w:rsid w:val="002F5AFF"/>
    <w:rsid w:val="002F5DC9"/>
    <w:rsid w:val="002F610E"/>
    <w:rsid w:val="002F6394"/>
    <w:rsid w:val="002F648D"/>
    <w:rsid w:val="002F7917"/>
    <w:rsid w:val="002F7C04"/>
    <w:rsid w:val="002F7D59"/>
    <w:rsid w:val="003006E6"/>
    <w:rsid w:val="00300B30"/>
    <w:rsid w:val="00301016"/>
    <w:rsid w:val="00301513"/>
    <w:rsid w:val="00301816"/>
    <w:rsid w:val="003018D6"/>
    <w:rsid w:val="00301AFE"/>
    <w:rsid w:val="00302B34"/>
    <w:rsid w:val="00303D00"/>
    <w:rsid w:val="0030413F"/>
    <w:rsid w:val="0030431B"/>
    <w:rsid w:val="003054F6"/>
    <w:rsid w:val="00305F6A"/>
    <w:rsid w:val="00306259"/>
    <w:rsid w:val="0030639F"/>
    <w:rsid w:val="00307447"/>
    <w:rsid w:val="003107B7"/>
    <w:rsid w:val="00310FBF"/>
    <w:rsid w:val="003128B5"/>
    <w:rsid w:val="003139C1"/>
    <w:rsid w:val="00313CC8"/>
    <w:rsid w:val="0031439F"/>
    <w:rsid w:val="003144F3"/>
    <w:rsid w:val="003147CE"/>
    <w:rsid w:val="00314B63"/>
    <w:rsid w:val="00315407"/>
    <w:rsid w:val="00315F54"/>
    <w:rsid w:val="0031632A"/>
    <w:rsid w:val="00317014"/>
    <w:rsid w:val="003174B7"/>
    <w:rsid w:val="00317DC4"/>
    <w:rsid w:val="003206D9"/>
    <w:rsid w:val="00321649"/>
    <w:rsid w:val="0032299C"/>
    <w:rsid w:val="00323769"/>
    <w:rsid w:val="00323A8D"/>
    <w:rsid w:val="00324FE8"/>
    <w:rsid w:val="003250CE"/>
    <w:rsid w:val="00325579"/>
    <w:rsid w:val="0032572C"/>
    <w:rsid w:val="0032601F"/>
    <w:rsid w:val="00326705"/>
    <w:rsid w:val="00326BE1"/>
    <w:rsid w:val="00327C34"/>
    <w:rsid w:val="00327C58"/>
    <w:rsid w:val="0033061F"/>
    <w:rsid w:val="00331354"/>
    <w:rsid w:val="00331E08"/>
    <w:rsid w:val="00331E1E"/>
    <w:rsid w:val="00332BED"/>
    <w:rsid w:val="00332EEE"/>
    <w:rsid w:val="00333A4F"/>
    <w:rsid w:val="00334534"/>
    <w:rsid w:val="0033536F"/>
    <w:rsid w:val="003357A6"/>
    <w:rsid w:val="00335AF8"/>
    <w:rsid w:val="00335E45"/>
    <w:rsid w:val="00336E37"/>
    <w:rsid w:val="003378ED"/>
    <w:rsid w:val="003379E3"/>
    <w:rsid w:val="003401F1"/>
    <w:rsid w:val="00340572"/>
    <w:rsid w:val="003408E8"/>
    <w:rsid w:val="00341AB6"/>
    <w:rsid w:val="00341CD1"/>
    <w:rsid w:val="003423BE"/>
    <w:rsid w:val="00342C7E"/>
    <w:rsid w:val="003436E0"/>
    <w:rsid w:val="0034428E"/>
    <w:rsid w:val="0034434C"/>
    <w:rsid w:val="0034508D"/>
    <w:rsid w:val="00345E96"/>
    <w:rsid w:val="00346A46"/>
    <w:rsid w:val="00346DD9"/>
    <w:rsid w:val="00346FB9"/>
    <w:rsid w:val="00347EC0"/>
    <w:rsid w:val="00350113"/>
    <w:rsid w:val="00350244"/>
    <w:rsid w:val="0035210F"/>
    <w:rsid w:val="003522A7"/>
    <w:rsid w:val="00352917"/>
    <w:rsid w:val="00352F7D"/>
    <w:rsid w:val="00353844"/>
    <w:rsid w:val="0035443A"/>
    <w:rsid w:val="003546A5"/>
    <w:rsid w:val="00354CF4"/>
    <w:rsid w:val="00354E3A"/>
    <w:rsid w:val="00355857"/>
    <w:rsid w:val="003559D1"/>
    <w:rsid w:val="00355F06"/>
    <w:rsid w:val="0035644C"/>
    <w:rsid w:val="00356AE7"/>
    <w:rsid w:val="00357427"/>
    <w:rsid w:val="00357747"/>
    <w:rsid w:val="00357C14"/>
    <w:rsid w:val="003601F8"/>
    <w:rsid w:val="0036105A"/>
    <w:rsid w:val="003612AA"/>
    <w:rsid w:val="003614C6"/>
    <w:rsid w:val="0036186A"/>
    <w:rsid w:val="00361C52"/>
    <w:rsid w:val="00361FEB"/>
    <w:rsid w:val="0036276D"/>
    <w:rsid w:val="00362F61"/>
    <w:rsid w:val="00364137"/>
    <w:rsid w:val="00364481"/>
    <w:rsid w:val="00364A7A"/>
    <w:rsid w:val="00364BA9"/>
    <w:rsid w:val="00365659"/>
    <w:rsid w:val="0036569A"/>
    <w:rsid w:val="003672B6"/>
    <w:rsid w:val="00367972"/>
    <w:rsid w:val="00367D49"/>
    <w:rsid w:val="003719CF"/>
    <w:rsid w:val="00371EB8"/>
    <w:rsid w:val="00372943"/>
    <w:rsid w:val="00373025"/>
    <w:rsid w:val="00373403"/>
    <w:rsid w:val="00373AA2"/>
    <w:rsid w:val="00373C0C"/>
    <w:rsid w:val="00373FF1"/>
    <w:rsid w:val="00375120"/>
    <w:rsid w:val="00375486"/>
    <w:rsid w:val="00375D9D"/>
    <w:rsid w:val="00375E95"/>
    <w:rsid w:val="00375F3C"/>
    <w:rsid w:val="00376BAF"/>
    <w:rsid w:val="00376EF3"/>
    <w:rsid w:val="0037701F"/>
    <w:rsid w:val="003778B3"/>
    <w:rsid w:val="00380072"/>
    <w:rsid w:val="00380134"/>
    <w:rsid w:val="00380B22"/>
    <w:rsid w:val="00380CD2"/>
    <w:rsid w:val="00380E36"/>
    <w:rsid w:val="00381D96"/>
    <w:rsid w:val="0038213A"/>
    <w:rsid w:val="00382CD6"/>
    <w:rsid w:val="00382D5A"/>
    <w:rsid w:val="00382E3C"/>
    <w:rsid w:val="00383334"/>
    <w:rsid w:val="0038352E"/>
    <w:rsid w:val="0038371B"/>
    <w:rsid w:val="0038391D"/>
    <w:rsid w:val="00383ACE"/>
    <w:rsid w:val="0038527F"/>
    <w:rsid w:val="00385393"/>
    <w:rsid w:val="00385822"/>
    <w:rsid w:val="003859A7"/>
    <w:rsid w:val="003871C9"/>
    <w:rsid w:val="003872FA"/>
    <w:rsid w:val="003877E3"/>
    <w:rsid w:val="00390188"/>
    <w:rsid w:val="00390988"/>
    <w:rsid w:val="00391110"/>
    <w:rsid w:val="00391C03"/>
    <w:rsid w:val="00391EB2"/>
    <w:rsid w:val="0039280B"/>
    <w:rsid w:val="00392997"/>
    <w:rsid w:val="00392B3D"/>
    <w:rsid w:val="00392C04"/>
    <w:rsid w:val="00392F28"/>
    <w:rsid w:val="003937FF"/>
    <w:rsid w:val="00393DFB"/>
    <w:rsid w:val="003945C4"/>
    <w:rsid w:val="00394D59"/>
    <w:rsid w:val="00394E1E"/>
    <w:rsid w:val="0039615E"/>
    <w:rsid w:val="0039659A"/>
    <w:rsid w:val="00396600"/>
    <w:rsid w:val="00396AB2"/>
    <w:rsid w:val="00396BC5"/>
    <w:rsid w:val="00397571"/>
    <w:rsid w:val="003977F0"/>
    <w:rsid w:val="0039796C"/>
    <w:rsid w:val="003A0A80"/>
    <w:rsid w:val="003A0CB0"/>
    <w:rsid w:val="003A0E0A"/>
    <w:rsid w:val="003A1F36"/>
    <w:rsid w:val="003A223B"/>
    <w:rsid w:val="003A38C6"/>
    <w:rsid w:val="003A38D8"/>
    <w:rsid w:val="003A3CB6"/>
    <w:rsid w:val="003A42D0"/>
    <w:rsid w:val="003A6399"/>
    <w:rsid w:val="003A6DC3"/>
    <w:rsid w:val="003B02F2"/>
    <w:rsid w:val="003B0719"/>
    <w:rsid w:val="003B0BA6"/>
    <w:rsid w:val="003B0E60"/>
    <w:rsid w:val="003B1179"/>
    <w:rsid w:val="003B14B6"/>
    <w:rsid w:val="003B1870"/>
    <w:rsid w:val="003B24F9"/>
    <w:rsid w:val="003B2D47"/>
    <w:rsid w:val="003B4442"/>
    <w:rsid w:val="003B5C8E"/>
    <w:rsid w:val="003B5CC2"/>
    <w:rsid w:val="003B5E21"/>
    <w:rsid w:val="003B5F50"/>
    <w:rsid w:val="003B620B"/>
    <w:rsid w:val="003B67E0"/>
    <w:rsid w:val="003B6E02"/>
    <w:rsid w:val="003B6EAE"/>
    <w:rsid w:val="003C0187"/>
    <w:rsid w:val="003C2BF3"/>
    <w:rsid w:val="003C4477"/>
    <w:rsid w:val="003C49EA"/>
    <w:rsid w:val="003C4DC0"/>
    <w:rsid w:val="003C4F45"/>
    <w:rsid w:val="003C53F9"/>
    <w:rsid w:val="003C557B"/>
    <w:rsid w:val="003C569A"/>
    <w:rsid w:val="003C5B3E"/>
    <w:rsid w:val="003C5EF7"/>
    <w:rsid w:val="003C6136"/>
    <w:rsid w:val="003C7533"/>
    <w:rsid w:val="003C7C08"/>
    <w:rsid w:val="003C7F93"/>
    <w:rsid w:val="003D14A8"/>
    <w:rsid w:val="003D14CD"/>
    <w:rsid w:val="003D1752"/>
    <w:rsid w:val="003D1D4D"/>
    <w:rsid w:val="003D23D4"/>
    <w:rsid w:val="003D24ED"/>
    <w:rsid w:val="003D2550"/>
    <w:rsid w:val="003D27A8"/>
    <w:rsid w:val="003D2C3E"/>
    <w:rsid w:val="003D30A9"/>
    <w:rsid w:val="003D3E3E"/>
    <w:rsid w:val="003D4623"/>
    <w:rsid w:val="003D529E"/>
    <w:rsid w:val="003D52A9"/>
    <w:rsid w:val="003D5CB6"/>
    <w:rsid w:val="003D5EBC"/>
    <w:rsid w:val="003D6136"/>
    <w:rsid w:val="003D78B7"/>
    <w:rsid w:val="003D7944"/>
    <w:rsid w:val="003D7EE9"/>
    <w:rsid w:val="003E0626"/>
    <w:rsid w:val="003E11E9"/>
    <w:rsid w:val="003E13F7"/>
    <w:rsid w:val="003E148A"/>
    <w:rsid w:val="003E1599"/>
    <w:rsid w:val="003E2021"/>
    <w:rsid w:val="003E2807"/>
    <w:rsid w:val="003E2CFF"/>
    <w:rsid w:val="003E37CE"/>
    <w:rsid w:val="003E455D"/>
    <w:rsid w:val="003E4B6C"/>
    <w:rsid w:val="003E4CCD"/>
    <w:rsid w:val="003E4F89"/>
    <w:rsid w:val="003E53D5"/>
    <w:rsid w:val="003E5630"/>
    <w:rsid w:val="003E5B29"/>
    <w:rsid w:val="003E73E8"/>
    <w:rsid w:val="003E7427"/>
    <w:rsid w:val="003E7758"/>
    <w:rsid w:val="003E7797"/>
    <w:rsid w:val="003F0336"/>
    <w:rsid w:val="003F0978"/>
    <w:rsid w:val="003F0A49"/>
    <w:rsid w:val="003F0F22"/>
    <w:rsid w:val="003F1D9B"/>
    <w:rsid w:val="003F27CA"/>
    <w:rsid w:val="003F2BDF"/>
    <w:rsid w:val="003F3C86"/>
    <w:rsid w:val="003F49FA"/>
    <w:rsid w:val="003F4ACB"/>
    <w:rsid w:val="003F4E5C"/>
    <w:rsid w:val="003F4FF5"/>
    <w:rsid w:val="003F6160"/>
    <w:rsid w:val="003F76BE"/>
    <w:rsid w:val="003F787C"/>
    <w:rsid w:val="003F7AEA"/>
    <w:rsid w:val="003F7B19"/>
    <w:rsid w:val="00400A49"/>
    <w:rsid w:val="00400D4B"/>
    <w:rsid w:val="00400F33"/>
    <w:rsid w:val="00401046"/>
    <w:rsid w:val="004013DA"/>
    <w:rsid w:val="0040146F"/>
    <w:rsid w:val="0040181A"/>
    <w:rsid w:val="00401E54"/>
    <w:rsid w:val="00401FF6"/>
    <w:rsid w:val="0040216E"/>
    <w:rsid w:val="004028EB"/>
    <w:rsid w:val="00402E50"/>
    <w:rsid w:val="00402EAC"/>
    <w:rsid w:val="00404B49"/>
    <w:rsid w:val="00404E13"/>
    <w:rsid w:val="00404EC5"/>
    <w:rsid w:val="00405D48"/>
    <w:rsid w:val="00405DBE"/>
    <w:rsid w:val="00405E0B"/>
    <w:rsid w:val="00405F5C"/>
    <w:rsid w:val="004061D6"/>
    <w:rsid w:val="00407208"/>
    <w:rsid w:val="00407C76"/>
    <w:rsid w:val="00407D44"/>
    <w:rsid w:val="00410392"/>
    <w:rsid w:val="004104E0"/>
    <w:rsid w:val="004111CF"/>
    <w:rsid w:val="00411345"/>
    <w:rsid w:val="004114DA"/>
    <w:rsid w:val="0041183D"/>
    <w:rsid w:val="00413941"/>
    <w:rsid w:val="00414148"/>
    <w:rsid w:val="00414178"/>
    <w:rsid w:val="00414407"/>
    <w:rsid w:val="00414610"/>
    <w:rsid w:val="00414784"/>
    <w:rsid w:val="00414BDF"/>
    <w:rsid w:val="004163D7"/>
    <w:rsid w:val="00416768"/>
    <w:rsid w:val="00416C37"/>
    <w:rsid w:val="00420639"/>
    <w:rsid w:val="004210E1"/>
    <w:rsid w:val="0042157D"/>
    <w:rsid w:val="004217C1"/>
    <w:rsid w:val="004219E7"/>
    <w:rsid w:val="00422B80"/>
    <w:rsid w:val="00423521"/>
    <w:rsid w:val="00424D73"/>
    <w:rsid w:val="00426025"/>
    <w:rsid w:val="004269E5"/>
    <w:rsid w:val="00426A19"/>
    <w:rsid w:val="0042747E"/>
    <w:rsid w:val="004275A9"/>
    <w:rsid w:val="00430436"/>
    <w:rsid w:val="00430451"/>
    <w:rsid w:val="004304D3"/>
    <w:rsid w:val="00430A0D"/>
    <w:rsid w:val="00430C42"/>
    <w:rsid w:val="0043198C"/>
    <w:rsid w:val="0043205D"/>
    <w:rsid w:val="00432215"/>
    <w:rsid w:val="00432683"/>
    <w:rsid w:val="00432923"/>
    <w:rsid w:val="00432E90"/>
    <w:rsid w:val="0043320A"/>
    <w:rsid w:val="00433488"/>
    <w:rsid w:val="00433601"/>
    <w:rsid w:val="00433C78"/>
    <w:rsid w:val="00434610"/>
    <w:rsid w:val="00435979"/>
    <w:rsid w:val="004362C7"/>
    <w:rsid w:val="0043639C"/>
    <w:rsid w:val="00436A32"/>
    <w:rsid w:val="00437327"/>
    <w:rsid w:val="004374D4"/>
    <w:rsid w:val="00437820"/>
    <w:rsid w:val="00437D69"/>
    <w:rsid w:val="00437F62"/>
    <w:rsid w:val="00437FA2"/>
    <w:rsid w:val="00440167"/>
    <w:rsid w:val="00440305"/>
    <w:rsid w:val="00440676"/>
    <w:rsid w:val="0044144C"/>
    <w:rsid w:val="00441802"/>
    <w:rsid w:val="00441943"/>
    <w:rsid w:val="00441D44"/>
    <w:rsid w:val="00441FDD"/>
    <w:rsid w:val="00442185"/>
    <w:rsid w:val="00442222"/>
    <w:rsid w:val="004426DE"/>
    <w:rsid w:val="00442A59"/>
    <w:rsid w:val="00442CA7"/>
    <w:rsid w:val="00443EB5"/>
    <w:rsid w:val="00444496"/>
    <w:rsid w:val="00444DA4"/>
    <w:rsid w:val="00444DC7"/>
    <w:rsid w:val="00444FC9"/>
    <w:rsid w:val="0044506D"/>
    <w:rsid w:val="00445600"/>
    <w:rsid w:val="00445EB3"/>
    <w:rsid w:val="00446232"/>
    <w:rsid w:val="00446B2D"/>
    <w:rsid w:val="00447032"/>
    <w:rsid w:val="004472C3"/>
    <w:rsid w:val="00447F64"/>
    <w:rsid w:val="0045001A"/>
    <w:rsid w:val="00450FD0"/>
    <w:rsid w:val="00452410"/>
    <w:rsid w:val="0045292D"/>
    <w:rsid w:val="00453013"/>
    <w:rsid w:val="004530F3"/>
    <w:rsid w:val="00453D0D"/>
    <w:rsid w:val="00453F98"/>
    <w:rsid w:val="00454020"/>
    <w:rsid w:val="00454050"/>
    <w:rsid w:val="0045440B"/>
    <w:rsid w:val="00454C7C"/>
    <w:rsid w:val="00454E22"/>
    <w:rsid w:val="00455991"/>
    <w:rsid w:val="0045607A"/>
    <w:rsid w:val="0045669D"/>
    <w:rsid w:val="00456A4A"/>
    <w:rsid w:val="00456C3E"/>
    <w:rsid w:val="00457981"/>
    <w:rsid w:val="00460E61"/>
    <w:rsid w:val="00460E79"/>
    <w:rsid w:val="004615E6"/>
    <w:rsid w:val="00461B92"/>
    <w:rsid w:val="00461CB9"/>
    <w:rsid w:val="00461D41"/>
    <w:rsid w:val="004626F1"/>
    <w:rsid w:val="0046286F"/>
    <w:rsid w:val="00462996"/>
    <w:rsid w:val="004629D7"/>
    <w:rsid w:val="00462D40"/>
    <w:rsid w:val="004633C0"/>
    <w:rsid w:val="004634AA"/>
    <w:rsid w:val="0046356E"/>
    <w:rsid w:val="00463854"/>
    <w:rsid w:val="00463D6C"/>
    <w:rsid w:val="004640C6"/>
    <w:rsid w:val="0046501E"/>
    <w:rsid w:val="00465153"/>
    <w:rsid w:val="004652F9"/>
    <w:rsid w:val="00465E71"/>
    <w:rsid w:val="00466554"/>
    <w:rsid w:val="0046765A"/>
    <w:rsid w:val="00467E97"/>
    <w:rsid w:val="004702BA"/>
    <w:rsid w:val="00470A6D"/>
    <w:rsid w:val="004710E7"/>
    <w:rsid w:val="0047160C"/>
    <w:rsid w:val="004723DB"/>
    <w:rsid w:val="004725C8"/>
    <w:rsid w:val="00472B26"/>
    <w:rsid w:val="00473288"/>
    <w:rsid w:val="00473830"/>
    <w:rsid w:val="00473A74"/>
    <w:rsid w:val="00474A65"/>
    <w:rsid w:val="00475683"/>
    <w:rsid w:val="004769E0"/>
    <w:rsid w:val="00476BFB"/>
    <w:rsid w:val="00477333"/>
    <w:rsid w:val="0047738C"/>
    <w:rsid w:val="004773BA"/>
    <w:rsid w:val="0047764F"/>
    <w:rsid w:val="004778F7"/>
    <w:rsid w:val="00477AC8"/>
    <w:rsid w:val="0048079A"/>
    <w:rsid w:val="004818D2"/>
    <w:rsid w:val="00481A38"/>
    <w:rsid w:val="00481A7E"/>
    <w:rsid w:val="00482E3C"/>
    <w:rsid w:val="00483143"/>
    <w:rsid w:val="004835FA"/>
    <w:rsid w:val="00483ED1"/>
    <w:rsid w:val="004848E3"/>
    <w:rsid w:val="00485946"/>
    <w:rsid w:val="004868C9"/>
    <w:rsid w:val="00486BF4"/>
    <w:rsid w:val="0048780F"/>
    <w:rsid w:val="004905E7"/>
    <w:rsid w:val="00490A04"/>
    <w:rsid w:val="00490E72"/>
    <w:rsid w:val="00490E99"/>
    <w:rsid w:val="00491A05"/>
    <w:rsid w:val="00491DDF"/>
    <w:rsid w:val="0049221C"/>
    <w:rsid w:val="0049296A"/>
    <w:rsid w:val="0049432F"/>
    <w:rsid w:val="00495C44"/>
    <w:rsid w:val="00497487"/>
    <w:rsid w:val="00497BB4"/>
    <w:rsid w:val="004A1800"/>
    <w:rsid w:val="004A1EE9"/>
    <w:rsid w:val="004A2811"/>
    <w:rsid w:val="004A31B6"/>
    <w:rsid w:val="004A3B06"/>
    <w:rsid w:val="004A3F7B"/>
    <w:rsid w:val="004A4EA6"/>
    <w:rsid w:val="004A6797"/>
    <w:rsid w:val="004B0025"/>
    <w:rsid w:val="004B059D"/>
    <w:rsid w:val="004B0A57"/>
    <w:rsid w:val="004B0C48"/>
    <w:rsid w:val="004B143F"/>
    <w:rsid w:val="004B16A8"/>
    <w:rsid w:val="004B228A"/>
    <w:rsid w:val="004B2ADA"/>
    <w:rsid w:val="004B2FBE"/>
    <w:rsid w:val="004B3020"/>
    <w:rsid w:val="004B3A13"/>
    <w:rsid w:val="004B40EA"/>
    <w:rsid w:val="004B4B54"/>
    <w:rsid w:val="004B4BB1"/>
    <w:rsid w:val="004B62D3"/>
    <w:rsid w:val="004B638D"/>
    <w:rsid w:val="004B732D"/>
    <w:rsid w:val="004B76C4"/>
    <w:rsid w:val="004C0078"/>
    <w:rsid w:val="004C16F1"/>
    <w:rsid w:val="004C1F5A"/>
    <w:rsid w:val="004C2436"/>
    <w:rsid w:val="004C2680"/>
    <w:rsid w:val="004C275E"/>
    <w:rsid w:val="004C37E4"/>
    <w:rsid w:val="004C3A63"/>
    <w:rsid w:val="004C3CB9"/>
    <w:rsid w:val="004C3DA8"/>
    <w:rsid w:val="004C495F"/>
    <w:rsid w:val="004C4B99"/>
    <w:rsid w:val="004C5AE1"/>
    <w:rsid w:val="004C5BAB"/>
    <w:rsid w:val="004C6B56"/>
    <w:rsid w:val="004C6C24"/>
    <w:rsid w:val="004C729F"/>
    <w:rsid w:val="004C73D8"/>
    <w:rsid w:val="004C7AC6"/>
    <w:rsid w:val="004C7BA4"/>
    <w:rsid w:val="004C7EB9"/>
    <w:rsid w:val="004D0B85"/>
    <w:rsid w:val="004D0BCD"/>
    <w:rsid w:val="004D1434"/>
    <w:rsid w:val="004D2051"/>
    <w:rsid w:val="004D2188"/>
    <w:rsid w:val="004D243F"/>
    <w:rsid w:val="004D273E"/>
    <w:rsid w:val="004D2960"/>
    <w:rsid w:val="004D3030"/>
    <w:rsid w:val="004D30E9"/>
    <w:rsid w:val="004D331F"/>
    <w:rsid w:val="004D33E1"/>
    <w:rsid w:val="004D348D"/>
    <w:rsid w:val="004D36C5"/>
    <w:rsid w:val="004D4259"/>
    <w:rsid w:val="004D44A4"/>
    <w:rsid w:val="004D465F"/>
    <w:rsid w:val="004D4848"/>
    <w:rsid w:val="004D5177"/>
    <w:rsid w:val="004D51D0"/>
    <w:rsid w:val="004D582E"/>
    <w:rsid w:val="004D5ED7"/>
    <w:rsid w:val="004D63A5"/>
    <w:rsid w:val="004D65D5"/>
    <w:rsid w:val="004D6924"/>
    <w:rsid w:val="004D6994"/>
    <w:rsid w:val="004D74CF"/>
    <w:rsid w:val="004D766A"/>
    <w:rsid w:val="004E03BB"/>
    <w:rsid w:val="004E0950"/>
    <w:rsid w:val="004E117A"/>
    <w:rsid w:val="004E18AE"/>
    <w:rsid w:val="004E1B53"/>
    <w:rsid w:val="004E20FD"/>
    <w:rsid w:val="004E2B80"/>
    <w:rsid w:val="004E2BC2"/>
    <w:rsid w:val="004E3842"/>
    <w:rsid w:val="004E3D17"/>
    <w:rsid w:val="004E4C9D"/>
    <w:rsid w:val="004E5AAE"/>
    <w:rsid w:val="004F00DC"/>
    <w:rsid w:val="004F0956"/>
    <w:rsid w:val="004F0E6C"/>
    <w:rsid w:val="004F1424"/>
    <w:rsid w:val="004F17B5"/>
    <w:rsid w:val="004F24B3"/>
    <w:rsid w:val="004F2BBB"/>
    <w:rsid w:val="004F3F1D"/>
    <w:rsid w:val="004F48C4"/>
    <w:rsid w:val="004F5B55"/>
    <w:rsid w:val="004F5B59"/>
    <w:rsid w:val="004F6206"/>
    <w:rsid w:val="004F6212"/>
    <w:rsid w:val="004F65D5"/>
    <w:rsid w:val="004F6895"/>
    <w:rsid w:val="004F6AE6"/>
    <w:rsid w:val="004F722C"/>
    <w:rsid w:val="004F7B4F"/>
    <w:rsid w:val="004F7B5B"/>
    <w:rsid w:val="00500550"/>
    <w:rsid w:val="00500AA1"/>
    <w:rsid w:val="00500BBD"/>
    <w:rsid w:val="00500F3F"/>
    <w:rsid w:val="00501C63"/>
    <w:rsid w:val="00502D0B"/>
    <w:rsid w:val="00502E1F"/>
    <w:rsid w:val="00502F96"/>
    <w:rsid w:val="0050359F"/>
    <w:rsid w:val="00504B58"/>
    <w:rsid w:val="005056B2"/>
    <w:rsid w:val="00506DA5"/>
    <w:rsid w:val="00507415"/>
    <w:rsid w:val="00510135"/>
    <w:rsid w:val="005103E3"/>
    <w:rsid w:val="0051091F"/>
    <w:rsid w:val="00511002"/>
    <w:rsid w:val="0051113F"/>
    <w:rsid w:val="0051131F"/>
    <w:rsid w:val="00511D2B"/>
    <w:rsid w:val="00512520"/>
    <w:rsid w:val="00512D89"/>
    <w:rsid w:val="005130D9"/>
    <w:rsid w:val="00513314"/>
    <w:rsid w:val="00514B62"/>
    <w:rsid w:val="005153B4"/>
    <w:rsid w:val="00515B0F"/>
    <w:rsid w:val="00515D51"/>
    <w:rsid w:val="00516DE2"/>
    <w:rsid w:val="0051722E"/>
    <w:rsid w:val="00517494"/>
    <w:rsid w:val="00517EB6"/>
    <w:rsid w:val="00520ED1"/>
    <w:rsid w:val="005210E7"/>
    <w:rsid w:val="005217EF"/>
    <w:rsid w:val="00521FDF"/>
    <w:rsid w:val="005239A1"/>
    <w:rsid w:val="005239EE"/>
    <w:rsid w:val="00524055"/>
    <w:rsid w:val="00524910"/>
    <w:rsid w:val="00524E51"/>
    <w:rsid w:val="00524FD9"/>
    <w:rsid w:val="00525151"/>
    <w:rsid w:val="005259D4"/>
    <w:rsid w:val="00526194"/>
    <w:rsid w:val="005264AE"/>
    <w:rsid w:val="00526910"/>
    <w:rsid w:val="00526B76"/>
    <w:rsid w:val="00526C02"/>
    <w:rsid w:val="00526E5D"/>
    <w:rsid w:val="00527E60"/>
    <w:rsid w:val="005301F3"/>
    <w:rsid w:val="005304FB"/>
    <w:rsid w:val="00530AC9"/>
    <w:rsid w:val="005314E5"/>
    <w:rsid w:val="00531775"/>
    <w:rsid w:val="00531882"/>
    <w:rsid w:val="00533004"/>
    <w:rsid w:val="00533FFC"/>
    <w:rsid w:val="00534AF3"/>
    <w:rsid w:val="00534F02"/>
    <w:rsid w:val="00535014"/>
    <w:rsid w:val="005358A3"/>
    <w:rsid w:val="00535933"/>
    <w:rsid w:val="00535A6C"/>
    <w:rsid w:val="0053696A"/>
    <w:rsid w:val="00536BA6"/>
    <w:rsid w:val="00540862"/>
    <w:rsid w:val="00540D93"/>
    <w:rsid w:val="00541562"/>
    <w:rsid w:val="00542428"/>
    <w:rsid w:val="0054389D"/>
    <w:rsid w:val="00543964"/>
    <w:rsid w:val="00543D7B"/>
    <w:rsid w:val="00543E92"/>
    <w:rsid w:val="00543ED5"/>
    <w:rsid w:val="00544667"/>
    <w:rsid w:val="00544C12"/>
    <w:rsid w:val="0054524F"/>
    <w:rsid w:val="0054578A"/>
    <w:rsid w:val="00545DE1"/>
    <w:rsid w:val="00546198"/>
    <w:rsid w:val="00546393"/>
    <w:rsid w:val="005471B9"/>
    <w:rsid w:val="00550125"/>
    <w:rsid w:val="005506BA"/>
    <w:rsid w:val="00551CEA"/>
    <w:rsid w:val="005521B2"/>
    <w:rsid w:val="00552DF6"/>
    <w:rsid w:val="00552E17"/>
    <w:rsid w:val="0055309E"/>
    <w:rsid w:val="0055352B"/>
    <w:rsid w:val="00553BC3"/>
    <w:rsid w:val="005544E7"/>
    <w:rsid w:val="005551B2"/>
    <w:rsid w:val="00555A66"/>
    <w:rsid w:val="00556759"/>
    <w:rsid w:val="00557142"/>
    <w:rsid w:val="00557BA3"/>
    <w:rsid w:val="00557DBA"/>
    <w:rsid w:val="0056010C"/>
    <w:rsid w:val="005602E9"/>
    <w:rsid w:val="00560CA5"/>
    <w:rsid w:val="00560D88"/>
    <w:rsid w:val="00560DE8"/>
    <w:rsid w:val="00561075"/>
    <w:rsid w:val="00561624"/>
    <w:rsid w:val="00561902"/>
    <w:rsid w:val="0056233F"/>
    <w:rsid w:val="00563764"/>
    <w:rsid w:val="005638F9"/>
    <w:rsid w:val="005641B0"/>
    <w:rsid w:val="005644C0"/>
    <w:rsid w:val="00564640"/>
    <w:rsid w:val="00564AB8"/>
    <w:rsid w:val="00564B27"/>
    <w:rsid w:val="00564C6E"/>
    <w:rsid w:val="00566FC4"/>
    <w:rsid w:val="0056719E"/>
    <w:rsid w:val="005676D6"/>
    <w:rsid w:val="0056783D"/>
    <w:rsid w:val="00567FEB"/>
    <w:rsid w:val="0057053B"/>
    <w:rsid w:val="00570552"/>
    <w:rsid w:val="005705BE"/>
    <w:rsid w:val="005709FB"/>
    <w:rsid w:val="00572139"/>
    <w:rsid w:val="005731A7"/>
    <w:rsid w:val="0057379A"/>
    <w:rsid w:val="00574015"/>
    <w:rsid w:val="0057436A"/>
    <w:rsid w:val="005752FA"/>
    <w:rsid w:val="005762BF"/>
    <w:rsid w:val="00577361"/>
    <w:rsid w:val="005777EC"/>
    <w:rsid w:val="00577A67"/>
    <w:rsid w:val="00580243"/>
    <w:rsid w:val="00581045"/>
    <w:rsid w:val="00581130"/>
    <w:rsid w:val="00581943"/>
    <w:rsid w:val="00581C9B"/>
    <w:rsid w:val="00581E11"/>
    <w:rsid w:val="00582190"/>
    <w:rsid w:val="005837D8"/>
    <w:rsid w:val="00583BC0"/>
    <w:rsid w:val="00585366"/>
    <w:rsid w:val="005854BD"/>
    <w:rsid w:val="005856FB"/>
    <w:rsid w:val="0058590F"/>
    <w:rsid w:val="00585914"/>
    <w:rsid w:val="005863B5"/>
    <w:rsid w:val="00586D01"/>
    <w:rsid w:val="00587666"/>
    <w:rsid w:val="00587F01"/>
    <w:rsid w:val="00590083"/>
    <w:rsid w:val="00590F5B"/>
    <w:rsid w:val="005913D8"/>
    <w:rsid w:val="00591AE2"/>
    <w:rsid w:val="005922A8"/>
    <w:rsid w:val="00592B30"/>
    <w:rsid w:val="00593AA8"/>
    <w:rsid w:val="00594482"/>
    <w:rsid w:val="00595F93"/>
    <w:rsid w:val="005960C1"/>
    <w:rsid w:val="00596533"/>
    <w:rsid w:val="005965A8"/>
    <w:rsid w:val="00596CD5"/>
    <w:rsid w:val="005A05BD"/>
    <w:rsid w:val="005A0C1D"/>
    <w:rsid w:val="005A0E62"/>
    <w:rsid w:val="005A1B72"/>
    <w:rsid w:val="005A1FA5"/>
    <w:rsid w:val="005A2C90"/>
    <w:rsid w:val="005A3C2A"/>
    <w:rsid w:val="005A40E0"/>
    <w:rsid w:val="005A411C"/>
    <w:rsid w:val="005A42B5"/>
    <w:rsid w:val="005A4AD0"/>
    <w:rsid w:val="005A4F9A"/>
    <w:rsid w:val="005A5148"/>
    <w:rsid w:val="005A698E"/>
    <w:rsid w:val="005A7D90"/>
    <w:rsid w:val="005B04E1"/>
    <w:rsid w:val="005B101E"/>
    <w:rsid w:val="005B1411"/>
    <w:rsid w:val="005B14AD"/>
    <w:rsid w:val="005B2471"/>
    <w:rsid w:val="005B3893"/>
    <w:rsid w:val="005B3F17"/>
    <w:rsid w:val="005B5A9D"/>
    <w:rsid w:val="005B5DE5"/>
    <w:rsid w:val="005B64ED"/>
    <w:rsid w:val="005B6860"/>
    <w:rsid w:val="005B7972"/>
    <w:rsid w:val="005B7FB3"/>
    <w:rsid w:val="005C0CC5"/>
    <w:rsid w:val="005C174B"/>
    <w:rsid w:val="005C22A5"/>
    <w:rsid w:val="005C238A"/>
    <w:rsid w:val="005C2E78"/>
    <w:rsid w:val="005C32D6"/>
    <w:rsid w:val="005C339E"/>
    <w:rsid w:val="005C3E10"/>
    <w:rsid w:val="005C4C99"/>
    <w:rsid w:val="005C4EF8"/>
    <w:rsid w:val="005C4FA5"/>
    <w:rsid w:val="005C56BD"/>
    <w:rsid w:val="005C5C01"/>
    <w:rsid w:val="005C5EB0"/>
    <w:rsid w:val="005C6811"/>
    <w:rsid w:val="005C6DFF"/>
    <w:rsid w:val="005C7244"/>
    <w:rsid w:val="005C74A4"/>
    <w:rsid w:val="005D02CF"/>
    <w:rsid w:val="005D073E"/>
    <w:rsid w:val="005D0CF9"/>
    <w:rsid w:val="005D1143"/>
    <w:rsid w:val="005D170C"/>
    <w:rsid w:val="005D1DF9"/>
    <w:rsid w:val="005D26B6"/>
    <w:rsid w:val="005D3801"/>
    <w:rsid w:val="005D3CA3"/>
    <w:rsid w:val="005D3F47"/>
    <w:rsid w:val="005D4561"/>
    <w:rsid w:val="005D45E9"/>
    <w:rsid w:val="005D50AA"/>
    <w:rsid w:val="005D5AD8"/>
    <w:rsid w:val="005D5FC8"/>
    <w:rsid w:val="005D62F5"/>
    <w:rsid w:val="005D6556"/>
    <w:rsid w:val="005D7087"/>
    <w:rsid w:val="005D7609"/>
    <w:rsid w:val="005D7FC5"/>
    <w:rsid w:val="005E0084"/>
    <w:rsid w:val="005E0124"/>
    <w:rsid w:val="005E06DE"/>
    <w:rsid w:val="005E0B3D"/>
    <w:rsid w:val="005E238E"/>
    <w:rsid w:val="005E3C85"/>
    <w:rsid w:val="005E441F"/>
    <w:rsid w:val="005E4783"/>
    <w:rsid w:val="005E4C6D"/>
    <w:rsid w:val="005E53BB"/>
    <w:rsid w:val="005E61D7"/>
    <w:rsid w:val="005E67D4"/>
    <w:rsid w:val="005E6E67"/>
    <w:rsid w:val="005E7000"/>
    <w:rsid w:val="005E77B4"/>
    <w:rsid w:val="005E78C0"/>
    <w:rsid w:val="005F0430"/>
    <w:rsid w:val="005F0D3A"/>
    <w:rsid w:val="005F1438"/>
    <w:rsid w:val="005F1773"/>
    <w:rsid w:val="005F1B05"/>
    <w:rsid w:val="005F1D7E"/>
    <w:rsid w:val="005F374B"/>
    <w:rsid w:val="005F5D16"/>
    <w:rsid w:val="005F5D70"/>
    <w:rsid w:val="005F5FDF"/>
    <w:rsid w:val="005F624B"/>
    <w:rsid w:val="005F68C8"/>
    <w:rsid w:val="005F697C"/>
    <w:rsid w:val="005F7A0D"/>
    <w:rsid w:val="005F7A0E"/>
    <w:rsid w:val="00600DB1"/>
    <w:rsid w:val="00601547"/>
    <w:rsid w:val="00601B24"/>
    <w:rsid w:val="0060274E"/>
    <w:rsid w:val="0060295C"/>
    <w:rsid w:val="00602DD5"/>
    <w:rsid w:val="00602DD6"/>
    <w:rsid w:val="0060364D"/>
    <w:rsid w:val="0060484F"/>
    <w:rsid w:val="00604AB8"/>
    <w:rsid w:val="00605120"/>
    <w:rsid w:val="00605263"/>
    <w:rsid w:val="00605566"/>
    <w:rsid w:val="006055E2"/>
    <w:rsid w:val="00605F9D"/>
    <w:rsid w:val="0060641B"/>
    <w:rsid w:val="00606B60"/>
    <w:rsid w:val="00606D81"/>
    <w:rsid w:val="006070F3"/>
    <w:rsid w:val="006075F6"/>
    <w:rsid w:val="00607B39"/>
    <w:rsid w:val="00607DE3"/>
    <w:rsid w:val="006115AE"/>
    <w:rsid w:val="006115FD"/>
    <w:rsid w:val="006122C1"/>
    <w:rsid w:val="0061306B"/>
    <w:rsid w:val="006137B6"/>
    <w:rsid w:val="00613AF7"/>
    <w:rsid w:val="00613DAB"/>
    <w:rsid w:val="006146E3"/>
    <w:rsid w:val="00615B2F"/>
    <w:rsid w:val="00616247"/>
    <w:rsid w:val="006163FD"/>
    <w:rsid w:val="00617934"/>
    <w:rsid w:val="00617ADD"/>
    <w:rsid w:val="00617B34"/>
    <w:rsid w:val="00617D86"/>
    <w:rsid w:val="00617E57"/>
    <w:rsid w:val="00620993"/>
    <w:rsid w:val="0062102F"/>
    <w:rsid w:val="00621493"/>
    <w:rsid w:val="006217AD"/>
    <w:rsid w:val="006227B9"/>
    <w:rsid w:val="006228EA"/>
    <w:rsid w:val="0062310D"/>
    <w:rsid w:val="00623C6E"/>
    <w:rsid w:val="00623C98"/>
    <w:rsid w:val="00623CC6"/>
    <w:rsid w:val="00623F73"/>
    <w:rsid w:val="00624876"/>
    <w:rsid w:val="006253E2"/>
    <w:rsid w:val="00626882"/>
    <w:rsid w:val="00626D01"/>
    <w:rsid w:val="0063026D"/>
    <w:rsid w:val="006303D9"/>
    <w:rsid w:val="0063227A"/>
    <w:rsid w:val="0063242D"/>
    <w:rsid w:val="006349D5"/>
    <w:rsid w:val="00635776"/>
    <w:rsid w:val="00635904"/>
    <w:rsid w:val="00635A9C"/>
    <w:rsid w:val="00635AC8"/>
    <w:rsid w:val="00636018"/>
    <w:rsid w:val="00636203"/>
    <w:rsid w:val="00640961"/>
    <w:rsid w:val="006410CB"/>
    <w:rsid w:val="00641A1A"/>
    <w:rsid w:val="00642626"/>
    <w:rsid w:val="00642BE1"/>
    <w:rsid w:val="0064332B"/>
    <w:rsid w:val="00643C2A"/>
    <w:rsid w:val="0064490D"/>
    <w:rsid w:val="00645116"/>
    <w:rsid w:val="0064523A"/>
    <w:rsid w:val="00645912"/>
    <w:rsid w:val="00645B37"/>
    <w:rsid w:val="00646F59"/>
    <w:rsid w:val="00647F49"/>
    <w:rsid w:val="006511FB"/>
    <w:rsid w:val="0065140F"/>
    <w:rsid w:val="006516E4"/>
    <w:rsid w:val="00651A6D"/>
    <w:rsid w:val="00651E4A"/>
    <w:rsid w:val="00652275"/>
    <w:rsid w:val="0065293A"/>
    <w:rsid w:val="0065380A"/>
    <w:rsid w:val="00653BAE"/>
    <w:rsid w:val="00653E22"/>
    <w:rsid w:val="00653E63"/>
    <w:rsid w:val="006543BB"/>
    <w:rsid w:val="00654A89"/>
    <w:rsid w:val="00654CED"/>
    <w:rsid w:val="00654F74"/>
    <w:rsid w:val="0065582C"/>
    <w:rsid w:val="00656419"/>
    <w:rsid w:val="00656865"/>
    <w:rsid w:val="006604D3"/>
    <w:rsid w:val="00660663"/>
    <w:rsid w:val="00660A70"/>
    <w:rsid w:val="006614B1"/>
    <w:rsid w:val="006622AF"/>
    <w:rsid w:val="00662498"/>
    <w:rsid w:val="006629F5"/>
    <w:rsid w:val="00662F36"/>
    <w:rsid w:val="00663DE2"/>
    <w:rsid w:val="00665624"/>
    <w:rsid w:val="0066571D"/>
    <w:rsid w:val="00665FE8"/>
    <w:rsid w:val="00666254"/>
    <w:rsid w:val="0066703C"/>
    <w:rsid w:val="00667072"/>
    <w:rsid w:val="00670CD4"/>
    <w:rsid w:val="00670E89"/>
    <w:rsid w:val="006712B7"/>
    <w:rsid w:val="0067265F"/>
    <w:rsid w:val="006728E9"/>
    <w:rsid w:val="00674E47"/>
    <w:rsid w:val="00674EB9"/>
    <w:rsid w:val="00674F43"/>
    <w:rsid w:val="00674F8B"/>
    <w:rsid w:val="0067574E"/>
    <w:rsid w:val="006759B3"/>
    <w:rsid w:val="00675C33"/>
    <w:rsid w:val="00675D12"/>
    <w:rsid w:val="00676F48"/>
    <w:rsid w:val="00680C97"/>
    <w:rsid w:val="00680CF8"/>
    <w:rsid w:val="0068105A"/>
    <w:rsid w:val="00681B12"/>
    <w:rsid w:val="00682483"/>
    <w:rsid w:val="0068309D"/>
    <w:rsid w:val="00683913"/>
    <w:rsid w:val="00683A51"/>
    <w:rsid w:val="00683BF7"/>
    <w:rsid w:val="00683E33"/>
    <w:rsid w:val="00683F57"/>
    <w:rsid w:val="00684E48"/>
    <w:rsid w:val="00684E85"/>
    <w:rsid w:val="00684F3A"/>
    <w:rsid w:val="00685ABC"/>
    <w:rsid w:val="006874C0"/>
    <w:rsid w:val="00687C95"/>
    <w:rsid w:val="00690241"/>
    <w:rsid w:val="0069116E"/>
    <w:rsid w:val="006926E3"/>
    <w:rsid w:val="006929D1"/>
    <w:rsid w:val="00692F83"/>
    <w:rsid w:val="00693B0B"/>
    <w:rsid w:val="00694508"/>
    <w:rsid w:val="00694876"/>
    <w:rsid w:val="00694E8C"/>
    <w:rsid w:val="00695BE5"/>
    <w:rsid w:val="006963BE"/>
    <w:rsid w:val="006967D0"/>
    <w:rsid w:val="00696A75"/>
    <w:rsid w:val="00696B0F"/>
    <w:rsid w:val="00697379"/>
    <w:rsid w:val="0069760F"/>
    <w:rsid w:val="00697BF9"/>
    <w:rsid w:val="00697F57"/>
    <w:rsid w:val="006A0141"/>
    <w:rsid w:val="006A0830"/>
    <w:rsid w:val="006A08A8"/>
    <w:rsid w:val="006A15BE"/>
    <w:rsid w:val="006A1F94"/>
    <w:rsid w:val="006A20D3"/>
    <w:rsid w:val="006A26A1"/>
    <w:rsid w:val="006A33A4"/>
    <w:rsid w:val="006A348D"/>
    <w:rsid w:val="006A4B98"/>
    <w:rsid w:val="006A4D0F"/>
    <w:rsid w:val="006A58D5"/>
    <w:rsid w:val="006A6E21"/>
    <w:rsid w:val="006B03DB"/>
    <w:rsid w:val="006B07ED"/>
    <w:rsid w:val="006B0A8F"/>
    <w:rsid w:val="006B1B3E"/>
    <w:rsid w:val="006B1D79"/>
    <w:rsid w:val="006B227D"/>
    <w:rsid w:val="006B374D"/>
    <w:rsid w:val="006B37B5"/>
    <w:rsid w:val="006B3D4A"/>
    <w:rsid w:val="006B480B"/>
    <w:rsid w:val="006B5C23"/>
    <w:rsid w:val="006B5E0F"/>
    <w:rsid w:val="006B5F11"/>
    <w:rsid w:val="006B5FD3"/>
    <w:rsid w:val="006B6688"/>
    <w:rsid w:val="006B7A4B"/>
    <w:rsid w:val="006C0194"/>
    <w:rsid w:val="006C2AE2"/>
    <w:rsid w:val="006C363E"/>
    <w:rsid w:val="006C3987"/>
    <w:rsid w:val="006C4A5E"/>
    <w:rsid w:val="006C503F"/>
    <w:rsid w:val="006C5CF1"/>
    <w:rsid w:val="006C642B"/>
    <w:rsid w:val="006C67A1"/>
    <w:rsid w:val="006C7C49"/>
    <w:rsid w:val="006D10A8"/>
    <w:rsid w:val="006D10E2"/>
    <w:rsid w:val="006D2338"/>
    <w:rsid w:val="006D2848"/>
    <w:rsid w:val="006D2F5C"/>
    <w:rsid w:val="006D2FBE"/>
    <w:rsid w:val="006D4551"/>
    <w:rsid w:val="006D5776"/>
    <w:rsid w:val="006D60DC"/>
    <w:rsid w:val="006D6428"/>
    <w:rsid w:val="006D6C24"/>
    <w:rsid w:val="006D711D"/>
    <w:rsid w:val="006D7DBF"/>
    <w:rsid w:val="006D7E46"/>
    <w:rsid w:val="006E0819"/>
    <w:rsid w:val="006E0BE6"/>
    <w:rsid w:val="006E139D"/>
    <w:rsid w:val="006E13E9"/>
    <w:rsid w:val="006E1731"/>
    <w:rsid w:val="006E327A"/>
    <w:rsid w:val="006E4194"/>
    <w:rsid w:val="006E431E"/>
    <w:rsid w:val="006E492F"/>
    <w:rsid w:val="006E4BA8"/>
    <w:rsid w:val="006E4D71"/>
    <w:rsid w:val="006E52B4"/>
    <w:rsid w:val="006E5318"/>
    <w:rsid w:val="006E58DF"/>
    <w:rsid w:val="006E5935"/>
    <w:rsid w:val="006E5CA5"/>
    <w:rsid w:val="006E5F96"/>
    <w:rsid w:val="006E60D8"/>
    <w:rsid w:val="006E6292"/>
    <w:rsid w:val="006E64EA"/>
    <w:rsid w:val="006E6A99"/>
    <w:rsid w:val="006E6E78"/>
    <w:rsid w:val="006E7348"/>
    <w:rsid w:val="006E7B46"/>
    <w:rsid w:val="006F018E"/>
    <w:rsid w:val="006F0C0C"/>
    <w:rsid w:val="006F1245"/>
    <w:rsid w:val="006F1927"/>
    <w:rsid w:val="006F232B"/>
    <w:rsid w:val="006F2E01"/>
    <w:rsid w:val="006F2F59"/>
    <w:rsid w:val="006F37B8"/>
    <w:rsid w:val="006F3D09"/>
    <w:rsid w:val="006F4224"/>
    <w:rsid w:val="006F4411"/>
    <w:rsid w:val="006F4A03"/>
    <w:rsid w:val="006F4DAA"/>
    <w:rsid w:val="006F5588"/>
    <w:rsid w:val="006F60F1"/>
    <w:rsid w:val="00700DC1"/>
    <w:rsid w:val="0070171D"/>
    <w:rsid w:val="00701AB2"/>
    <w:rsid w:val="00702607"/>
    <w:rsid w:val="00703CF8"/>
    <w:rsid w:val="00704026"/>
    <w:rsid w:val="007041E6"/>
    <w:rsid w:val="0070446A"/>
    <w:rsid w:val="00704DDD"/>
    <w:rsid w:val="00705124"/>
    <w:rsid w:val="00705AED"/>
    <w:rsid w:val="00706DBF"/>
    <w:rsid w:val="0070708A"/>
    <w:rsid w:val="00707509"/>
    <w:rsid w:val="00707FE0"/>
    <w:rsid w:val="00710792"/>
    <w:rsid w:val="00710FBF"/>
    <w:rsid w:val="00711036"/>
    <w:rsid w:val="00711316"/>
    <w:rsid w:val="0071162E"/>
    <w:rsid w:val="0071186B"/>
    <w:rsid w:val="007123C7"/>
    <w:rsid w:val="0071336A"/>
    <w:rsid w:val="00714D2C"/>
    <w:rsid w:val="00715A05"/>
    <w:rsid w:val="00715AFA"/>
    <w:rsid w:val="00715BBD"/>
    <w:rsid w:val="00715E51"/>
    <w:rsid w:val="0071610D"/>
    <w:rsid w:val="00716550"/>
    <w:rsid w:val="00716DAB"/>
    <w:rsid w:val="00717257"/>
    <w:rsid w:val="0072193E"/>
    <w:rsid w:val="00721ABE"/>
    <w:rsid w:val="00721CBA"/>
    <w:rsid w:val="00721DE1"/>
    <w:rsid w:val="007227F7"/>
    <w:rsid w:val="00722D65"/>
    <w:rsid w:val="00723379"/>
    <w:rsid w:val="007239D3"/>
    <w:rsid w:val="0072484B"/>
    <w:rsid w:val="00724A43"/>
    <w:rsid w:val="00724D54"/>
    <w:rsid w:val="00725B8F"/>
    <w:rsid w:val="00725BE5"/>
    <w:rsid w:val="007267B9"/>
    <w:rsid w:val="0072687F"/>
    <w:rsid w:val="00726A46"/>
    <w:rsid w:val="00726F38"/>
    <w:rsid w:val="00727143"/>
    <w:rsid w:val="00727BD1"/>
    <w:rsid w:val="00730250"/>
    <w:rsid w:val="007307BE"/>
    <w:rsid w:val="00730AC5"/>
    <w:rsid w:val="00730FAB"/>
    <w:rsid w:val="00730FC1"/>
    <w:rsid w:val="007316D7"/>
    <w:rsid w:val="007325FD"/>
    <w:rsid w:val="00732A2B"/>
    <w:rsid w:val="007337A8"/>
    <w:rsid w:val="00734370"/>
    <w:rsid w:val="007346D0"/>
    <w:rsid w:val="00734C2C"/>
    <w:rsid w:val="00735DAD"/>
    <w:rsid w:val="0073694A"/>
    <w:rsid w:val="007373A4"/>
    <w:rsid w:val="00737596"/>
    <w:rsid w:val="00737803"/>
    <w:rsid w:val="00737FBA"/>
    <w:rsid w:val="007405B3"/>
    <w:rsid w:val="007406B5"/>
    <w:rsid w:val="00740AA8"/>
    <w:rsid w:val="00741C7F"/>
    <w:rsid w:val="007431FA"/>
    <w:rsid w:val="00743F1A"/>
    <w:rsid w:val="0074424D"/>
    <w:rsid w:val="0074483A"/>
    <w:rsid w:val="007455AA"/>
    <w:rsid w:val="00745907"/>
    <w:rsid w:val="00746179"/>
    <w:rsid w:val="007461E2"/>
    <w:rsid w:val="0074737D"/>
    <w:rsid w:val="007478E9"/>
    <w:rsid w:val="007501C2"/>
    <w:rsid w:val="00751107"/>
    <w:rsid w:val="00751E15"/>
    <w:rsid w:val="007520F2"/>
    <w:rsid w:val="007524B2"/>
    <w:rsid w:val="00752711"/>
    <w:rsid w:val="00752F35"/>
    <w:rsid w:val="007530E6"/>
    <w:rsid w:val="0075322D"/>
    <w:rsid w:val="00753294"/>
    <w:rsid w:val="00753879"/>
    <w:rsid w:val="00753A2C"/>
    <w:rsid w:val="00754E1F"/>
    <w:rsid w:val="007553D2"/>
    <w:rsid w:val="00755C26"/>
    <w:rsid w:val="00755C37"/>
    <w:rsid w:val="00756DF0"/>
    <w:rsid w:val="007576F1"/>
    <w:rsid w:val="007604A4"/>
    <w:rsid w:val="007623C3"/>
    <w:rsid w:val="007632D6"/>
    <w:rsid w:val="00763AF4"/>
    <w:rsid w:val="00763BF7"/>
    <w:rsid w:val="007642B7"/>
    <w:rsid w:val="00764D05"/>
    <w:rsid w:val="007650CA"/>
    <w:rsid w:val="007656BB"/>
    <w:rsid w:val="00765B1D"/>
    <w:rsid w:val="00765B85"/>
    <w:rsid w:val="00765BDD"/>
    <w:rsid w:val="007665CD"/>
    <w:rsid w:val="00766B68"/>
    <w:rsid w:val="00767359"/>
    <w:rsid w:val="00767505"/>
    <w:rsid w:val="007700F0"/>
    <w:rsid w:val="0077056B"/>
    <w:rsid w:val="00770636"/>
    <w:rsid w:val="00770756"/>
    <w:rsid w:val="0077076C"/>
    <w:rsid w:val="00770923"/>
    <w:rsid w:val="0077193E"/>
    <w:rsid w:val="007721E9"/>
    <w:rsid w:val="007723EA"/>
    <w:rsid w:val="00772EB4"/>
    <w:rsid w:val="00773664"/>
    <w:rsid w:val="007737BB"/>
    <w:rsid w:val="00773A04"/>
    <w:rsid w:val="00773DE1"/>
    <w:rsid w:val="00775AC4"/>
    <w:rsid w:val="007764DC"/>
    <w:rsid w:val="00776795"/>
    <w:rsid w:val="007801B2"/>
    <w:rsid w:val="00780F93"/>
    <w:rsid w:val="007814A4"/>
    <w:rsid w:val="00781642"/>
    <w:rsid w:val="0078204C"/>
    <w:rsid w:val="0078208D"/>
    <w:rsid w:val="00782C0A"/>
    <w:rsid w:val="007835B4"/>
    <w:rsid w:val="00783CBF"/>
    <w:rsid w:val="00784F46"/>
    <w:rsid w:val="00784FF6"/>
    <w:rsid w:val="007865B1"/>
    <w:rsid w:val="00787038"/>
    <w:rsid w:val="007870DA"/>
    <w:rsid w:val="00787B6A"/>
    <w:rsid w:val="00787F90"/>
    <w:rsid w:val="00790286"/>
    <w:rsid w:val="00790A31"/>
    <w:rsid w:val="00790B41"/>
    <w:rsid w:val="00790B5F"/>
    <w:rsid w:val="00792636"/>
    <w:rsid w:val="00792758"/>
    <w:rsid w:val="007927E6"/>
    <w:rsid w:val="00792978"/>
    <w:rsid w:val="00792B30"/>
    <w:rsid w:val="00792F5B"/>
    <w:rsid w:val="00793118"/>
    <w:rsid w:val="00793C89"/>
    <w:rsid w:val="007941A6"/>
    <w:rsid w:val="00794B12"/>
    <w:rsid w:val="00795589"/>
    <w:rsid w:val="00795C9F"/>
    <w:rsid w:val="007968BB"/>
    <w:rsid w:val="00796C2E"/>
    <w:rsid w:val="00796F44"/>
    <w:rsid w:val="007A01D2"/>
    <w:rsid w:val="007A1EDF"/>
    <w:rsid w:val="007A22D7"/>
    <w:rsid w:val="007A2F5B"/>
    <w:rsid w:val="007A303E"/>
    <w:rsid w:val="007A30CA"/>
    <w:rsid w:val="007A378F"/>
    <w:rsid w:val="007A3976"/>
    <w:rsid w:val="007A514D"/>
    <w:rsid w:val="007A5540"/>
    <w:rsid w:val="007A554F"/>
    <w:rsid w:val="007A5F71"/>
    <w:rsid w:val="007A610A"/>
    <w:rsid w:val="007A6290"/>
    <w:rsid w:val="007A6C27"/>
    <w:rsid w:val="007A749C"/>
    <w:rsid w:val="007A7C3F"/>
    <w:rsid w:val="007B02F1"/>
    <w:rsid w:val="007B04C6"/>
    <w:rsid w:val="007B0547"/>
    <w:rsid w:val="007B05AD"/>
    <w:rsid w:val="007B0AE9"/>
    <w:rsid w:val="007B0C43"/>
    <w:rsid w:val="007B0C5C"/>
    <w:rsid w:val="007B0E38"/>
    <w:rsid w:val="007B12D0"/>
    <w:rsid w:val="007B245F"/>
    <w:rsid w:val="007B24D4"/>
    <w:rsid w:val="007B2C90"/>
    <w:rsid w:val="007B329A"/>
    <w:rsid w:val="007B3676"/>
    <w:rsid w:val="007B3DBF"/>
    <w:rsid w:val="007B4F85"/>
    <w:rsid w:val="007B5426"/>
    <w:rsid w:val="007B582F"/>
    <w:rsid w:val="007B5BEB"/>
    <w:rsid w:val="007B611F"/>
    <w:rsid w:val="007B7822"/>
    <w:rsid w:val="007C0761"/>
    <w:rsid w:val="007C29E0"/>
    <w:rsid w:val="007C2D4B"/>
    <w:rsid w:val="007C34E4"/>
    <w:rsid w:val="007C37D8"/>
    <w:rsid w:val="007C52FB"/>
    <w:rsid w:val="007C5812"/>
    <w:rsid w:val="007C5939"/>
    <w:rsid w:val="007C6630"/>
    <w:rsid w:val="007D06A9"/>
    <w:rsid w:val="007D0C6D"/>
    <w:rsid w:val="007D0F6F"/>
    <w:rsid w:val="007D0FA4"/>
    <w:rsid w:val="007D11A9"/>
    <w:rsid w:val="007D18E9"/>
    <w:rsid w:val="007D30EA"/>
    <w:rsid w:val="007D35AB"/>
    <w:rsid w:val="007D4030"/>
    <w:rsid w:val="007D4414"/>
    <w:rsid w:val="007D616F"/>
    <w:rsid w:val="007D671B"/>
    <w:rsid w:val="007D67E1"/>
    <w:rsid w:val="007D7E6F"/>
    <w:rsid w:val="007E0205"/>
    <w:rsid w:val="007E056B"/>
    <w:rsid w:val="007E0C10"/>
    <w:rsid w:val="007E0E7B"/>
    <w:rsid w:val="007E17B6"/>
    <w:rsid w:val="007E17FB"/>
    <w:rsid w:val="007E1895"/>
    <w:rsid w:val="007E2135"/>
    <w:rsid w:val="007E309B"/>
    <w:rsid w:val="007E3269"/>
    <w:rsid w:val="007E3F26"/>
    <w:rsid w:val="007E49B7"/>
    <w:rsid w:val="007E5833"/>
    <w:rsid w:val="007E5AAA"/>
    <w:rsid w:val="007E5AB0"/>
    <w:rsid w:val="007E78AA"/>
    <w:rsid w:val="007F0030"/>
    <w:rsid w:val="007F010F"/>
    <w:rsid w:val="007F0FD9"/>
    <w:rsid w:val="007F1082"/>
    <w:rsid w:val="007F17F2"/>
    <w:rsid w:val="007F18DF"/>
    <w:rsid w:val="007F1C96"/>
    <w:rsid w:val="007F21C9"/>
    <w:rsid w:val="007F372D"/>
    <w:rsid w:val="007F39EB"/>
    <w:rsid w:val="007F3CFC"/>
    <w:rsid w:val="007F439C"/>
    <w:rsid w:val="007F43CD"/>
    <w:rsid w:val="007F4573"/>
    <w:rsid w:val="007F4DD6"/>
    <w:rsid w:val="007F5410"/>
    <w:rsid w:val="007F5CC0"/>
    <w:rsid w:val="007F687E"/>
    <w:rsid w:val="007F6D06"/>
    <w:rsid w:val="007F71F3"/>
    <w:rsid w:val="007F75E6"/>
    <w:rsid w:val="007F7E07"/>
    <w:rsid w:val="007F7F7B"/>
    <w:rsid w:val="008005A3"/>
    <w:rsid w:val="00801A3E"/>
    <w:rsid w:val="0080230D"/>
    <w:rsid w:val="0080285E"/>
    <w:rsid w:val="00802E91"/>
    <w:rsid w:val="00803662"/>
    <w:rsid w:val="00803C24"/>
    <w:rsid w:val="00804070"/>
    <w:rsid w:val="00804D44"/>
    <w:rsid w:val="00805855"/>
    <w:rsid w:val="008061C1"/>
    <w:rsid w:val="008061F1"/>
    <w:rsid w:val="008100F2"/>
    <w:rsid w:val="008103B6"/>
    <w:rsid w:val="0081068B"/>
    <w:rsid w:val="00810A31"/>
    <w:rsid w:val="00810C70"/>
    <w:rsid w:val="00810D9D"/>
    <w:rsid w:val="00812149"/>
    <w:rsid w:val="00812684"/>
    <w:rsid w:val="008130A0"/>
    <w:rsid w:val="00813A8D"/>
    <w:rsid w:val="00813BB5"/>
    <w:rsid w:val="00813C61"/>
    <w:rsid w:val="00816160"/>
    <w:rsid w:val="008170EE"/>
    <w:rsid w:val="00817166"/>
    <w:rsid w:val="00817606"/>
    <w:rsid w:val="00817D24"/>
    <w:rsid w:val="008204BA"/>
    <w:rsid w:val="008204D2"/>
    <w:rsid w:val="00820D50"/>
    <w:rsid w:val="008215AC"/>
    <w:rsid w:val="00821755"/>
    <w:rsid w:val="00821A74"/>
    <w:rsid w:val="00822218"/>
    <w:rsid w:val="008224D9"/>
    <w:rsid w:val="008232D1"/>
    <w:rsid w:val="00824233"/>
    <w:rsid w:val="008242AC"/>
    <w:rsid w:val="0082471E"/>
    <w:rsid w:val="00825115"/>
    <w:rsid w:val="00825162"/>
    <w:rsid w:val="0082747E"/>
    <w:rsid w:val="0082761D"/>
    <w:rsid w:val="00827E23"/>
    <w:rsid w:val="00831090"/>
    <w:rsid w:val="00831612"/>
    <w:rsid w:val="00831C9C"/>
    <w:rsid w:val="00831F1A"/>
    <w:rsid w:val="008324D3"/>
    <w:rsid w:val="0083275A"/>
    <w:rsid w:val="00833DA9"/>
    <w:rsid w:val="00834763"/>
    <w:rsid w:val="00834876"/>
    <w:rsid w:val="00834B20"/>
    <w:rsid w:val="00834B32"/>
    <w:rsid w:val="008351EC"/>
    <w:rsid w:val="008352AF"/>
    <w:rsid w:val="00835A9C"/>
    <w:rsid w:val="00835D8D"/>
    <w:rsid w:val="00836D97"/>
    <w:rsid w:val="008371F4"/>
    <w:rsid w:val="008378E7"/>
    <w:rsid w:val="00837B75"/>
    <w:rsid w:val="00837E37"/>
    <w:rsid w:val="00840584"/>
    <w:rsid w:val="008408EE"/>
    <w:rsid w:val="00840C52"/>
    <w:rsid w:val="008410E6"/>
    <w:rsid w:val="0084122F"/>
    <w:rsid w:val="0084145F"/>
    <w:rsid w:val="00841A03"/>
    <w:rsid w:val="00841B75"/>
    <w:rsid w:val="00842D0F"/>
    <w:rsid w:val="00843163"/>
    <w:rsid w:val="00844A16"/>
    <w:rsid w:val="008457CE"/>
    <w:rsid w:val="00845C2D"/>
    <w:rsid w:val="008460EB"/>
    <w:rsid w:val="00846E06"/>
    <w:rsid w:val="0084748C"/>
    <w:rsid w:val="00850412"/>
    <w:rsid w:val="00850CD6"/>
    <w:rsid w:val="00851598"/>
    <w:rsid w:val="00852347"/>
    <w:rsid w:val="00852793"/>
    <w:rsid w:val="00852B39"/>
    <w:rsid w:val="00853449"/>
    <w:rsid w:val="0085356A"/>
    <w:rsid w:val="008544F6"/>
    <w:rsid w:val="00854C6C"/>
    <w:rsid w:val="00856376"/>
    <w:rsid w:val="00856A3A"/>
    <w:rsid w:val="00856CE7"/>
    <w:rsid w:val="008571ED"/>
    <w:rsid w:val="00857E71"/>
    <w:rsid w:val="00860381"/>
    <w:rsid w:val="008609A7"/>
    <w:rsid w:val="00861375"/>
    <w:rsid w:val="00861507"/>
    <w:rsid w:val="008617FE"/>
    <w:rsid w:val="00861B24"/>
    <w:rsid w:val="00863195"/>
    <w:rsid w:val="008639AE"/>
    <w:rsid w:val="00865A80"/>
    <w:rsid w:val="00865DB6"/>
    <w:rsid w:val="00866E7F"/>
    <w:rsid w:val="008672D5"/>
    <w:rsid w:val="008673AA"/>
    <w:rsid w:val="0087016A"/>
    <w:rsid w:val="00870C34"/>
    <w:rsid w:val="00871CA4"/>
    <w:rsid w:val="00872754"/>
    <w:rsid w:val="00872C20"/>
    <w:rsid w:val="008730D4"/>
    <w:rsid w:val="0087323C"/>
    <w:rsid w:val="0087362E"/>
    <w:rsid w:val="00873B9C"/>
    <w:rsid w:val="00874CAE"/>
    <w:rsid w:val="00875595"/>
    <w:rsid w:val="00875AC3"/>
    <w:rsid w:val="00876B78"/>
    <w:rsid w:val="008807BD"/>
    <w:rsid w:val="00883683"/>
    <w:rsid w:val="008858F9"/>
    <w:rsid w:val="00885E2A"/>
    <w:rsid w:val="008864B7"/>
    <w:rsid w:val="008868B1"/>
    <w:rsid w:val="00887263"/>
    <w:rsid w:val="00887636"/>
    <w:rsid w:val="008876C5"/>
    <w:rsid w:val="0089011A"/>
    <w:rsid w:val="0089014A"/>
    <w:rsid w:val="0089031C"/>
    <w:rsid w:val="00890484"/>
    <w:rsid w:val="00890BE1"/>
    <w:rsid w:val="00891361"/>
    <w:rsid w:val="00891560"/>
    <w:rsid w:val="0089167C"/>
    <w:rsid w:val="008918AD"/>
    <w:rsid w:val="00892398"/>
    <w:rsid w:val="008936C1"/>
    <w:rsid w:val="00893FA5"/>
    <w:rsid w:val="008945DE"/>
    <w:rsid w:val="00894C27"/>
    <w:rsid w:val="00894C7F"/>
    <w:rsid w:val="008951FA"/>
    <w:rsid w:val="008A0743"/>
    <w:rsid w:val="008A0C09"/>
    <w:rsid w:val="008A0D46"/>
    <w:rsid w:val="008A166B"/>
    <w:rsid w:val="008A238B"/>
    <w:rsid w:val="008A26DE"/>
    <w:rsid w:val="008A3A93"/>
    <w:rsid w:val="008A3C5E"/>
    <w:rsid w:val="008A4E31"/>
    <w:rsid w:val="008A7591"/>
    <w:rsid w:val="008B0535"/>
    <w:rsid w:val="008B0BC4"/>
    <w:rsid w:val="008B0E69"/>
    <w:rsid w:val="008B0F1F"/>
    <w:rsid w:val="008B122E"/>
    <w:rsid w:val="008B1838"/>
    <w:rsid w:val="008B32FB"/>
    <w:rsid w:val="008B44C7"/>
    <w:rsid w:val="008B4B9C"/>
    <w:rsid w:val="008B51DD"/>
    <w:rsid w:val="008B66B7"/>
    <w:rsid w:val="008B6C2B"/>
    <w:rsid w:val="008B7D32"/>
    <w:rsid w:val="008C0FF1"/>
    <w:rsid w:val="008C1A48"/>
    <w:rsid w:val="008C1C80"/>
    <w:rsid w:val="008C1FD9"/>
    <w:rsid w:val="008C2277"/>
    <w:rsid w:val="008C22EE"/>
    <w:rsid w:val="008C2F8D"/>
    <w:rsid w:val="008C3861"/>
    <w:rsid w:val="008C4FEF"/>
    <w:rsid w:val="008C5BA1"/>
    <w:rsid w:val="008C68B9"/>
    <w:rsid w:val="008C6B39"/>
    <w:rsid w:val="008C6E82"/>
    <w:rsid w:val="008C712D"/>
    <w:rsid w:val="008C7132"/>
    <w:rsid w:val="008C794E"/>
    <w:rsid w:val="008C7A9F"/>
    <w:rsid w:val="008D1299"/>
    <w:rsid w:val="008D17BB"/>
    <w:rsid w:val="008D1E63"/>
    <w:rsid w:val="008D201F"/>
    <w:rsid w:val="008D2F50"/>
    <w:rsid w:val="008D3418"/>
    <w:rsid w:val="008D34D8"/>
    <w:rsid w:val="008D388B"/>
    <w:rsid w:val="008D44A1"/>
    <w:rsid w:val="008D4AB3"/>
    <w:rsid w:val="008D5740"/>
    <w:rsid w:val="008D5892"/>
    <w:rsid w:val="008D67FF"/>
    <w:rsid w:val="008D6E74"/>
    <w:rsid w:val="008D7CC9"/>
    <w:rsid w:val="008E1068"/>
    <w:rsid w:val="008E1524"/>
    <w:rsid w:val="008E156B"/>
    <w:rsid w:val="008E330D"/>
    <w:rsid w:val="008E57DD"/>
    <w:rsid w:val="008E5BCF"/>
    <w:rsid w:val="008E5F05"/>
    <w:rsid w:val="008E6047"/>
    <w:rsid w:val="008E7445"/>
    <w:rsid w:val="008E7AD6"/>
    <w:rsid w:val="008E7E43"/>
    <w:rsid w:val="008F06F9"/>
    <w:rsid w:val="008F07C7"/>
    <w:rsid w:val="008F0AD3"/>
    <w:rsid w:val="008F1543"/>
    <w:rsid w:val="008F16DF"/>
    <w:rsid w:val="008F1789"/>
    <w:rsid w:val="008F296F"/>
    <w:rsid w:val="008F2B93"/>
    <w:rsid w:val="008F2E25"/>
    <w:rsid w:val="008F3E01"/>
    <w:rsid w:val="008F51A9"/>
    <w:rsid w:val="008F57CC"/>
    <w:rsid w:val="008F5995"/>
    <w:rsid w:val="008F5997"/>
    <w:rsid w:val="008F5A67"/>
    <w:rsid w:val="008F6244"/>
    <w:rsid w:val="008F698B"/>
    <w:rsid w:val="009010F6"/>
    <w:rsid w:val="00901517"/>
    <w:rsid w:val="00901993"/>
    <w:rsid w:val="00901A4B"/>
    <w:rsid w:val="00901DC2"/>
    <w:rsid w:val="00902061"/>
    <w:rsid w:val="009023E9"/>
    <w:rsid w:val="00902680"/>
    <w:rsid w:val="00902705"/>
    <w:rsid w:val="00902B27"/>
    <w:rsid w:val="00902D68"/>
    <w:rsid w:val="009033BF"/>
    <w:rsid w:val="00903D27"/>
    <w:rsid w:val="009040A7"/>
    <w:rsid w:val="00904154"/>
    <w:rsid w:val="00904DED"/>
    <w:rsid w:val="00904DF0"/>
    <w:rsid w:val="009052A4"/>
    <w:rsid w:val="009057C2"/>
    <w:rsid w:val="0090651D"/>
    <w:rsid w:val="0090664D"/>
    <w:rsid w:val="00907060"/>
    <w:rsid w:val="009077AC"/>
    <w:rsid w:val="009078B0"/>
    <w:rsid w:val="00907DF7"/>
    <w:rsid w:val="00910C6F"/>
    <w:rsid w:val="0091129F"/>
    <w:rsid w:val="0091213C"/>
    <w:rsid w:val="00913A46"/>
    <w:rsid w:val="00913DA4"/>
    <w:rsid w:val="00913EEB"/>
    <w:rsid w:val="00915116"/>
    <w:rsid w:val="009152D8"/>
    <w:rsid w:val="00915563"/>
    <w:rsid w:val="00915F88"/>
    <w:rsid w:val="0091696B"/>
    <w:rsid w:val="00916DAC"/>
    <w:rsid w:val="00916E8C"/>
    <w:rsid w:val="00916F8C"/>
    <w:rsid w:val="00917891"/>
    <w:rsid w:val="0092089B"/>
    <w:rsid w:val="00920916"/>
    <w:rsid w:val="00920BF1"/>
    <w:rsid w:val="00920FFE"/>
    <w:rsid w:val="009210C0"/>
    <w:rsid w:val="00922353"/>
    <w:rsid w:val="00923965"/>
    <w:rsid w:val="009241F4"/>
    <w:rsid w:val="0092446B"/>
    <w:rsid w:val="0092450C"/>
    <w:rsid w:val="00924A81"/>
    <w:rsid w:val="00924C6F"/>
    <w:rsid w:val="00925C56"/>
    <w:rsid w:val="00925E8C"/>
    <w:rsid w:val="00925EE6"/>
    <w:rsid w:val="0092607E"/>
    <w:rsid w:val="009266BC"/>
    <w:rsid w:val="00926B75"/>
    <w:rsid w:val="00927802"/>
    <w:rsid w:val="00927B92"/>
    <w:rsid w:val="0093082E"/>
    <w:rsid w:val="0093086A"/>
    <w:rsid w:val="0093157B"/>
    <w:rsid w:val="009318CD"/>
    <w:rsid w:val="00931A0C"/>
    <w:rsid w:val="00931CDE"/>
    <w:rsid w:val="00931DF9"/>
    <w:rsid w:val="00931E92"/>
    <w:rsid w:val="00932198"/>
    <w:rsid w:val="009329C9"/>
    <w:rsid w:val="00932C25"/>
    <w:rsid w:val="00932E06"/>
    <w:rsid w:val="0093412B"/>
    <w:rsid w:val="009341B7"/>
    <w:rsid w:val="00934972"/>
    <w:rsid w:val="00934E41"/>
    <w:rsid w:val="00934F44"/>
    <w:rsid w:val="009360A7"/>
    <w:rsid w:val="0093641C"/>
    <w:rsid w:val="00936742"/>
    <w:rsid w:val="00936C5B"/>
    <w:rsid w:val="00937106"/>
    <w:rsid w:val="0093798F"/>
    <w:rsid w:val="009401A5"/>
    <w:rsid w:val="0094111B"/>
    <w:rsid w:val="00941BF7"/>
    <w:rsid w:val="00941E87"/>
    <w:rsid w:val="00942D59"/>
    <w:rsid w:val="00942DF1"/>
    <w:rsid w:val="00943B0F"/>
    <w:rsid w:val="009452DC"/>
    <w:rsid w:val="00945E66"/>
    <w:rsid w:val="00946A69"/>
    <w:rsid w:val="00946D55"/>
    <w:rsid w:val="0094730D"/>
    <w:rsid w:val="009510A1"/>
    <w:rsid w:val="00951DB7"/>
    <w:rsid w:val="009528E0"/>
    <w:rsid w:val="00953284"/>
    <w:rsid w:val="0095345D"/>
    <w:rsid w:val="00954DBE"/>
    <w:rsid w:val="009555F1"/>
    <w:rsid w:val="00955C05"/>
    <w:rsid w:val="00956C39"/>
    <w:rsid w:val="00957BCC"/>
    <w:rsid w:val="00957BD1"/>
    <w:rsid w:val="00957D75"/>
    <w:rsid w:val="00957D97"/>
    <w:rsid w:val="00960583"/>
    <w:rsid w:val="00960BCB"/>
    <w:rsid w:val="00960E66"/>
    <w:rsid w:val="00961444"/>
    <w:rsid w:val="00961742"/>
    <w:rsid w:val="009628E0"/>
    <w:rsid w:val="00962E54"/>
    <w:rsid w:val="00963264"/>
    <w:rsid w:val="009637CA"/>
    <w:rsid w:val="00963EEC"/>
    <w:rsid w:val="0096434E"/>
    <w:rsid w:val="009644C5"/>
    <w:rsid w:val="009646F7"/>
    <w:rsid w:val="009648B3"/>
    <w:rsid w:val="0096556F"/>
    <w:rsid w:val="00965EE4"/>
    <w:rsid w:val="00966053"/>
    <w:rsid w:val="009661EE"/>
    <w:rsid w:val="009665F7"/>
    <w:rsid w:val="009673E8"/>
    <w:rsid w:val="0096756C"/>
    <w:rsid w:val="00970292"/>
    <w:rsid w:val="00971BE1"/>
    <w:rsid w:val="00972452"/>
    <w:rsid w:val="00972825"/>
    <w:rsid w:val="00972F1C"/>
    <w:rsid w:val="00973395"/>
    <w:rsid w:val="00973517"/>
    <w:rsid w:val="00973635"/>
    <w:rsid w:val="00973F1A"/>
    <w:rsid w:val="00974A43"/>
    <w:rsid w:val="009750B5"/>
    <w:rsid w:val="00975725"/>
    <w:rsid w:val="00975FF1"/>
    <w:rsid w:val="009762D9"/>
    <w:rsid w:val="0097685B"/>
    <w:rsid w:val="00977581"/>
    <w:rsid w:val="00980476"/>
    <w:rsid w:val="009809E7"/>
    <w:rsid w:val="00980ECE"/>
    <w:rsid w:val="009811E0"/>
    <w:rsid w:val="009813FA"/>
    <w:rsid w:val="00981DE8"/>
    <w:rsid w:val="00982F13"/>
    <w:rsid w:val="009837FC"/>
    <w:rsid w:val="00983FA1"/>
    <w:rsid w:val="00984BF5"/>
    <w:rsid w:val="009850E8"/>
    <w:rsid w:val="0098572A"/>
    <w:rsid w:val="00985CC2"/>
    <w:rsid w:val="00985FC9"/>
    <w:rsid w:val="0098714D"/>
    <w:rsid w:val="00987489"/>
    <w:rsid w:val="009874D4"/>
    <w:rsid w:val="00987B43"/>
    <w:rsid w:val="00987C62"/>
    <w:rsid w:val="009902A7"/>
    <w:rsid w:val="00990E64"/>
    <w:rsid w:val="009911F8"/>
    <w:rsid w:val="009914FC"/>
    <w:rsid w:val="009915C5"/>
    <w:rsid w:val="00991B4F"/>
    <w:rsid w:val="00991C49"/>
    <w:rsid w:val="00991CAA"/>
    <w:rsid w:val="009929C6"/>
    <w:rsid w:val="00992B00"/>
    <w:rsid w:val="00992B45"/>
    <w:rsid w:val="00992E26"/>
    <w:rsid w:val="0099306D"/>
    <w:rsid w:val="00993139"/>
    <w:rsid w:val="0099317A"/>
    <w:rsid w:val="00993565"/>
    <w:rsid w:val="00993A7A"/>
    <w:rsid w:val="00993B7C"/>
    <w:rsid w:val="009940FD"/>
    <w:rsid w:val="00994C38"/>
    <w:rsid w:val="0099630C"/>
    <w:rsid w:val="00996368"/>
    <w:rsid w:val="00996A6E"/>
    <w:rsid w:val="0099702A"/>
    <w:rsid w:val="009978E8"/>
    <w:rsid w:val="009A06CC"/>
    <w:rsid w:val="009A0FA6"/>
    <w:rsid w:val="009A17CD"/>
    <w:rsid w:val="009A1E66"/>
    <w:rsid w:val="009A2D90"/>
    <w:rsid w:val="009A3480"/>
    <w:rsid w:val="009A363A"/>
    <w:rsid w:val="009A3BF4"/>
    <w:rsid w:val="009A4656"/>
    <w:rsid w:val="009A5319"/>
    <w:rsid w:val="009A5521"/>
    <w:rsid w:val="009A6014"/>
    <w:rsid w:val="009A6132"/>
    <w:rsid w:val="009A6C75"/>
    <w:rsid w:val="009A6E26"/>
    <w:rsid w:val="009A6FCD"/>
    <w:rsid w:val="009A7FF5"/>
    <w:rsid w:val="009B04E5"/>
    <w:rsid w:val="009B208E"/>
    <w:rsid w:val="009B2697"/>
    <w:rsid w:val="009B29A5"/>
    <w:rsid w:val="009B34F6"/>
    <w:rsid w:val="009B36FD"/>
    <w:rsid w:val="009B4124"/>
    <w:rsid w:val="009B5109"/>
    <w:rsid w:val="009B53C0"/>
    <w:rsid w:val="009B6994"/>
    <w:rsid w:val="009B7644"/>
    <w:rsid w:val="009B76D9"/>
    <w:rsid w:val="009B773E"/>
    <w:rsid w:val="009B7A43"/>
    <w:rsid w:val="009C0A1A"/>
    <w:rsid w:val="009C26E7"/>
    <w:rsid w:val="009C2FC1"/>
    <w:rsid w:val="009C32EF"/>
    <w:rsid w:val="009C3492"/>
    <w:rsid w:val="009C36F0"/>
    <w:rsid w:val="009C3D90"/>
    <w:rsid w:val="009C3E9E"/>
    <w:rsid w:val="009C4910"/>
    <w:rsid w:val="009C4B77"/>
    <w:rsid w:val="009C5177"/>
    <w:rsid w:val="009C5480"/>
    <w:rsid w:val="009C581C"/>
    <w:rsid w:val="009C756F"/>
    <w:rsid w:val="009D094B"/>
    <w:rsid w:val="009D1323"/>
    <w:rsid w:val="009D26E2"/>
    <w:rsid w:val="009D26F9"/>
    <w:rsid w:val="009D2BB2"/>
    <w:rsid w:val="009D2D92"/>
    <w:rsid w:val="009D415D"/>
    <w:rsid w:val="009D443F"/>
    <w:rsid w:val="009D4713"/>
    <w:rsid w:val="009D4D8F"/>
    <w:rsid w:val="009D4DAB"/>
    <w:rsid w:val="009D523F"/>
    <w:rsid w:val="009D52C4"/>
    <w:rsid w:val="009D5646"/>
    <w:rsid w:val="009D56EA"/>
    <w:rsid w:val="009D587D"/>
    <w:rsid w:val="009D60BD"/>
    <w:rsid w:val="009D61E6"/>
    <w:rsid w:val="009D646C"/>
    <w:rsid w:val="009D71E8"/>
    <w:rsid w:val="009E0437"/>
    <w:rsid w:val="009E0574"/>
    <w:rsid w:val="009E0641"/>
    <w:rsid w:val="009E09BC"/>
    <w:rsid w:val="009E159B"/>
    <w:rsid w:val="009E1E41"/>
    <w:rsid w:val="009E200D"/>
    <w:rsid w:val="009E2827"/>
    <w:rsid w:val="009E3A56"/>
    <w:rsid w:val="009E4A78"/>
    <w:rsid w:val="009E5334"/>
    <w:rsid w:val="009E574A"/>
    <w:rsid w:val="009E5D53"/>
    <w:rsid w:val="009E5D8C"/>
    <w:rsid w:val="009E6192"/>
    <w:rsid w:val="009E6231"/>
    <w:rsid w:val="009E6E55"/>
    <w:rsid w:val="009E6F31"/>
    <w:rsid w:val="009E727C"/>
    <w:rsid w:val="009E7496"/>
    <w:rsid w:val="009E7B67"/>
    <w:rsid w:val="009E7D8B"/>
    <w:rsid w:val="009E7DC2"/>
    <w:rsid w:val="009E7FC8"/>
    <w:rsid w:val="009F0314"/>
    <w:rsid w:val="009F0FA7"/>
    <w:rsid w:val="009F11BD"/>
    <w:rsid w:val="009F17C5"/>
    <w:rsid w:val="009F36D6"/>
    <w:rsid w:val="009F399F"/>
    <w:rsid w:val="009F3EDF"/>
    <w:rsid w:val="009F48B3"/>
    <w:rsid w:val="009F626D"/>
    <w:rsid w:val="009F655F"/>
    <w:rsid w:val="009F74F2"/>
    <w:rsid w:val="009F761C"/>
    <w:rsid w:val="009F765D"/>
    <w:rsid w:val="009F7667"/>
    <w:rsid w:val="00A0026F"/>
    <w:rsid w:val="00A00C04"/>
    <w:rsid w:val="00A00DF0"/>
    <w:rsid w:val="00A01793"/>
    <w:rsid w:val="00A01855"/>
    <w:rsid w:val="00A01F3F"/>
    <w:rsid w:val="00A020D9"/>
    <w:rsid w:val="00A02E8A"/>
    <w:rsid w:val="00A03076"/>
    <w:rsid w:val="00A04EA4"/>
    <w:rsid w:val="00A0501A"/>
    <w:rsid w:val="00A054B3"/>
    <w:rsid w:val="00A059A5"/>
    <w:rsid w:val="00A06A9A"/>
    <w:rsid w:val="00A06CC9"/>
    <w:rsid w:val="00A06EC7"/>
    <w:rsid w:val="00A121A9"/>
    <w:rsid w:val="00A125C6"/>
    <w:rsid w:val="00A129B3"/>
    <w:rsid w:val="00A1425B"/>
    <w:rsid w:val="00A14D77"/>
    <w:rsid w:val="00A1555E"/>
    <w:rsid w:val="00A15B9F"/>
    <w:rsid w:val="00A161A9"/>
    <w:rsid w:val="00A16699"/>
    <w:rsid w:val="00A16732"/>
    <w:rsid w:val="00A17BBA"/>
    <w:rsid w:val="00A17E9D"/>
    <w:rsid w:val="00A221C6"/>
    <w:rsid w:val="00A226AC"/>
    <w:rsid w:val="00A22C0D"/>
    <w:rsid w:val="00A23604"/>
    <w:rsid w:val="00A238C1"/>
    <w:rsid w:val="00A250F0"/>
    <w:rsid w:val="00A251CF"/>
    <w:rsid w:val="00A253D6"/>
    <w:rsid w:val="00A2584B"/>
    <w:rsid w:val="00A25D7B"/>
    <w:rsid w:val="00A27122"/>
    <w:rsid w:val="00A277D7"/>
    <w:rsid w:val="00A27B2D"/>
    <w:rsid w:val="00A27B83"/>
    <w:rsid w:val="00A27BE7"/>
    <w:rsid w:val="00A300CA"/>
    <w:rsid w:val="00A307DD"/>
    <w:rsid w:val="00A30E26"/>
    <w:rsid w:val="00A3148E"/>
    <w:rsid w:val="00A316A9"/>
    <w:rsid w:val="00A318DF"/>
    <w:rsid w:val="00A31B7B"/>
    <w:rsid w:val="00A31C5B"/>
    <w:rsid w:val="00A31C75"/>
    <w:rsid w:val="00A32457"/>
    <w:rsid w:val="00A32AD9"/>
    <w:rsid w:val="00A32B2F"/>
    <w:rsid w:val="00A32B68"/>
    <w:rsid w:val="00A33933"/>
    <w:rsid w:val="00A33B64"/>
    <w:rsid w:val="00A34739"/>
    <w:rsid w:val="00A347CD"/>
    <w:rsid w:val="00A35584"/>
    <w:rsid w:val="00A36111"/>
    <w:rsid w:val="00A3660E"/>
    <w:rsid w:val="00A36B57"/>
    <w:rsid w:val="00A3708D"/>
    <w:rsid w:val="00A371E0"/>
    <w:rsid w:val="00A37474"/>
    <w:rsid w:val="00A37647"/>
    <w:rsid w:val="00A401E2"/>
    <w:rsid w:val="00A411E6"/>
    <w:rsid w:val="00A4299A"/>
    <w:rsid w:val="00A437B5"/>
    <w:rsid w:val="00A43BF4"/>
    <w:rsid w:val="00A44083"/>
    <w:rsid w:val="00A44595"/>
    <w:rsid w:val="00A4465E"/>
    <w:rsid w:val="00A44D6B"/>
    <w:rsid w:val="00A4538C"/>
    <w:rsid w:val="00A45CF7"/>
    <w:rsid w:val="00A4642F"/>
    <w:rsid w:val="00A46B58"/>
    <w:rsid w:val="00A46FF4"/>
    <w:rsid w:val="00A476B9"/>
    <w:rsid w:val="00A477F6"/>
    <w:rsid w:val="00A47E17"/>
    <w:rsid w:val="00A50165"/>
    <w:rsid w:val="00A517E2"/>
    <w:rsid w:val="00A518ED"/>
    <w:rsid w:val="00A528AD"/>
    <w:rsid w:val="00A52C7E"/>
    <w:rsid w:val="00A54516"/>
    <w:rsid w:val="00A54643"/>
    <w:rsid w:val="00A54EE6"/>
    <w:rsid w:val="00A55A3E"/>
    <w:rsid w:val="00A55F51"/>
    <w:rsid w:val="00A56E05"/>
    <w:rsid w:val="00A56F15"/>
    <w:rsid w:val="00A574BE"/>
    <w:rsid w:val="00A57A69"/>
    <w:rsid w:val="00A6004C"/>
    <w:rsid w:val="00A60449"/>
    <w:rsid w:val="00A6056F"/>
    <w:rsid w:val="00A60834"/>
    <w:rsid w:val="00A60B9B"/>
    <w:rsid w:val="00A61477"/>
    <w:rsid w:val="00A61DF6"/>
    <w:rsid w:val="00A6244A"/>
    <w:rsid w:val="00A65282"/>
    <w:rsid w:val="00A6537D"/>
    <w:rsid w:val="00A6650B"/>
    <w:rsid w:val="00A6673D"/>
    <w:rsid w:val="00A671FE"/>
    <w:rsid w:val="00A67294"/>
    <w:rsid w:val="00A677A2"/>
    <w:rsid w:val="00A70C76"/>
    <w:rsid w:val="00A71ACA"/>
    <w:rsid w:val="00A72693"/>
    <w:rsid w:val="00A73895"/>
    <w:rsid w:val="00A73D8A"/>
    <w:rsid w:val="00A744A2"/>
    <w:rsid w:val="00A74FCC"/>
    <w:rsid w:val="00A7548E"/>
    <w:rsid w:val="00A768B6"/>
    <w:rsid w:val="00A770D8"/>
    <w:rsid w:val="00A77C5F"/>
    <w:rsid w:val="00A813BB"/>
    <w:rsid w:val="00A813BF"/>
    <w:rsid w:val="00A81A00"/>
    <w:rsid w:val="00A82D18"/>
    <w:rsid w:val="00A82DF2"/>
    <w:rsid w:val="00A84190"/>
    <w:rsid w:val="00A84962"/>
    <w:rsid w:val="00A84F5B"/>
    <w:rsid w:val="00A85D0E"/>
    <w:rsid w:val="00A867A9"/>
    <w:rsid w:val="00A87C46"/>
    <w:rsid w:val="00A87DB9"/>
    <w:rsid w:val="00A87DD0"/>
    <w:rsid w:val="00A90178"/>
    <w:rsid w:val="00A901AC"/>
    <w:rsid w:val="00A907D9"/>
    <w:rsid w:val="00A921A4"/>
    <w:rsid w:val="00A9266D"/>
    <w:rsid w:val="00A92AD4"/>
    <w:rsid w:val="00A92CDB"/>
    <w:rsid w:val="00A93473"/>
    <w:rsid w:val="00A9373C"/>
    <w:rsid w:val="00A93FA2"/>
    <w:rsid w:val="00A9545F"/>
    <w:rsid w:val="00A962EE"/>
    <w:rsid w:val="00A96A52"/>
    <w:rsid w:val="00A96F72"/>
    <w:rsid w:val="00A9704F"/>
    <w:rsid w:val="00A97ED3"/>
    <w:rsid w:val="00AA0277"/>
    <w:rsid w:val="00AA0E83"/>
    <w:rsid w:val="00AA1134"/>
    <w:rsid w:val="00AA1148"/>
    <w:rsid w:val="00AA1993"/>
    <w:rsid w:val="00AA1F4F"/>
    <w:rsid w:val="00AA23BA"/>
    <w:rsid w:val="00AA2FAC"/>
    <w:rsid w:val="00AA3609"/>
    <w:rsid w:val="00AA3627"/>
    <w:rsid w:val="00AA3E3E"/>
    <w:rsid w:val="00AA46BC"/>
    <w:rsid w:val="00AA4B05"/>
    <w:rsid w:val="00AA5939"/>
    <w:rsid w:val="00AA59EB"/>
    <w:rsid w:val="00AA5BED"/>
    <w:rsid w:val="00AA5D4F"/>
    <w:rsid w:val="00AA7F45"/>
    <w:rsid w:val="00AB0030"/>
    <w:rsid w:val="00AB0824"/>
    <w:rsid w:val="00AB0FBA"/>
    <w:rsid w:val="00AB12BA"/>
    <w:rsid w:val="00AB134A"/>
    <w:rsid w:val="00AB194A"/>
    <w:rsid w:val="00AB1C76"/>
    <w:rsid w:val="00AB1DCB"/>
    <w:rsid w:val="00AB210C"/>
    <w:rsid w:val="00AB255B"/>
    <w:rsid w:val="00AB43A6"/>
    <w:rsid w:val="00AB4637"/>
    <w:rsid w:val="00AB4B34"/>
    <w:rsid w:val="00AB5012"/>
    <w:rsid w:val="00AB5587"/>
    <w:rsid w:val="00AB5D10"/>
    <w:rsid w:val="00AB64AC"/>
    <w:rsid w:val="00AB6973"/>
    <w:rsid w:val="00AB76FE"/>
    <w:rsid w:val="00AB7765"/>
    <w:rsid w:val="00AB784A"/>
    <w:rsid w:val="00AB7D02"/>
    <w:rsid w:val="00AB7FF4"/>
    <w:rsid w:val="00AC0C76"/>
    <w:rsid w:val="00AC2201"/>
    <w:rsid w:val="00AC2224"/>
    <w:rsid w:val="00AC2999"/>
    <w:rsid w:val="00AC2E55"/>
    <w:rsid w:val="00AC2F63"/>
    <w:rsid w:val="00AC2F90"/>
    <w:rsid w:val="00AC42AF"/>
    <w:rsid w:val="00AC43CD"/>
    <w:rsid w:val="00AC4475"/>
    <w:rsid w:val="00AC57A1"/>
    <w:rsid w:val="00AC5C5D"/>
    <w:rsid w:val="00AC6866"/>
    <w:rsid w:val="00AC72CF"/>
    <w:rsid w:val="00AC7431"/>
    <w:rsid w:val="00AC7B65"/>
    <w:rsid w:val="00AC7E4D"/>
    <w:rsid w:val="00AD0AAC"/>
    <w:rsid w:val="00AD2059"/>
    <w:rsid w:val="00AD2885"/>
    <w:rsid w:val="00AD3085"/>
    <w:rsid w:val="00AD31A4"/>
    <w:rsid w:val="00AD5C96"/>
    <w:rsid w:val="00AD6167"/>
    <w:rsid w:val="00AD62E3"/>
    <w:rsid w:val="00AD6C23"/>
    <w:rsid w:val="00AD6FD9"/>
    <w:rsid w:val="00AD72F9"/>
    <w:rsid w:val="00AD7652"/>
    <w:rsid w:val="00AD7891"/>
    <w:rsid w:val="00AE0111"/>
    <w:rsid w:val="00AE0630"/>
    <w:rsid w:val="00AE0855"/>
    <w:rsid w:val="00AE113A"/>
    <w:rsid w:val="00AE1927"/>
    <w:rsid w:val="00AE1B37"/>
    <w:rsid w:val="00AE1C01"/>
    <w:rsid w:val="00AE1D14"/>
    <w:rsid w:val="00AE208F"/>
    <w:rsid w:val="00AE28B3"/>
    <w:rsid w:val="00AE28DF"/>
    <w:rsid w:val="00AE33F9"/>
    <w:rsid w:val="00AE37DB"/>
    <w:rsid w:val="00AE3D74"/>
    <w:rsid w:val="00AE3DCC"/>
    <w:rsid w:val="00AE469B"/>
    <w:rsid w:val="00AE5BFA"/>
    <w:rsid w:val="00AE6025"/>
    <w:rsid w:val="00AE62F5"/>
    <w:rsid w:val="00AE65E1"/>
    <w:rsid w:val="00AE7FCA"/>
    <w:rsid w:val="00AF0D64"/>
    <w:rsid w:val="00AF221E"/>
    <w:rsid w:val="00AF28E4"/>
    <w:rsid w:val="00AF2E2C"/>
    <w:rsid w:val="00AF3498"/>
    <w:rsid w:val="00AF4692"/>
    <w:rsid w:val="00AF4821"/>
    <w:rsid w:val="00AF4D9B"/>
    <w:rsid w:val="00AF4E5A"/>
    <w:rsid w:val="00AF4F42"/>
    <w:rsid w:val="00AF6391"/>
    <w:rsid w:val="00AF70DD"/>
    <w:rsid w:val="00AF7284"/>
    <w:rsid w:val="00AF7678"/>
    <w:rsid w:val="00AF77DB"/>
    <w:rsid w:val="00AF79BB"/>
    <w:rsid w:val="00B001E9"/>
    <w:rsid w:val="00B00239"/>
    <w:rsid w:val="00B003C5"/>
    <w:rsid w:val="00B00AE9"/>
    <w:rsid w:val="00B00F75"/>
    <w:rsid w:val="00B01922"/>
    <w:rsid w:val="00B02156"/>
    <w:rsid w:val="00B028C2"/>
    <w:rsid w:val="00B03316"/>
    <w:rsid w:val="00B03997"/>
    <w:rsid w:val="00B03C5E"/>
    <w:rsid w:val="00B0453D"/>
    <w:rsid w:val="00B04590"/>
    <w:rsid w:val="00B052B3"/>
    <w:rsid w:val="00B0540B"/>
    <w:rsid w:val="00B055D2"/>
    <w:rsid w:val="00B0568A"/>
    <w:rsid w:val="00B05EB4"/>
    <w:rsid w:val="00B05ECA"/>
    <w:rsid w:val="00B06305"/>
    <w:rsid w:val="00B06524"/>
    <w:rsid w:val="00B0656D"/>
    <w:rsid w:val="00B067E1"/>
    <w:rsid w:val="00B06A6C"/>
    <w:rsid w:val="00B07383"/>
    <w:rsid w:val="00B075C1"/>
    <w:rsid w:val="00B0798C"/>
    <w:rsid w:val="00B13694"/>
    <w:rsid w:val="00B13754"/>
    <w:rsid w:val="00B13A26"/>
    <w:rsid w:val="00B13A3E"/>
    <w:rsid w:val="00B141D9"/>
    <w:rsid w:val="00B1547E"/>
    <w:rsid w:val="00B15685"/>
    <w:rsid w:val="00B158C6"/>
    <w:rsid w:val="00B15A94"/>
    <w:rsid w:val="00B15F5A"/>
    <w:rsid w:val="00B16031"/>
    <w:rsid w:val="00B161C0"/>
    <w:rsid w:val="00B168DD"/>
    <w:rsid w:val="00B16DCF"/>
    <w:rsid w:val="00B16E21"/>
    <w:rsid w:val="00B16EAE"/>
    <w:rsid w:val="00B2005A"/>
    <w:rsid w:val="00B2088A"/>
    <w:rsid w:val="00B20923"/>
    <w:rsid w:val="00B20E9D"/>
    <w:rsid w:val="00B21160"/>
    <w:rsid w:val="00B2406D"/>
    <w:rsid w:val="00B256D9"/>
    <w:rsid w:val="00B25A7A"/>
    <w:rsid w:val="00B26021"/>
    <w:rsid w:val="00B262D1"/>
    <w:rsid w:val="00B27A81"/>
    <w:rsid w:val="00B3070D"/>
    <w:rsid w:val="00B30B5E"/>
    <w:rsid w:val="00B30B83"/>
    <w:rsid w:val="00B31472"/>
    <w:rsid w:val="00B33C3F"/>
    <w:rsid w:val="00B340AD"/>
    <w:rsid w:val="00B341FB"/>
    <w:rsid w:val="00B34592"/>
    <w:rsid w:val="00B3478A"/>
    <w:rsid w:val="00B34845"/>
    <w:rsid w:val="00B349BB"/>
    <w:rsid w:val="00B34AA4"/>
    <w:rsid w:val="00B34C4F"/>
    <w:rsid w:val="00B34E38"/>
    <w:rsid w:val="00B355DD"/>
    <w:rsid w:val="00B35707"/>
    <w:rsid w:val="00B36300"/>
    <w:rsid w:val="00B36560"/>
    <w:rsid w:val="00B36E84"/>
    <w:rsid w:val="00B37072"/>
    <w:rsid w:val="00B372BF"/>
    <w:rsid w:val="00B40A2C"/>
    <w:rsid w:val="00B40EBC"/>
    <w:rsid w:val="00B42857"/>
    <w:rsid w:val="00B44AA6"/>
    <w:rsid w:val="00B44B1D"/>
    <w:rsid w:val="00B4509C"/>
    <w:rsid w:val="00B4635A"/>
    <w:rsid w:val="00B465F7"/>
    <w:rsid w:val="00B466C4"/>
    <w:rsid w:val="00B46702"/>
    <w:rsid w:val="00B50190"/>
    <w:rsid w:val="00B50377"/>
    <w:rsid w:val="00B511EB"/>
    <w:rsid w:val="00B51201"/>
    <w:rsid w:val="00B51360"/>
    <w:rsid w:val="00B51363"/>
    <w:rsid w:val="00B516CA"/>
    <w:rsid w:val="00B52A37"/>
    <w:rsid w:val="00B53236"/>
    <w:rsid w:val="00B53BD7"/>
    <w:rsid w:val="00B53D82"/>
    <w:rsid w:val="00B54209"/>
    <w:rsid w:val="00B5474A"/>
    <w:rsid w:val="00B54CB6"/>
    <w:rsid w:val="00B55942"/>
    <w:rsid w:val="00B55E27"/>
    <w:rsid w:val="00B56F93"/>
    <w:rsid w:val="00B5748D"/>
    <w:rsid w:val="00B5762D"/>
    <w:rsid w:val="00B577D0"/>
    <w:rsid w:val="00B57921"/>
    <w:rsid w:val="00B57F71"/>
    <w:rsid w:val="00B60869"/>
    <w:rsid w:val="00B6092A"/>
    <w:rsid w:val="00B619EF"/>
    <w:rsid w:val="00B61D3E"/>
    <w:rsid w:val="00B62EA9"/>
    <w:rsid w:val="00B633DD"/>
    <w:rsid w:val="00B63C3D"/>
    <w:rsid w:val="00B6453B"/>
    <w:rsid w:val="00B646D5"/>
    <w:rsid w:val="00B64D69"/>
    <w:rsid w:val="00B64F1A"/>
    <w:rsid w:val="00B655D7"/>
    <w:rsid w:val="00B65F7B"/>
    <w:rsid w:val="00B66773"/>
    <w:rsid w:val="00B66B5C"/>
    <w:rsid w:val="00B6786A"/>
    <w:rsid w:val="00B678F1"/>
    <w:rsid w:val="00B67CC8"/>
    <w:rsid w:val="00B716F9"/>
    <w:rsid w:val="00B71C7F"/>
    <w:rsid w:val="00B72D3A"/>
    <w:rsid w:val="00B73C67"/>
    <w:rsid w:val="00B74816"/>
    <w:rsid w:val="00B74839"/>
    <w:rsid w:val="00B7490B"/>
    <w:rsid w:val="00B74CC9"/>
    <w:rsid w:val="00B74DFD"/>
    <w:rsid w:val="00B750BD"/>
    <w:rsid w:val="00B75834"/>
    <w:rsid w:val="00B76562"/>
    <w:rsid w:val="00B76EB5"/>
    <w:rsid w:val="00B77478"/>
    <w:rsid w:val="00B77C45"/>
    <w:rsid w:val="00B77F75"/>
    <w:rsid w:val="00B8009F"/>
    <w:rsid w:val="00B80100"/>
    <w:rsid w:val="00B801D4"/>
    <w:rsid w:val="00B81373"/>
    <w:rsid w:val="00B8167E"/>
    <w:rsid w:val="00B824F7"/>
    <w:rsid w:val="00B826B1"/>
    <w:rsid w:val="00B8293A"/>
    <w:rsid w:val="00B82B21"/>
    <w:rsid w:val="00B83B34"/>
    <w:rsid w:val="00B83B4E"/>
    <w:rsid w:val="00B83C1E"/>
    <w:rsid w:val="00B83E30"/>
    <w:rsid w:val="00B85181"/>
    <w:rsid w:val="00B85187"/>
    <w:rsid w:val="00B85876"/>
    <w:rsid w:val="00B85959"/>
    <w:rsid w:val="00B87C3D"/>
    <w:rsid w:val="00B90A96"/>
    <w:rsid w:val="00B91229"/>
    <w:rsid w:val="00B926F1"/>
    <w:rsid w:val="00B92EE6"/>
    <w:rsid w:val="00B92F5E"/>
    <w:rsid w:val="00B9350E"/>
    <w:rsid w:val="00B93742"/>
    <w:rsid w:val="00B93A65"/>
    <w:rsid w:val="00B94605"/>
    <w:rsid w:val="00B94E8D"/>
    <w:rsid w:val="00B95162"/>
    <w:rsid w:val="00B9543D"/>
    <w:rsid w:val="00B95B9B"/>
    <w:rsid w:val="00B9638E"/>
    <w:rsid w:val="00B9705D"/>
    <w:rsid w:val="00BA02DD"/>
    <w:rsid w:val="00BA0B83"/>
    <w:rsid w:val="00BA1115"/>
    <w:rsid w:val="00BA12DA"/>
    <w:rsid w:val="00BA1599"/>
    <w:rsid w:val="00BA1988"/>
    <w:rsid w:val="00BA21C8"/>
    <w:rsid w:val="00BA24A1"/>
    <w:rsid w:val="00BA24FF"/>
    <w:rsid w:val="00BA28AD"/>
    <w:rsid w:val="00BA29C7"/>
    <w:rsid w:val="00BA4FA0"/>
    <w:rsid w:val="00BA5139"/>
    <w:rsid w:val="00BA54DF"/>
    <w:rsid w:val="00BA5CA7"/>
    <w:rsid w:val="00BA6022"/>
    <w:rsid w:val="00BA7262"/>
    <w:rsid w:val="00BA7EFA"/>
    <w:rsid w:val="00BA7F34"/>
    <w:rsid w:val="00BB021E"/>
    <w:rsid w:val="00BB0302"/>
    <w:rsid w:val="00BB05DE"/>
    <w:rsid w:val="00BB08DD"/>
    <w:rsid w:val="00BB0B07"/>
    <w:rsid w:val="00BB0D40"/>
    <w:rsid w:val="00BB124B"/>
    <w:rsid w:val="00BB16F3"/>
    <w:rsid w:val="00BB173F"/>
    <w:rsid w:val="00BB1AFD"/>
    <w:rsid w:val="00BB1BD0"/>
    <w:rsid w:val="00BB1E8E"/>
    <w:rsid w:val="00BB3166"/>
    <w:rsid w:val="00BB3317"/>
    <w:rsid w:val="00BB349B"/>
    <w:rsid w:val="00BB3591"/>
    <w:rsid w:val="00BB369E"/>
    <w:rsid w:val="00BB3C30"/>
    <w:rsid w:val="00BB3DCF"/>
    <w:rsid w:val="00BB6586"/>
    <w:rsid w:val="00BB74BE"/>
    <w:rsid w:val="00BB7582"/>
    <w:rsid w:val="00BB79EA"/>
    <w:rsid w:val="00BB7B9A"/>
    <w:rsid w:val="00BB7CFF"/>
    <w:rsid w:val="00BC030B"/>
    <w:rsid w:val="00BC05A5"/>
    <w:rsid w:val="00BC0788"/>
    <w:rsid w:val="00BC0BFB"/>
    <w:rsid w:val="00BC1093"/>
    <w:rsid w:val="00BC162E"/>
    <w:rsid w:val="00BC2C0C"/>
    <w:rsid w:val="00BC3D42"/>
    <w:rsid w:val="00BC4052"/>
    <w:rsid w:val="00BC48C8"/>
    <w:rsid w:val="00BC49CC"/>
    <w:rsid w:val="00BC4C7F"/>
    <w:rsid w:val="00BC53BD"/>
    <w:rsid w:val="00BC574F"/>
    <w:rsid w:val="00BC5DF0"/>
    <w:rsid w:val="00BC5DF3"/>
    <w:rsid w:val="00BC5ED1"/>
    <w:rsid w:val="00BC6441"/>
    <w:rsid w:val="00BC70A3"/>
    <w:rsid w:val="00BC7B77"/>
    <w:rsid w:val="00BD0192"/>
    <w:rsid w:val="00BD1583"/>
    <w:rsid w:val="00BD2C9A"/>
    <w:rsid w:val="00BD2E70"/>
    <w:rsid w:val="00BD36CC"/>
    <w:rsid w:val="00BD37AF"/>
    <w:rsid w:val="00BD3B0D"/>
    <w:rsid w:val="00BD405F"/>
    <w:rsid w:val="00BD48D1"/>
    <w:rsid w:val="00BD6572"/>
    <w:rsid w:val="00BD67F4"/>
    <w:rsid w:val="00BD690D"/>
    <w:rsid w:val="00BD6CFB"/>
    <w:rsid w:val="00BE070A"/>
    <w:rsid w:val="00BE0C64"/>
    <w:rsid w:val="00BE14BD"/>
    <w:rsid w:val="00BE216A"/>
    <w:rsid w:val="00BE25AC"/>
    <w:rsid w:val="00BE28F3"/>
    <w:rsid w:val="00BE3658"/>
    <w:rsid w:val="00BE399B"/>
    <w:rsid w:val="00BE40F2"/>
    <w:rsid w:val="00BE4232"/>
    <w:rsid w:val="00BE4F98"/>
    <w:rsid w:val="00BE6678"/>
    <w:rsid w:val="00BE6720"/>
    <w:rsid w:val="00BE6F13"/>
    <w:rsid w:val="00BE723B"/>
    <w:rsid w:val="00BE72FE"/>
    <w:rsid w:val="00BE792D"/>
    <w:rsid w:val="00BF02CB"/>
    <w:rsid w:val="00BF07AB"/>
    <w:rsid w:val="00BF0B8B"/>
    <w:rsid w:val="00BF3462"/>
    <w:rsid w:val="00BF3734"/>
    <w:rsid w:val="00BF3DCB"/>
    <w:rsid w:val="00BF3E72"/>
    <w:rsid w:val="00BF5E0A"/>
    <w:rsid w:val="00BF65DF"/>
    <w:rsid w:val="00BF693F"/>
    <w:rsid w:val="00BF6E05"/>
    <w:rsid w:val="00BF7675"/>
    <w:rsid w:val="00C005BB"/>
    <w:rsid w:val="00C015E9"/>
    <w:rsid w:val="00C027E1"/>
    <w:rsid w:val="00C0310E"/>
    <w:rsid w:val="00C03366"/>
    <w:rsid w:val="00C0387E"/>
    <w:rsid w:val="00C03BA7"/>
    <w:rsid w:val="00C03CB3"/>
    <w:rsid w:val="00C04699"/>
    <w:rsid w:val="00C04B8A"/>
    <w:rsid w:val="00C05004"/>
    <w:rsid w:val="00C060AD"/>
    <w:rsid w:val="00C0634D"/>
    <w:rsid w:val="00C06677"/>
    <w:rsid w:val="00C06DE6"/>
    <w:rsid w:val="00C070D5"/>
    <w:rsid w:val="00C078F2"/>
    <w:rsid w:val="00C10436"/>
    <w:rsid w:val="00C10C34"/>
    <w:rsid w:val="00C10EE5"/>
    <w:rsid w:val="00C112DB"/>
    <w:rsid w:val="00C1138E"/>
    <w:rsid w:val="00C1225B"/>
    <w:rsid w:val="00C12C19"/>
    <w:rsid w:val="00C12D6A"/>
    <w:rsid w:val="00C12FAD"/>
    <w:rsid w:val="00C132C1"/>
    <w:rsid w:val="00C1340A"/>
    <w:rsid w:val="00C13EDE"/>
    <w:rsid w:val="00C140A5"/>
    <w:rsid w:val="00C1418B"/>
    <w:rsid w:val="00C15493"/>
    <w:rsid w:val="00C156E8"/>
    <w:rsid w:val="00C15BEA"/>
    <w:rsid w:val="00C171FC"/>
    <w:rsid w:val="00C17719"/>
    <w:rsid w:val="00C17CBC"/>
    <w:rsid w:val="00C209FC"/>
    <w:rsid w:val="00C21467"/>
    <w:rsid w:val="00C215CA"/>
    <w:rsid w:val="00C2213E"/>
    <w:rsid w:val="00C22B86"/>
    <w:rsid w:val="00C2309C"/>
    <w:rsid w:val="00C231A5"/>
    <w:rsid w:val="00C23307"/>
    <w:rsid w:val="00C25561"/>
    <w:rsid w:val="00C25CB9"/>
    <w:rsid w:val="00C26979"/>
    <w:rsid w:val="00C269EC"/>
    <w:rsid w:val="00C27C56"/>
    <w:rsid w:val="00C27CBC"/>
    <w:rsid w:val="00C31205"/>
    <w:rsid w:val="00C3155F"/>
    <w:rsid w:val="00C333BC"/>
    <w:rsid w:val="00C33DBA"/>
    <w:rsid w:val="00C34E87"/>
    <w:rsid w:val="00C34EB1"/>
    <w:rsid w:val="00C34F1E"/>
    <w:rsid w:val="00C35165"/>
    <w:rsid w:val="00C3607D"/>
    <w:rsid w:val="00C360ED"/>
    <w:rsid w:val="00C36C4A"/>
    <w:rsid w:val="00C36D6E"/>
    <w:rsid w:val="00C40826"/>
    <w:rsid w:val="00C42417"/>
    <w:rsid w:val="00C429D1"/>
    <w:rsid w:val="00C42FEE"/>
    <w:rsid w:val="00C4327D"/>
    <w:rsid w:val="00C43E88"/>
    <w:rsid w:val="00C43ECE"/>
    <w:rsid w:val="00C44683"/>
    <w:rsid w:val="00C44D09"/>
    <w:rsid w:val="00C44E5F"/>
    <w:rsid w:val="00C46CCC"/>
    <w:rsid w:val="00C477C0"/>
    <w:rsid w:val="00C47D8C"/>
    <w:rsid w:val="00C47ECD"/>
    <w:rsid w:val="00C5042B"/>
    <w:rsid w:val="00C507FC"/>
    <w:rsid w:val="00C509AF"/>
    <w:rsid w:val="00C50B61"/>
    <w:rsid w:val="00C51293"/>
    <w:rsid w:val="00C514EF"/>
    <w:rsid w:val="00C514F8"/>
    <w:rsid w:val="00C51F79"/>
    <w:rsid w:val="00C520A3"/>
    <w:rsid w:val="00C53846"/>
    <w:rsid w:val="00C541D5"/>
    <w:rsid w:val="00C54437"/>
    <w:rsid w:val="00C54D67"/>
    <w:rsid w:val="00C55C75"/>
    <w:rsid w:val="00C5611D"/>
    <w:rsid w:val="00C575DA"/>
    <w:rsid w:val="00C60E74"/>
    <w:rsid w:val="00C612AF"/>
    <w:rsid w:val="00C61B06"/>
    <w:rsid w:val="00C61F5E"/>
    <w:rsid w:val="00C6226F"/>
    <w:rsid w:val="00C622DF"/>
    <w:rsid w:val="00C627E0"/>
    <w:rsid w:val="00C62DCA"/>
    <w:rsid w:val="00C634D0"/>
    <w:rsid w:val="00C6435B"/>
    <w:rsid w:val="00C650B8"/>
    <w:rsid w:val="00C65144"/>
    <w:rsid w:val="00C6634C"/>
    <w:rsid w:val="00C664AD"/>
    <w:rsid w:val="00C664E7"/>
    <w:rsid w:val="00C67161"/>
    <w:rsid w:val="00C678B6"/>
    <w:rsid w:val="00C7013B"/>
    <w:rsid w:val="00C70347"/>
    <w:rsid w:val="00C70687"/>
    <w:rsid w:val="00C70A75"/>
    <w:rsid w:val="00C70F0F"/>
    <w:rsid w:val="00C7142D"/>
    <w:rsid w:val="00C71546"/>
    <w:rsid w:val="00C7188C"/>
    <w:rsid w:val="00C72C0F"/>
    <w:rsid w:val="00C7330F"/>
    <w:rsid w:val="00C734DA"/>
    <w:rsid w:val="00C74139"/>
    <w:rsid w:val="00C743DA"/>
    <w:rsid w:val="00C74741"/>
    <w:rsid w:val="00C747D9"/>
    <w:rsid w:val="00C75287"/>
    <w:rsid w:val="00C75432"/>
    <w:rsid w:val="00C759D7"/>
    <w:rsid w:val="00C761EE"/>
    <w:rsid w:val="00C76AAB"/>
    <w:rsid w:val="00C77098"/>
    <w:rsid w:val="00C772DF"/>
    <w:rsid w:val="00C7788A"/>
    <w:rsid w:val="00C77FD4"/>
    <w:rsid w:val="00C8087A"/>
    <w:rsid w:val="00C80F99"/>
    <w:rsid w:val="00C80F9F"/>
    <w:rsid w:val="00C80FB8"/>
    <w:rsid w:val="00C81277"/>
    <w:rsid w:val="00C81284"/>
    <w:rsid w:val="00C82108"/>
    <w:rsid w:val="00C82250"/>
    <w:rsid w:val="00C82333"/>
    <w:rsid w:val="00C8318E"/>
    <w:rsid w:val="00C8383C"/>
    <w:rsid w:val="00C84CA1"/>
    <w:rsid w:val="00C85215"/>
    <w:rsid w:val="00C8545A"/>
    <w:rsid w:val="00C85C00"/>
    <w:rsid w:val="00C85C42"/>
    <w:rsid w:val="00C91872"/>
    <w:rsid w:val="00C92A10"/>
    <w:rsid w:val="00C93B0C"/>
    <w:rsid w:val="00C94054"/>
    <w:rsid w:val="00C94864"/>
    <w:rsid w:val="00C948E8"/>
    <w:rsid w:val="00C96425"/>
    <w:rsid w:val="00C96EC3"/>
    <w:rsid w:val="00C97A5E"/>
    <w:rsid w:val="00CA057A"/>
    <w:rsid w:val="00CA06FD"/>
    <w:rsid w:val="00CA0861"/>
    <w:rsid w:val="00CA0D1A"/>
    <w:rsid w:val="00CA0E34"/>
    <w:rsid w:val="00CA12E1"/>
    <w:rsid w:val="00CA1B05"/>
    <w:rsid w:val="00CA2326"/>
    <w:rsid w:val="00CA2568"/>
    <w:rsid w:val="00CA38C7"/>
    <w:rsid w:val="00CA3BC0"/>
    <w:rsid w:val="00CA3FB9"/>
    <w:rsid w:val="00CA4453"/>
    <w:rsid w:val="00CA49B3"/>
    <w:rsid w:val="00CA5520"/>
    <w:rsid w:val="00CA6EE1"/>
    <w:rsid w:val="00CA7B0F"/>
    <w:rsid w:val="00CB0605"/>
    <w:rsid w:val="00CB0826"/>
    <w:rsid w:val="00CB093C"/>
    <w:rsid w:val="00CB1080"/>
    <w:rsid w:val="00CB1FE1"/>
    <w:rsid w:val="00CB2F67"/>
    <w:rsid w:val="00CB54CD"/>
    <w:rsid w:val="00CB5667"/>
    <w:rsid w:val="00CB5891"/>
    <w:rsid w:val="00CB6BF1"/>
    <w:rsid w:val="00CC0116"/>
    <w:rsid w:val="00CC047E"/>
    <w:rsid w:val="00CC0CCD"/>
    <w:rsid w:val="00CC1007"/>
    <w:rsid w:val="00CC1156"/>
    <w:rsid w:val="00CC159F"/>
    <w:rsid w:val="00CC1B7E"/>
    <w:rsid w:val="00CC24C1"/>
    <w:rsid w:val="00CC25BB"/>
    <w:rsid w:val="00CC2F99"/>
    <w:rsid w:val="00CC3B45"/>
    <w:rsid w:val="00CC40D9"/>
    <w:rsid w:val="00CC4FD1"/>
    <w:rsid w:val="00CC5119"/>
    <w:rsid w:val="00CC527C"/>
    <w:rsid w:val="00CC6D9C"/>
    <w:rsid w:val="00CC7815"/>
    <w:rsid w:val="00CC7B5B"/>
    <w:rsid w:val="00CD01B5"/>
    <w:rsid w:val="00CD038F"/>
    <w:rsid w:val="00CD1101"/>
    <w:rsid w:val="00CD21CA"/>
    <w:rsid w:val="00CD317A"/>
    <w:rsid w:val="00CD34F4"/>
    <w:rsid w:val="00CD350B"/>
    <w:rsid w:val="00CD3BD3"/>
    <w:rsid w:val="00CD3E63"/>
    <w:rsid w:val="00CD43F5"/>
    <w:rsid w:val="00CD485D"/>
    <w:rsid w:val="00CD511A"/>
    <w:rsid w:val="00CD52F2"/>
    <w:rsid w:val="00CD556E"/>
    <w:rsid w:val="00CD55D4"/>
    <w:rsid w:val="00CD5630"/>
    <w:rsid w:val="00CD58AA"/>
    <w:rsid w:val="00CD737A"/>
    <w:rsid w:val="00CD75EF"/>
    <w:rsid w:val="00CD7A08"/>
    <w:rsid w:val="00CD7AA5"/>
    <w:rsid w:val="00CE0786"/>
    <w:rsid w:val="00CE14B7"/>
    <w:rsid w:val="00CE1F5C"/>
    <w:rsid w:val="00CE1FD9"/>
    <w:rsid w:val="00CE31E4"/>
    <w:rsid w:val="00CE3ABF"/>
    <w:rsid w:val="00CE48AB"/>
    <w:rsid w:val="00CE4B22"/>
    <w:rsid w:val="00CE53F8"/>
    <w:rsid w:val="00CE5725"/>
    <w:rsid w:val="00CE5E95"/>
    <w:rsid w:val="00CE673E"/>
    <w:rsid w:val="00CE69CD"/>
    <w:rsid w:val="00CE717B"/>
    <w:rsid w:val="00CE7D1D"/>
    <w:rsid w:val="00CE7EF7"/>
    <w:rsid w:val="00CF16A4"/>
    <w:rsid w:val="00CF1CF5"/>
    <w:rsid w:val="00CF2AFA"/>
    <w:rsid w:val="00CF2DB0"/>
    <w:rsid w:val="00CF2DC7"/>
    <w:rsid w:val="00CF4010"/>
    <w:rsid w:val="00CF5BCE"/>
    <w:rsid w:val="00CF5BFD"/>
    <w:rsid w:val="00CF6055"/>
    <w:rsid w:val="00CF6597"/>
    <w:rsid w:val="00CF6E3C"/>
    <w:rsid w:val="00CF6E82"/>
    <w:rsid w:val="00CF7058"/>
    <w:rsid w:val="00CF7206"/>
    <w:rsid w:val="00CF7652"/>
    <w:rsid w:val="00D006E9"/>
    <w:rsid w:val="00D00A02"/>
    <w:rsid w:val="00D00C3F"/>
    <w:rsid w:val="00D013D1"/>
    <w:rsid w:val="00D01A05"/>
    <w:rsid w:val="00D01CFE"/>
    <w:rsid w:val="00D0279F"/>
    <w:rsid w:val="00D02CE0"/>
    <w:rsid w:val="00D02FC9"/>
    <w:rsid w:val="00D037FA"/>
    <w:rsid w:val="00D046B9"/>
    <w:rsid w:val="00D04743"/>
    <w:rsid w:val="00D04F0F"/>
    <w:rsid w:val="00D05D2E"/>
    <w:rsid w:val="00D06253"/>
    <w:rsid w:val="00D0681A"/>
    <w:rsid w:val="00D06C55"/>
    <w:rsid w:val="00D06D1B"/>
    <w:rsid w:val="00D07444"/>
    <w:rsid w:val="00D07A44"/>
    <w:rsid w:val="00D11CAB"/>
    <w:rsid w:val="00D122AD"/>
    <w:rsid w:val="00D12E70"/>
    <w:rsid w:val="00D130EF"/>
    <w:rsid w:val="00D13169"/>
    <w:rsid w:val="00D1339A"/>
    <w:rsid w:val="00D13676"/>
    <w:rsid w:val="00D13857"/>
    <w:rsid w:val="00D13B2B"/>
    <w:rsid w:val="00D14878"/>
    <w:rsid w:val="00D15453"/>
    <w:rsid w:val="00D15503"/>
    <w:rsid w:val="00D1588A"/>
    <w:rsid w:val="00D160B2"/>
    <w:rsid w:val="00D16156"/>
    <w:rsid w:val="00D16816"/>
    <w:rsid w:val="00D16A46"/>
    <w:rsid w:val="00D16A86"/>
    <w:rsid w:val="00D16F8D"/>
    <w:rsid w:val="00D171C7"/>
    <w:rsid w:val="00D1788E"/>
    <w:rsid w:val="00D17EE2"/>
    <w:rsid w:val="00D2011E"/>
    <w:rsid w:val="00D21B5D"/>
    <w:rsid w:val="00D22911"/>
    <w:rsid w:val="00D23554"/>
    <w:rsid w:val="00D23733"/>
    <w:rsid w:val="00D2485F"/>
    <w:rsid w:val="00D24D50"/>
    <w:rsid w:val="00D25A22"/>
    <w:rsid w:val="00D25B19"/>
    <w:rsid w:val="00D25DF9"/>
    <w:rsid w:val="00D25E68"/>
    <w:rsid w:val="00D26439"/>
    <w:rsid w:val="00D26A71"/>
    <w:rsid w:val="00D27BFE"/>
    <w:rsid w:val="00D27E50"/>
    <w:rsid w:val="00D300A8"/>
    <w:rsid w:val="00D30258"/>
    <w:rsid w:val="00D30791"/>
    <w:rsid w:val="00D316EA"/>
    <w:rsid w:val="00D316F8"/>
    <w:rsid w:val="00D31B0C"/>
    <w:rsid w:val="00D33589"/>
    <w:rsid w:val="00D33BF9"/>
    <w:rsid w:val="00D34148"/>
    <w:rsid w:val="00D34189"/>
    <w:rsid w:val="00D34213"/>
    <w:rsid w:val="00D343B4"/>
    <w:rsid w:val="00D34B7E"/>
    <w:rsid w:val="00D34D98"/>
    <w:rsid w:val="00D37081"/>
    <w:rsid w:val="00D370F5"/>
    <w:rsid w:val="00D37577"/>
    <w:rsid w:val="00D375C6"/>
    <w:rsid w:val="00D37A18"/>
    <w:rsid w:val="00D4022E"/>
    <w:rsid w:val="00D40D1A"/>
    <w:rsid w:val="00D40DAC"/>
    <w:rsid w:val="00D41255"/>
    <w:rsid w:val="00D4125C"/>
    <w:rsid w:val="00D4166B"/>
    <w:rsid w:val="00D41730"/>
    <w:rsid w:val="00D417A1"/>
    <w:rsid w:val="00D43CCA"/>
    <w:rsid w:val="00D442FB"/>
    <w:rsid w:val="00D44B06"/>
    <w:rsid w:val="00D45408"/>
    <w:rsid w:val="00D4591D"/>
    <w:rsid w:val="00D4742B"/>
    <w:rsid w:val="00D50880"/>
    <w:rsid w:val="00D51AA6"/>
    <w:rsid w:val="00D51AE3"/>
    <w:rsid w:val="00D51FB9"/>
    <w:rsid w:val="00D526EF"/>
    <w:rsid w:val="00D52806"/>
    <w:rsid w:val="00D52D87"/>
    <w:rsid w:val="00D533E8"/>
    <w:rsid w:val="00D537FA"/>
    <w:rsid w:val="00D53EC8"/>
    <w:rsid w:val="00D53FA2"/>
    <w:rsid w:val="00D54619"/>
    <w:rsid w:val="00D555D3"/>
    <w:rsid w:val="00D55829"/>
    <w:rsid w:val="00D56C1E"/>
    <w:rsid w:val="00D56EFB"/>
    <w:rsid w:val="00D573B5"/>
    <w:rsid w:val="00D60543"/>
    <w:rsid w:val="00D605DE"/>
    <w:rsid w:val="00D60E21"/>
    <w:rsid w:val="00D61181"/>
    <w:rsid w:val="00D61A41"/>
    <w:rsid w:val="00D61F97"/>
    <w:rsid w:val="00D62064"/>
    <w:rsid w:val="00D623F0"/>
    <w:rsid w:val="00D62B1E"/>
    <w:rsid w:val="00D63AB8"/>
    <w:rsid w:val="00D6412F"/>
    <w:rsid w:val="00D6487D"/>
    <w:rsid w:val="00D64E83"/>
    <w:rsid w:val="00D64F09"/>
    <w:rsid w:val="00D66399"/>
    <w:rsid w:val="00D6691C"/>
    <w:rsid w:val="00D67166"/>
    <w:rsid w:val="00D676EF"/>
    <w:rsid w:val="00D71500"/>
    <w:rsid w:val="00D71922"/>
    <w:rsid w:val="00D71F17"/>
    <w:rsid w:val="00D7233D"/>
    <w:rsid w:val="00D73891"/>
    <w:rsid w:val="00D74316"/>
    <w:rsid w:val="00D7437F"/>
    <w:rsid w:val="00D74840"/>
    <w:rsid w:val="00D74A98"/>
    <w:rsid w:val="00D758F4"/>
    <w:rsid w:val="00D75B65"/>
    <w:rsid w:val="00D76078"/>
    <w:rsid w:val="00D76BA8"/>
    <w:rsid w:val="00D775E5"/>
    <w:rsid w:val="00D77BDF"/>
    <w:rsid w:val="00D77DDC"/>
    <w:rsid w:val="00D77F36"/>
    <w:rsid w:val="00D80409"/>
    <w:rsid w:val="00D80E6A"/>
    <w:rsid w:val="00D80FB7"/>
    <w:rsid w:val="00D81B4F"/>
    <w:rsid w:val="00D81B54"/>
    <w:rsid w:val="00D824EA"/>
    <w:rsid w:val="00D8287B"/>
    <w:rsid w:val="00D82B8A"/>
    <w:rsid w:val="00D8307C"/>
    <w:rsid w:val="00D838D6"/>
    <w:rsid w:val="00D83A75"/>
    <w:rsid w:val="00D842D7"/>
    <w:rsid w:val="00D84537"/>
    <w:rsid w:val="00D862F6"/>
    <w:rsid w:val="00D86982"/>
    <w:rsid w:val="00D86D39"/>
    <w:rsid w:val="00D86DF1"/>
    <w:rsid w:val="00D8726C"/>
    <w:rsid w:val="00D876BC"/>
    <w:rsid w:val="00D91C35"/>
    <w:rsid w:val="00D9207D"/>
    <w:rsid w:val="00D92EFD"/>
    <w:rsid w:val="00D9315F"/>
    <w:rsid w:val="00D93507"/>
    <w:rsid w:val="00D9391D"/>
    <w:rsid w:val="00D93BA3"/>
    <w:rsid w:val="00D941E5"/>
    <w:rsid w:val="00D942A1"/>
    <w:rsid w:val="00D942C0"/>
    <w:rsid w:val="00D9497D"/>
    <w:rsid w:val="00D94C46"/>
    <w:rsid w:val="00D95795"/>
    <w:rsid w:val="00D96852"/>
    <w:rsid w:val="00D969E7"/>
    <w:rsid w:val="00D97A89"/>
    <w:rsid w:val="00DA0379"/>
    <w:rsid w:val="00DA0883"/>
    <w:rsid w:val="00DA09B5"/>
    <w:rsid w:val="00DA0E92"/>
    <w:rsid w:val="00DA10BE"/>
    <w:rsid w:val="00DA1221"/>
    <w:rsid w:val="00DA12F4"/>
    <w:rsid w:val="00DA1994"/>
    <w:rsid w:val="00DA1BA9"/>
    <w:rsid w:val="00DA27B8"/>
    <w:rsid w:val="00DA37D4"/>
    <w:rsid w:val="00DA3BB3"/>
    <w:rsid w:val="00DA3CFA"/>
    <w:rsid w:val="00DA40E4"/>
    <w:rsid w:val="00DA4B97"/>
    <w:rsid w:val="00DA4DC9"/>
    <w:rsid w:val="00DA4EFA"/>
    <w:rsid w:val="00DA5066"/>
    <w:rsid w:val="00DA522B"/>
    <w:rsid w:val="00DA53E3"/>
    <w:rsid w:val="00DA5E2A"/>
    <w:rsid w:val="00DA60DF"/>
    <w:rsid w:val="00DA72B4"/>
    <w:rsid w:val="00DA7DBC"/>
    <w:rsid w:val="00DB08BD"/>
    <w:rsid w:val="00DB15EA"/>
    <w:rsid w:val="00DB1C03"/>
    <w:rsid w:val="00DB1CE0"/>
    <w:rsid w:val="00DB3171"/>
    <w:rsid w:val="00DB3699"/>
    <w:rsid w:val="00DB3F7B"/>
    <w:rsid w:val="00DB40C1"/>
    <w:rsid w:val="00DB4AA2"/>
    <w:rsid w:val="00DB571D"/>
    <w:rsid w:val="00DB58BD"/>
    <w:rsid w:val="00DB65EE"/>
    <w:rsid w:val="00DB6879"/>
    <w:rsid w:val="00DB690C"/>
    <w:rsid w:val="00DB7549"/>
    <w:rsid w:val="00DB7A0E"/>
    <w:rsid w:val="00DC1EE7"/>
    <w:rsid w:val="00DC234B"/>
    <w:rsid w:val="00DC24F8"/>
    <w:rsid w:val="00DC257E"/>
    <w:rsid w:val="00DC2E00"/>
    <w:rsid w:val="00DC32A8"/>
    <w:rsid w:val="00DC49C3"/>
    <w:rsid w:val="00DC4F7F"/>
    <w:rsid w:val="00DC52AF"/>
    <w:rsid w:val="00DC54A9"/>
    <w:rsid w:val="00DC5D19"/>
    <w:rsid w:val="00DC5FAA"/>
    <w:rsid w:val="00DC6402"/>
    <w:rsid w:val="00DC65C9"/>
    <w:rsid w:val="00DC69CA"/>
    <w:rsid w:val="00DC6B1F"/>
    <w:rsid w:val="00DC76FB"/>
    <w:rsid w:val="00DC7B0F"/>
    <w:rsid w:val="00DD0ABB"/>
    <w:rsid w:val="00DD1806"/>
    <w:rsid w:val="00DD1A53"/>
    <w:rsid w:val="00DD1BE2"/>
    <w:rsid w:val="00DD1F84"/>
    <w:rsid w:val="00DD2AD7"/>
    <w:rsid w:val="00DD3850"/>
    <w:rsid w:val="00DD3ABB"/>
    <w:rsid w:val="00DD3B11"/>
    <w:rsid w:val="00DD3FD0"/>
    <w:rsid w:val="00DD441B"/>
    <w:rsid w:val="00DD4448"/>
    <w:rsid w:val="00DD47C0"/>
    <w:rsid w:val="00DD55E6"/>
    <w:rsid w:val="00DD615F"/>
    <w:rsid w:val="00DD6D24"/>
    <w:rsid w:val="00DD6FD4"/>
    <w:rsid w:val="00DD7DCC"/>
    <w:rsid w:val="00DE0AA0"/>
    <w:rsid w:val="00DE0B54"/>
    <w:rsid w:val="00DE0F02"/>
    <w:rsid w:val="00DE0FA3"/>
    <w:rsid w:val="00DE200E"/>
    <w:rsid w:val="00DE2477"/>
    <w:rsid w:val="00DE3B7D"/>
    <w:rsid w:val="00DE4D98"/>
    <w:rsid w:val="00DE4E3F"/>
    <w:rsid w:val="00DE5207"/>
    <w:rsid w:val="00DE555B"/>
    <w:rsid w:val="00DE5852"/>
    <w:rsid w:val="00DE6587"/>
    <w:rsid w:val="00DE6779"/>
    <w:rsid w:val="00DE67F7"/>
    <w:rsid w:val="00DE6E35"/>
    <w:rsid w:val="00DF0064"/>
    <w:rsid w:val="00DF0A89"/>
    <w:rsid w:val="00DF1122"/>
    <w:rsid w:val="00DF1F66"/>
    <w:rsid w:val="00DF1FFC"/>
    <w:rsid w:val="00DF2664"/>
    <w:rsid w:val="00DF269D"/>
    <w:rsid w:val="00DF47FA"/>
    <w:rsid w:val="00DF4B56"/>
    <w:rsid w:val="00DF4CE0"/>
    <w:rsid w:val="00DF64F0"/>
    <w:rsid w:val="00DF6769"/>
    <w:rsid w:val="00DF75E1"/>
    <w:rsid w:val="00DF7D12"/>
    <w:rsid w:val="00E00027"/>
    <w:rsid w:val="00E004CA"/>
    <w:rsid w:val="00E018E0"/>
    <w:rsid w:val="00E0277E"/>
    <w:rsid w:val="00E028F1"/>
    <w:rsid w:val="00E03372"/>
    <w:rsid w:val="00E040B9"/>
    <w:rsid w:val="00E051DA"/>
    <w:rsid w:val="00E069DB"/>
    <w:rsid w:val="00E071C5"/>
    <w:rsid w:val="00E07357"/>
    <w:rsid w:val="00E073C3"/>
    <w:rsid w:val="00E07623"/>
    <w:rsid w:val="00E076C8"/>
    <w:rsid w:val="00E07EA1"/>
    <w:rsid w:val="00E1050B"/>
    <w:rsid w:val="00E105EB"/>
    <w:rsid w:val="00E106B3"/>
    <w:rsid w:val="00E11297"/>
    <w:rsid w:val="00E12852"/>
    <w:rsid w:val="00E1311C"/>
    <w:rsid w:val="00E13298"/>
    <w:rsid w:val="00E13CC4"/>
    <w:rsid w:val="00E13EDC"/>
    <w:rsid w:val="00E13F82"/>
    <w:rsid w:val="00E14666"/>
    <w:rsid w:val="00E1482B"/>
    <w:rsid w:val="00E14FB7"/>
    <w:rsid w:val="00E164C9"/>
    <w:rsid w:val="00E16B85"/>
    <w:rsid w:val="00E16D3A"/>
    <w:rsid w:val="00E17E43"/>
    <w:rsid w:val="00E20701"/>
    <w:rsid w:val="00E2125E"/>
    <w:rsid w:val="00E21C3F"/>
    <w:rsid w:val="00E21C80"/>
    <w:rsid w:val="00E21D6C"/>
    <w:rsid w:val="00E22866"/>
    <w:rsid w:val="00E24EBE"/>
    <w:rsid w:val="00E25668"/>
    <w:rsid w:val="00E25F24"/>
    <w:rsid w:val="00E260F8"/>
    <w:rsid w:val="00E263FD"/>
    <w:rsid w:val="00E2652A"/>
    <w:rsid w:val="00E26CEA"/>
    <w:rsid w:val="00E2767E"/>
    <w:rsid w:val="00E3029E"/>
    <w:rsid w:val="00E309F5"/>
    <w:rsid w:val="00E316EF"/>
    <w:rsid w:val="00E31ABA"/>
    <w:rsid w:val="00E3259C"/>
    <w:rsid w:val="00E33329"/>
    <w:rsid w:val="00E3335E"/>
    <w:rsid w:val="00E33795"/>
    <w:rsid w:val="00E338E3"/>
    <w:rsid w:val="00E33CA7"/>
    <w:rsid w:val="00E3438D"/>
    <w:rsid w:val="00E34390"/>
    <w:rsid w:val="00E3463F"/>
    <w:rsid w:val="00E34B57"/>
    <w:rsid w:val="00E35441"/>
    <w:rsid w:val="00E35B70"/>
    <w:rsid w:val="00E35DD7"/>
    <w:rsid w:val="00E36044"/>
    <w:rsid w:val="00E36271"/>
    <w:rsid w:val="00E3654C"/>
    <w:rsid w:val="00E3699F"/>
    <w:rsid w:val="00E36BD2"/>
    <w:rsid w:val="00E36F66"/>
    <w:rsid w:val="00E37AB4"/>
    <w:rsid w:val="00E40229"/>
    <w:rsid w:val="00E404FF"/>
    <w:rsid w:val="00E40983"/>
    <w:rsid w:val="00E40C5C"/>
    <w:rsid w:val="00E40CD4"/>
    <w:rsid w:val="00E41545"/>
    <w:rsid w:val="00E415F2"/>
    <w:rsid w:val="00E42936"/>
    <w:rsid w:val="00E43621"/>
    <w:rsid w:val="00E43797"/>
    <w:rsid w:val="00E453B2"/>
    <w:rsid w:val="00E46405"/>
    <w:rsid w:val="00E4654E"/>
    <w:rsid w:val="00E46A77"/>
    <w:rsid w:val="00E46A86"/>
    <w:rsid w:val="00E472B5"/>
    <w:rsid w:val="00E47814"/>
    <w:rsid w:val="00E47AA8"/>
    <w:rsid w:val="00E47C40"/>
    <w:rsid w:val="00E47E59"/>
    <w:rsid w:val="00E47F7A"/>
    <w:rsid w:val="00E505A8"/>
    <w:rsid w:val="00E51E41"/>
    <w:rsid w:val="00E5237E"/>
    <w:rsid w:val="00E5240B"/>
    <w:rsid w:val="00E52E0B"/>
    <w:rsid w:val="00E543D0"/>
    <w:rsid w:val="00E54E32"/>
    <w:rsid w:val="00E54E78"/>
    <w:rsid w:val="00E553B9"/>
    <w:rsid w:val="00E57711"/>
    <w:rsid w:val="00E603BA"/>
    <w:rsid w:val="00E60AE5"/>
    <w:rsid w:val="00E60F24"/>
    <w:rsid w:val="00E60F6A"/>
    <w:rsid w:val="00E61349"/>
    <w:rsid w:val="00E62753"/>
    <w:rsid w:val="00E627B6"/>
    <w:rsid w:val="00E628F9"/>
    <w:rsid w:val="00E62EAE"/>
    <w:rsid w:val="00E63237"/>
    <w:rsid w:val="00E632FB"/>
    <w:rsid w:val="00E633D0"/>
    <w:rsid w:val="00E63435"/>
    <w:rsid w:val="00E640DA"/>
    <w:rsid w:val="00E643A0"/>
    <w:rsid w:val="00E645CA"/>
    <w:rsid w:val="00E64AAE"/>
    <w:rsid w:val="00E64AE5"/>
    <w:rsid w:val="00E64BD0"/>
    <w:rsid w:val="00E64C20"/>
    <w:rsid w:val="00E66721"/>
    <w:rsid w:val="00E66B06"/>
    <w:rsid w:val="00E70457"/>
    <w:rsid w:val="00E7138F"/>
    <w:rsid w:val="00E728AD"/>
    <w:rsid w:val="00E730C9"/>
    <w:rsid w:val="00E733C1"/>
    <w:rsid w:val="00E73447"/>
    <w:rsid w:val="00E73BBB"/>
    <w:rsid w:val="00E742A4"/>
    <w:rsid w:val="00E74ADC"/>
    <w:rsid w:val="00E74B95"/>
    <w:rsid w:val="00E756EE"/>
    <w:rsid w:val="00E75B3F"/>
    <w:rsid w:val="00E75D31"/>
    <w:rsid w:val="00E76D16"/>
    <w:rsid w:val="00E76EDF"/>
    <w:rsid w:val="00E76FC0"/>
    <w:rsid w:val="00E77561"/>
    <w:rsid w:val="00E77758"/>
    <w:rsid w:val="00E77D04"/>
    <w:rsid w:val="00E809C2"/>
    <w:rsid w:val="00E81277"/>
    <w:rsid w:val="00E81A2D"/>
    <w:rsid w:val="00E81AF1"/>
    <w:rsid w:val="00E82126"/>
    <w:rsid w:val="00E827F0"/>
    <w:rsid w:val="00E82AFE"/>
    <w:rsid w:val="00E82DDA"/>
    <w:rsid w:val="00E834EC"/>
    <w:rsid w:val="00E835D7"/>
    <w:rsid w:val="00E8389B"/>
    <w:rsid w:val="00E8476C"/>
    <w:rsid w:val="00E84B87"/>
    <w:rsid w:val="00E84CCC"/>
    <w:rsid w:val="00E862FB"/>
    <w:rsid w:val="00E871CD"/>
    <w:rsid w:val="00E87EF2"/>
    <w:rsid w:val="00E909E2"/>
    <w:rsid w:val="00E910BD"/>
    <w:rsid w:val="00E91714"/>
    <w:rsid w:val="00E920F4"/>
    <w:rsid w:val="00E9273B"/>
    <w:rsid w:val="00E92C58"/>
    <w:rsid w:val="00E93D1C"/>
    <w:rsid w:val="00E93E8A"/>
    <w:rsid w:val="00E93F75"/>
    <w:rsid w:val="00E94067"/>
    <w:rsid w:val="00E944BA"/>
    <w:rsid w:val="00E949E1"/>
    <w:rsid w:val="00E94EC6"/>
    <w:rsid w:val="00E9500B"/>
    <w:rsid w:val="00E954FA"/>
    <w:rsid w:val="00E96089"/>
    <w:rsid w:val="00E96F3E"/>
    <w:rsid w:val="00E975CA"/>
    <w:rsid w:val="00EA0D7D"/>
    <w:rsid w:val="00EA120D"/>
    <w:rsid w:val="00EA184E"/>
    <w:rsid w:val="00EA2BAB"/>
    <w:rsid w:val="00EA2E38"/>
    <w:rsid w:val="00EA3DC3"/>
    <w:rsid w:val="00EA410E"/>
    <w:rsid w:val="00EA4C0D"/>
    <w:rsid w:val="00EA5697"/>
    <w:rsid w:val="00EA599F"/>
    <w:rsid w:val="00EA5EA3"/>
    <w:rsid w:val="00EA65EC"/>
    <w:rsid w:val="00EA7126"/>
    <w:rsid w:val="00EA7BC7"/>
    <w:rsid w:val="00EB1CF3"/>
    <w:rsid w:val="00EB1CF5"/>
    <w:rsid w:val="00EB2269"/>
    <w:rsid w:val="00EB5B8A"/>
    <w:rsid w:val="00EB608F"/>
    <w:rsid w:val="00EB66B1"/>
    <w:rsid w:val="00EB6971"/>
    <w:rsid w:val="00EB7054"/>
    <w:rsid w:val="00EB70F4"/>
    <w:rsid w:val="00EB7739"/>
    <w:rsid w:val="00EB7805"/>
    <w:rsid w:val="00EC03B0"/>
    <w:rsid w:val="00EC087A"/>
    <w:rsid w:val="00EC1B6A"/>
    <w:rsid w:val="00EC2502"/>
    <w:rsid w:val="00EC2845"/>
    <w:rsid w:val="00EC2F78"/>
    <w:rsid w:val="00EC3537"/>
    <w:rsid w:val="00EC37C2"/>
    <w:rsid w:val="00EC4337"/>
    <w:rsid w:val="00EC438E"/>
    <w:rsid w:val="00EC4C78"/>
    <w:rsid w:val="00EC53D8"/>
    <w:rsid w:val="00EC5869"/>
    <w:rsid w:val="00EC643E"/>
    <w:rsid w:val="00EC6F2E"/>
    <w:rsid w:val="00EC7B8A"/>
    <w:rsid w:val="00ED1544"/>
    <w:rsid w:val="00ED1F9D"/>
    <w:rsid w:val="00ED21A1"/>
    <w:rsid w:val="00ED292C"/>
    <w:rsid w:val="00ED299E"/>
    <w:rsid w:val="00ED2C21"/>
    <w:rsid w:val="00ED381C"/>
    <w:rsid w:val="00ED3D93"/>
    <w:rsid w:val="00ED3FE0"/>
    <w:rsid w:val="00ED441F"/>
    <w:rsid w:val="00ED4A91"/>
    <w:rsid w:val="00ED54BF"/>
    <w:rsid w:val="00ED62D0"/>
    <w:rsid w:val="00ED6334"/>
    <w:rsid w:val="00ED63A0"/>
    <w:rsid w:val="00ED65AC"/>
    <w:rsid w:val="00ED6680"/>
    <w:rsid w:val="00ED6CF8"/>
    <w:rsid w:val="00ED7545"/>
    <w:rsid w:val="00ED7CDD"/>
    <w:rsid w:val="00EE00DE"/>
    <w:rsid w:val="00EE11B8"/>
    <w:rsid w:val="00EE1395"/>
    <w:rsid w:val="00EE148F"/>
    <w:rsid w:val="00EE2B41"/>
    <w:rsid w:val="00EE2B9E"/>
    <w:rsid w:val="00EE2E48"/>
    <w:rsid w:val="00EE2F3E"/>
    <w:rsid w:val="00EE30EE"/>
    <w:rsid w:val="00EE4669"/>
    <w:rsid w:val="00EE4728"/>
    <w:rsid w:val="00EE4D98"/>
    <w:rsid w:val="00EE57E5"/>
    <w:rsid w:val="00EE690D"/>
    <w:rsid w:val="00EE6916"/>
    <w:rsid w:val="00EE6ABD"/>
    <w:rsid w:val="00EE6E95"/>
    <w:rsid w:val="00EE77AE"/>
    <w:rsid w:val="00EF03AA"/>
    <w:rsid w:val="00EF04F2"/>
    <w:rsid w:val="00EF072F"/>
    <w:rsid w:val="00EF07B9"/>
    <w:rsid w:val="00EF259B"/>
    <w:rsid w:val="00EF2787"/>
    <w:rsid w:val="00EF2798"/>
    <w:rsid w:val="00EF2934"/>
    <w:rsid w:val="00EF2C54"/>
    <w:rsid w:val="00EF3259"/>
    <w:rsid w:val="00EF3A88"/>
    <w:rsid w:val="00EF475D"/>
    <w:rsid w:val="00EF50AB"/>
    <w:rsid w:val="00EF583E"/>
    <w:rsid w:val="00EF628F"/>
    <w:rsid w:val="00EF6C38"/>
    <w:rsid w:val="00EF7472"/>
    <w:rsid w:val="00F00892"/>
    <w:rsid w:val="00F01FCA"/>
    <w:rsid w:val="00F02CC1"/>
    <w:rsid w:val="00F03373"/>
    <w:rsid w:val="00F043EF"/>
    <w:rsid w:val="00F04686"/>
    <w:rsid w:val="00F046CB"/>
    <w:rsid w:val="00F04894"/>
    <w:rsid w:val="00F0578A"/>
    <w:rsid w:val="00F05D72"/>
    <w:rsid w:val="00F06074"/>
    <w:rsid w:val="00F065B4"/>
    <w:rsid w:val="00F078CB"/>
    <w:rsid w:val="00F105E5"/>
    <w:rsid w:val="00F10A12"/>
    <w:rsid w:val="00F10EC5"/>
    <w:rsid w:val="00F11012"/>
    <w:rsid w:val="00F1138C"/>
    <w:rsid w:val="00F119DE"/>
    <w:rsid w:val="00F11B02"/>
    <w:rsid w:val="00F129A7"/>
    <w:rsid w:val="00F13111"/>
    <w:rsid w:val="00F136EC"/>
    <w:rsid w:val="00F13A31"/>
    <w:rsid w:val="00F13D58"/>
    <w:rsid w:val="00F153BF"/>
    <w:rsid w:val="00F15916"/>
    <w:rsid w:val="00F15E32"/>
    <w:rsid w:val="00F17D1B"/>
    <w:rsid w:val="00F20582"/>
    <w:rsid w:val="00F20726"/>
    <w:rsid w:val="00F20F97"/>
    <w:rsid w:val="00F211B9"/>
    <w:rsid w:val="00F21EBF"/>
    <w:rsid w:val="00F21F94"/>
    <w:rsid w:val="00F21FAF"/>
    <w:rsid w:val="00F22E91"/>
    <w:rsid w:val="00F23212"/>
    <w:rsid w:val="00F255DF"/>
    <w:rsid w:val="00F25A20"/>
    <w:rsid w:val="00F26695"/>
    <w:rsid w:val="00F26AA4"/>
    <w:rsid w:val="00F26CA3"/>
    <w:rsid w:val="00F26E17"/>
    <w:rsid w:val="00F2729B"/>
    <w:rsid w:val="00F307C4"/>
    <w:rsid w:val="00F30A58"/>
    <w:rsid w:val="00F31C57"/>
    <w:rsid w:val="00F31E99"/>
    <w:rsid w:val="00F31FF1"/>
    <w:rsid w:val="00F326D7"/>
    <w:rsid w:val="00F3329D"/>
    <w:rsid w:val="00F33476"/>
    <w:rsid w:val="00F334B7"/>
    <w:rsid w:val="00F33573"/>
    <w:rsid w:val="00F345E0"/>
    <w:rsid w:val="00F34DB6"/>
    <w:rsid w:val="00F368C6"/>
    <w:rsid w:val="00F36D99"/>
    <w:rsid w:val="00F37162"/>
    <w:rsid w:val="00F37474"/>
    <w:rsid w:val="00F37F21"/>
    <w:rsid w:val="00F404B5"/>
    <w:rsid w:val="00F41404"/>
    <w:rsid w:val="00F41DA9"/>
    <w:rsid w:val="00F41F2A"/>
    <w:rsid w:val="00F43B89"/>
    <w:rsid w:val="00F43FB6"/>
    <w:rsid w:val="00F450B8"/>
    <w:rsid w:val="00F4528B"/>
    <w:rsid w:val="00F455F3"/>
    <w:rsid w:val="00F45BE8"/>
    <w:rsid w:val="00F45FA7"/>
    <w:rsid w:val="00F4656F"/>
    <w:rsid w:val="00F46BDA"/>
    <w:rsid w:val="00F46E30"/>
    <w:rsid w:val="00F4704E"/>
    <w:rsid w:val="00F477CA"/>
    <w:rsid w:val="00F4787F"/>
    <w:rsid w:val="00F47E96"/>
    <w:rsid w:val="00F47F1D"/>
    <w:rsid w:val="00F50455"/>
    <w:rsid w:val="00F50E0C"/>
    <w:rsid w:val="00F50E65"/>
    <w:rsid w:val="00F50EF8"/>
    <w:rsid w:val="00F51038"/>
    <w:rsid w:val="00F510D0"/>
    <w:rsid w:val="00F52698"/>
    <w:rsid w:val="00F526DA"/>
    <w:rsid w:val="00F527D6"/>
    <w:rsid w:val="00F52D41"/>
    <w:rsid w:val="00F5323D"/>
    <w:rsid w:val="00F53886"/>
    <w:rsid w:val="00F538CC"/>
    <w:rsid w:val="00F53A6D"/>
    <w:rsid w:val="00F544C6"/>
    <w:rsid w:val="00F54B15"/>
    <w:rsid w:val="00F54ED8"/>
    <w:rsid w:val="00F55977"/>
    <w:rsid w:val="00F57F3C"/>
    <w:rsid w:val="00F609C7"/>
    <w:rsid w:val="00F60DEB"/>
    <w:rsid w:val="00F60E9A"/>
    <w:rsid w:val="00F61820"/>
    <w:rsid w:val="00F61982"/>
    <w:rsid w:val="00F61EC6"/>
    <w:rsid w:val="00F624C3"/>
    <w:rsid w:val="00F629A6"/>
    <w:rsid w:val="00F6309B"/>
    <w:rsid w:val="00F63BB2"/>
    <w:rsid w:val="00F63F28"/>
    <w:rsid w:val="00F6410D"/>
    <w:rsid w:val="00F66F50"/>
    <w:rsid w:val="00F674CC"/>
    <w:rsid w:val="00F67919"/>
    <w:rsid w:val="00F705DD"/>
    <w:rsid w:val="00F70C5E"/>
    <w:rsid w:val="00F70F3F"/>
    <w:rsid w:val="00F71D9F"/>
    <w:rsid w:val="00F720EB"/>
    <w:rsid w:val="00F72A25"/>
    <w:rsid w:val="00F73B9C"/>
    <w:rsid w:val="00F746BA"/>
    <w:rsid w:val="00F75445"/>
    <w:rsid w:val="00F7549E"/>
    <w:rsid w:val="00F7583B"/>
    <w:rsid w:val="00F75DA4"/>
    <w:rsid w:val="00F76458"/>
    <w:rsid w:val="00F7649F"/>
    <w:rsid w:val="00F77390"/>
    <w:rsid w:val="00F80AD9"/>
    <w:rsid w:val="00F80BD5"/>
    <w:rsid w:val="00F80F9F"/>
    <w:rsid w:val="00F80FCD"/>
    <w:rsid w:val="00F81119"/>
    <w:rsid w:val="00F81734"/>
    <w:rsid w:val="00F8223C"/>
    <w:rsid w:val="00F82690"/>
    <w:rsid w:val="00F82753"/>
    <w:rsid w:val="00F833FA"/>
    <w:rsid w:val="00F83AD8"/>
    <w:rsid w:val="00F84169"/>
    <w:rsid w:val="00F84408"/>
    <w:rsid w:val="00F84B25"/>
    <w:rsid w:val="00F85426"/>
    <w:rsid w:val="00F85658"/>
    <w:rsid w:val="00F85BD3"/>
    <w:rsid w:val="00F85BFE"/>
    <w:rsid w:val="00F85FE9"/>
    <w:rsid w:val="00F86124"/>
    <w:rsid w:val="00F86618"/>
    <w:rsid w:val="00F869F8"/>
    <w:rsid w:val="00F876AB"/>
    <w:rsid w:val="00F90268"/>
    <w:rsid w:val="00F91297"/>
    <w:rsid w:val="00F912F3"/>
    <w:rsid w:val="00F914BB"/>
    <w:rsid w:val="00F91DC2"/>
    <w:rsid w:val="00F92443"/>
    <w:rsid w:val="00F925D5"/>
    <w:rsid w:val="00F92ED3"/>
    <w:rsid w:val="00F9306E"/>
    <w:rsid w:val="00F93AB8"/>
    <w:rsid w:val="00F9434A"/>
    <w:rsid w:val="00F94901"/>
    <w:rsid w:val="00F94CA0"/>
    <w:rsid w:val="00F952EE"/>
    <w:rsid w:val="00F956AC"/>
    <w:rsid w:val="00F96CB1"/>
    <w:rsid w:val="00F96D2F"/>
    <w:rsid w:val="00F970BD"/>
    <w:rsid w:val="00F97640"/>
    <w:rsid w:val="00F97D25"/>
    <w:rsid w:val="00FA0D37"/>
    <w:rsid w:val="00FA1204"/>
    <w:rsid w:val="00FA1C5C"/>
    <w:rsid w:val="00FA214A"/>
    <w:rsid w:val="00FA295E"/>
    <w:rsid w:val="00FA327C"/>
    <w:rsid w:val="00FA4039"/>
    <w:rsid w:val="00FA455D"/>
    <w:rsid w:val="00FA482B"/>
    <w:rsid w:val="00FA5337"/>
    <w:rsid w:val="00FA5410"/>
    <w:rsid w:val="00FA5BB4"/>
    <w:rsid w:val="00FA6746"/>
    <w:rsid w:val="00FA6901"/>
    <w:rsid w:val="00FA6FED"/>
    <w:rsid w:val="00FA703E"/>
    <w:rsid w:val="00FA72F2"/>
    <w:rsid w:val="00FA7734"/>
    <w:rsid w:val="00FB12AC"/>
    <w:rsid w:val="00FB1B0D"/>
    <w:rsid w:val="00FB201C"/>
    <w:rsid w:val="00FB231D"/>
    <w:rsid w:val="00FB2512"/>
    <w:rsid w:val="00FB2625"/>
    <w:rsid w:val="00FB2BAF"/>
    <w:rsid w:val="00FB31FC"/>
    <w:rsid w:val="00FB42E2"/>
    <w:rsid w:val="00FB466C"/>
    <w:rsid w:val="00FB4D70"/>
    <w:rsid w:val="00FB502C"/>
    <w:rsid w:val="00FB546E"/>
    <w:rsid w:val="00FB557C"/>
    <w:rsid w:val="00FB5B96"/>
    <w:rsid w:val="00FB637B"/>
    <w:rsid w:val="00FB6C06"/>
    <w:rsid w:val="00FB6E2F"/>
    <w:rsid w:val="00FB7199"/>
    <w:rsid w:val="00FB7959"/>
    <w:rsid w:val="00FB7C0F"/>
    <w:rsid w:val="00FC0126"/>
    <w:rsid w:val="00FC073B"/>
    <w:rsid w:val="00FC0BFA"/>
    <w:rsid w:val="00FC1C43"/>
    <w:rsid w:val="00FC1E50"/>
    <w:rsid w:val="00FC24A0"/>
    <w:rsid w:val="00FC2A4C"/>
    <w:rsid w:val="00FC2ADB"/>
    <w:rsid w:val="00FC3BB0"/>
    <w:rsid w:val="00FC40CC"/>
    <w:rsid w:val="00FC41AD"/>
    <w:rsid w:val="00FC61A5"/>
    <w:rsid w:val="00FC6B13"/>
    <w:rsid w:val="00FC6C41"/>
    <w:rsid w:val="00FC6FDA"/>
    <w:rsid w:val="00FC76BD"/>
    <w:rsid w:val="00FD02B8"/>
    <w:rsid w:val="00FD077E"/>
    <w:rsid w:val="00FD2A1A"/>
    <w:rsid w:val="00FD323D"/>
    <w:rsid w:val="00FD360C"/>
    <w:rsid w:val="00FD3B61"/>
    <w:rsid w:val="00FD4827"/>
    <w:rsid w:val="00FD56B7"/>
    <w:rsid w:val="00FD5DC7"/>
    <w:rsid w:val="00FD613D"/>
    <w:rsid w:val="00FD6603"/>
    <w:rsid w:val="00FD6C14"/>
    <w:rsid w:val="00FE0848"/>
    <w:rsid w:val="00FE0A25"/>
    <w:rsid w:val="00FE0FA0"/>
    <w:rsid w:val="00FE19F9"/>
    <w:rsid w:val="00FE1DFB"/>
    <w:rsid w:val="00FE2040"/>
    <w:rsid w:val="00FE2123"/>
    <w:rsid w:val="00FE2482"/>
    <w:rsid w:val="00FE2F07"/>
    <w:rsid w:val="00FE31AC"/>
    <w:rsid w:val="00FE3257"/>
    <w:rsid w:val="00FE3D11"/>
    <w:rsid w:val="00FE42B1"/>
    <w:rsid w:val="00FE460B"/>
    <w:rsid w:val="00FE4905"/>
    <w:rsid w:val="00FE4B59"/>
    <w:rsid w:val="00FE52FE"/>
    <w:rsid w:val="00FE5A9A"/>
    <w:rsid w:val="00FE5FB3"/>
    <w:rsid w:val="00FE65D7"/>
    <w:rsid w:val="00FE6F7D"/>
    <w:rsid w:val="00FE71C0"/>
    <w:rsid w:val="00FE79A7"/>
    <w:rsid w:val="00FF13CA"/>
    <w:rsid w:val="00FF1FD2"/>
    <w:rsid w:val="00FF34EB"/>
    <w:rsid w:val="00FF360C"/>
    <w:rsid w:val="00FF3A59"/>
    <w:rsid w:val="00FF3BC0"/>
    <w:rsid w:val="00FF4045"/>
    <w:rsid w:val="00FF467E"/>
    <w:rsid w:val="00FF5ADC"/>
    <w:rsid w:val="00FF5F40"/>
    <w:rsid w:val="00FF688C"/>
    <w:rsid w:val="00FF6A36"/>
    <w:rsid w:val="00FF6C5A"/>
    <w:rsid w:val="00FF6F43"/>
    <w:rsid w:val="00FF71D4"/>
    <w:rsid w:val="00FF7488"/>
    <w:rsid w:val="00FF79A2"/>
    <w:rsid w:val="00FF7A45"/>
    <w:rsid w:val="03AE0DB8"/>
    <w:rsid w:val="08CA0D32"/>
    <w:rsid w:val="09DE7B91"/>
    <w:rsid w:val="18990883"/>
    <w:rsid w:val="30A571A5"/>
    <w:rsid w:val="335E9EAD"/>
    <w:rsid w:val="340144AE"/>
    <w:rsid w:val="41DEE2A2"/>
    <w:rsid w:val="4A3173B6"/>
    <w:rsid w:val="55DEECF9"/>
    <w:rsid w:val="5948D4A1"/>
    <w:rsid w:val="5EC362A6"/>
    <w:rsid w:val="644E72EB"/>
    <w:rsid w:val="65EAC38D"/>
    <w:rsid w:val="6E5A7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AB50C"/>
  <w14:defaultImageDpi w14:val="32767"/>
  <w15:chartTrackingRefBased/>
  <w15:docId w15:val="{613E8D22-9839-2648-9A89-4166FEBC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926F1"/>
    <w:rPr>
      <w:rFonts w:eastAsia="Times New Roman"/>
    </w:rPr>
  </w:style>
  <w:style w:type="paragraph" w:styleId="Heading1">
    <w:name w:val="heading 1"/>
    <w:basedOn w:val="Normal"/>
    <w:next w:val="Normal"/>
    <w:link w:val="Heading1Char"/>
    <w:uiPriority w:val="9"/>
    <w:qFormat/>
    <w:rsid w:val="0017022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699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53844"/>
    <w:rPr>
      <w:sz w:val="20"/>
      <w:szCs w:val="20"/>
    </w:rPr>
  </w:style>
  <w:style w:type="character" w:customStyle="1" w:styleId="CommentTextChar">
    <w:name w:val="Comment Text Char"/>
    <w:basedOn w:val="DefaultParagraphFont"/>
    <w:link w:val="CommentText"/>
    <w:uiPriority w:val="99"/>
    <w:rsid w:val="00353844"/>
    <w:rPr>
      <w:sz w:val="20"/>
      <w:szCs w:val="20"/>
    </w:rPr>
  </w:style>
  <w:style w:type="character" w:customStyle="1" w:styleId="BalloonTextChar">
    <w:name w:val="Balloon Text Char"/>
    <w:basedOn w:val="DefaultParagraphFont"/>
    <w:link w:val="BalloonText"/>
    <w:uiPriority w:val="99"/>
    <w:semiHidden/>
    <w:rsid w:val="00353844"/>
    <w:rPr>
      <w:sz w:val="26"/>
      <w:szCs w:val="26"/>
    </w:rPr>
  </w:style>
  <w:style w:type="paragraph" w:styleId="BalloonText">
    <w:name w:val="Balloon Text"/>
    <w:basedOn w:val="Normal"/>
    <w:link w:val="BalloonTextChar"/>
    <w:uiPriority w:val="99"/>
    <w:semiHidden/>
    <w:unhideWhenUsed/>
    <w:rsid w:val="00353844"/>
    <w:rPr>
      <w:sz w:val="26"/>
      <w:szCs w:val="26"/>
    </w:rPr>
  </w:style>
  <w:style w:type="character" w:customStyle="1" w:styleId="CommentSubjectChar">
    <w:name w:val="Comment Subject Char"/>
    <w:basedOn w:val="CommentTextChar"/>
    <w:link w:val="CommentSubject"/>
    <w:uiPriority w:val="99"/>
    <w:semiHidden/>
    <w:rsid w:val="00353844"/>
    <w:rPr>
      <w:b/>
      <w:bCs/>
      <w:sz w:val="20"/>
      <w:szCs w:val="20"/>
    </w:rPr>
  </w:style>
  <w:style w:type="paragraph" w:styleId="CommentSubject">
    <w:name w:val="annotation subject"/>
    <w:basedOn w:val="CommentText"/>
    <w:next w:val="CommentText"/>
    <w:link w:val="CommentSubjectChar"/>
    <w:uiPriority w:val="99"/>
    <w:semiHidden/>
    <w:unhideWhenUsed/>
    <w:rsid w:val="00353844"/>
    <w:rPr>
      <w:b/>
      <w:bCs/>
    </w:rPr>
  </w:style>
  <w:style w:type="paragraph" w:styleId="Header">
    <w:name w:val="header"/>
    <w:basedOn w:val="Normal"/>
    <w:link w:val="HeaderChar"/>
    <w:uiPriority w:val="99"/>
    <w:unhideWhenUsed/>
    <w:rsid w:val="00353844"/>
    <w:pPr>
      <w:tabs>
        <w:tab w:val="center" w:pos="4680"/>
        <w:tab w:val="right" w:pos="9360"/>
      </w:tabs>
    </w:pPr>
  </w:style>
  <w:style w:type="character" w:customStyle="1" w:styleId="HeaderChar">
    <w:name w:val="Header Char"/>
    <w:basedOn w:val="DefaultParagraphFont"/>
    <w:link w:val="Header"/>
    <w:uiPriority w:val="99"/>
    <w:rsid w:val="00353844"/>
  </w:style>
  <w:style w:type="paragraph" w:styleId="Footer">
    <w:name w:val="footer"/>
    <w:basedOn w:val="Normal"/>
    <w:link w:val="FooterChar"/>
    <w:uiPriority w:val="99"/>
    <w:unhideWhenUsed/>
    <w:rsid w:val="00353844"/>
    <w:pPr>
      <w:tabs>
        <w:tab w:val="center" w:pos="4680"/>
        <w:tab w:val="right" w:pos="9360"/>
      </w:tabs>
    </w:pPr>
  </w:style>
  <w:style w:type="character" w:customStyle="1" w:styleId="FooterChar">
    <w:name w:val="Footer Char"/>
    <w:basedOn w:val="DefaultParagraphFont"/>
    <w:link w:val="Footer"/>
    <w:uiPriority w:val="99"/>
    <w:rsid w:val="00353844"/>
  </w:style>
  <w:style w:type="character" w:styleId="PageNumber">
    <w:name w:val="page number"/>
    <w:basedOn w:val="DefaultParagraphFont"/>
    <w:uiPriority w:val="99"/>
    <w:semiHidden/>
    <w:unhideWhenUsed/>
    <w:rsid w:val="00353844"/>
  </w:style>
  <w:style w:type="table" w:styleId="TableGrid">
    <w:name w:val="Table Grid"/>
    <w:basedOn w:val="TableNormal"/>
    <w:uiPriority w:val="39"/>
    <w:rsid w:val="002C2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C2DE5"/>
    <w:rPr>
      <w:color w:val="808080"/>
    </w:rPr>
  </w:style>
  <w:style w:type="character" w:styleId="CommentReference">
    <w:name w:val="annotation reference"/>
    <w:basedOn w:val="DefaultParagraphFont"/>
    <w:uiPriority w:val="99"/>
    <w:semiHidden/>
    <w:unhideWhenUsed/>
    <w:rsid w:val="00096512"/>
    <w:rPr>
      <w:sz w:val="16"/>
      <w:szCs w:val="16"/>
    </w:rPr>
  </w:style>
  <w:style w:type="character" w:styleId="HTMLCite">
    <w:name w:val="HTML Cite"/>
    <w:basedOn w:val="DefaultParagraphFont"/>
    <w:uiPriority w:val="99"/>
    <w:semiHidden/>
    <w:unhideWhenUsed/>
    <w:rsid w:val="00656419"/>
    <w:rPr>
      <w:i/>
      <w:iCs/>
    </w:rPr>
  </w:style>
  <w:style w:type="character" w:customStyle="1" w:styleId="author">
    <w:name w:val="author"/>
    <w:basedOn w:val="DefaultParagraphFont"/>
    <w:rsid w:val="00656419"/>
  </w:style>
  <w:style w:type="character" w:customStyle="1" w:styleId="pubyear">
    <w:name w:val="pubyear"/>
    <w:basedOn w:val="DefaultParagraphFont"/>
    <w:rsid w:val="00656419"/>
  </w:style>
  <w:style w:type="character" w:customStyle="1" w:styleId="articletitle">
    <w:name w:val="articletitle"/>
    <w:basedOn w:val="DefaultParagraphFont"/>
    <w:rsid w:val="00656419"/>
  </w:style>
  <w:style w:type="character" w:customStyle="1" w:styleId="journaltitle">
    <w:name w:val="journaltitle"/>
    <w:basedOn w:val="DefaultParagraphFont"/>
    <w:rsid w:val="00656419"/>
  </w:style>
  <w:style w:type="character" w:customStyle="1" w:styleId="vol">
    <w:name w:val="vol"/>
    <w:basedOn w:val="DefaultParagraphFont"/>
    <w:rsid w:val="00656419"/>
  </w:style>
  <w:style w:type="character" w:customStyle="1" w:styleId="pagefirst">
    <w:name w:val="pagefirst"/>
    <w:basedOn w:val="DefaultParagraphFont"/>
    <w:rsid w:val="00656419"/>
  </w:style>
  <w:style w:type="character" w:customStyle="1" w:styleId="pagelast">
    <w:name w:val="pagelast"/>
    <w:basedOn w:val="DefaultParagraphFont"/>
    <w:rsid w:val="00656419"/>
  </w:style>
  <w:style w:type="paragraph" w:styleId="Revision">
    <w:name w:val="Revision"/>
    <w:hidden/>
    <w:uiPriority w:val="99"/>
    <w:semiHidden/>
    <w:rsid w:val="00113874"/>
  </w:style>
  <w:style w:type="character" w:customStyle="1" w:styleId="Heading1Char">
    <w:name w:val="Heading 1 Char"/>
    <w:basedOn w:val="DefaultParagraphFont"/>
    <w:link w:val="Heading1"/>
    <w:uiPriority w:val="9"/>
    <w:rsid w:val="00170225"/>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unhideWhenUsed/>
    <w:rsid w:val="001F3FDA"/>
    <w:rPr>
      <w:rFonts w:asciiTheme="minorHAnsi" w:eastAsia="MS Mincho" w:hAnsiTheme="minorHAnsi" w:cstheme="minorBidi"/>
      <w:sz w:val="20"/>
      <w:szCs w:val="20"/>
    </w:rPr>
  </w:style>
  <w:style w:type="character" w:customStyle="1" w:styleId="EndnoteTextChar">
    <w:name w:val="Endnote Text Char"/>
    <w:basedOn w:val="DefaultParagraphFont"/>
    <w:link w:val="EndnoteText"/>
    <w:uiPriority w:val="99"/>
    <w:rsid w:val="001F3FDA"/>
    <w:rPr>
      <w:rFonts w:asciiTheme="minorHAnsi" w:eastAsia="MS Mincho" w:hAnsiTheme="minorHAnsi" w:cstheme="minorBidi"/>
      <w:sz w:val="20"/>
      <w:szCs w:val="20"/>
    </w:rPr>
  </w:style>
  <w:style w:type="character" w:styleId="EndnoteReference">
    <w:name w:val="endnote reference"/>
    <w:basedOn w:val="DefaultParagraphFont"/>
    <w:uiPriority w:val="99"/>
    <w:unhideWhenUsed/>
    <w:rsid w:val="001F3FDA"/>
    <w:rPr>
      <w:vertAlign w:val="superscript"/>
    </w:rPr>
  </w:style>
  <w:style w:type="paragraph" w:styleId="ListParagraph">
    <w:name w:val="List Paragraph"/>
    <w:basedOn w:val="Normal"/>
    <w:uiPriority w:val="34"/>
    <w:qFormat/>
    <w:rsid w:val="008C6B39"/>
    <w:pPr>
      <w:ind w:left="720"/>
      <w:contextualSpacing/>
    </w:pPr>
  </w:style>
  <w:style w:type="paragraph" w:styleId="NormalWeb">
    <w:name w:val="Normal (Web)"/>
    <w:basedOn w:val="Normal"/>
    <w:uiPriority w:val="99"/>
    <w:unhideWhenUsed/>
    <w:rsid w:val="002451F8"/>
    <w:pPr>
      <w:spacing w:before="100" w:beforeAutospacing="1" w:after="100" w:afterAutospacing="1"/>
    </w:pPr>
  </w:style>
  <w:style w:type="paragraph" w:customStyle="1" w:styleId="EndNoteBibliographyTitle">
    <w:name w:val="EndNote Bibliography Title"/>
    <w:basedOn w:val="Normal"/>
    <w:link w:val="EndNoteBibliographyTitleChar"/>
    <w:rsid w:val="0087016A"/>
    <w:pPr>
      <w:jc w:val="center"/>
    </w:pPr>
  </w:style>
  <w:style w:type="character" w:customStyle="1" w:styleId="EndNoteBibliographyTitleChar">
    <w:name w:val="EndNote Bibliography Title Char"/>
    <w:basedOn w:val="DefaultParagraphFont"/>
    <w:link w:val="EndNoteBibliographyTitle"/>
    <w:rsid w:val="0087016A"/>
    <w:rPr>
      <w:rFonts w:eastAsia="Times New Roman"/>
    </w:rPr>
  </w:style>
  <w:style w:type="paragraph" w:customStyle="1" w:styleId="EndNoteBibliography">
    <w:name w:val="EndNote Bibliography"/>
    <w:basedOn w:val="Normal"/>
    <w:link w:val="EndNoteBibliographyChar"/>
    <w:rsid w:val="0087016A"/>
  </w:style>
  <w:style w:type="character" w:customStyle="1" w:styleId="EndNoteBibliographyChar">
    <w:name w:val="EndNote Bibliography Char"/>
    <w:basedOn w:val="DefaultParagraphFont"/>
    <w:link w:val="EndNoteBibliography"/>
    <w:rsid w:val="0087016A"/>
    <w:rPr>
      <w:rFonts w:eastAsia="Times New Roman"/>
    </w:rPr>
  </w:style>
  <w:style w:type="character" w:styleId="Hyperlink">
    <w:name w:val="Hyperlink"/>
    <w:basedOn w:val="DefaultParagraphFont"/>
    <w:uiPriority w:val="99"/>
    <w:unhideWhenUsed/>
    <w:rsid w:val="0087016A"/>
    <w:rPr>
      <w:color w:val="0563C1" w:themeColor="hyperlink"/>
      <w:u w:val="single"/>
    </w:rPr>
  </w:style>
  <w:style w:type="character" w:styleId="UnresolvedMention">
    <w:name w:val="Unresolved Mention"/>
    <w:basedOn w:val="DefaultParagraphFont"/>
    <w:uiPriority w:val="99"/>
    <w:rsid w:val="0087016A"/>
    <w:rPr>
      <w:color w:val="605E5C"/>
      <w:shd w:val="clear" w:color="auto" w:fill="E1DFDD"/>
    </w:rPr>
  </w:style>
  <w:style w:type="paragraph" w:customStyle="1" w:styleId="Pa12">
    <w:name w:val="Pa12"/>
    <w:basedOn w:val="Normal"/>
    <w:next w:val="Normal"/>
    <w:uiPriority w:val="99"/>
    <w:rsid w:val="00A15B9F"/>
    <w:pPr>
      <w:autoSpaceDE w:val="0"/>
      <w:autoSpaceDN w:val="0"/>
      <w:adjustRightInd w:val="0"/>
      <w:spacing w:line="201" w:lineRule="atLeast"/>
    </w:pPr>
    <w:rPr>
      <w:rFonts w:ascii="Palatino" w:eastAsiaTheme="minorHAnsi" w:hAnsi="Palatino"/>
      <w:lang w:val="en-GB"/>
    </w:rPr>
  </w:style>
  <w:style w:type="character" w:styleId="FollowedHyperlink">
    <w:name w:val="FollowedHyperlink"/>
    <w:basedOn w:val="DefaultParagraphFont"/>
    <w:uiPriority w:val="99"/>
    <w:semiHidden/>
    <w:unhideWhenUsed/>
    <w:rsid w:val="002F7D59"/>
    <w:rPr>
      <w:color w:val="954F72" w:themeColor="followedHyperlink"/>
      <w:u w:val="single"/>
    </w:rPr>
  </w:style>
  <w:style w:type="paragraph" w:styleId="FootnoteText">
    <w:name w:val="footnote text"/>
    <w:basedOn w:val="Normal"/>
    <w:link w:val="FootnoteTextChar"/>
    <w:uiPriority w:val="99"/>
    <w:semiHidden/>
    <w:unhideWhenUsed/>
    <w:rsid w:val="00C36D6E"/>
    <w:rPr>
      <w:sz w:val="20"/>
      <w:szCs w:val="20"/>
    </w:rPr>
  </w:style>
  <w:style w:type="character" w:customStyle="1" w:styleId="FootnoteTextChar">
    <w:name w:val="Footnote Text Char"/>
    <w:basedOn w:val="DefaultParagraphFont"/>
    <w:link w:val="FootnoteText"/>
    <w:uiPriority w:val="99"/>
    <w:semiHidden/>
    <w:rsid w:val="00C36D6E"/>
    <w:rPr>
      <w:rFonts w:eastAsia="Times New Roman"/>
      <w:sz w:val="20"/>
      <w:szCs w:val="20"/>
    </w:rPr>
  </w:style>
  <w:style w:type="character" w:styleId="FootnoteReference">
    <w:name w:val="footnote reference"/>
    <w:basedOn w:val="DefaultParagraphFont"/>
    <w:uiPriority w:val="99"/>
    <w:semiHidden/>
    <w:unhideWhenUsed/>
    <w:rsid w:val="00C36D6E"/>
    <w:rPr>
      <w:vertAlign w:val="superscript"/>
    </w:rPr>
  </w:style>
  <w:style w:type="character" w:customStyle="1" w:styleId="Heading2Char">
    <w:name w:val="Heading 2 Char"/>
    <w:basedOn w:val="DefaultParagraphFont"/>
    <w:link w:val="Heading2"/>
    <w:uiPriority w:val="9"/>
    <w:rsid w:val="0005699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3212">
      <w:bodyDiv w:val="1"/>
      <w:marLeft w:val="0"/>
      <w:marRight w:val="0"/>
      <w:marTop w:val="0"/>
      <w:marBottom w:val="0"/>
      <w:divBdr>
        <w:top w:val="none" w:sz="0" w:space="0" w:color="auto"/>
        <w:left w:val="none" w:sz="0" w:space="0" w:color="auto"/>
        <w:bottom w:val="none" w:sz="0" w:space="0" w:color="auto"/>
        <w:right w:val="none" w:sz="0" w:space="0" w:color="auto"/>
      </w:divBdr>
      <w:divsChild>
        <w:div w:id="189490904">
          <w:marLeft w:val="0"/>
          <w:marRight w:val="0"/>
          <w:marTop w:val="0"/>
          <w:marBottom w:val="0"/>
          <w:divBdr>
            <w:top w:val="none" w:sz="0" w:space="0" w:color="auto"/>
            <w:left w:val="none" w:sz="0" w:space="0" w:color="auto"/>
            <w:bottom w:val="none" w:sz="0" w:space="0" w:color="auto"/>
            <w:right w:val="none" w:sz="0" w:space="0" w:color="auto"/>
          </w:divBdr>
          <w:divsChild>
            <w:div w:id="1714882080">
              <w:marLeft w:val="0"/>
              <w:marRight w:val="0"/>
              <w:marTop w:val="0"/>
              <w:marBottom w:val="0"/>
              <w:divBdr>
                <w:top w:val="none" w:sz="0" w:space="0" w:color="auto"/>
                <w:left w:val="none" w:sz="0" w:space="0" w:color="auto"/>
                <w:bottom w:val="none" w:sz="0" w:space="0" w:color="auto"/>
                <w:right w:val="none" w:sz="0" w:space="0" w:color="auto"/>
              </w:divBdr>
              <w:divsChild>
                <w:div w:id="1887253840">
                  <w:marLeft w:val="0"/>
                  <w:marRight w:val="0"/>
                  <w:marTop w:val="0"/>
                  <w:marBottom w:val="0"/>
                  <w:divBdr>
                    <w:top w:val="none" w:sz="0" w:space="0" w:color="auto"/>
                    <w:left w:val="none" w:sz="0" w:space="0" w:color="auto"/>
                    <w:bottom w:val="none" w:sz="0" w:space="0" w:color="auto"/>
                    <w:right w:val="none" w:sz="0" w:space="0" w:color="auto"/>
                  </w:divBdr>
                </w:div>
              </w:divsChild>
            </w:div>
            <w:div w:id="1500779159">
              <w:marLeft w:val="0"/>
              <w:marRight w:val="0"/>
              <w:marTop w:val="0"/>
              <w:marBottom w:val="0"/>
              <w:divBdr>
                <w:top w:val="none" w:sz="0" w:space="0" w:color="auto"/>
                <w:left w:val="none" w:sz="0" w:space="0" w:color="auto"/>
                <w:bottom w:val="none" w:sz="0" w:space="0" w:color="auto"/>
                <w:right w:val="none" w:sz="0" w:space="0" w:color="auto"/>
              </w:divBdr>
              <w:divsChild>
                <w:div w:id="1703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560">
      <w:bodyDiv w:val="1"/>
      <w:marLeft w:val="0"/>
      <w:marRight w:val="0"/>
      <w:marTop w:val="0"/>
      <w:marBottom w:val="0"/>
      <w:divBdr>
        <w:top w:val="none" w:sz="0" w:space="0" w:color="auto"/>
        <w:left w:val="none" w:sz="0" w:space="0" w:color="auto"/>
        <w:bottom w:val="none" w:sz="0" w:space="0" w:color="auto"/>
        <w:right w:val="none" w:sz="0" w:space="0" w:color="auto"/>
      </w:divBdr>
    </w:div>
    <w:div w:id="46297940">
      <w:bodyDiv w:val="1"/>
      <w:marLeft w:val="0"/>
      <w:marRight w:val="0"/>
      <w:marTop w:val="0"/>
      <w:marBottom w:val="0"/>
      <w:divBdr>
        <w:top w:val="none" w:sz="0" w:space="0" w:color="auto"/>
        <w:left w:val="none" w:sz="0" w:space="0" w:color="auto"/>
        <w:bottom w:val="none" w:sz="0" w:space="0" w:color="auto"/>
        <w:right w:val="none" w:sz="0" w:space="0" w:color="auto"/>
      </w:divBdr>
      <w:divsChild>
        <w:div w:id="97140277">
          <w:marLeft w:val="0"/>
          <w:marRight w:val="0"/>
          <w:marTop w:val="0"/>
          <w:marBottom w:val="0"/>
          <w:divBdr>
            <w:top w:val="none" w:sz="0" w:space="0" w:color="auto"/>
            <w:left w:val="none" w:sz="0" w:space="0" w:color="auto"/>
            <w:bottom w:val="none" w:sz="0" w:space="0" w:color="auto"/>
            <w:right w:val="none" w:sz="0" w:space="0" w:color="auto"/>
          </w:divBdr>
          <w:divsChild>
            <w:div w:id="2112973965">
              <w:marLeft w:val="0"/>
              <w:marRight w:val="0"/>
              <w:marTop w:val="0"/>
              <w:marBottom w:val="0"/>
              <w:divBdr>
                <w:top w:val="none" w:sz="0" w:space="0" w:color="auto"/>
                <w:left w:val="none" w:sz="0" w:space="0" w:color="auto"/>
                <w:bottom w:val="none" w:sz="0" w:space="0" w:color="auto"/>
                <w:right w:val="none" w:sz="0" w:space="0" w:color="auto"/>
              </w:divBdr>
              <w:divsChild>
                <w:div w:id="11717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7448">
      <w:bodyDiv w:val="1"/>
      <w:marLeft w:val="0"/>
      <w:marRight w:val="0"/>
      <w:marTop w:val="0"/>
      <w:marBottom w:val="0"/>
      <w:divBdr>
        <w:top w:val="none" w:sz="0" w:space="0" w:color="auto"/>
        <w:left w:val="none" w:sz="0" w:space="0" w:color="auto"/>
        <w:bottom w:val="none" w:sz="0" w:space="0" w:color="auto"/>
        <w:right w:val="none" w:sz="0" w:space="0" w:color="auto"/>
      </w:divBdr>
    </w:div>
    <w:div w:id="123158178">
      <w:bodyDiv w:val="1"/>
      <w:marLeft w:val="0"/>
      <w:marRight w:val="0"/>
      <w:marTop w:val="0"/>
      <w:marBottom w:val="0"/>
      <w:divBdr>
        <w:top w:val="none" w:sz="0" w:space="0" w:color="auto"/>
        <w:left w:val="none" w:sz="0" w:space="0" w:color="auto"/>
        <w:bottom w:val="none" w:sz="0" w:space="0" w:color="auto"/>
        <w:right w:val="none" w:sz="0" w:space="0" w:color="auto"/>
      </w:divBdr>
    </w:div>
    <w:div w:id="175658695">
      <w:bodyDiv w:val="1"/>
      <w:marLeft w:val="0"/>
      <w:marRight w:val="0"/>
      <w:marTop w:val="0"/>
      <w:marBottom w:val="0"/>
      <w:divBdr>
        <w:top w:val="none" w:sz="0" w:space="0" w:color="auto"/>
        <w:left w:val="none" w:sz="0" w:space="0" w:color="auto"/>
        <w:bottom w:val="none" w:sz="0" w:space="0" w:color="auto"/>
        <w:right w:val="none" w:sz="0" w:space="0" w:color="auto"/>
      </w:divBdr>
      <w:divsChild>
        <w:div w:id="2102215294">
          <w:marLeft w:val="0"/>
          <w:marRight w:val="0"/>
          <w:marTop w:val="0"/>
          <w:marBottom w:val="0"/>
          <w:divBdr>
            <w:top w:val="none" w:sz="0" w:space="0" w:color="auto"/>
            <w:left w:val="none" w:sz="0" w:space="0" w:color="auto"/>
            <w:bottom w:val="none" w:sz="0" w:space="0" w:color="auto"/>
            <w:right w:val="none" w:sz="0" w:space="0" w:color="auto"/>
          </w:divBdr>
          <w:divsChild>
            <w:div w:id="996420217">
              <w:marLeft w:val="0"/>
              <w:marRight w:val="0"/>
              <w:marTop w:val="0"/>
              <w:marBottom w:val="0"/>
              <w:divBdr>
                <w:top w:val="none" w:sz="0" w:space="0" w:color="auto"/>
                <w:left w:val="none" w:sz="0" w:space="0" w:color="auto"/>
                <w:bottom w:val="none" w:sz="0" w:space="0" w:color="auto"/>
                <w:right w:val="none" w:sz="0" w:space="0" w:color="auto"/>
              </w:divBdr>
              <w:divsChild>
                <w:div w:id="310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0751">
      <w:bodyDiv w:val="1"/>
      <w:marLeft w:val="0"/>
      <w:marRight w:val="0"/>
      <w:marTop w:val="0"/>
      <w:marBottom w:val="0"/>
      <w:divBdr>
        <w:top w:val="none" w:sz="0" w:space="0" w:color="auto"/>
        <w:left w:val="none" w:sz="0" w:space="0" w:color="auto"/>
        <w:bottom w:val="none" w:sz="0" w:space="0" w:color="auto"/>
        <w:right w:val="none" w:sz="0" w:space="0" w:color="auto"/>
      </w:divBdr>
    </w:div>
    <w:div w:id="205141163">
      <w:bodyDiv w:val="1"/>
      <w:marLeft w:val="0"/>
      <w:marRight w:val="0"/>
      <w:marTop w:val="0"/>
      <w:marBottom w:val="0"/>
      <w:divBdr>
        <w:top w:val="none" w:sz="0" w:space="0" w:color="auto"/>
        <w:left w:val="none" w:sz="0" w:space="0" w:color="auto"/>
        <w:bottom w:val="none" w:sz="0" w:space="0" w:color="auto"/>
        <w:right w:val="none" w:sz="0" w:space="0" w:color="auto"/>
      </w:divBdr>
    </w:div>
    <w:div w:id="245192868">
      <w:bodyDiv w:val="1"/>
      <w:marLeft w:val="0"/>
      <w:marRight w:val="0"/>
      <w:marTop w:val="0"/>
      <w:marBottom w:val="0"/>
      <w:divBdr>
        <w:top w:val="none" w:sz="0" w:space="0" w:color="auto"/>
        <w:left w:val="none" w:sz="0" w:space="0" w:color="auto"/>
        <w:bottom w:val="none" w:sz="0" w:space="0" w:color="auto"/>
        <w:right w:val="none" w:sz="0" w:space="0" w:color="auto"/>
      </w:divBdr>
    </w:div>
    <w:div w:id="265970032">
      <w:bodyDiv w:val="1"/>
      <w:marLeft w:val="0"/>
      <w:marRight w:val="0"/>
      <w:marTop w:val="0"/>
      <w:marBottom w:val="0"/>
      <w:divBdr>
        <w:top w:val="none" w:sz="0" w:space="0" w:color="auto"/>
        <w:left w:val="none" w:sz="0" w:space="0" w:color="auto"/>
        <w:bottom w:val="none" w:sz="0" w:space="0" w:color="auto"/>
        <w:right w:val="none" w:sz="0" w:space="0" w:color="auto"/>
      </w:divBdr>
    </w:div>
    <w:div w:id="302272462">
      <w:bodyDiv w:val="1"/>
      <w:marLeft w:val="0"/>
      <w:marRight w:val="0"/>
      <w:marTop w:val="0"/>
      <w:marBottom w:val="0"/>
      <w:divBdr>
        <w:top w:val="none" w:sz="0" w:space="0" w:color="auto"/>
        <w:left w:val="none" w:sz="0" w:space="0" w:color="auto"/>
        <w:bottom w:val="none" w:sz="0" w:space="0" w:color="auto"/>
        <w:right w:val="none" w:sz="0" w:space="0" w:color="auto"/>
      </w:divBdr>
      <w:divsChild>
        <w:div w:id="933973214">
          <w:marLeft w:val="0"/>
          <w:marRight w:val="0"/>
          <w:marTop w:val="0"/>
          <w:marBottom w:val="0"/>
          <w:divBdr>
            <w:top w:val="none" w:sz="0" w:space="0" w:color="auto"/>
            <w:left w:val="none" w:sz="0" w:space="0" w:color="auto"/>
            <w:bottom w:val="none" w:sz="0" w:space="0" w:color="auto"/>
            <w:right w:val="none" w:sz="0" w:space="0" w:color="auto"/>
          </w:divBdr>
          <w:divsChild>
            <w:div w:id="90594011">
              <w:marLeft w:val="0"/>
              <w:marRight w:val="0"/>
              <w:marTop w:val="0"/>
              <w:marBottom w:val="0"/>
              <w:divBdr>
                <w:top w:val="none" w:sz="0" w:space="0" w:color="auto"/>
                <w:left w:val="none" w:sz="0" w:space="0" w:color="auto"/>
                <w:bottom w:val="none" w:sz="0" w:space="0" w:color="auto"/>
                <w:right w:val="none" w:sz="0" w:space="0" w:color="auto"/>
              </w:divBdr>
              <w:divsChild>
                <w:div w:id="2965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5276">
      <w:bodyDiv w:val="1"/>
      <w:marLeft w:val="0"/>
      <w:marRight w:val="0"/>
      <w:marTop w:val="0"/>
      <w:marBottom w:val="0"/>
      <w:divBdr>
        <w:top w:val="none" w:sz="0" w:space="0" w:color="auto"/>
        <w:left w:val="none" w:sz="0" w:space="0" w:color="auto"/>
        <w:bottom w:val="none" w:sz="0" w:space="0" w:color="auto"/>
        <w:right w:val="none" w:sz="0" w:space="0" w:color="auto"/>
      </w:divBdr>
      <w:divsChild>
        <w:div w:id="224417331">
          <w:marLeft w:val="0"/>
          <w:marRight w:val="0"/>
          <w:marTop w:val="0"/>
          <w:marBottom w:val="0"/>
          <w:divBdr>
            <w:top w:val="none" w:sz="0" w:space="0" w:color="auto"/>
            <w:left w:val="none" w:sz="0" w:space="0" w:color="auto"/>
            <w:bottom w:val="none" w:sz="0" w:space="0" w:color="auto"/>
            <w:right w:val="none" w:sz="0" w:space="0" w:color="auto"/>
          </w:divBdr>
          <w:divsChild>
            <w:div w:id="62679214">
              <w:marLeft w:val="0"/>
              <w:marRight w:val="0"/>
              <w:marTop w:val="0"/>
              <w:marBottom w:val="0"/>
              <w:divBdr>
                <w:top w:val="none" w:sz="0" w:space="0" w:color="auto"/>
                <w:left w:val="none" w:sz="0" w:space="0" w:color="auto"/>
                <w:bottom w:val="none" w:sz="0" w:space="0" w:color="auto"/>
                <w:right w:val="none" w:sz="0" w:space="0" w:color="auto"/>
              </w:divBdr>
              <w:divsChild>
                <w:div w:id="47922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3762">
      <w:bodyDiv w:val="1"/>
      <w:marLeft w:val="0"/>
      <w:marRight w:val="0"/>
      <w:marTop w:val="0"/>
      <w:marBottom w:val="0"/>
      <w:divBdr>
        <w:top w:val="none" w:sz="0" w:space="0" w:color="auto"/>
        <w:left w:val="none" w:sz="0" w:space="0" w:color="auto"/>
        <w:bottom w:val="none" w:sz="0" w:space="0" w:color="auto"/>
        <w:right w:val="none" w:sz="0" w:space="0" w:color="auto"/>
      </w:divBdr>
    </w:div>
    <w:div w:id="396781104">
      <w:bodyDiv w:val="1"/>
      <w:marLeft w:val="0"/>
      <w:marRight w:val="0"/>
      <w:marTop w:val="0"/>
      <w:marBottom w:val="0"/>
      <w:divBdr>
        <w:top w:val="none" w:sz="0" w:space="0" w:color="auto"/>
        <w:left w:val="none" w:sz="0" w:space="0" w:color="auto"/>
        <w:bottom w:val="none" w:sz="0" w:space="0" w:color="auto"/>
        <w:right w:val="none" w:sz="0" w:space="0" w:color="auto"/>
      </w:divBdr>
    </w:div>
    <w:div w:id="406615766">
      <w:bodyDiv w:val="1"/>
      <w:marLeft w:val="0"/>
      <w:marRight w:val="0"/>
      <w:marTop w:val="0"/>
      <w:marBottom w:val="0"/>
      <w:divBdr>
        <w:top w:val="none" w:sz="0" w:space="0" w:color="auto"/>
        <w:left w:val="none" w:sz="0" w:space="0" w:color="auto"/>
        <w:bottom w:val="none" w:sz="0" w:space="0" w:color="auto"/>
        <w:right w:val="none" w:sz="0" w:space="0" w:color="auto"/>
      </w:divBdr>
      <w:divsChild>
        <w:div w:id="662123007">
          <w:marLeft w:val="0"/>
          <w:marRight w:val="0"/>
          <w:marTop w:val="0"/>
          <w:marBottom w:val="0"/>
          <w:divBdr>
            <w:top w:val="none" w:sz="0" w:space="0" w:color="auto"/>
            <w:left w:val="none" w:sz="0" w:space="0" w:color="auto"/>
            <w:bottom w:val="none" w:sz="0" w:space="0" w:color="auto"/>
            <w:right w:val="none" w:sz="0" w:space="0" w:color="auto"/>
          </w:divBdr>
          <w:divsChild>
            <w:div w:id="1404373787">
              <w:marLeft w:val="0"/>
              <w:marRight w:val="0"/>
              <w:marTop w:val="0"/>
              <w:marBottom w:val="0"/>
              <w:divBdr>
                <w:top w:val="none" w:sz="0" w:space="0" w:color="auto"/>
                <w:left w:val="none" w:sz="0" w:space="0" w:color="auto"/>
                <w:bottom w:val="none" w:sz="0" w:space="0" w:color="auto"/>
                <w:right w:val="none" w:sz="0" w:space="0" w:color="auto"/>
              </w:divBdr>
              <w:divsChild>
                <w:div w:id="15022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81545">
      <w:bodyDiv w:val="1"/>
      <w:marLeft w:val="0"/>
      <w:marRight w:val="0"/>
      <w:marTop w:val="0"/>
      <w:marBottom w:val="0"/>
      <w:divBdr>
        <w:top w:val="none" w:sz="0" w:space="0" w:color="auto"/>
        <w:left w:val="none" w:sz="0" w:space="0" w:color="auto"/>
        <w:bottom w:val="none" w:sz="0" w:space="0" w:color="auto"/>
        <w:right w:val="none" w:sz="0" w:space="0" w:color="auto"/>
      </w:divBdr>
    </w:div>
    <w:div w:id="456997789">
      <w:bodyDiv w:val="1"/>
      <w:marLeft w:val="0"/>
      <w:marRight w:val="0"/>
      <w:marTop w:val="0"/>
      <w:marBottom w:val="0"/>
      <w:divBdr>
        <w:top w:val="none" w:sz="0" w:space="0" w:color="auto"/>
        <w:left w:val="none" w:sz="0" w:space="0" w:color="auto"/>
        <w:bottom w:val="none" w:sz="0" w:space="0" w:color="auto"/>
        <w:right w:val="none" w:sz="0" w:space="0" w:color="auto"/>
      </w:divBdr>
    </w:div>
    <w:div w:id="458115020">
      <w:bodyDiv w:val="1"/>
      <w:marLeft w:val="0"/>
      <w:marRight w:val="0"/>
      <w:marTop w:val="0"/>
      <w:marBottom w:val="0"/>
      <w:divBdr>
        <w:top w:val="none" w:sz="0" w:space="0" w:color="auto"/>
        <w:left w:val="none" w:sz="0" w:space="0" w:color="auto"/>
        <w:bottom w:val="none" w:sz="0" w:space="0" w:color="auto"/>
        <w:right w:val="none" w:sz="0" w:space="0" w:color="auto"/>
      </w:divBdr>
    </w:div>
    <w:div w:id="465901471">
      <w:bodyDiv w:val="1"/>
      <w:marLeft w:val="0"/>
      <w:marRight w:val="0"/>
      <w:marTop w:val="0"/>
      <w:marBottom w:val="0"/>
      <w:divBdr>
        <w:top w:val="none" w:sz="0" w:space="0" w:color="auto"/>
        <w:left w:val="none" w:sz="0" w:space="0" w:color="auto"/>
        <w:bottom w:val="none" w:sz="0" w:space="0" w:color="auto"/>
        <w:right w:val="none" w:sz="0" w:space="0" w:color="auto"/>
      </w:divBdr>
    </w:div>
    <w:div w:id="517236126">
      <w:bodyDiv w:val="1"/>
      <w:marLeft w:val="0"/>
      <w:marRight w:val="0"/>
      <w:marTop w:val="0"/>
      <w:marBottom w:val="0"/>
      <w:divBdr>
        <w:top w:val="none" w:sz="0" w:space="0" w:color="auto"/>
        <w:left w:val="none" w:sz="0" w:space="0" w:color="auto"/>
        <w:bottom w:val="none" w:sz="0" w:space="0" w:color="auto"/>
        <w:right w:val="none" w:sz="0" w:space="0" w:color="auto"/>
      </w:divBdr>
      <w:divsChild>
        <w:div w:id="1811091348">
          <w:marLeft w:val="0"/>
          <w:marRight w:val="0"/>
          <w:marTop w:val="0"/>
          <w:marBottom w:val="0"/>
          <w:divBdr>
            <w:top w:val="none" w:sz="0" w:space="0" w:color="auto"/>
            <w:left w:val="none" w:sz="0" w:space="0" w:color="auto"/>
            <w:bottom w:val="none" w:sz="0" w:space="0" w:color="auto"/>
            <w:right w:val="none" w:sz="0" w:space="0" w:color="auto"/>
          </w:divBdr>
          <w:divsChild>
            <w:div w:id="1927760000">
              <w:marLeft w:val="0"/>
              <w:marRight w:val="0"/>
              <w:marTop w:val="0"/>
              <w:marBottom w:val="0"/>
              <w:divBdr>
                <w:top w:val="none" w:sz="0" w:space="0" w:color="auto"/>
                <w:left w:val="none" w:sz="0" w:space="0" w:color="auto"/>
                <w:bottom w:val="none" w:sz="0" w:space="0" w:color="auto"/>
                <w:right w:val="none" w:sz="0" w:space="0" w:color="auto"/>
              </w:divBdr>
              <w:divsChild>
                <w:div w:id="14448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41731">
      <w:bodyDiv w:val="1"/>
      <w:marLeft w:val="0"/>
      <w:marRight w:val="0"/>
      <w:marTop w:val="0"/>
      <w:marBottom w:val="0"/>
      <w:divBdr>
        <w:top w:val="none" w:sz="0" w:space="0" w:color="auto"/>
        <w:left w:val="none" w:sz="0" w:space="0" w:color="auto"/>
        <w:bottom w:val="none" w:sz="0" w:space="0" w:color="auto"/>
        <w:right w:val="none" w:sz="0" w:space="0" w:color="auto"/>
      </w:divBdr>
    </w:div>
    <w:div w:id="554782228">
      <w:bodyDiv w:val="1"/>
      <w:marLeft w:val="0"/>
      <w:marRight w:val="0"/>
      <w:marTop w:val="0"/>
      <w:marBottom w:val="0"/>
      <w:divBdr>
        <w:top w:val="none" w:sz="0" w:space="0" w:color="auto"/>
        <w:left w:val="none" w:sz="0" w:space="0" w:color="auto"/>
        <w:bottom w:val="none" w:sz="0" w:space="0" w:color="auto"/>
        <w:right w:val="none" w:sz="0" w:space="0" w:color="auto"/>
      </w:divBdr>
    </w:div>
    <w:div w:id="578952591">
      <w:bodyDiv w:val="1"/>
      <w:marLeft w:val="0"/>
      <w:marRight w:val="0"/>
      <w:marTop w:val="0"/>
      <w:marBottom w:val="0"/>
      <w:divBdr>
        <w:top w:val="none" w:sz="0" w:space="0" w:color="auto"/>
        <w:left w:val="none" w:sz="0" w:space="0" w:color="auto"/>
        <w:bottom w:val="none" w:sz="0" w:space="0" w:color="auto"/>
        <w:right w:val="none" w:sz="0" w:space="0" w:color="auto"/>
      </w:divBdr>
    </w:div>
    <w:div w:id="596787362">
      <w:bodyDiv w:val="1"/>
      <w:marLeft w:val="0"/>
      <w:marRight w:val="0"/>
      <w:marTop w:val="0"/>
      <w:marBottom w:val="0"/>
      <w:divBdr>
        <w:top w:val="none" w:sz="0" w:space="0" w:color="auto"/>
        <w:left w:val="none" w:sz="0" w:space="0" w:color="auto"/>
        <w:bottom w:val="none" w:sz="0" w:space="0" w:color="auto"/>
        <w:right w:val="none" w:sz="0" w:space="0" w:color="auto"/>
      </w:divBdr>
    </w:div>
    <w:div w:id="652372610">
      <w:bodyDiv w:val="1"/>
      <w:marLeft w:val="0"/>
      <w:marRight w:val="0"/>
      <w:marTop w:val="0"/>
      <w:marBottom w:val="0"/>
      <w:divBdr>
        <w:top w:val="none" w:sz="0" w:space="0" w:color="auto"/>
        <w:left w:val="none" w:sz="0" w:space="0" w:color="auto"/>
        <w:bottom w:val="none" w:sz="0" w:space="0" w:color="auto"/>
        <w:right w:val="none" w:sz="0" w:space="0" w:color="auto"/>
      </w:divBdr>
    </w:div>
    <w:div w:id="675351985">
      <w:bodyDiv w:val="1"/>
      <w:marLeft w:val="0"/>
      <w:marRight w:val="0"/>
      <w:marTop w:val="0"/>
      <w:marBottom w:val="0"/>
      <w:divBdr>
        <w:top w:val="none" w:sz="0" w:space="0" w:color="auto"/>
        <w:left w:val="none" w:sz="0" w:space="0" w:color="auto"/>
        <w:bottom w:val="none" w:sz="0" w:space="0" w:color="auto"/>
        <w:right w:val="none" w:sz="0" w:space="0" w:color="auto"/>
      </w:divBdr>
    </w:div>
    <w:div w:id="732506362">
      <w:bodyDiv w:val="1"/>
      <w:marLeft w:val="0"/>
      <w:marRight w:val="0"/>
      <w:marTop w:val="0"/>
      <w:marBottom w:val="0"/>
      <w:divBdr>
        <w:top w:val="none" w:sz="0" w:space="0" w:color="auto"/>
        <w:left w:val="none" w:sz="0" w:space="0" w:color="auto"/>
        <w:bottom w:val="none" w:sz="0" w:space="0" w:color="auto"/>
        <w:right w:val="none" w:sz="0" w:space="0" w:color="auto"/>
      </w:divBdr>
    </w:div>
    <w:div w:id="739250957">
      <w:bodyDiv w:val="1"/>
      <w:marLeft w:val="0"/>
      <w:marRight w:val="0"/>
      <w:marTop w:val="0"/>
      <w:marBottom w:val="0"/>
      <w:divBdr>
        <w:top w:val="none" w:sz="0" w:space="0" w:color="auto"/>
        <w:left w:val="none" w:sz="0" w:space="0" w:color="auto"/>
        <w:bottom w:val="none" w:sz="0" w:space="0" w:color="auto"/>
        <w:right w:val="none" w:sz="0" w:space="0" w:color="auto"/>
      </w:divBdr>
    </w:div>
    <w:div w:id="754130211">
      <w:bodyDiv w:val="1"/>
      <w:marLeft w:val="0"/>
      <w:marRight w:val="0"/>
      <w:marTop w:val="0"/>
      <w:marBottom w:val="0"/>
      <w:divBdr>
        <w:top w:val="none" w:sz="0" w:space="0" w:color="auto"/>
        <w:left w:val="none" w:sz="0" w:space="0" w:color="auto"/>
        <w:bottom w:val="none" w:sz="0" w:space="0" w:color="auto"/>
        <w:right w:val="none" w:sz="0" w:space="0" w:color="auto"/>
      </w:divBdr>
    </w:div>
    <w:div w:id="777410513">
      <w:bodyDiv w:val="1"/>
      <w:marLeft w:val="0"/>
      <w:marRight w:val="0"/>
      <w:marTop w:val="0"/>
      <w:marBottom w:val="0"/>
      <w:divBdr>
        <w:top w:val="none" w:sz="0" w:space="0" w:color="auto"/>
        <w:left w:val="none" w:sz="0" w:space="0" w:color="auto"/>
        <w:bottom w:val="none" w:sz="0" w:space="0" w:color="auto"/>
        <w:right w:val="none" w:sz="0" w:space="0" w:color="auto"/>
      </w:divBdr>
      <w:divsChild>
        <w:div w:id="723678738">
          <w:marLeft w:val="0"/>
          <w:marRight w:val="0"/>
          <w:marTop w:val="0"/>
          <w:marBottom w:val="0"/>
          <w:divBdr>
            <w:top w:val="none" w:sz="0" w:space="0" w:color="auto"/>
            <w:left w:val="none" w:sz="0" w:space="0" w:color="auto"/>
            <w:bottom w:val="none" w:sz="0" w:space="0" w:color="auto"/>
            <w:right w:val="none" w:sz="0" w:space="0" w:color="auto"/>
          </w:divBdr>
          <w:divsChild>
            <w:div w:id="1721828797">
              <w:marLeft w:val="0"/>
              <w:marRight w:val="0"/>
              <w:marTop w:val="0"/>
              <w:marBottom w:val="0"/>
              <w:divBdr>
                <w:top w:val="none" w:sz="0" w:space="0" w:color="auto"/>
                <w:left w:val="none" w:sz="0" w:space="0" w:color="auto"/>
                <w:bottom w:val="none" w:sz="0" w:space="0" w:color="auto"/>
                <w:right w:val="none" w:sz="0" w:space="0" w:color="auto"/>
              </w:divBdr>
              <w:divsChild>
                <w:div w:id="1289361122">
                  <w:marLeft w:val="0"/>
                  <w:marRight w:val="0"/>
                  <w:marTop w:val="0"/>
                  <w:marBottom w:val="0"/>
                  <w:divBdr>
                    <w:top w:val="none" w:sz="0" w:space="0" w:color="auto"/>
                    <w:left w:val="none" w:sz="0" w:space="0" w:color="auto"/>
                    <w:bottom w:val="none" w:sz="0" w:space="0" w:color="auto"/>
                    <w:right w:val="none" w:sz="0" w:space="0" w:color="auto"/>
                  </w:divBdr>
                  <w:divsChild>
                    <w:div w:id="635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393520">
      <w:bodyDiv w:val="1"/>
      <w:marLeft w:val="0"/>
      <w:marRight w:val="0"/>
      <w:marTop w:val="0"/>
      <w:marBottom w:val="0"/>
      <w:divBdr>
        <w:top w:val="none" w:sz="0" w:space="0" w:color="auto"/>
        <w:left w:val="none" w:sz="0" w:space="0" w:color="auto"/>
        <w:bottom w:val="none" w:sz="0" w:space="0" w:color="auto"/>
        <w:right w:val="none" w:sz="0" w:space="0" w:color="auto"/>
      </w:divBdr>
    </w:div>
    <w:div w:id="817960403">
      <w:bodyDiv w:val="1"/>
      <w:marLeft w:val="0"/>
      <w:marRight w:val="0"/>
      <w:marTop w:val="0"/>
      <w:marBottom w:val="0"/>
      <w:divBdr>
        <w:top w:val="none" w:sz="0" w:space="0" w:color="auto"/>
        <w:left w:val="none" w:sz="0" w:space="0" w:color="auto"/>
        <w:bottom w:val="none" w:sz="0" w:space="0" w:color="auto"/>
        <w:right w:val="none" w:sz="0" w:space="0" w:color="auto"/>
      </w:divBdr>
    </w:div>
    <w:div w:id="851644728">
      <w:bodyDiv w:val="1"/>
      <w:marLeft w:val="0"/>
      <w:marRight w:val="0"/>
      <w:marTop w:val="0"/>
      <w:marBottom w:val="0"/>
      <w:divBdr>
        <w:top w:val="none" w:sz="0" w:space="0" w:color="auto"/>
        <w:left w:val="none" w:sz="0" w:space="0" w:color="auto"/>
        <w:bottom w:val="none" w:sz="0" w:space="0" w:color="auto"/>
        <w:right w:val="none" w:sz="0" w:space="0" w:color="auto"/>
      </w:divBdr>
    </w:div>
    <w:div w:id="861435210">
      <w:bodyDiv w:val="1"/>
      <w:marLeft w:val="0"/>
      <w:marRight w:val="0"/>
      <w:marTop w:val="0"/>
      <w:marBottom w:val="0"/>
      <w:divBdr>
        <w:top w:val="none" w:sz="0" w:space="0" w:color="auto"/>
        <w:left w:val="none" w:sz="0" w:space="0" w:color="auto"/>
        <w:bottom w:val="none" w:sz="0" w:space="0" w:color="auto"/>
        <w:right w:val="none" w:sz="0" w:space="0" w:color="auto"/>
      </w:divBdr>
    </w:div>
    <w:div w:id="863395937">
      <w:bodyDiv w:val="1"/>
      <w:marLeft w:val="0"/>
      <w:marRight w:val="0"/>
      <w:marTop w:val="0"/>
      <w:marBottom w:val="0"/>
      <w:divBdr>
        <w:top w:val="none" w:sz="0" w:space="0" w:color="auto"/>
        <w:left w:val="none" w:sz="0" w:space="0" w:color="auto"/>
        <w:bottom w:val="none" w:sz="0" w:space="0" w:color="auto"/>
        <w:right w:val="none" w:sz="0" w:space="0" w:color="auto"/>
      </w:divBdr>
    </w:div>
    <w:div w:id="871193506">
      <w:bodyDiv w:val="1"/>
      <w:marLeft w:val="0"/>
      <w:marRight w:val="0"/>
      <w:marTop w:val="0"/>
      <w:marBottom w:val="0"/>
      <w:divBdr>
        <w:top w:val="none" w:sz="0" w:space="0" w:color="auto"/>
        <w:left w:val="none" w:sz="0" w:space="0" w:color="auto"/>
        <w:bottom w:val="none" w:sz="0" w:space="0" w:color="auto"/>
        <w:right w:val="none" w:sz="0" w:space="0" w:color="auto"/>
      </w:divBdr>
    </w:div>
    <w:div w:id="880018307">
      <w:bodyDiv w:val="1"/>
      <w:marLeft w:val="0"/>
      <w:marRight w:val="0"/>
      <w:marTop w:val="0"/>
      <w:marBottom w:val="0"/>
      <w:divBdr>
        <w:top w:val="none" w:sz="0" w:space="0" w:color="auto"/>
        <w:left w:val="none" w:sz="0" w:space="0" w:color="auto"/>
        <w:bottom w:val="none" w:sz="0" w:space="0" w:color="auto"/>
        <w:right w:val="none" w:sz="0" w:space="0" w:color="auto"/>
      </w:divBdr>
    </w:div>
    <w:div w:id="886600458">
      <w:bodyDiv w:val="1"/>
      <w:marLeft w:val="0"/>
      <w:marRight w:val="0"/>
      <w:marTop w:val="0"/>
      <w:marBottom w:val="0"/>
      <w:divBdr>
        <w:top w:val="none" w:sz="0" w:space="0" w:color="auto"/>
        <w:left w:val="none" w:sz="0" w:space="0" w:color="auto"/>
        <w:bottom w:val="none" w:sz="0" w:space="0" w:color="auto"/>
        <w:right w:val="none" w:sz="0" w:space="0" w:color="auto"/>
      </w:divBdr>
    </w:div>
    <w:div w:id="893850161">
      <w:bodyDiv w:val="1"/>
      <w:marLeft w:val="0"/>
      <w:marRight w:val="0"/>
      <w:marTop w:val="0"/>
      <w:marBottom w:val="0"/>
      <w:divBdr>
        <w:top w:val="none" w:sz="0" w:space="0" w:color="auto"/>
        <w:left w:val="none" w:sz="0" w:space="0" w:color="auto"/>
        <w:bottom w:val="none" w:sz="0" w:space="0" w:color="auto"/>
        <w:right w:val="none" w:sz="0" w:space="0" w:color="auto"/>
      </w:divBdr>
    </w:div>
    <w:div w:id="901598166">
      <w:bodyDiv w:val="1"/>
      <w:marLeft w:val="0"/>
      <w:marRight w:val="0"/>
      <w:marTop w:val="0"/>
      <w:marBottom w:val="0"/>
      <w:divBdr>
        <w:top w:val="none" w:sz="0" w:space="0" w:color="auto"/>
        <w:left w:val="none" w:sz="0" w:space="0" w:color="auto"/>
        <w:bottom w:val="none" w:sz="0" w:space="0" w:color="auto"/>
        <w:right w:val="none" w:sz="0" w:space="0" w:color="auto"/>
      </w:divBdr>
    </w:div>
    <w:div w:id="902985590">
      <w:bodyDiv w:val="1"/>
      <w:marLeft w:val="0"/>
      <w:marRight w:val="0"/>
      <w:marTop w:val="0"/>
      <w:marBottom w:val="0"/>
      <w:divBdr>
        <w:top w:val="none" w:sz="0" w:space="0" w:color="auto"/>
        <w:left w:val="none" w:sz="0" w:space="0" w:color="auto"/>
        <w:bottom w:val="none" w:sz="0" w:space="0" w:color="auto"/>
        <w:right w:val="none" w:sz="0" w:space="0" w:color="auto"/>
      </w:divBdr>
    </w:div>
    <w:div w:id="907419617">
      <w:bodyDiv w:val="1"/>
      <w:marLeft w:val="0"/>
      <w:marRight w:val="0"/>
      <w:marTop w:val="0"/>
      <w:marBottom w:val="0"/>
      <w:divBdr>
        <w:top w:val="none" w:sz="0" w:space="0" w:color="auto"/>
        <w:left w:val="none" w:sz="0" w:space="0" w:color="auto"/>
        <w:bottom w:val="none" w:sz="0" w:space="0" w:color="auto"/>
        <w:right w:val="none" w:sz="0" w:space="0" w:color="auto"/>
      </w:divBdr>
      <w:divsChild>
        <w:div w:id="191381973">
          <w:marLeft w:val="0"/>
          <w:marRight w:val="0"/>
          <w:marTop w:val="0"/>
          <w:marBottom w:val="0"/>
          <w:divBdr>
            <w:top w:val="none" w:sz="0" w:space="0" w:color="auto"/>
            <w:left w:val="none" w:sz="0" w:space="0" w:color="auto"/>
            <w:bottom w:val="none" w:sz="0" w:space="0" w:color="auto"/>
            <w:right w:val="none" w:sz="0" w:space="0" w:color="auto"/>
          </w:divBdr>
          <w:divsChild>
            <w:div w:id="165286737">
              <w:marLeft w:val="0"/>
              <w:marRight w:val="0"/>
              <w:marTop w:val="0"/>
              <w:marBottom w:val="0"/>
              <w:divBdr>
                <w:top w:val="none" w:sz="0" w:space="0" w:color="auto"/>
                <w:left w:val="none" w:sz="0" w:space="0" w:color="auto"/>
                <w:bottom w:val="none" w:sz="0" w:space="0" w:color="auto"/>
                <w:right w:val="none" w:sz="0" w:space="0" w:color="auto"/>
              </w:divBdr>
              <w:divsChild>
                <w:div w:id="4048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19358">
      <w:bodyDiv w:val="1"/>
      <w:marLeft w:val="0"/>
      <w:marRight w:val="0"/>
      <w:marTop w:val="0"/>
      <w:marBottom w:val="0"/>
      <w:divBdr>
        <w:top w:val="none" w:sz="0" w:space="0" w:color="auto"/>
        <w:left w:val="none" w:sz="0" w:space="0" w:color="auto"/>
        <w:bottom w:val="none" w:sz="0" w:space="0" w:color="auto"/>
        <w:right w:val="none" w:sz="0" w:space="0" w:color="auto"/>
      </w:divBdr>
      <w:divsChild>
        <w:div w:id="1337810271">
          <w:marLeft w:val="0"/>
          <w:marRight w:val="0"/>
          <w:marTop w:val="0"/>
          <w:marBottom w:val="0"/>
          <w:divBdr>
            <w:top w:val="none" w:sz="0" w:space="0" w:color="auto"/>
            <w:left w:val="none" w:sz="0" w:space="0" w:color="auto"/>
            <w:bottom w:val="none" w:sz="0" w:space="0" w:color="auto"/>
            <w:right w:val="none" w:sz="0" w:space="0" w:color="auto"/>
          </w:divBdr>
          <w:divsChild>
            <w:div w:id="1799489448">
              <w:marLeft w:val="0"/>
              <w:marRight w:val="0"/>
              <w:marTop w:val="0"/>
              <w:marBottom w:val="0"/>
              <w:divBdr>
                <w:top w:val="none" w:sz="0" w:space="0" w:color="auto"/>
                <w:left w:val="none" w:sz="0" w:space="0" w:color="auto"/>
                <w:bottom w:val="none" w:sz="0" w:space="0" w:color="auto"/>
                <w:right w:val="none" w:sz="0" w:space="0" w:color="auto"/>
              </w:divBdr>
              <w:divsChild>
                <w:div w:id="16263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5581">
      <w:bodyDiv w:val="1"/>
      <w:marLeft w:val="0"/>
      <w:marRight w:val="0"/>
      <w:marTop w:val="0"/>
      <w:marBottom w:val="0"/>
      <w:divBdr>
        <w:top w:val="none" w:sz="0" w:space="0" w:color="auto"/>
        <w:left w:val="none" w:sz="0" w:space="0" w:color="auto"/>
        <w:bottom w:val="none" w:sz="0" w:space="0" w:color="auto"/>
        <w:right w:val="none" w:sz="0" w:space="0" w:color="auto"/>
      </w:divBdr>
    </w:div>
    <w:div w:id="962347851">
      <w:bodyDiv w:val="1"/>
      <w:marLeft w:val="0"/>
      <w:marRight w:val="0"/>
      <w:marTop w:val="0"/>
      <w:marBottom w:val="0"/>
      <w:divBdr>
        <w:top w:val="none" w:sz="0" w:space="0" w:color="auto"/>
        <w:left w:val="none" w:sz="0" w:space="0" w:color="auto"/>
        <w:bottom w:val="none" w:sz="0" w:space="0" w:color="auto"/>
        <w:right w:val="none" w:sz="0" w:space="0" w:color="auto"/>
      </w:divBdr>
    </w:div>
    <w:div w:id="972176740">
      <w:bodyDiv w:val="1"/>
      <w:marLeft w:val="0"/>
      <w:marRight w:val="0"/>
      <w:marTop w:val="0"/>
      <w:marBottom w:val="0"/>
      <w:divBdr>
        <w:top w:val="none" w:sz="0" w:space="0" w:color="auto"/>
        <w:left w:val="none" w:sz="0" w:space="0" w:color="auto"/>
        <w:bottom w:val="none" w:sz="0" w:space="0" w:color="auto"/>
        <w:right w:val="none" w:sz="0" w:space="0" w:color="auto"/>
      </w:divBdr>
    </w:div>
    <w:div w:id="1025521783">
      <w:bodyDiv w:val="1"/>
      <w:marLeft w:val="0"/>
      <w:marRight w:val="0"/>
      <w:marTop w:val="0"/>
      <w:marBottom w:val="0"/>
      <w:divBdr>
        <w:top w:val="none" w:sz="0" w:space="0" w:color="auto"/>
        <w:left w:val="none" w:sz="0" w:space="0" w:color="auto"/>
        <w:bottom w:val="none" w:sz="0" w:space="0" w:color="auto"/>
        <w:right w:val="none" w:sz="0" w:space="0" w:color="auto"/>
      </w:divBdr>
    </w:div>
    <w:div w:id="1030299086">
      <w:bodyDiv w:val="1"/>
      <w:marLeft w:val="0"/>
      <w:marRight w:val="0"/>
      <w:marTop w:val="0"/>
      <w:marBottom w:val="0"/>
      <w:divBdr>
        <w:top w:val="none" w:sz="0" w:space="0" w:color="auto"/>
        <w:left w:val="none" w:sz="0" w:space="0" w:color="auto"/>
        <w:bottom w:val="none" w:sz="0" w:space="0" w:color="auto"/>
        <w:right w:val="none" w:sz="0" w:space="0" w:color="auto"/>
      </w:divBdr>
      <w:divsChild>
        <w:div w:id="831945832">
          <w:marLeft w:val="0"/>
          <w:marRight w:val="0"/>
          <w:marTop w:val="0"/>
          <w:marBottom w:val="0"/>
          <w:divBdr>
            <w:top w:val="none" w:sz="0" w:space="0" w:color="auto"/>
            <w:left w:val="none" w:sz="0" w:space="0" w:color="auto"/>
            <w:bottom w:val="none" w:sz="0" w:space="0" w:color="auto"/>
            <w:right w:val="none" w:sz="0" w:space="0" w:color="auto"/>
          </w:divBdr>
          <w:divsChild>
            <w:div w:id="1447701832">
              <w:marLeft w:val="0"/>
              <w:marRight w:val="0"/>
              <w:marTop w:val="0"/>
              <w:marBottom w:val="0"/>
              <w:divBdr>
                <w:top w:val="none" w:sz="0" w:space="0" w:color="auto"/>
                <w:left w:val="none" w:sz="0" w:space="0" w:color="auto"/>
                <w:bottom w:val="none" w:sz="0" w:space="0" w:color="auto"/>
                <w:right w:val="none" w:sz="0" w:space="0" w:color="auto"/>
              </w:divBdr>
              <w:divsChild>
                <w:div w:id="87080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87712">
      <w:bodyDiv w:val="1"/>
      <w:marLeft w:val="0"/>
      <w:marRight w:val="0"/>
      <w:marTop w:val="0"/>
      <w:marBottom w:val="0"/>
      <w:divBdr>
        <w:top w:val="none" w:sz="0" w:space="0" w:color="auto"/>
        <w:left w:val="none" w:sz="0" w:space="0" w:color="auto"/>
        <w:bottom w:val="none" w:sz="0" w:space="0" w:color="auto"/>
        <w:right w:val="none" w:sz="0" w:space="0" w:color="auto"/>
      </w:divBdr>
    </w:div>
    <w:div w:id="1065421282">
      <w:bodyDiv w:val="1"/>
      <w:marLeft w:val="0"/>
      <w:marRight w:val="0"/>
      <w:marTop w:val="0"/>
      <w:marBottom w:val="0"/>
      <w:divBdr>
        <w:top w:val="none" w:sz="0" w:space="0" w:color="auto"/>
        <w:left w:val="none" w:sz="0" w:space="0" w:color="auto"/>
        <w:bottom w:val="none" w:sz="0" w:space="0" w:color="auto"/>
        <w:right w:val="none" w:sz="0" w:space="0" w:color="auto"/>
      </w:divBdr>
      <w:divsChild>
        <w:div w:id="1849441536">
          <w:marLeft w:val="0"/>
          <w:marRight w:val="0"/>
          <w:marTop w:val="0"/>
          <w:marBottom w:val="0"/>
          <w:divBdr>
            <w:top w:val="none" w:sz="0" w:space="0" w:color="auto"/>
            <w:left w:val="none" w:sz="0" w:space="0" w:color="auto"/>
            <w:bottom w:val="none" w:sz="0" w:space="0" w:color="auto"/>
            <w:right w:val="none" w:sz="0" w:space="0" w:color="auto"/>
          </w:divBdr>
          <w:divsChild>
            <w:div w:id="982076841">
              <w:marLeft w:val="0"/>
              <w:marRight w:val="0"/>
              <w:marTop w:val="0"/>
              <w:marBottom w:val="0"/>
              <w:divBdr>
                <w:top w:val="none" w:sz="0" w:space="0" w:color="auto"/>
                <w:left w:val="none" w:sz="0" w:space="0" w:color="auto"/>
                <w:bottom w:val="none" w:sz="0" w:space="0" w:color="auto"/>
                <w:right w:val="none" w:sz="0" w:space="0" w:color="auto"/>
              </w:divBdr>
              <w:divsChild>
                <w:div w:id="11590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96742">
      <w:bodyDiv w:val="1"/>
      <w:marLeft w:val="0"/>
      <w:marRight w:val="0"/>
      <w:marTop w:val="0"/>
      <w:marBottom w:val="0"/>
      <w:divBdr>
        <w:top w:val="none" w:sz="0" w:space="0" w:color="auto"/>
        <w:left w:val="none" w:sz="0" w:space="0" w:color="auto"/>
        <w:bottom w:val="none" w:sz="0" w:space="0" w:color="auto"/>
        <w:right w:val="none" w:sz="0" w:space="0" w:color="auto"/>
      </w:divBdr>
      <w:divsChild>
        <w:div w:id="1382636522">
          <w:marLeft w:val="0"/>
          <w:marRight w:val="0"/>
          <w:marTop w:val="0"/>
          <w:marBottom w:val="0"/>
          <w:divBdr>
            <w:top w:val="none" w:sz="0" w:space="0" w:color="auto"/>
            <w:left w:val="none" w:sz="0" w:space="0" w:color="auto"/>
            <w:bottom w:val="none" w:sz="0" w:space="0" w:color="auto"/>
            <w:right w:val="none" w:sz="0" w:space="0" w:color="auto"/>
          </w:divBdr>
          <w:divsChild>
            <w:div w:id="1153763574">
              <w:marLeft w:val="0"/>
              <w:marRight w:val="0"/>
              <w:marTop w:val="0"/>
              <w:marBottom w:val="0"/>
              <w:divBdr>
                <w:top w:val="none" w:sz="0" w:space="0" w:color="auto"/>
                <w:left w:val="none" w:sz="0" w:space="0" w:color="auto"/>
                <w:bottom w:val="none" w:sz="0" w:space="0" w:color="auto"/>
                <w:right w:val="none" w:sz="0" w:space="0" w:color="auto"/>
              </w:divBdr>
              <w:divsChild>
                <w:div w:id="321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426408">
      <w:bodyDiv w:val="1"/>
      <w:marLeft w:val="0"/>
      <w:marRight w:val="0"/>
      <w:marTop w:val="0"/>
      <w:marBottom w:val="0"/>
      <w:divBdr>
        <w:top w:val="none" w:sz="0" w:space="0" w:color="auto"/>
        <w:left w:val="none" w:sz="0" w:space="0" w:color="auto"/>
        <w:bottom w:val="none" w:sz="0" w:space="0" w:color="auto"/>
        <w:right w:val="none" w:sz="0" w:space="0" w:color="auto"/>
      </w:divBdr>
    </w:div>
    <w:div w:id="1124275541">
      <w:bodyDiv w:val="1"/>
      <w:marLeft w:val="0"/>
      <w:marRight w:val="0"/>
      <w:marTop w:val="0"/>
      <w:marBottom w:val="0"/>
      <w:divBdr>
        <w:top w:val="none" w:sz="0" w:space="0" w:color="auto"/>
        <w:left w:val="none" w:sz="0" w:space="0" w:color="auto"/>
        <w:bottom w:val="none" w:sz="0" w:space="0" w:color="auto"/>
        <w:right w:val="none" w:sz="0" w:space="0" w:color="auto"/>
      </w:divBdr>
      <w:divsChild>
        <w:div w:id="1461070032">
          <w:marLeft w:val="0"/>
          <w:marRight w:val="0"/>
          <w:marTop w:val="0"/>
          <w:marBottom w:val="0"/>
          <w:divBdr>
            <w:top w:val="none" w:sz="0" w:space="0" w:color="auto"/>
            <w:left w:val="none" w:sz="0" w:space="0" w:color="auto"/>
            <w:bottom w:val="none" w:sz="0" w:space="0" w:color="auto"/>
            <w:right w:val="none" w:sz="0" w:space="0" w:color="auto"/>
          </w:divBdr>
          <w:divsChild>
            <w:div w:id="1860390873">
              <w:marLeft w:val="0"/>
              <w:marRight w:val="0"/>
              <w:marTop w:val="0"/>
              <w:marBottom w:val="0"/>
              <w:divBdr>
                <w:top w:val="none" w:sz="0" w:space="0" w:color="auto"/>
                <w:left w:val="none" w:sz="0" w:space="0" w:color="auto"/>
                <w:bottom w:val="none" w:sz="0" w:space="0" w:color="auto"/>
                <w:right w:val="none" w:sz="0" w:space="0" w:color="auto"/>
              </w:divBdr>
              <w:divsChild>
                <w:div w:id="20035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57339">
      <w:bodyDiv w:val="1"/>
      <w:marLeft w:val="0"/>
      <w:marRight w:val="0"/>
      <w:marTop w:val="0"/>
      <w:marBottom w:val="0"/>
      <w:divBdr>
        <w:top w:val="none" w:sz="0" w:space="0" w:color="auto"/>
        <w:left w:val="none" w:sz="0" w:space="0" w:color="auto"/>
        <w:bottom w:val="none" w:sz="0" w:space="0" w:color="auto"/>
        <w:right w:val="none" w:sz="0" w:space="0" w:color="auto"/>
      </w:divBdr>
    </w:div>
    <w:div w:id="1154684877">
      <w:bodyDiv w:val="1"/>
      <w:marLeft w:val="0"/>
      <w:marRight w:val="0"/>
      <w:marTop w:val="0"/>
      <w:marBottom w:val="0"/>
      <w:divBdr>
        <w:top w:val="none" w:sz="0" w:space="0" w:color="auto"/>
        <w:left w:val="none" w:sz="0" w:space="0" w:color="auto"/>
        <w:bottom w:val="none" w:sz="0" w:space="0" w:color="auto"/>
        <w:right w:val="none" w:sz="0" w:space="0" w:color="auto"/>
      </w:divBdr>
    </w:div>
    <w:div w:id="1188763141">
      <w:bodyDiv w:val="1"/>
      <w:marLeft w:val="0"/>
      <w:marRight w:val="0"/>
      <w:marTop w:val="0"/>
      <w:marBottom w:val="0"/>
      <w:divBdr>
        <w:top w:val="none" w:sz="0" w:space="0" w:color="auto"/>
        <w:left w:val="none" w:sz="0" w:space="0" w:color="auto"/>
        <w:bottom w:val="none" w:sz="0" w:space="0" w:color="auto"/>
        <w:right w:val="none" w:sz="0" w:space="0" w:color="auto"/>
      </w:divBdr>
    </w:div>
    <w:div w:id="1197037792">
      <w:bodyDiv w:val="1"/>
      <w:marLeft w:val="0"/>
      <w:marRight w:val="0"/>
      <w:marTop w:val="0"/>
      <w:marBottom w:val="0"/>
      <w:divBdr>
        <w:top w:val="none" w:sz="0" w:space="0" w:color="auto"/>
        <w:left w:val="none" w:sz="0" w:space="0" w:color="auto"/>
        <w:bottom w:val="none" w:sz="0" w:space="0" w:color="auto"/>
        <w:right w:val="none" w:sz="0" w:space="0" w:color="auto"/>
      </w:divBdr>
      <w:divsChild>
        <w:div w:id="1816408483">
          <w:marLeft w:val="0"/>
          <w:marRight w:val="0"/>
          <w:marTop w:val="0"/>
          <w:marBottom w:val="0"/>
          <w:divBdr>
            <w:top w:val="none" w:sz="0" w:space="0" w:color="auto"/>
            <w:left w:val="none" w:sz="0" w:space="0" w:color="auto"/>
            <w:bottom w:val="none" w:sz="0" w:space="0" w:color="auto"/>
            <w:right w:val="none" w:sz="0" w:space="0" w:color="auto"/>
          </w:divBdr>
          <w:divsChild>
            <w:div w:id="906652215">
              <w:marLeft w:val="0"/>
              <w:marRight w:val="0"/>
              <w:marTop w:val="0"/>
              <w:marBottom w:val="0"/>
              <w:divBdr>
                <w:top w:val="none" w:sz="0" w:space="0" w:color="auto"/>
                <w:left w:val="none" w:sz="0" w:space="0" w:color="auto"/>
                <w:bottom w:val="none" w:sz="0" w:space="0" w:color="auto"/>
                <w:right w:val="none" w:sz="0" w:space="0" w:color="auto"/>
              </w:divBdr>
              <w:divsChild>
                <w:div w:id="6260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28328">
      <w:bodyDiv w:val="1"/>
      <w:marLeft w:val="0"/>
      <w:marRight w:val="0"/>
      <w:marTop w:val="0"/>
      <w:marBottom w:val="0"/>
      <w:divBdr>
        <w:top w:val="none" w:sz="0" w:space="0" w:color="auto"/>
        <w:left w:val="none" w:sz="0" w:space="0" w:color="auto"/>
        <w:bottom w:val="none" w:sz="0" w:space="0" w:color="auto"/>
        <w:right w:val="none" w:sz="0" w:space="0" w:color="auto"/>
      </w:divBdr>
    </w:div>
    <w:div w:id="1227834622">
      <w:bodyDiv w:val="1"/>
      <w:marLeft w:val="0"/>
      <w:marRight w:val="0"/>
      <w:marTop w:val="0"/>
      <w:marBottom w:val="0"/>
      <w:divBdr>
        <w:top w:val="none" w:sz="0" w:space="0" w:color="auto"/>
        <w:left w:val="none" w:sz="0" w:space="0" w:color="auto"/>
        <w:bottom w:val="none" w:sz="0" w:space="0" w:color="auto"/>
        <w:right w:val="none" w:sz="0" w:space="0" w:color="auto"/>
      </w:divBdr>
    </w:div>
    <w:div w:id="1234858017">
      <w:bodyDiv w:val="1"/>
      <w:marLeft w:val="0"/>
      <w:marRight w:val="0"/>
      <w:marTop w:val="0"/>
      <w:marBottom w:val="0"/>
      <w:divBdr>
        <w:top w:val="none" w:sz="0" w:space="0" w:color="auto"/>
        <w:left w:val="none" w:sz="0" w:space="0" w:color="auto"/>
        <w:bottom w:val="none" w:sz="0" w:space="0" w:color="auto"/>
        <w:right w:val="none" w:sz="0" w:space="0" w:color="auto"/>
      </w:divBdr>
    </w:div>
    <w:div w:id="1241328051">
      <w:bodyDiv w:val="1"/>
      <w:marLeft w:val="0"/>
      <w:marRight w:val="0"/>
      <w:marTop w:val="0"/>
      <w:marBottom w:val="0"/>
      <w:divBdr>
        <w:top w:val="none" w:sz="0" w:space="0" w:color="auto"/>
        <w:left w:val="none" w:sz="0" w:space="0" w:color="auto"/>
        <w:bottom w:val="none" w:sz="0" w:space="0" w:color="auto"/>
        <w:right w:val="none" w:sz="0" w:space="0" w:color="auto"/>
      </w:divBdr>
    </w:div>
    <w:div w:id="1251811155">
      <w:bodyDiv w:val="1"/>
      <w:marLeft w:val="0"/>
      <w:marRight w:val="0"/>
      <w:marTop w:val="0"/>
      <w:marBottom w:val="0"/>
      <w:divBdr>
        <w:top w:val="none" w:sz="0" w:space="0" w:color="auto"/>
        <w:left w:val="none" w:sz="0" w:space="0" w:color="auto"/>
        <w:bottom w:val="none" w:sz="0" w:space="0" w:color="auto"/>
        <w:right w:val="none" w:sz="0" w:space="0" w:color="auto"/>
      </w:divBdr>
    </w:div>
    <w:div w:id="1269124071">
      <w:bodyDiv w:val="1"/>
      <w:marLeft w:val="0"/>
      <w:marRight w:val="0"/>
      <w:marTop w:val="0"/>
      <w:marBottom w:val="0"/>
      <w:divBdr>
        <w:top w:val="none" w:sz="0" w:space="0" w:color="auto"/>
        <w:left w:val="none" w:sz="0" w:space="0" w:color="auto"/>
        <w:bottom w:val="none" w:sz="0" w:space="0" w:color="auto"/>
        <w:right w:val="none" w:sz="0" w:space="0" w:color="auto"/>
      </w:divBdr>
    </w:div>
    <w:div w:id="1280525987">
      <w:bodyDiv w:val="1"/>
      <w:marLeft w:val="0"/>
      <w:marRight w:val="0"/>
      <w:marTop w:val="0"/>
      <w:marBottom w:val="0"/>
      <w:divBdr>
        <w:top w:val="none" w:sz="0" w:space="0" w:color="auto"/>
        <w:left w:val="none" w:sz="0" w:space="0" w:color="auto"/>
        <w:bottom w:val="none" w:sz="0" w:space="0" w:color="auto"/>
        <w:right w:val="none" w:sz="0" w:space="0" w:color="auto"/>
      </w:divBdr>
    </w:div>
    <w:div w:id="1283462156">
      <w:bodyDiv w:val="1"/>
      <w:marLeft w:val="0"/>
      <w:marRight w:val="0"/>
      <w:marTop w:val="0"/>
      <w:marBottom w:val="0"/>
      <w:divBdr>
        <w:top w:val="none" w:sz="0" w:space="0" w:color="auto"/>
        <w:left w:val="none" w:sz="0" w:space="0" w:color="auto"/>
        <w:bottom w:val="none" w:sz="0" w:space="0" w:color="auto"/>
        <w:right w:val="none" w:sz="0" w:space="0" w:color="auto"/>
      </w:divBdr>
    </w:div>
    <w:div w:id="1284192977">
      <w:bodyDiv w:val="1"/>
      <w:marLeft w:val="0"/>
      <w:marRight w:val="0"/>
      <w:marTop w:val="0"/>
      <w:marBottom w:val="0"/>
      <w:divBdr>
        <w:top w:val="none" w:sz="0" w:space="0" w:color="auto"/>
        <w:left w:val="none" w:sz="0" w:space="0" w:color="auto"/>
        <w:bottom w:val="none" w:sz="0" w:space="0" w:color="auto"/>
        <w:right w:val="none" w:sz="0" w:space="0" w:color="auto"/>
      </w:divBdr>
    </w:div>
    <w:div w:id="1314406877">
      <w:bodyDiv w:val="1"/>
      <w:marLeft w:val="0"/>
      <w:marRight w:val="0"/>
      <w:marTop w:val="0"/>
      <w:marBottom w:val="0"/>
      <w:divBdr>
        <w:top w:val="none" w:sz="0" w:space="0" w:color="auto"/>
        <w:left w:val="none" w:sz="0" w:space="0" w:color="auto"/>
        <w:bottom w:val="none" w:sz="0" w:space="0" w:color="auto"/>
        <w:right w:val="none" w:sz="0" w:space="0" w:color="auto"/>
      </w:divBdr>
    </w:div>
    <w:div w:id="1328678126">
      <w:bodyDiv w:val="1"/>
      <w:marLeft w:val="0"/>
      <w:marRight w:val="0"/>
      <w:marTop w:val="0"/>
      <w:marBottom w:val="0"/>
      <w:divBdr>
        <w:top w:val="none" w:sz="0" w:space="0" w:color="auto"/>
        <w:left w:val="none" w:sz="0" w:space="0" w:color="auto"/>
        <w:bottom w:val="none" w:sz="0" w:space="0" w:color="auto"/>
        <w:right w:val="none" w:sz="0" w:space="0" w:color="auto"/>
      </w:divBdr>
    </w:div>
    <w:div w:id="1335497707">
      <w:bodyDiv w:val="1"/>
      <w:marLeft w:val="0"/>
      <w:marRight w:val="0"/>
      <w:marTop w:val="0"/>
      <w:marBottom w:val="0"/>
      <w:divBdr>
        <w:top w:val="none" w:sz="0" w:space="0" w:color="auto"/>
        <w:left w:val="none" w:sz="0" w:space="0" w:color="auto"/>
        <w:bottom w:val="none" w:sz="0" w:space="0" w:color="auto"/>
        <w:right w:val="none" w:sz="0" w:space="0" w:color="auto"/>
      </w:divBdr>
    </w:div>
    <w:div w:id="1335643307">
      <w:bodyDiv w:val="1"/>
      <w:marLeft w:val="0"/>
      <w:marRight w:val="0"/>
      <w:marTop w:val="0"/>
      <w:marBottom w:val="0"/>
      <w:divBdr>
        <w:top w:val="none" w:sz="0" w:space="0" w:color="auto"/>
        <w:left w:val="none" w:sz="0" w:space="0" w:color="auto"/>
        <w:bottom w:val="none" w:sz="0" w:space="0" w:color="auto"/>
        <w:right w:val="none" w:sz="0" w:space="0" w:color="auto"/>
      </w:divBdr>
      <w:divsChild>
        <w:div w:id="147670450">
          <w:marLeft w:val="0"/>
          <w:marRight w:val="0"/>
          <w:marTop w:val="0"/>
          <w:marBottom w:val="0"/>
          <w:divBdr>
            <w:top w:val="none" w:sz="0" w:space="0" w:color="auto"/>
            <w:left w:val="none" w:sz="0" w:space="0" w:color="auto"/>
            <w:bottom w:val="none" w:sz="0" w:space="0" w:color="auto"/>
            <w:right w:val="none" w:sz="0" w:space="0" w:color="auto"/>
          </w:divBdr>
          <w:divsChild>
            <w:div w:id="268052159">
              <w:marLeft w:val="0"/>
              <w:marRight w:val="0"/>
              <w:marTop w:val="0"/>
              <w:marBottom w:val="0"/>
              <w:divBdr>
                <w:top w:val="none" w:sz="0" w:space="0" w:color="auto"/>
                <w:left w:val="none" w:sz="0" w:space="0" w:color="auto"/>
                <w:bottom w:val="none" w:sz="0" w:space="0" w:color="auto"/>
                <w:right w:val="none" w:sz="0" w:space="0" w:color="auto"/>
              </w:divBdr>
              <w:divsChild>
                <w:div w:id="69030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474567">
      <w:bodyDiv w:val="1"/>
      <w:marLeft w:val="0"/>
      <w:marRight w:val="0"/>
      <w:marTop w:val="0"/>
      <w:marBottom w:val="0"/>
      <w:divBdr>
        <w:top w:val="none" w:sz="0" w:space="0" w:color="auto"/>
        <w:left w:val="none" w:sz="0" w:space="0" w:color="auto"/>
        <w:bottom w:val="none" w:sz="0" w:space="0" w:color="auto"/>
        <w:right w:val="none" w:sz="0" w:space="0" w:color="auto"/>
      </w:divBdr>
    </w:div>
    <w:div w:id="1395665991">
      <w:bodyDiv w:val="1"/>
      <w:marLeft w:val="0"/>
      <w:marRight w:val="0"/>
      <w:marTop w:val="0"/>
      <w:marBottom w:val="0"/>
      <w:divBdr>
        <w:top w:val="none" w:sz="0" w:space="0" w:color="auto"/>
        <w:left w:val="none" w:sz="0" w:space="0" w:color="auto"/>
        <w:bottom w:val="none" w:sz="0" w:space="0" w:color="auto"/>
        <w:right w:val="none" w:sz="0" w:space="0" w:color="auto"/>
      </w:divBdr>
      <w:divsChild>
        <w:div w:id="746998801">
          <w:marLeft w:val="0"/>
          <w:marRight w:val="0"/>
          <w:marTop w:val="0"/>
          <w:marBottom w:val="0"/>
          <w:divBdr>
            <w:top w:val="none" w:sz="0" w:space="0" w:color="auto"/>
            <w:left w:val="none" w:sz="0" w:space="0" w:color="auto"/>
            <w:bottom w:val="none" w:sz="0" w:space="0" w:color="auto"/>
            <w:right w:val="none" w:sz="0" w:space="0" w:color="auto"/>
          </w:divBdr>
          <w:divsChild>
            <w:div w:id="1829246742">
              <w:marLeft w:val="0"/>
              <w:marRight w:val="0"/>
              <w:marTop w:val="0"/>
              <w:marBottom w:val="0"/>
              <w:divBdr>
                <w:top w:val="none" w:sz="0" w:space="0" w:color="auto"/>
                <w:left w:val="none" w:sz="0" w:space="0" w:color="auto"/>
                <w:bottom w:val="none" w:sz="0" w:space="0" w:color="auto"/>
                <w:right w:val="none" w:sz="0" w:space="0" w:color="auto"/>
              </w:divBdr>
              <w:divsChild>
                <w:div w:id="13426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9941">
      <w:bodyDiv w:val="1"/>
      <w:marLeft w:val="0"/>
      <w:marRight w:val="0"/>
      <w:marTop w:val="0"/>
      <w:marBottom w:val="0"/>
      <w:divBdr>
        <w:top w:val="none" w:sz="0" w:space="0" w:color="auto"/>
        <w:left w:val="none" w:sz="0" w:space="0" w:color="auto"/>
        <w:bottom w:val="none" w:sz="0" w:space="0" w:color="auto"/>
        <w:right w:val="none" w:sz="0" w:space="0" w:color="auto"/>
      </w:divBdr>
    </w:div>
    <w:div w:id="1418094235">
      <w:bodyDiv w:val="1"/>
      <w:marLeft w:val="0"/>
      <w:marRight w:val="0"/>
      <w:marTop w:val="0"/>
      <w:marBottom w:val="0"/>
      <w:divBdr>
        <w:top w:val="none" w:sz="0" w:space="0" w:color="auto"/>
        <w:left w:val="none" w:sz="0" w:space="0" w:color="auto"/>
        <w:bottom w:val="none" w:sz="0" w:space="0" w:color="auto"/>
        <w:right w:val="none" w:sz="0" w:space="0" w:color="auto"/>
      </w:divBdr>
    </w:div>
    <w:div w:id="1418139511">
      <w:bodyDiv w:val="1"/>
      <w:marLeft w:val="0"/>
      <w:marRight w:val="0"/>
      <w:marTop w:val="0"/>
      <w:marBottom w:val="0"/>
      <w:divBdr>
        <w:top w:val="none" w:sz="0" w:space="0" w:color="auto"/>
        <w:left w:val="none" w:sz="0" w:space="0" w:color="auto"/>
        <w:bottom w:val="none" w:sz="0" w:space="0" w:color="auto"/>
        <w:right w:val="none" w:sz="0" w:space="0" w:color="auto"/>
      </w:divBdr>
    </w:div>
    <w:div w:id="1418289536">
      <w:bodyDiv w:val="1"/>
      <w:marLeft w:val="0"/>
      <w:marRight w:val="0"/>
      <w:marTop w:val="0"/>
      <w:marBottom w:val="0"/>
      <w:divBdr>
        <w:top w:val="none" w:sz="0" w:space="0" w:color="auto"/>
        <w:left w:val="none" w:sz="0" w:space="0" w:color="auto"/>
        <w:bottom w:val="none" w:sz="0" w:space="0" w:color="auto"/>
        <w:right w:val="none" w:sz="0" w:space="0" w:color="auto"/>
      </w:divBdr>
    </w:div>
    <w:div w:id="1426265935">
      <w:bodyDiv w:val="1"/>
      <w:marLeft w:val="0"/>
      <w:marRight w:val="0"/>
      <w:marTop w:val="0"/>
      <w:marBottom w:val="0"/>
      <w:divBdr>
        <w:top w:val="none" w:sz="0" w:space="0" w:color="auto"/>
        <w:left w:val="none" w:sz="0" w:space="0" w:color="auto"/>
        <w:bottom w:val="none" w:sz="0" w:space="0" w:color="auto"/>
        <w:right w:val="none" w:sz="0" w:space="0" w:color="auto"/>
      </w:divBdr>
    </w:div>
    <w:div w:id="1465780362">
      <w:bodyDiv w:val="1"/>
      <w:marLeft w:val="0"/>
      <w:marRight w:val="0"/>
      <w:marTop w:val="0"/>
      <w:marBottom w:val="0"/>
      <w:divBdr>
        <w:top w:val="none" w:sz="0" w:space="0" w:color="auto"/>
        <w:left w:val="none" w:sz="0" w:space="0" w:color="auto"/>
        <w:bottom w:val="none" w:sz="0" w:space="0" w:color="auto"/>
        <w:right w:val="none" w:sz="0" w:space="0" w:color="auto"/>
      </w:divBdr>
    </w:div>
    <w:div w:id="1478109294">
      <w:bodyDiv w:val="1"/>
      <w:marLeft w:val="0"/>
      <w:marRight w:val="0"/>
      <w:marTop w:val="0"/>
      <w:marBottom w:val="0"/>
      <w:divBdr>
        <w:top w:val="none" w:sz="0" w:space="0" w:color="auto"/>
        <w:left w:val="none" w:sz="0" w:space="0" w:color="auto"/>
        <w:bottom w:val="none" w:sz="0" w:space="0" w:color="auto"/>
        <w:right w:val="none" w:sz="0" w:space="0" w:color="auto"/>
      </w:divBdr>
    </w:div>
    <w:div w:id="1484004808">
      <w:bodyDiv w:val="1"/>
      <w:marLeft w:val="0"/>
      <w:marRight w:val="0"/>
      <w:marTop w:val="0"/>
      <w:marBottom w:val="0"/>
      <w:divBdr>
        <w:top w:val="none" w:sz="0" w:space="0" w:color="auto"/>
        <w:left w:val="none" w:sz="0" w:space="0" w:color="auto"/>
        <w:bottom w:val="none" w:sz="0" w:space="0" w:color="auto"/>
        <w:right w:val="none" w:sz="0" w:space="0" w:color="auto"/>
      </w:divBdr>
    </w:div>
    <w:div w:id="1485513520">
      <w:bodyDiv w:val="1"/>
      <w:marLeft w:val="0"/>
      <w:marRight w:val="0"/>
      <w:marTop w:val="0"/>
      <w:marBottom w:val="0"/>
      <w:divBdr>
        <w:top w:val="none" w:sz="0" w:space="0" w:color="auto"/>
        <w:left w:val="none" w:sz="0" w:space="0" w:color="auto"/>
        <w:bottom w:val="none" w:sz="0" w:space="0" w:color="auto"/>
        <w:right w:val="none" w:sz="0" w:space="0" w:color="auto"/>
      </w:divBdr>
    </w:div>
    <w:div w:id="1539853630">
      <w:bodyDiv w:val="1"/>
      <w:marLeft w:val="0"/>
      <w:marRight w:val="0"/>
      <w:marTop w:val="0"/>
      <w:marBottom w:val="0"/>
      <w:divBdr>
        <w:top w:val="none" w:sz="0" w:space="0" w:color="auto"/>
        <w:left w:val="none" w:sz="0" w:space="0" w:color="auto"/>
        <w:bottom w:val="none" w:sz="0" w:space="0" w:color="auto"/>
        <w:right w:val="none" w:sz="0" w:space="0" w:color="auto"/>
      </w:divBdr>
      <w:divsChild>
        <w:div w:id="968701621">
          <w:marLeft w:val="0"/>
          <w:marRight w:val="0"/>
          <w:marTop w:val="0"/>
          <w:marBottom w:val="0"/>
          <w:divBdr>
            <w:top w:val="none" w:sz="0" w:space="0" w:color="auto"/>
            <w:left w:val="none" w:sz="0" w:space="0" w:color="auto"/>
            <w:bottom w:val="none" w:sz="0" w:space="0" w:color="auto"/>
            <w:right w:val="none" w:sz="0" w:space="0" w:color="auto"/>
          </w:divBdr>
          <w:divsChild>
            <w:div w:id="421994323">
              <w:marLeft w:val="0"/>
              <w:marRight w:val="0"/>
              <w:marTop w:val="0"/>
              <w:marBottom w:val="0"/>
              <w:divBdr>
                <w:top w:val="none" w:sz="0" w:space="0" w:color="auto"/>
                <w:left w:val="none" w:sz="0" w:space="0" w:color="auto"/>
                <w:bottom w:val="none" w:sz="0" w:space="0" w:color="auto"/>
                <w:right w:val="none" w:sz="0" w:space="0" w:color="auto"/>
              </w:divBdr>
              <w:divsChild>
                <w:div w:id="17434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240">
      <w:bodyDiv w:val="1"/>
      <w:marLeft w:val="0"/>
      <w:marRight w:val="0"/>
      <w:marTop w:val="0"/>
      <w:marBottom w:val="0"/>
      <w:divBdr>
        <w:top w:val="none" w:sz="0" w:space="0" w:color="auto"/>
        <w:left w:val="none" w:sz="0" w:space="0" w:color="auto"/>
        <w:bottom w:val="none" w:sz="0" w:space="0" w:color="auto"/>
        <w:right w:val="none" w:sz="0" w:space="0" w:color="auto"/>
      </w:divBdr>
      <w:divsChild>
        <w:div w:id="565379856">
          <w:marLeft w:val="0"/>
          <w:marRight w:val="0"/>
          <w:marTop w:val="0"/>
          <w:marBottom w:val="0"/>
          <w:divBdr>
            <w:top w:val="none" w:sz="0" w:space="0" w:color="auto"/>
            <w:left w:val="none" w:sz="0" w:space="0" w:color="auto"/>
            <w:bottom w:val="none" w:sz="0" w:space="0" w:color="auto"/>
            <w:right w:val="none" w:sz="0" w:space="0" w:color="auto"/>
          </w:divBdr>
          <w:divsChild>
            <w:div w:id="1574967172">
              <w:marLeft w:val="0"/>
              <w:marRight w:val="0"/>
              <w:marTop w:val="0"/>
              <w:marBottom w:val="0"/>
              <w:divBdr>
                <w:top w:val="none" w:sz="0" w:space="0" w:color="auto"/>
                <w:left w:val="none" w:sz="0" w:space="0" w:color="auto"/>
                <w:bottom w:val="none" w:sz="0" w:space="0" w:color="auto"/>
                <w:right w:val="none" w:sz="0" w:space="0" w:color="auto"/>
              </w:divBdr>
              <w:divsChild>
                <w:div w:id="35488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45691">
          <w:marLeft w:val="0"/>
          <w:marRight w:val="0"/>
          <w:marTop w:val="0"/>
          <w:marBottom w:val="0"/>
          <w:divBdr>
            <w:top w:val="none" w:sz="0" w:space="0" w:color="auto"/>
            <w:left w:val="none" w:sz="0" w:space="0" w:color="auto"/>
            <w:bottom w:val="none" w:sz="0" w:space="0" w:color="auto"/>
            <w:right w:val="none" w:sz="0" w:space="0" w:color="auto"/>
          </w:divBdr>
          <w:divsChild>
            <w:div w:id="519320784">
              <w:marLeft w:val="0"/>
              <w:marRight w:val="0"/>
              <w:marTop w:val="0"/>
              <w:marBottom w:val="0"/>
              <w:divBdr>
                <w:top w:val="none" w:sz="0" w:space="0" w:color="auto"/>
                <w:left w:val="none" w:sz="0" w:space="0" w:color="auto"/>
                <w:bottom w:val="none" w:sz="0" w:space="0" w:color="auto"/>
                <w:right w:val="none" w:sz="0" w:space="0" w:color="auto"/>
              </w:divBdr>
              <w:divsChild>
                <w:div w:id="2046369214">
                  <w:marLeft w:val="0"/>
                  <w:marRight w:val="0"/>
                  <w:marTop w:val="0"/>
                  <w:marBottom w:val="0"/>
                  <w:divBdr>
                    <w:top w:val="none" w:sz="0" w:space="0" w:color="auto"/>
                    <w:left w:val="none" w:sz="0" w:space="0" w:color="auto"/>
                    <w:bottom w:val="none" w:sz="0" w:space="0" w:color="auto"/>
                    <w:right w:val="none" w:sz="0" w:space="0" w:color="auto"/>
                  </w:divBdr>
                </w:div>
              </w:divsChild>
            </w:div>
            <w:div w:id="101462966">
              <w:marLeft w:val="0"/>
              <w:marRight w:val="0"/>
              <w:marTop w:val="0"/>
              <w:marBottom w:val="0"/>
              <w:divBdr>
                <w:top w:val="none" w:sz="0" w:space="0" w:color="auto"/>
                <w:left w:val="none" w:sz="0" w:space="0" w:color="auto"/>
                <w:bottom w:val="none" w:sz="0" w:space="0" w:color="auto"/>
                <w:right w:val="none" w:sz="0" w:space="0" w:color="auto"/>
              </w:divBdr>
              <w:divsChild>
                <w:div w:id="7657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567610">
      <w:bodyDiv w:val="1"/>
      <w:marLeft w:val="0"/>
      <w:marRight w:val="0"/>
      <w:marTop w:val="0"/>
      <w:marBottom w:val="0"/>
      <w:divBdr>
        <w:top w:val="none" w:sz="0" w:space="0" w:color="auto"/>
        <w:left w:val="none" w:sz="0" w:space="0" w:color="auto"/>
        <w:bottom w:val="none" w:sz="0" w:space="0" w:color="auto"/>
        <w:right w:val="none" w:sz="0" w:space="0" w:color="auto"/>
      </w:divBdr>
    </w:div>
    <w:div w:id="1584876710">
      <w:bodyDiv w:val="1"/>
      <w:marLeft w:val="0"/>
      <w:marRight w:val="0"/>
      <w:marTop w:val="0"/>
      <w:marBottom w:val="0"/>
      <w:divBdr>
        <w:top w:val="none" w:sz="0" w:space="0" w:color="auto"/>
        <w:left w:val="none" w:sz="0" w:space="0" w:color="auto"/>
        <w:bottom w:val="none" w:sz="0" w:space="0" w:color="auto"/>
        <w:right w:val="none" w:sz="0" w:space="0" w:color="auto"/>
      </w:divBdr>
    </w:div>
    <w:div w:id="1588533027">
      <w:bodyDiv w:val="1"/>
      <w:marLeft w:val="0"/>
      <w:marRight w:val="0"/>
      <w:marTop w:val="0"/>
      <w:marBottom w:val="0"/>
      <w:divBdr>
        <w:top w:val="none" w:sz="0" w:space="0" w:color="auto"/>
        <w:left w:val="none" w:sz="0" w:space="0" w:color="auto"/>
        <w:bottom w:val="none" w:sz="0" w:space="0" w:color="auto"/>
        <w:right w:val="none" w:sz="0" w:space="0" w:color="auto"/>
      </w:divBdr>
    </w:div>
    <w:div w:id="1594510412">
      <w:bodyDiv w:val="1"/>
      <w:marLeft w:val="0"/>
      <w:marRight w:val="0"/>
      <w:marTop w:val="0"/>
      <w:marBottom w:val="0"/>
      <w:divBdr>
        <w:top w:val="none" w:sz="0" w:space="0" w:color="auto"/>
        <w:left w:val="none" w:sz="0" w:space="0" w:color="auto"/>
        <w:bottom w:val="none" w:sz="0" w:space="0" w:color="auto"/>
        <w:right w:val="none" w:sz="0" w:space="0" w:color="auto"/>
      </w:divBdr>
    </w:div>
    <w:div w:id="1594974455">
      <w:bodyDiv w:val="1"/>
      <w:marLeft w:val="0"/>
      <w:marRight w:val="0"/>
      <w:marTop w:val="0"/>
      <w:marBottom w:val="0"/>
      <w:divBdr>
        <w:top w:val="none" w:sz="0" w:space="0" w:color="auto"/>
        <w:left w:val="none" w:sz="0" w:space="0" w:color="auto"/>
        <w:bottom w:val="none" w:sz="0" w:space="0" w:color="auto"/>
        <w:right w:val="none" w:sz="0" w:space="0" w:color="auto"/>
      </w:divBdr>
      <w:divsChild>
        <w:div w:id="234165022">
          <w:marLeft w:val="0"/>
          <w:marRight w:val="0"/>
          <w:marTop w:val="0"/>
          <w:marBottom w:val="0"/>
          <w:divBdr>
            <w:top w:val="none" w:sz="0" w:space="0" w:color="auto"/>
            <w:left w:val="none" w:sz="0" w:space="0" w:color="auto"/>
            <w:bottom w:val="none" w:sz="0" w:space="0" w:color="auto"/>
            <w:right w:val="none" w:sz="0" w:space="0" w:color="auto"/>
          </w:divBdr>
          <w:divsChild>
            <w:div w:id="1637950924">
              <w:marLeft w:val="0"/>
              <w:marRight w:val="0"/>
              <w:marTop w:val="0"/>
              <w:marBottom w:val="0"/>
              <w:divBdr>
                <w:top w:val="none" w:sz="0" w:space="0" w:color="auto"/>
                <w:left w:val="none" w:sz="0" w:space="0" w:color="auto"/>
                <w:bottom w:val="none" w:sz="0" w:space="0" w:color="auto"/>
                <w:right w:val="none" w:sz="0" w:space="0" w:color="auto"/>
              </w:divBdr>
              <w:divsChild>
                <w:div w:id="12624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7233">
          <w:marLeft w:val="0"/>
          <w:marRight w:val="0"/>
          <w:marTop w:val="0"/>
          <w:marBottom w:val="0"/>
          <w:divBdr>
            <w:top w:val="none" w:sz="0" w:space="0" w:color="auto"/>
            <w:left w:val="none" w:sz="0" w:space="0" w:color="auto"/>
            <w:bottom w:val="none" w:sz="0" w:space="0" w:color="auto"/>
            <w:right w:val="none" w:sz="0" w:space="0" w:color="auto"/>
          </w:divBdr>
          <w:divsChild>
            <w:div w:id="2032486057">
              <w:marLeft w:val="0"/>
              <w:marRight w:val="0"/>
              <w:marTop w:val="0"/>
              <w:marBottom w:val="0"/>
              <w:divBdr>
                <w:top w:val="none" w:sz="0" w:space="0" w:color="auto"/>
                <w:left w:val="none" w:sz="0" w:space="0" w:color="auto"/>
                <w:bottom w:val="none" w:sz="0" w:space="0" w:color="auto"/>
                <w:right w:val="none" w:sz="0" w:space="0" w:color="auto"/>
              </w:divBdr>
              <w:divsChild>
                <w:div w:id="1876186801">
                  <w:marLeft w:val="0"/>
                  <w:marRight w:val="0"/>
                  <w:marTop w:val="0"/>
                  <w:marBottom w:val="0"/>
                  <w:divBdr>
                    <w:top w:val="none" w:sz="0" w:space="0" w:color="auto"/>
                    <w:left w:val="none" w:sz="0" w:space="0" w:color="auto"/>
                    <w:bottom w:val="none" w:sz="0" w:space="0" w:color="auto"/>
                    <w:right w:val="none" w:sz="0" w:space="0" w:color="auto"/>
                  </w:divBdr>
                </w:div>
              </w:divsChild>
            </w:div>
            <w:div w:id="90586253">
              <w:marLeft w:val="0"/>
              <w:marRight w:val="0"/>
              <w:marTop w:val="0"/>
              <w:marBottom w:val="0"/>
              <w:divBdr>
                <w:top w:val="none" w:sz="0" w:space="0" w:color="auto"/>
                <w:left w:val="none" w:sz="0" w:space="0" w:color="auto"/>
                <w:bottom w:val="none" w:sz="0" w:space="0" w:color="auto"/>
                <w:right w:val="none" w:sz="0" w:space="0" w:color="auto"/>
              </w:divBdr>
              <w:divsChild>
                <w:div w:id="16626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478">
      <w:bodyDiv w:val="1"/>
      <w:marLeft w:val="0"/>
      <w:marRight w:val="0"/>
      <w:marTop w:val="0"/>
      <w:marBottom w:val="0"/>
      <w:divBdr>
        <w:top w:val="none" w:sz="0" w:space="0" w:color="auto"/>
        <w:left w:val="none" w:sz="0" w:space="0" w:color="auto"/>
        <w:bottom w:val="none" w:sz="0" w:space="0" w:color="auto"/>
        <w:right w:val="none" w:sz="0" w:space="0" w:color="auto"/>
      </w:divBdr>
    </w:div>
    <w:div w:id="1632393938">
      <w:bodyDiv w:val="1"/>
      <w:marLeft w:val="0"/>
      <w:marRight w:val="0"/>
      <w:marTop w:val="0"/>
      <w:marBottom w:val="0"/>
      <w:divBdr>
        <w:top w:val="none" w:sz="0" w:space="0" w:color="auto"/>
        <w:left w:val="none" w:sz="0" w:space="0" w:color="auto"/>
        <w:bottom w:val="none" w:sz="0" w:space="0" w:color="auto"/>
        <w:right w:val="none" w:sz="0" w:space="0" w:color="auto"/>
      </w:divBdr>
    </w:div>
    <w:div w:id="1660841989">
      <w:bodyDiv w:val="1"/>
      <w:marLeft w:val="0"/>
      <w:marRight w:val="0"/>
      <w:marTop w:val="0"/>
      <w:marBottom w:val="0"/>
      <w:divBdr>
        <w:top w:val="none" w:sz="0" w:space="0" w:color="auto"/>
        <w:left w:val="none" w:sz="0" w:space="0" w:color="auto"/>
        <w:bottom w:val="none" w:sz="0" w:space="0" w:color="auto"/>
        <w:right w:val="none" w:sz="0" w:space="0" w:color="auto"/>
      </w:divBdr>
    </w:div>
    <w:div w:id="1701935845">
      <w:bodyDiv w:val="1"/>
      <w:marLeft w:val="0"/>
      <w:marRight w:val="0"/>
      <w:marTop w:val="0"/>
      <w:marBottom w:val="0"/>
      <w:divBdr>
        <w:top w:val="none" w:sz="0" w:space="0" w:color="auto"/>
        <w:left w:val="none" w:sz="0" w:space="0" w:color="auto"/>
        <w:bottom w:val="none" w:sz="0" w:space="0" w:color="auto"/>
        <w:right w:val="none" w:sz="0" w:space="0" w:color="auto"/>
      </w:divBdr>
    </w:div>
    <w:div w:id="1709259153">
      <w:bodyDiv w:val="1"/>
      <w:marLeft w:val="0"/>
      <w:marRight w:val="0"/>
      <w:marTop w:val="0"/>
      <w:marBottom w:val="0"/>
      <w:divBdr>
        <w:top w:val="none" w:sz="0" w:space="0" w:color="auto"/>
        <w:left w:val="none" w:sz="0" w:space="0" w:color="auto"/>
        <w:bottom w:val="none" w:sz="0" w:space="0" w:color="auto"/>
        <w:right w:val="none" w:sz="0" w:space="0" w:color="auto"/>
      </w:divBdr>
    </w:div>
    <w:div w:id="1723403966">
      <w:bodyDiv w:val="1"/>
      <w:marLeft w:val="0"/>
      <w:marRight w:val="0"/>
      <w:marTop w:val="0"/>
      <w:marBottom w:val="0"/>
      <w:divBdr>
        <w:top w:val="none" w:sz="0" w:space="0" w:color="auto"/>
        <w:left w:val="none" w:sz="0" w:space="0" w:color="auto"/>
        <w:bottom w:val="none" w:sz="0" w:space="0" w:color="auto"/>
        <w:right w:val="none" w:sz="0" w:space="0" w:color="auto"/>
      </w:divBdr>
    </w:div>
    <w:div w:id="1784884540">
      <w:bodyDiv w:val="1"/>
      <w:marLeft w:val="0"/>
      <w:marRight w:val="0"/>
      <w:marTop w:val="0"/>
      <w:marBottom w:val="0"/>
      <w:divBdr>
        <w:top w:val="none" w:sz="0" w:space="0" w:color="auto"/>
        <w:left w:val="none" w:sz="0" w:space="0" w:color="auto"/>
        <w:bottom w:val="none" w:sz="0" w:space="0" w:color="auto"/>
        <w:right w:val="none" w:sz="0" w:space="0" w:color="auto"/>
      </w:divBdr>
    </w:div>
    <w:div w:id="1802579577">
      <w:bodyDiv w:val="1"/>
      <w:marLeft w:val="0"/>
      <w:marRight w:val="0"/>
      <w:marTop w:val="0"/>
      <w:marBottom w:val="0"/>
      <w:divBdr>
        <w:top w:val="none" w:sz="0" w:space="0" w:color="auto"/>
        <w:left w:val="none" w:sz="0" w:space="0" w:color="auto"/>
        <w:bottom w:val="none" w:sz="0" w:space="0" w:color="auto"/>
        <w:right w:val="none" w:sz="0" w:space="0" w:color="auto"/>
      </w:divBdr>
    </w:div>
    <w:div w:id="1859153930">
      <w:bodyDiv w:val="1"/>
      <w:marLeft w:val="0"/>
      <w:marRight w:val="0"/>
      <w:marTop w:val="0"/>
      <w:marBottom w:val="0"/>
      <w:divBdr>
        <w:top w:val="none" w:sz="0" w:space="0" w:color="auto"/>
        <w:left w:val="none" w:sz="0" w:space="0" w:color="auto"/>
        <w:bottom w:val="none" w:sz="0" w:space="0" w:color="auto"/>
        <w:right w:val="none" w:sz="0" w:space="0" w:color="auto"/>
      </w:divBdr>
    </w:div>
    <w:div w:id="1861894529">
      <w:bodyDiv w:val="1"/>
      <w:marLeft w:val="0"/>
      <w:marRight w:val="0"/>
      <w:marTop w:val="0"/>
      <w:marBottom w:val="0"/>
      <w:divBdr>
        <w:top w:val="none" w:sz="0" w:space="0" w:color="auto"/>
        <w:left w:val="none" w:sz="0" w:space="0" w:color="auto"/>
        <w:bottom w:val="none" w:sz="0" w:space="0" w:color="auto"/>
        <w:right w:val="none" w:sz="0" w:space="0" w:color="auto"/>
      </w:divBdr>
    </w:div>
    <w:div w:id="1873033779">
      <w:bodyDiv w:val="1"/>
      <w:marLeft w:val="0"/>
      <w:marRight w:val="0"/>
      <w:marTop w:val="0"/>
      <w:marBottom w:val="0"/>
      <w:divBdr>
        <w:top w:val="none" w:sz="0" w:space="0" w:color="auto"/>
        <w:left w:val="none" w:sz="0" w:space="0" w:color="auto"/>
        <w:bottom w:val="none" w:sz="0" w:space="0" w:color="auto"/>
        <w:right w:val="none" w:sz="0" w:space="0" w:color="auto"/>
      </w:divBdr>
      <w:divsChild>
        <w:div w:id="1431272019">
          <w:marLeft w:val="0"/>
          <w:marRight w:val="0"/>
          <w:marTop w:val="0"/>
          <w:marBottom w:val="0"/>
          <w:divBdr>
            <w:top w:val="none" w:sz="0" w:space="0" w:color="auto"/>
            <w:left w:val="none" w:sz="0" w:space="0" w:color="auto"/>
            <w:bottom w:val="none" w:sz="0" w:space="0" w:color="auto"/>
            <w:right w:val="none" w:sz="0" w:space="0" w:color="auto"/>
          </w:divBdr>
          <w:divsChild>
            <w:div w:id="1068503377">
              <w:marLeft w:val="0"/>
              <w:marRight w:val="0"/>
              <w:marTop w:val="0"/>
              <w:marBottom w:val="0"/>
              <w:divBdr>
                <w:top w:val="none" w:sz="0" w:space="0" w:color="auto"/>
                <w:left w:val="none" w:sz="0" w:space="0" w:color="auto"/>
                <w:bottom w:val="none" w:sz="0" w:space="0" w:color="auto"/>
                <w:right w:val="none" w:sz="0" w:space="0" w:color="auto"/>
              </w:divBdr>
              <w:divsChild>
                <w:div w:id="901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1737">
      <w:bodyDiv w:val="1"/>
      <w:marLeft w:val="0"/>
      <w:marRight w:val="0"/>
      <w:marTop w:val="0"/>
      <w:marBottom w:val="0"/>
      <w:divBdr>
        <w:top w:val="none" w:sz="0" w:space="0" w:color="auto"/>
        <w:left w:val="none" w:sz="0" w:space="0" w:color="auto"/>
        <w:bottom w:val="none" w:sz="0" w:space="0" w:color="auto"/>
        <w:right w:val="none" w:sz="0" w:space="0" w:color="auto"/>
      </w:divBdr>
    </w:div>
    <w:div w:id="1899592053">
      <w:bodyDiv w:val="1"/>
      <w:marLeft w:val="0"/>
      <w:marRight w:val="0"/>
      <w:marTop w:val="0"/>
      <w:marBottom w:val="0"/>
      <w:divBdr>
        <w:top w:val="none" w:sz="0" w:space="0" w:color="auto"/>
        <w:left w:val="none" w:sz="0" w:space="0" w:color="auto"/>
        <w:bottom w:val="none" w:sz="0" w:space="0" w:color="auto"/>
        <w:right w:val="none" w:sz="0" w:space="0" w:color="auto"/>
      </w:divBdr>
    </w:div>
    <w:div w:id="1953897825">
      <w:bodyDiv w:val="1"/>
      <w:marLeft w:val="0"/>
      <w:marRight w:val="0"/>
      <w:marTop w:val="0"/>
      <w:marBottom w:val="0"/>
      <w:divBdr>
        <w:top w:val="none" w:sz="0" w:space="0" w:color="auto"/>
        <w:left w:val="none" w:sz="0" w:space="0" w:color="auto"/>
        <w:bottom w:val="none" w:sz="0" w:space="0" w:color="auto"/>
        <w:right w:val="none" w:sz="0" w:space="0" w:color="auto"/>
      </w:divBdr>
      <w:divsChild>
        <w:div w:id="818420687">
          <w:marLeft w:val="0"/>
          <w:marRight w:val="0"/>
          <w:marTop w:val="0"/>
          <w:marBottom w:val="0"/>
          <w:divBdr>
            <w:top w:val="none" w:sz="0" w:space="0" w:color="auto"/>
            <w:left w:val="none" w:sz="0" w:space="0" w:color="auto"/>
            <w:bottom w:val="none" w:sz="0" w:space="0" w:color="auto"/>
            <w:right w:val="none" w:sz="0" w:space="0" w:color="auto"/>
          </w:divBdr>
          <w:divsChild>
            <w:div w:id="227805252">
              <w:marLeft w:val="0"/>
              <w:marRight w:val="0"/>
              <w:marTop w:val="0"/>
              <w:marBottom w:val="0"/>
              <w:divBdr>
                <w:top w:val="none" w:sz="0" w:space="0" w:color="auto"/>
                <w:left w:val="none" w:sz="0" w:space="0" w:color="auto"/>
                <w:bottom w:val="none" w:sz="0" w:space="0" w:color="auto"/>
                <w:right w:val="none" w:sz="0" w:space="0" w:color="auto"/>
              </w:divBdr>
              <w:divsChild>
                <w:div w:id="3974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25889">
      <w:bodyDiv w:val="1"/>
      <w:marLeft w:val="0"/>
      <w:marRight w:val="0"/>
      <w:marTop w:val="0"/>
      <w:marBottom w:val="0"/>
      <w:divBdr>
        <w:top w:val="none" w:sz="0" w:space="0" w:color="auto"/>
        <w:left w:val="none" w:sz="0" w:space="0" w:color="auto"/>
        <w:bottom w:val="none" w:sz="0" w:space="0" w:color="auto"/>
        <w:right w:val="none" w:sz="0" w:space="0" w:color="auto"/>
      </w:divBdr>
    </w:div>
    <w:div w:id="2020545184">
      <w:bodyDiv w:val="1"/>
      <w:marLeft w:val="0"/>
      <w:marRight w:val="0"/>
      <w:marTop w:val="0"/>
      <w:marBottom w:val="0"/>
      <w:divBdr>
        <w:top w:val="none" w:sz="0" w:space="0" w:color="auto"/>
        <w:left w:val="none" w:sz="0" w:space="0" w:color="auto"/>
        <w:bottom w:val="none" w:sz="0" w:space="0" w:color="auto"/>
        <w:right w:val="none" w:sz="0" w:space="0" w:color="auto"/>
      </w:divBdr>
    </w:div>
    <w:div w:id="2028096180">
      <w:bodyDiv w:val="1"/>
      <w:marLeft w:val="0"/>
      <w:marRight w:val="0"/>
      <w:marTop w:val="0"/>
      <w:marBottom w:val="0"/>
      <w:divBdr>
        <w:top w:val="none" w:sz="0" w:space="0" w:color="auto"/>
        <w:left w:val="none" w:sz="0" w:space="0" w:color="auto"/>
        <w:bottom w:val="none" w:sz="0" w:space="0" w:color="auto"/>
        <w:right w:val="none" w:sz="0" w:space="0" w:color="auto"/>
      </w:divBdr>
    </w:div>
    <w:div w:id="2039551206">
      <w:bodyDiv w:val="1"/>
      <w:marLeft w:val="0"/>
      <w:marRight w:val="0"/>
      <w:marTop w:val="0"/>
      <w:marBottom w:val="0"/>
      <w:divBdr>
        <w:top w:val="none" w:sz="0" w:space="0" w:color="auto"/>
        <w:left w:val="none" w:sz="0" w:space="0" w:color="auto"/>
        <w:bottom w:val="none" w:sz="0" w:space="0" w:color="auto"/>
        <w:right w:val="none" w:sz="0" w:space="0" w:color="auto"/>
      </w:divBdr>
      <w:divsChild>
        <w:div w:id="2129932898">
          <w:marLeft w:val="0"/>
          <w:marRight w:val="0"/>
          <w:marTop w:val="0"/>
          <w:marBottom w:val="0"/>
          <w:divBdr>
            <w:top w:val="none" w:sz="0" w:space="0" w:color="auto"/>
            <w:left w:val="none" w:sz="0" w:space="0" w:color="auto"/>
            <w:bottom w:val="none" w:sz="0" w:space="0" w:color="auto"/>
            <w:right w:val="none" w:sz="0" w:space="0" w:color="auto"/>
          </w:divBdr>
          <w:divsChild>
            <w:div w:id="1584989144">
              <w:marLeft w:val="0"/>
              <w:marRight w:val="0"/>
              <w:marTop w:val="0"/>
              <w:marBottom w:val="0"/>
              <w:divBdr>
                <w:top w:val="none" w:sz="0" w:space="0" w:color="auto"/>
                <w:left w:val="none" w:sz="0" w:space="0" w:color="auto"/>
                <w:bottom w:val="none" w:sz="0" w:space="0" w:color="auto"/>
                <w:right w:val="none" w:sz="0" w:space="0" w:color="auto"/>
              </w:divBdr>
              <w:divsChild>
                <w:div w:id="10842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18289">
      <w:bodyDiv w:val="1"/>
      <w:marLeft w:val="0"/>
      <w:marRight w:val="0"/>
      <w:marTop w:val="0"/>
      <w:marBottom w:val="0"/>
      <w:divBdr>
        <w:top w:val="none" w:sz="0" w:space="0" w:color="auto"/>
        <w:left w:val="none" w:sz="0" w:space="0" w:color="auto"/>
        <w:bottom w:val="none" w:sz="0" w:space="0" w:color="auto"/>
        <w:right w:val="none" w:sz="0" w:space="0" w:color="auto"/>
      </w:divBdr>
    </w:div>
    <w:div w:id="2050763229">
      <w:bodyDiv w:val="1"/>
      <w:marLeft w:val="0"/>
      <w:marRight w:val="0"/>
      <w:marTop w:val="0"/>
      <w:marBottom w:val="0"/>
      <w:divBdr>
        <w:top w:val="none" w:sz="0" w:space="0" w:color="auto"/>
        <w:left w:val="none" w:sz="0" w:space="0" w:color="auto"/>
        <w:bottom w:val="none" w:sz="0" w:space="0" w:color="auto"/>
        <w:right w:val="none" w:sz="0" w:space="0" w:color="auto"/>
      </w:divBdr>
    </w:div>
    <w:div w:id="2053186041">
      <w:bodyDiv w:val="1"/>
      <w:marLeft w:val="0"/>
      <w:marRight w:val="0"/>
      <w:marTop w:val="0"/>
      <w:marBottom w:val="0"/>
      <w:divBdr>
        <w:top w:val="none" w:sz="0" w:space="0" w:color="auto"/>
        <w:left w:val="none" w:sz="0" w:space="0" w:color="auto"/>
        <w:bottom w:val="none" w:sz="0" w:space="0" w:color="auto"/>
        <w:right w:val="none" w:sz="0" w:space="0" w:color="auto"/>
      </w:divBdr>
    </w:div>
    <w:div w:id="209481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hyperlink" Target="https://github.com/ccpluncw/ccpl_data_PVTcharity2021.git" TargetMode="External"/><Relationship Id="rId42" Type="http://schemas.openxmlformats.org/officeDocument/2006/relationships/hyperlink" Target="https://doi.org/10.1037/0033-2909.86.2.307" TargetMode="External"/><Relationship Id="rId47" Type="http://schemas.openxmlformats.org/officeDocument/2006/relationships/hyperlink" Target="https://doi.org/10.1523/JNEUROSCI.2575-09.2009" TargetMode="External"/><Relationship Id="rId63" Type="http://schemas.openxmlformats.org/officeDocument/2006/relationships/hyperlink" Target="http://dx.doi.org/10.1037/a0032796" TargetMode="External"/><Relationship Id="rId68" Type="http://schemas.openxmlformats.org/officeDocument/2006/relationships/hyperlink" Target="https://doi.org/10.1037/0022-3514.34.2.159" TargetMode="External"/><Relationship Id="rId84" Type="http://schemas.openxmlformats.org/officeDocument/2006/relationships/hyperlink" Target="http://dx.doi.org/10.1016/j.jebo.2013.12.003" TargetMode="External"/><Relationship Id="rId89" Type="http://schemas.openxmlformats.org/officeDocument/2006/relationships/hyperlink" Target="https://doi.org/10.1111/1467-9280.00067" TargetMode="External"/><Relationship Id="rId16" Type="http://schemas.openxmlformats.org/officeDocument/2006/relationships/hyperlink" Target="https://github.com/ccpluncw/ccpl_data_PVTcharity2021.git" TargetMode="External"/><Relationship Id="rId107" Type="http://schemas.openxmlformats.org/officeDocument/2006/relationships/fontTable" Target="fontTable.xml"/><Relationship Id="rId11" Type="http://schemas.openxmlformats.org/officeDocument/2006/relationships/image" Target="media/image2.png"/><Relationship Id="rId32" Type="http://schemas.openxmlformats.org/officeDocument/2006/relationships/hyperlink" Target="https://github.com/ccpluncw/ccpl_data_PVTcharity2021.git" TargetMode="External"/><Relationship Id="rId37" Type="http://schemas.openxmlformats.org/officeDocument/2006/relationships/hyperlink" Target="http://dx.doi.org/10.1016/S0166-4115(08)62778-8" TargetMode="External"/><Relationship Id="rId53" Type="http://schemas.openxmlformats.org/officeDocument/2006/relationships/hyperlink" Target="http://dx.doi.org/10.1037/0022-3514.92.4.631" TargetMode="External"/><Relationship Id="rId58" Type="http://schemas.openxmlformats.org/officeDocument/2006/relationships/hyperlink" Target="http://dx.doi.org/10.1016/j.cobeha.2015.01.010" TargetMode="External"/><Relationship Id="rId74" Type="http://schemas.openxmlformats.org/officeDocument/2006/relationships/hyperlink" Target="https://doi.org/10.1038/nn.2635" TargetMode="External"/><Relationship Id="rId79" Type="http://schemas.openxmlformats.org/officeDocument/2006/relationships/hyperlink" Target="http://dx.doi.org/10.1007/BF02291481" TargetMode="External"/><Relationship Id="rId102" Type="http://schemas.openxmlformats.org/officeDocument/2006/relationships/hyperlink" Target="https://doi.org/10.1073/pnas.1608877114" TargetMode="External"/><Relationship Id="rId5" Type="http://schemas.openxmlformats.org/officeDocument/2006/relationships/webSettings" Target="webSettings.xml"/><Relationship Id="rId90" Type="http://schemas.openxmlformats.org/officeDocument/2006/relationships/hyperlink" Target="http://dx.doi.org/10.1177/0963721415596228" TargetMode="External"/><Relationship Id="rId95" Type="http://schemas.openxmlformats.org/officeDocument/2006/relationships/hyperlink" Target="https://doi.org/10.1002/ejsp.2420060105" TargetMode="External"/><Relationship Id="rId22" Type="http://schemas.openxmlformats.org/officeDocument/2006/relationships/image" Target="media/image10.emf"/><Relationship Id="rId27" Type="http://schemas.openxmlformats.org/officeDocument/2006/relationships/image" Target="media/image14.emf"/><Relationship Id="rId43" Type="http://schemas.openxmlformats.org/officeDocument/2006/relationships/hyperlink" Target="https://doi.org/10.1016/j.tics.2018.12.003" TargetMode="External"/><Relationship Id="rId48" Type="http://schemas.openxmlformats.org/officeDocument/2006/relationships/hyperlink" Target="http://dx.doi.org/10.1037/xge0000210" TargetMode="External"/><Relationship Id="rId64" Type="http://schemas.openxmlformats.org/officeDocument/2006/relationships/hyperlink" Target="http://dx.doi.org/10.1016/j.neuron.2014.12.054" TargetMode="External"/><Relationship Id="rId69" Type="http://schemas.openxmlformats.org/officeDocument/2006/relationships/hyperlink" Target="https://www.jstor.org/stable/26531753" TargetMode="External"/><Relationship Id="rId80" Type="http://schemas.openxmlformats.org/officeDocument/2006/relationships/hyperlink" Target="https://doi.org/10.3758/BF03203956" TargetMode="External"/><Relationship Id="rId85" Type="http://schemas.openxmlformats.org/officeDocument/2006/relationships/hyperlink" Target="http://dx.doi.org/10.1177/0146167213499937" TargetMode="External"/><Relationship Id="rId12" Type="http://schemas.openxmlformats.org/officeDocument/2006/relationships/image" Target="media/image3.png"/><Relationship Id="rId17" Type="http://schemas.openxmlformats.org/officeDocument/2006/relationships/image" Target="media/image6.emf"/><Relationship Id="rId33" Type="http://schemas.openxmlformats.org/officeDocument/2006/relationships/hyperlink" Target="https://github.com/ccpluncw/ccpl_R_smartGridSearch" TargetMode="External"/><Relationship Id="rId38" Type="http://schemas.openxmlformats.org/officeDocument/2006/relationships/hyperlink" Target="http://dx.doi.org/10.1037/0096-1523.22.3.615" TargetMode="External"/><Relationship Id="rId59" Type="http://schemas.openxmlformats.org/officeDocument/2006/relationships/hyperlink" Target="http://dx.doi.org/10.1016/j.tics.2006.11.005" TargetMode="External"/><Relationship Id="rId103" Type="http://schemas.openxmlformats.org/officeDocument/2006/relationships/hyperlink" Target="http://dx.doi.org/10.1002/ejsp.781" TargetMode="External"/><Relationship Id="rId108"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hyperlink" Target="https://doi.org/10.1002/ejsp.2420030103" TargetMode="External"/><Relationship Id="rId54" Type="http://schemas.openxmlformats.org/officeDocument/2006/relationships/hyperlink" Target="http://dx.doi.org/10.1002/bdm.697" TargetMode="External"/><Relationship Id="rId62" Type="http://schemas.openxmlformats.org/officeDocument/2006/relationships/hyperlink" Target="https://www.proquest.com/scholarly-journals/empirical-content-theories-judgment-decision/docview/1011297243/se-2" TargetMode="External"/><Relationship Id="rId70" Type="http://schemas.openxmlformats.org/officeDocument/2006/relationships/hyperlink" Target="https://doi.org/10.1023/A:1007740225484" TargetMode="External"/><Relationship Id="rId75" Type="http://schemas.openxmlformats.org/officeDocument/2006/relationships/hyperlink" Target="https://doi.org/10.1371/journal.pcbi.1004371" TargetMode="External"/><Relationship Id="rId83" Type="http://schemas.openxmlformats.org/officeDocument/2006/relationships/hyperlink" Target="http://dx.doi.org/10.1002/ejsp.717" TargetMode="External"/><Relationship Id="rId88" Type="http://schemas.openxmlformats.org/officeDocument/2006/relationships/hyperlink" Target="http://dx.doi.org/10.1037/0033-295X.85.2.59" TargetMode="External"/><Relationship Id="rId91" Type="http://schemas.openxmlformats.org/officeDocument/2006/relationships/hyperlink" Target="http://dx.doi.org/10.1037/0022-3514.84.6.1270" TargetMode="External"/><Relationship Id="rId96" Type="http://schemas.openxmlformats.org/officeDocument/2006/relationships/hyperlink" Target="http://www.jstor.org/stable/14181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hyperlink" Target="https://github.com/ccpluncw/ccpl_data_PVTcharity2021.git" TargetMode="External"/><Relationship Id="rId36" Type="http://schemas.openxmlformats.org/officeDocument/2006/relationships/hyperlink" Target="http://dx.doi.org/10.1037/xlm0000279" TargetMode="External"/><Relationship Id="rId49" Type="http://schemas.openxmlformats.org/officeDocument/2006/relationships/hyperlink" Target="http://dx.doi.org/10.1037/xlm0001047" TargetMode="External"/><Relationship Id="rId57" Type="http://schemas.openxmlformats.org/officeDocument/2006/relationships/hyperlink" Target="http://dx.doi.org/10.1007/BF00134215" TargetMode="External"/><Relationship Id="rId106" Type="http://schemas.openxmlformats.org/officeDocument/2006/relationships/header" Target="header3.xml"/><Relationship Id="rId10" Type="http://schemas.openxmlformats.org/officeDocument/2006/relationships/image" Target="media/image1.emf"/><Relationship Id="rId31" Type="http://schemas.openxmlformats.org/officeDocument/2006/relationships/image" Target="media/image17.emf"/><Relationship Id="rId44" Type="http://schemas.openxmlformats.org/officeDocument/2006/relationships/hyperlink" Target="http://dx.doi.org/10.1037/0033-295X.100.3.432" TargetMode="External"/><Relationship Id="rId52" Type="http://schemas.openxmlformats.org/officeDocument/2006/relationships/hyperlink" Target="http://dx.doi.org/10.31234/osf.io/wfd5s" TargetMode="External"/><Relationship Id="rId60" Type="http://schemas.openxmlformats.org/officeDocument/2006/relationships/hyperlink" Target="http://dx.doi.org/10.1037//0022-3514.82.6.878" TargetMode="External"/><Relationship Id="rId65" Type="http://schemas.openxmlformats.org/officeDocument/2006/relationships/hyperlink" Target="http://dx.doi.org/10.1016/j.cognition.2018.10.012" TargetMode="External"/><Relationship Id="rId73" Type="http://schemas.openxmlformats.org/officeDocument/2006/relationships/hyperlink" Target="https://doi.org/10.1016/j.copsyc.2018.10.008" TargetMode="External"/><Relationship Id="rId78" Type="http://schemas.openxmlformats.org/officeDocument/2006/relationships/hyperlink" Target="https://doi.org/10.1371/journal.pone.0021074" TargetMode="External"/><Relationship Id="rId81" Type="http://schemas.openxmlformats.org/officeDocument/2006/relationships/hyperlink" Target="https://doi.org/10.1017/S1930297500001285" TargetMode="External"/><Relationship Id="rId86" Type="http://schemas.openxmlformats.org/officeDocument/2006/relationships/hyperlink" Target="https://doi.org/10.1037/h0036620" TargetMode="External"/><Relationship Id="rId94" Type="http://schemas.openxmlformats.org/officeDocument/2006/relationships/hyperlink" Target="https://doi.org/10.1086/527268" TargetMode="External"/><Relationship Id="rId99" Type="http://schemas.openxmlformats.org/officeDocument/2006/relationships/hyperlink" Target="http://dx.doi.org/10.1002/ejsp.2420010202" TargetMode="External"/><Relationship Id="rId101" Type="http://schemas.openxmlformats.org/officeDocument/2006/relationships/hyperlink" Target="https://doi.org/10.3389/fpsyg.2015.00336" TargetMode="External"/><Relationship Id="rId4" Type="http://schemas.openxmlformats.org/officeDocument/2006/relationships/settings" Target="settings.xml"/><Relationship Id="rId9" Type="http://schemas.openxmlformats.org/officeDocument/2006/relationships/hyperlink" Target="https://github.com/ccpluncw/ccpl_data_PVTcharity2021.git" TargetMode="External"/><Relationship Id="rId13" Type="http://schemas.openxmlformats.org/officeDocument/2006/relationships/hyperlink" Target="https://github.com/ccpluncw/ccpl_data_PVTcharity2021.git" TargetMode="External"/><Relationship Id="rId18" Type="http://schemas.openxmlformats.org/officeDocument/2006/relationships/image" Target="media/image7.emf"/><Relationship Id="rId39" Type="http://schemas.openxmlformats.org/officeDocument/2006/relationships/hyperlink" Target="https://doi.org/10.1257/jep.27.1.173" TargetMode="External"/><Relationship Id="rId34" Type="http://schemas.openxmlformats.org/officeDocument/2006/relationships/hyperlink" Target="https://doi.org/10.2307/2234133" TargetMode="External"/><Relationship Id="rId50" Type="http://schemas.openxmlformats.org/officeDocument/2006/relationships/hyperlink" Target="http://dx.doi.org/10.1016/j.cogpsych.2016.10.002" TargetMode="External"/><Relationship Id="rId55" Type="http://schemas.openxmlformats.org/officeDocument/2006/relationships/hyperlink" Target="https://doi.org/10.1016/j.jpubeco.2015.03.002" TargetMode="External"/><Relationship Id="rId76" Type="http://schemas.openxmlformats.org/officeDocument/2006/relationships/hyperlink" Target="http://dx.doi.org/10.1016/j.neuron.2009.09.040" TargetMode="External"/><Relationship Id="rId97" Type="http://schemas.openxmlformats.org/officeDocument/2006/relationships/hyperlink" Target="https://doi.org/10.2307/2232294"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dx.doi.org/10.1037/0022-3514.89.6.899" TargetMode="External"/><Relationship Id="rId92" Type="http://schemas.openxmlformats.org/officeDocument/2006/relationships/hyperlink" Target="http://dx.doi.org/10.1177/0146167200266008"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2.emf"/><Relationship Id="rId40" Type="http://schemas.openxmlformats.org/officeDocument/2006/relationships/hyperlink" Target="http://dx.doi.org/10.1" TargetMode="External"/><Relationship Id="rId45" Type="http://schemas.openxmlformats.org/officeDocument/2006/relationships/hyperlink" Target="http://dx.doi.org/10.1002/ana.24653" TargetMode="External"/><Relationship Id="rId66" Type="http://schemas.openxmlformats.org/officeDocument/2006/relationships/hyperlink" Target="http://dx.doi.org/10.1126/science.1140738" TargetMode="External"/><Relationship Id="rId87" Type="http://schemas.openxmlformats.org/officeDocument/2006/relationships/hyperlink" Target="http://dx.doi.org/10.1038/ncomms4677" TargetMode="External"/><Relationship Id="rId61" Type="http://schemas.openxmlformats.org/officeDocument/2006/relationships/hyperlink" Target="https://www.jstor.org/stable/2118317" TargetMode="External"/><Relationship Id="rId82" Type="http://schemas.openxmlformats.org/officeDocument/2006/relationships/hyperlink" Target="https://doi.org/10.1080/15298868.2018.1430063" TargetMode="External"/><Relationship Id="rId19" Type="http://schemas.openxmlformats.org/officeDocument/2006/relationships/image" Target="media/image8.emf"/><Relationship Id="rId14" Type="http://schemas.openxmlformats.org/officeDocument/2006/relationships/image" Target="media/image4.emf"/><Relationship Id="rId30" Type="http://schemas.openxmlformats.org/officeDocument/2006/relationships/image" Target="media/image16.emf"/><Relationship Id="rId35" Type="http://schemas.openxmlformats.org/officeDocument/2006/relationships/hyperlink" Target="http://dx.doi.org/10.1111/1468-0262.00302" TargetMode="External"/><Relationship Id="rId56" Type="http://schemas.openxmlformats.org/officeDocument/2006/relationships/hyperlink" Target="https://doi.org/10.1038/nature07155" TargetMode="External"/><Relationship Id="rId77" Type="http://schemas.openxmlformats.org/officeDocument/2006/relationships/hyperlink" Target="https://journals.sagepub.com/doi/pdf/10.1177/0146167204271651" TargetMode="External"/><Relationship Id="rId100" Type="http://schemas.openxmlformats.org/officeDocument/2006/relationships/hyperlink" Target="https://doi.org/10.1016/S1364-6613(99)01403-5" TargetMode="External"/><Relationship Id="rId105" Type="http://schemas.openxmlformats.org/officeDocument/2006/relationships/header" Target="header2.xml"/><Relationship Id="rId8" Type="http://schemas.openxmlformats.org/officeDocument/2006/relationships/hyperlink" Target="mailto:cohend@uncw.edu" TargetMode="External"/><Relationship Id="rId51" Type="http://schemas.openxmlformats.org/officeDocument/2006/relationships/hyperlink" Target="https://doi.org/10.3389/fpsyg.2017.02000" TargetMode="External"/><Relationship Id="rId72" Type="http://schemas.openxmlformats.org/officeDocument/2006/relationships/hyperlink" Target="https://doi.org/10.1016/S0167-4870(03)00075-8" TargetMode="External"/><Relationship Id="rId93" Type="http://schemas.openxmlformats.org/officeDocument/2006/relationships/hyperlink" Target="http://dx.doi.org/0.1023/A:1022299422219" TargetMode="External"/><Relationship Id="rId98" Type="http://schemas.openxmlformats.org/officeDocument/2006/relationships/hyperlink" Target="https://www.jstor.org/stable/10.2307/24927662" TargetMode="External"/><Relationship Id="rId3" Type="http://schemas.openxmlformats.org/officeDocument/2006/relationships/styles" Target="styles.xml"/><Relationship Id="rId25" Type="http://schemas.openxmlformats.org/officeDocument/2006/relationships/hyperlink" Target="https://github.com/ccpluncw/ccpl_data_PVTcharity2021.git" TargetMode="External"/><Relationship Id="rId46" Type="http://schemas.openxmlformats.org/officeDocument/2006/relationships/hyperlink" Target="http://dx.doi.org/10.1038/s41467-018-05994-9" TargetMode="External"/><Relationship Id="rId67" Type="http://schemas.openxmlformats.org/officeDocument/2006/relationships/hyperlink" Target="http://dx.doi.org/10.1523/JNEUROSCI.4089-09.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9A35D-1D22-EC4A-A24A-3AE9521D9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43028</Words>
  <Characters>245260</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Cohen, Dale</cp:lastModifiedBy>
  <cp:revision>3</cp:revision>
  <cp:lastPrinted>2019-07-22T19:29:00Z</cp:lastPrinted>
  <dcterms:created xsi:type="dcterms:W3CDTF">2023-07-26T13:55:00Z</dcterms:created>
  <dcterms:modified xsi:type="dcterms:W3CDTF">2023-07-26T13:56:00Z</dcterms:modified>
</cp:coreProperties>
</file>