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7C64" w14:textId="65959D9A" w:rsidR="00BF19CB" w:rsidRPr="00C33FBD" w:rsidRDefault="006502B2" w:rsidP="00190505">
      <w:pPr>
        <w:jc w:val="both"/>
        <w:rPr>
          <w:rFonts w:cstheme="minorHAnsi"/>
          <w:b/>
          <w:bCs/>
        </w:rPr>
      </w:pPr>
      <w:r w:rsidRPr="00C33FBD">
        <w:rPr>
          <w:rFonts w:cstheme="minorHAnsi"/>
          <w:b/>
          <w:bCs/>
        </w:rPr>
        <w:t>Staying In: Women and Gambling in Contemporary Domestic Life</w:t>
      </w:r>
    </w:p>
    <w:p w14:paraId="3F0AB102" w14:textId="0C2909BD" w:rsidR="006502B2" w:rsidRPr="00190505" w:rsidRDefault="00406732" w:rsidP="00190505">
      <w:pPr>
        <w:jc w:val="both"/>
        <w:rPr>
          <w:rFonts w:cstheme="minorHAnsi"/>
          <w:b/>
          <w:bCs/>
        </w:rPr>
      </w:pPr>
      <w:r>
        <w:rPr>
          <w:rFonts w:cstheme="minorHAnsi"/>
          <w:b/>
          <w:bCs/>
        </w:rPr>
        <w:t>Emma Casey</w:t>
      </w:r>
    </w:p>
    <w:p w14:paraId="0CA7A831" w14:textId="73940226" w:rsidR="00E5049E" w:rsidRPr="00406732" w:rsidRDefault="006502B2" w:rsidP="00406732">
      <w:pPr>
        <w:jc w:val="both"/>
        <w:rPr>
          <w:rFonts w:cstheme="minorHAnsi"/>
          <w:b/>
          <w:bCs/>
        </w:rPr>
      </w:pPr>
      <w:r w:rsidRPr="00190505">
        <w:rPr>
          <w:rFonts w:cstheme="minorHAnsi"/>
          <w:b/>
          <w:bCs/>
        </w:rPr>
        <w:t>Introduction</w:t>
      </w:r>
    </w:p>
    <w:p w14:paraId="07CCAC0B" w14:textId="66B90CD2" w:rsidR="00E5049E" w:rsidRDefault="00E5049E" w:rsidP="00406732">
      <w:pPr>
        <w:jc w:val="both"/>
      </w:pPr>
      <w:r>
        <w:t xml:space="preserve">This chapter explores gambling in domestic spaces. It draws on earlier research literature which has sought to uncouple understandings of gambling processes and practices from </w:t>
      </w:r>
      <w:r w:rsidR="00B32BCD">
        <w:t xml:space="preserve">conventional </w:t>
      </w:r>
      <w:r>
        <w:t>notions of deviancy and patholog</w:t>
      </w:r>
      <w:r w:rsidR="00B32BCD">
        <w:t>y</w:t>
      </w:r>
      <w:r>
        <w:t xml:space="preserve">. It shows how mainstream gambling research has tended to overlook the everyday domestic rituals and processes of gambling and </w:t>
      </w:r>
      <w:r w:rsidR="000270FF">
        <w:t>consequently</w:t>
      </w:r>
      <w:r>
        <w:t xml:space="preserve">, the experiences of women gamblers. I draw on research findings from a research project entitled </w:t>
      </w:r>
      <w:r>
        <w:rPr>
          <w:i/>
          <w:iCs/>
        </w:rPr>
        <w:t>Gambling and Households</w:t>
      </w:r>
      <w:r>
        <w:t xml:space="preserve"> which established a major new Directive on everyday experiences of gambling and gambling related harms within domestic spaces at Mass Observation Archive. I show how gambling practices and processes often reflect changing formations of domestic space</w:t>
      </w:r>
      <w:r w:rsidR="00B32BCD">
        <w:t xml:space="preserve"> and how, o</w:t>
      </w:r>
      <w:r>
        <w:t>ver</w:t>
      </w:r>
      <w:r w:rsidR="000270FF">
        <w:t xml:space="preserve"> </w:t>
      </w:r>
      <w:r>
        <w:t xml:space="preserve">time, ‘the domestic’ has </w:t>
      </w:r>
      <w:r w:rsidR="00B32BCD">
        <w:t>rapidly</w:t>
      </w:r>
      <w:r>
        <w:t xml:space="preserve"> developed as a </w:t>
      </w:r>
      <w:r w:rsidR="00B32BCD">
        <w:t xml:space="preserve">central </w:t>
      </w:r>
      <w:r>
        <w:t xml:space="preserve">site for the pursuit of gambling. </w:t>
      </w:r>
      <w:r w:rsidR="000270FF" w:rsidRPr="00E03A8B">
        <w:t>The</w:t>
      </w:r>
      <w:r w:rsidRPr="00E03A8B">
        <w:t xml:space="preserve"> chapter </w:t>
      </w:r>
      <w:r w:rsidR="007D5DF2" w:rsidRPr="00E03A8B">
        <w:t xml:space="preserve">explores </w:t>
      </w:r>
      <w:r w:rsidRPr="00E03A8B">
        <w:t>how the peculiarities of gambling ‘at home’ and within domestic spaces ha</w:t>
      </w:r>
      <w:r w:rsidR="00B32BCD" w:rsidRPr="00E03A8B">
        <w:t>ve</w:t>
      </w:r>
      <w:r w:rsidRPr="00E03A8B">
        <w:t xml:space="preserve"> often been overlooked</w:t>
      </w:r>
      <w:r>
        <w:t xml:space="preserve"> in current research literature. In part this follows a long history of academic scholarship that has marginalised the key role of domestic spheres in facilitating space for the pursuit of gambling and the development of gambling related harms. </w:t>
      </w:r>
    </w:p>
    <w:p w14:paraId="3F1E6ECB" w14:textId="4E6E15A8" w:rsidR="007D5DF2" w:rsidRPr="00190505" w:rsidRDefault="00035B01" w:rsidP="007D5DF2">
      <w:pPr>
        <w:jc w:val="both"/>
        <w:rPr>
          <w:rFonts w:cstheme="minorHAnsi"/>
        </w:rPr>
      </w:pPr>
      <w:r>
        <w:rPr>
          <w:rFonts w:cstheme="minorHAnsi"/>
        </w:rPr>
        <w:t>By offering a</w:t>
      </w:r>
      <w:r w:rsidR="000270FF">
        <w:rPr>
          <w:rFonts w:cstheme="minorHAnsi"/>
        </w:rPr>
        <w:t xml:space="preserve"> discussion of the ‘feminisation of gambling’, the chapter explores contemporary formations of gambling practice that have attended to the experiences and motivations of women within domestic settings. It describes how changes to gambling policy and consumer choice have heralded a new era of gambling whereby </w:t>
      </w:r>
      <w:r w:rsidR="00406732">
        <w:rPr>
          <w:rFonts w:cstheme="minorHAnsi"/>
        </w:rPr>
        <w:t xml:space="preserve">the </w:t>
      </w:r>
      <w:r w:rsidR="000270FF">
        <w:rPr>
          <w:rFonts w:cstheme="minorHAnsi"/>
        </w:rPr>
        <w:t xml:space="preserve">domestic </w:t>
      </w:r>
      <w:r w:rsidR="00406732">
        <w:rPr>
          <w:rFonts w:cstheme="minorHAnsi"/>
        </w:rPr>
        <w:t>has become</w:t>
      </w:r>
      <w:r w:rsidR="000270FF">
        <w:rPr>
          <w:rFonts w:cstheme="minorHAnsi"/>
        </w:rPr>
        <w:t xml:space="preserve"> central to gambling participation especially for women. </w:t>
      </w:r>
      <w:r w:rsidR="00406732">
        <w:rPr>
          <w:rFonts w:cstheme="minorHAnsi"/>
        </w:rPr>
        <w:t xml:space="preserve">Drawing on extracts from </w:t>
      </w:r>
      <w:r w:rsidR="000B5602">
        <w:rPr>
          <w:rFonts w:cstheme="minorHAnsi"/>
        </w:rPr>
        <w:t>a study conducted by the author with Mass Observation Archive entitled</w:t>
      </w:r>
      <w:r w:rsidR="000B5602">
        <w:rPr>
          <w:rFonts w:cstheme="minorHAnsi"/>
        </w:rPr>
        <w:t xml:space="preserve"> </w:t>
      </w:r>
      <w:r w:rsidR="00406732">
        <w:rPr>
          <w:rFonts w:cstheme="minorHAnsi"/>
          <w:i/>
          <w:iCs/>
        </w:rPr>
        <w:t>Gambling and Households</w:t>
      </w:r>
      <w:r w:rsidR="00406732">
        <w:rPr>
          <w:rFonts w:cstheme="minorHAnsi"/>
        </w:rPr>
        <w:t xml:space="preserve">, the chapter goes on to examine the unique experiences of women gambling at home. It shows how the harms and </w:t>
      </w:r>
      <w:r w:rsidR="00B32BCD">
        <w:rPr>
          <w:rFonts w:cstheme="minorHAnsi"/>
        </w:rPr>
        <w:t xml:space="preserve">the </w:t>
      </w:r>
      <w:r w:rsidR="00406732">
        <w:rPr>
          <w:rFonts w:cstheme="minorHAnsi"/>
        </w:rPr>
        <w:t>risks of harm posed by gambling are multiple, complex and are tied to experiences within and relationships around domestic life.</w:t>
      </w:r>
      <w:r w:rsidR="007D5DF2">
        <w:rPr>
          <w:rFonts w:cstheme="minorHAnsi"/>
        </w:rPr>
        <w:t xml:space="preserve"> </w:t>
      </w:r>
      <w:r w:rsidR="000B5602" w:rsidRPr="00E03A8B">
        <w:rPr>
          <w:rFonts w:cstheme="minorHAnsi"/>
        </w:rPr>
        <w:t>The</w:t>
      </w:r>
      <w:r w:rsidR="007D5DF2" w:rsidRPr="00E03A8B">
        <w:rPr>
          <w:rFonts w:cstheme="minorHAnsi"/>
        </w:rPr>
        <w:t xml:space="preserve"> chapter</w:t>
      </w:r>
      <w:r w:rsidR="007D5DF2" w:rsidRPr="00190505">
        <w:rPr>
          <w:rFonts w:cstheme="minorHAnsi"/>
        </w:rPr>
        <w:t xml:space="preserve"> attends to the lack of understanding of gambling related harms within domestic settings. </w:t>
      </w:r>
      <w:r w:rsidR="007D5DF2">
        <w:rPr>
          <w:rFonts w:cstheme="minorHAnsi"/>
        </w:rPr>
        <w:t xml:space="preserve">In doing so it shows the importance of examining </w:t>
      </w:r>
      <w:r w:rsidR="007D5DF2" w:rsidRPr="00190505">
        <w:rPr>
          <w:rFonts w:cstheme="minorHAnsi"/>
        </w:rPr>
        <w:t xml:space="preserve">the full, </w:t>
      </w:r>
      <w:r w:rsidR="007D5DF2" w:rsidRPr="000B5602">
        <w:rPr>
          <w:rFonts w:cstheme="minorHAnsi"/>
        </w:rPr>
        <w:t>heterogenous</w:t>
      </w:r>
      <w:r w:rsidR="007D5DF2" w:rsidRPr="00190505">
        <w:rPr>
          <w:rFonts w:cstheme="minorHAnsi"/>
          <w:i/>
          <w:iCs/>
        </w:rPr>
        <w:t xml:space="preserve"> </w:t>
      </w:r>
      <w:r w:rsidR="007D5DF2" w:rsidRPr="00190505">
        <w:rPr>
          <w:rFonts w:cstheme="minorHAnsi"/>
        </w:rPr>
        <w:t>experiences of gambling</w:t>
      </w:r>
      <w:r w:rsidR="007D5DF2">
        <w:rPr>
          <w:rFonts w:cstheme="minorHAnsi"/>
        </w:rPr>
        <w:t>.</w:t>
      </w:r>
      <w:r w:rsidR="007D5DF2" w:rsidRPr="00190505">
        <w:rPr>
          <w:rFonts w:cstheme="minorHAnsi"/>
        </w:rPr>
        <w:t xml:space="preserve"> </w:t>
      </w:r>
    </w:p>
    <w:p w14:paraId="136D6BCC" w14:textId="242AACA8" w:rsidR="00406732" w:rsidRPr="00190505" w:rsidRDefault="000B5602" w:rsidP="00190505">
      <w:pPr>
        <w:jc w:val="both"/>
        <w:rPr>
          <w:rFonts w:cstheme="minorHAnsi"/>
        </w:rPr>
      </w:pPr>
      <w:r>
        <w:t>Importantly, the</w:t>
      </w:r>
      <w:r w:rsidRPr="37AE04A3">
        <w:t xml:space="preserve"> </w:t>
      </w:r>
      <w:r w:rsidR="002D18DD" w:rsidRPr="37AE04A3">
        <w:t>chapter address</w:t>
      </w:r>
      <w:r>
        <w:t>es</w:t>
      </w:r>
      <w:r w:rsidR="002D18DD" w:rsidRPr="37AE04A3">
        <w:t xml:space="preserve"> the gender-blindness of much gambling research by exploring the </w:t>
      </w:r>
      <w:r w:rsidR="002D18DD" w:rsidRPr="37AE04A3">
        <w:rPr>
          <w:i/>
          <w:iCs/>
        </w:rPr>
        <w:t xml:space="preserve">domestic </w:t>
      </w:r>
      <w:r w:rsidR="002D18DD" w:rsidRPr="37AE04A3">
        <w:t xml:space="preserve">context within which women gamble. In doing so, it warns against gambling-related harm intervention schemes that have been developed to reflect the needs of male gamblers (Rodda et al., 2014). </w:t>
      </w:r>
    </w:p>
    <w:p w14:paraId="18A2AFD6" w14:textId="4931DF83" w:rsidR="006502B2" w:rsidRPr="00190505" w:rsidRDefault="006502B2" w:rsidP="00190505">
      <w:pPr>
        <w:jc w:val="both"/>
        <w:rPr>
          <w:rFonts w:cstheme="minorHAnsi"/>
          <w:b/>
          <w:bCs/>
        </w:rPr>
      </w:pPr>
      <w:r w:rsidRPr="00190505">
        <w:rPr>
          <w:rFonts w:cstheme="minorHAnsi"/>
          <w:b/>
          <w:bCs/>
        </w:rPr>
        <w:t>From Public Worlds to Private Lives</w:t>
      </w:r>
    </w:p>
    <w:p w14:paraId="6C570B5F" w14:textId="54B91534" w:rsidR="003A505C" w:rsidRPr="00190505" w:rsidRDefault="006502B2" w:rsidP="00190505">
      <w:pPr>
        <w:jc w:val="both"/>
        <w:rPr>
          <w:rFonts w:cstheme="minorHAnsi"/>
        </w:rPr>
      </w:pPr>
      <w:r w:rsidRPr="37AE04A3">
        <w:t xml:space="preserve">I begin by emphasising the importance of re-focusing attention away from </w:t>
      </w:r>
      <w:r w:rsidR="00E5049E" w:rsidRPr="37AE04A3">
        <w:t xml:space="preserve">explorations </w:t>
      </w:r>
      <w:r w:rsidR="000270FF" w:rsidRPr="37AE04A3">
        <w:t>of public</w:t>
      </w:r>
      <w:r w:rsidRPr="37AE04A3">
        <w:t xml:space="preserve"> life and its institutions and towards </w:t>
      </w:r>
      <w:r w:rsidR="00E5049E" w:rsidRPr="37AE04A3">
        <w:t xml:space="preserve">providing </w:t>
      </w:r>
      <w:r w:rsidRPr="37AE04A3">
        <w:t>dedicated accounts of domestic life. Historically, domestic life has been woefully overlooked in the social sciences</w:t>
      </w:r>
      <w:r w:rsidR="0045143B">
        <w:t xml:space="preserve"> (</w:t>
      </w:r>
      <w:proofErr w:type="spellStart"/>
      <w:r w:rsidR="0045143B">
        <w:t>Delphy</w:t>
      </w:r>
      <w:proofErr w:type="spellEnd"/>
      <w:r w:rsidR="0045143B">
        <w:t>, 1984, Oakley, 19</w:t>
      </w:r>
      <w:r w:rsidR="007F4D1E">
        <w:t>74)</w:t>
      </w:r>
      <w:proofErr w:type="gramStart"/>
      <w:r w:rsidR="0045143B">
        <w:t xml:space="preserve">; </w:t>
      </w:r>
      <w:r w:rsidRPr="37AE04A3">
        <w:t>.</w:t>
      </w:r>
      <w:proofErr w:type="gramEnd"/>
      <w:r w:rsidRPr="37AE04A3">
        <w:t xml:space="preserve"> Often seen as a </w:t>
      </w:r>
      <w:r w:rsidR="00112B25" w:rsidRPr="37AE04A3">
        <w:t>private space where matters of womanly importance were conducted</w:t>
      </w:r>
      <w:r w:rsidR="00E5049E" w:rsidRPr="37AE04A3">
        <w:t xml:space="preserve">, the domestic was seen as far </w:t>
      </w:r>
      <w:r w:rsidR="00112B25" w:rsidRPr="37AE04A3">
        <w:t xml:space="preserve">removed from the ‘important’ institutions of, for example, work, education, </w:t>
      </w:r>
      <w:r w:rsidR="000270FF" w:rsidRPr="37AE04A3">
        <w:t>religion,</w:t>
      </w:r>
      <w:r w:rsidR="00112B25" w:rsidRPr="37AE04A3">
        <w:t xml:space="preserve"> and </w:t>
      </w:r>
      <w:r w:rsidR="56C258C1" w:rsidRPr="37AE04A3">
        <w:t>criminal justice</w:t>
      </w:r>
      <w:r w:rsidR="00112B25" w:rsidRPr="37AE04A3">
        <w:t>. It is useful</w:t>
      </w:r>
      <w:r w:rsidR="009F61B2" w:rsidRPr="37AE04A3">
        <w:t xml:space="preserve"> to consider where this absence of interest originates and to recognise the kno</w:t>
      </w:r>
      <w:r w:rsidR="00E5049E" w:rsidRPr="37AE04A3">
        <w:t>ck</w:t>
      </w:r>
      <w:r w:rsidR="009F61B2" w:rsidRPr="37AE04A3">
        <w:t xml:space="preserve">-on effect that this has had on the ability of social scientists to produce fully meaningful accounts of social life, including around risk and harm. To begin with, the absence of interest coincides with a broader history of dichotomous relations </w:t>
      </w:r>
      <w:r w:rsidR="00E5049E" w:rsidRPr="37AE04A3">
        <w:t>emerging during the late modern period.</w:t>
      </w:r>
      <w:r w:rsidR="009F61B2" w:rsidRPr="37AE04A3">
        <w:t xml:space="preserve"> These relations came to be central to social theory throughout the twentieth century</w:t>
      </w:r>
      <w:r w:rsidR="005D6827" w:rsidRPr="37AE04A3">
        <w:t xml:space="preserve"> and, as we shall see, continue to influence research and academic interventions today. Thus, social life came to be divided into categories of public / private; sacred/ profane; work / home; deviant / mundane; safety / harm; male / female. </w:t>
      </w:r>
      <w:r w:rsidR="003A505C" w:rsidRPr="37AE04A3">
        <w:t xml:space="preserve">With </w:t>
      </w:r>
      <w:r w:rsidR="003A505C" w:rsidRPr="37AE04A3">
        <w:lastRenderedPageBreak/>
        <w:t>t</w:t>
      </w:r>
      <w:r w:rsidR="005D6827" w:rsidRPr="37AE04A3">
        <w:t xml:space="preserve">he notable exception </w:t>
      </w:r>
      <w:r w:rsidR="003A505C" w:rsidRPr="37AE04A3">
        <w:t>of</w:t>
      </w:r>
      <w:r w:rsidR="005D6827" w:rsidRPr="37AE04A3">
        <w:t xml:space="preserve"> </w:t>
      </w:r>
      <w:r w:rsidR="007F4D1E">
        <w:t xml:space="preserve">Fredrich </w:t>
      </w:r>
      <w:r w:rsidR="005D6827" w:rsidRPr="37AE04A3">
        <w:t>Engels</w:t>
      </w:r>
      <w:r w:rsidR="003A505C" w:rsidRPr="37AE04A3">
        <w:t xml:space="preserve">’ </w:t>
      </w:r>
      <w:r w:rsidR="005D6827" w:rsidRPr="37AE04A3">
        <w:t>account of the ‘reproductive</w:t>
      </w:r>
      <w:r w:rsidR="00E5049E" w:rsidRPr="37AE04A3">
        <w:t>’</w:t>
      </w:r>
      <w:r w:rsidR="005D6827" w:rsidRPr="37AE04A3">
        <w:t xml:space="preserve"> (at home) labour of women</w:t>
      </w:r>
      <w:r w:rsidR="000B5602">
        <w:t xml:space="preserve">, </w:t>
      </w:r>
      <w:r w:rsidR="005D6827" w:rsidRPr="37AE04A3">
        <w:t xml:space="preserve">the study of the </w:t>
      </w:r>
      <w:r w:rsidR="003A505C" w:rsidRPr="37AE04A3">
        <w:t xml:space="preserve">domestic was </w:t>
      </w:r>
      <w:r w:rsidR="000270FF" w:rsidRPr="37AE04A3">
        <w:t>overall</w:t>
      </w:r>
      <w:r w:rsidR="003A505C" w:rsidRPr="37AE04A3">
        <w:t xml:space="preserve"> dismissed as a-political, of no relevance to scholars; a ‘women’s space’ without meaning or consequence. When the 1970s Women’s Liberation groups began to argue that ‘the personal is political’, they advocated a dismantling of these old beliefs around the absence of meaning in domestic settings.</w:t>
      </w:r>
      <w:r w:rsidR="000B5602">
        <w:rPr>
          <w:rFonts w:cstheme="minorHAnsi"/>
        </w:rPr>
        <w:t xml:space="preserve"> </w:t>
      </w:r>
      <w:r w:rsidR="007D5DF2" w:rsidRPr="00E03A8B">
        <w:rPr>
          <w:rFonts w:cstheme="minorHAnsi"/>
        </w:rPr>
        <w:t xml:space="preserve">Here I continue this feminist tradition by </w:t>
      </w:r>
      <w:r w:rsidR="003A505C" w:rsidRPr="00190505">
        <w:rPr>
          <w:rFonts w:cstheme="minorHAnsi"/>
        </w:rPr>
        <w:t xml:space="preserve">offering an account of the risks of harm posed by gambling, and how these are specifically tied to women’s experiences within the domestic sphere. </w:t>
      </w:r>
    </w:p>
    <w:p w14:paraId="2417A5FF" w14:textId="38783C3D" w:rsidR="00457DFB" w:rsidRPr="00190505" w:rsidRDefault="006A38F8" w:rsidP="37AE04A3">
      <w:pPr>
        <w:jc w:val="both"/>
      </w:pPr>
      <w:r w:rsidRPr="37AE04A3">
        <w:t>R</w:t>
      </w:r>
      <w:r w:rsidR="00512037" w:rsidRPr="37AE04A3">
        <w:t>esearch into gambling related harms very rarely draws on experiences of gambling within domestic settings</w:t>
      </w:r>
      <w:r w:rsidR="00B32BCD" w:rsidRPr="37AE04A3">
        <w:t xml:space="preserve"> and hi</w:t>
      </w:r>
      <w:r w:rsidR="00512037" w:rsidRPr="37AE04A3">
        <w:t xml:space="preserve">storically, there has been an absence of studies of gambling that have focused on the experiences of gamblers </w:t>
      </w:r>
      <w:r w:rsidR="00512037" w:rsidRPr="37AE04A3">
        <w:rPr>
          <w:i/>
          <w:iCs/>
        </w:rPr>
        <w:t>in the home</w:t>
      </w:r>
      <w:r w:rsidR="00512037" w:rsidRPr="37AE04A3">
        <w:t xml:space="preserve">. One of the notable consequences of this is that </w:t>
      </w:r>
      <w:r w:rsidR="00813640" w:rsidRPr="37AE04A3">
        <w:t xml:space="preserve">without </w:t>
      </w:r>
      <w:r w:rsidR="00A76B4B" w:rsidRPr="37AE04A3">
        <w:t>considering</w:t>
      </w:r>
      <w:r w:rsidR="00813640" w:rsidRPr="37AE04A3">
        <w:t xml:space="preserve"> the whole range of experiences of gambling – both within and outside of the </w:t>
      </w:r>
      <w:r w:rsidR="006D3950" w:rsidRPr="37AE04A3">
        <w:t>home –</w:t>
      </w:r>
      <w:r w:rsidR="00813640" w:rsidRPr="37AE04A3">
        <w:t xml:space="preserve"> </w:t>
      </w:r>
      <w:r w:rsidR="00512037" w:rsidRPr="37AE04A3">
        <w:t xml:space="preserve">accounts of gambling tend to focus on </w:t>
      </w:r>
      <w:r w:rsidR="00B32BCD" w:rsidRPr="37AE04A3">
        <w:t>notions</w:t>
      </w:r>
      <w:r w:rsidR="00813640" w:rsidRPr="37AE04A3">
        <w:t xml:space="preserve"> of </w:t>
      </w:r>
      <w:r w:rsidR="00430826" w:rsidRPr="37AE04A3">
        <w:t>a</w:t>
      </w:r>
      <w:r w:rsidR="00512037" w:rsidRPr="37AE04A3">
        <w:t xml:space="preserve"> ‘</w:t>
      </w:r>
      <w:r w:rsidR="006D3950" w:rsidRPr="37AE04A3">
        <w:t>homogenous</w:t>
      </w:r>
      <w:r w:rsidR="00512037" w:rsidRPr="37AE04A3">
        <w:t xml:space="preserve">’ </w:t>
      </w:r>
      <w:r w:rsidR="00813640" w:rsidRPr="37AE04A3">
        <w:t>gambler</w:t>
      </w:r>
      <w:r w:rsidR="00B32BCD" w:rsidRPr="37AE04A3">
        <w:t xml:space="preserve"> defined by a </w:t>
      </w:r>
      <w:r w:rsidR="442BCB8C" w:rsidRPr="37AE04A3">
        <w:t>one-dimensional</w:t>
      </w:r>
      <w:r w:rsidR="00B32BCD" w:rsidRPr="37AE04A3">
        <w:t xml:space="preserve"> set of experiences and harms</w:t>
      </w:r>
      <w:r w:rsidR="00813640" w:rsidRPr="37AE04A3">
        <w:t>.</w:t>
      </w:r>
      <w:r w:rsidR="00457DFB" w:rsidRPr="37AE04A3">
        <w:t xml:space="preserve"> I argue that this has potentially problematic consequences for women who might be at risk of </w:t>
      </w:r>
      <w:r w:rsidR="00E5049E" w:rsidRPr="37AE04A3">
        <w:t xml:space="preserve">developing </w:t>
      </w:r>
      <w:r w:rsidR="00457DFB" w:rsidRPr="37AE04A3">
        <w:t>gambling related harms</w:t>
      </w:r>
      <w:r w:rsidR="00E5049E" w:rsidRPr="37AE04A3">
        <w:t>, since</w:t>
      </w:r>
      <w:r w:rsidR="00457DFB" w:rsidRPr="37AE04A3">
        <w:t>, as we shall see, women’s experiences of harm are distinct to men’s and importantly are frequently tied to their relationship to the domestic.</w:t>
      </w:r>
    </w:p>
    <w:p w14:paraId="63857A18" w14:textId="0847439E" w:rsidR="005D21C9" w:rsidRPr="00190505" w:rsidRDefault="005D21C9" w:rsidP="00190505">
      <w:pPr>
        <w:jc w:val="both"/>
        <w:rPr>
          <w:rFonts w:cstheme="minorHAnsi"/>
          <w:b/>
          <w:bCs/>
        </w:rPr>
      </w:pPr>
      <w:r w:rsidRPr="00190505">
        <w:rPr>
          <w:rFonts w:cstheme="minorHAnsi"/>
          <w:b/>
          <w:bCs/>
        </w:rPr>
        <w:t>The ‘Feminisation’ of Gambling</w:t>
      </w:r>
    </w:p>
    <w:p w14:paraId="30F9B361" w14:textId="296CDB93" w:rsidR="005D21C9" w:rsidRPr="00190505" w:rsidRDefault="005D21C9" w:rsidP="00190505">
      <w:pPr>
        <w:jc w:val="both"/>
        <w:rPr>
          <w:rFonts w:cstheme="minorHAnsi"/>
        </w:rPr>
      </w:pPr>
      <w:r w:rsidRPr="00190505">
        <w:rPr>
          <w:rFonts w:cstheme="minorHAnsi"/>
        </w:rPr>
        <w:t xml:space="preserve">The last three decades have witnessed profound changes to the gambling industry in the UK and beyond. </w:t>
      </w:r>
      <w:r w:rsidR="007D5DF2">
        <w:rPr>
          <w:rFonts w:cstheme="minorHAnsi"/>
        </w:rPr>
        <w:t>Since the 1990s, m</w:t>
      </w:r>
      <w:r w:rsidRPr="00190505">
        <w:rPr>
          <w:rFonts w:cstheme="minorHAnsi"/>
        </w:rPr>
        <w:t>any of these changes are focused on the so-called ‘</w:t>
      </w:r>
      <w:r w:rsidR="006D3950" w:rsidRPr="00190505">
        <w:rPr>
          <w:rFonts w:cstheme="minorHAnsi"/>
        </w:rPr>
        <w:t>domestication</w:t>
      </w:r>
      <w:r w:rsidRPr="00190505">
        <w:rPr>
          <w:rFonts w:cstheme="minorHAnsi"/>
        </w:rPr>
        <w:t>’ or ‘feminisation’ of gambling and have directly impacted women’s gambling</w:t>
      </w:r>
      <w:r w:rsidR="00E5049E">
        <w:rPr>
          <w:rFonts w:cstheme="minorHAnsi"/>
        </w:rPr>
        <w:t xml:space="preserve"> experiences</w:t>
      </w:r>
      <w:r w:rsidRPr="00190505">
        <w:rPr>
          <w:rFonts w:cstheme="minorHAnsi"/>
        </w:rPr>
        <w:t>. The introduction of the UK National Lottery in 1994 heralded a new era of gambling legislation</w:t>
      </w:r>
      <w:r w:rsidR="00E5049E">
        <w:rPr>
          <w:rFonts w:cstheme="minorHAnsi"/>
        </w:rPr>
        <w:t>,</w:t>
      </w:r>
      <w:r w:rsidRPr="00190505">
        <w:rPr>
          <w:rFonts w:cstheme="minorHAnsi"/>
        </w:rPr>
        <w:t xml:space="preserve"> following </w:t>
      </w:r>
      <w:r w:rsidR="00E5049E">
        <w:rPr>
          <w:rFonts w:cstheme="minorHAnsi"/>
        </w:rPr>
        <w:t xml:space="preserve">the </w:t>
      </w:r>
      <w:r w:rsidR="00DA7489" w:rsidRPr="00190505">
        <w:rPr>
          <w:rFonts w:cstheme="minorHAnsi"/>
        </w:rPr>
        <w:t xml:space="preserve">recommendations of the </w:t>
      </w:r>
      <w:r w:rsidR="009C30FB">
        <w:rPr>
          <w:rFonts w:cstheme="minorHAnsi"/>
        </w:rPr>
        <w:t xml:space="preserve">so called </w:t>
      </w:r>
      <w:r w:rsidR="00DA7489" w:rsidRPr="00190505">
        <w:rPr>
          <w:rFonts w:cstheme="minorHAnsi"/>
        </w:rPr>
        <w:t xml:space="preserve">2001 ‘Budd Report’ </w:t>
      </w:r>
      <w:r w:rsidR="007F4D1E">
        <w:rPr>
          <w:rFonts w:cstheme="minorHAnsi"/>
        </w:rPr>
        <w:t>(Budd et al., 2001)</w:t>
      </w:r>
      <w:r w:rsidR="009C30FB">
        <w:rPr>
          <w:rFonts w:cstheme="minorHAnsi"/>
        </w:rPr>
        <w:t xml:space="preserve">, a review of British gambling laws chaired by the economist Sir Alan Budd. Budd </w:t>
      </w:r>
      <w:r w:rsidR="00DA7489" w:rsidRPr="00190505">
        <w:rPr>
          <w:rFonts w:cstheme="minorHAnsi"/>
        </w:rPr>
        <w:t xml:space="preserve">called for a liberalisation of consumer choice alongside </w:t>
      </w:r>
      <w:r w:rsidR="009C30FB">
        <w:rPr>
          <w:rFonts w:cstheme="minorHAnsi"/>
        </w:rPr>
        <w:t>deregulation of adult</w:t>
      </w:r>
      <w:r w:rsidR="00DA7489" w:rsidRPr="00190505">
        <w:rPr>
          <w:rFonts w:cstheme="minorHAnsi"/>
        </w:rPr>
        <w:t xml:space="preserve"> </w:t>
      </w:r>
      <w:r w:rsidR="009C30FB">
        <w:rPr>
          <w:rFonts w:cstheme="minorHAnsi"/>
        </w:rPr>
        <w:t xml:space="preserve">gambling, and for </w:t>
      </w:r>
      <w:r w:rsidR="00DA7489" w:rsidRPr="00190505">
        <w:rPr>
          <w:rFonts w:cstheme="minorHAnsi"/>
        </w:rPr>
        <w:t xml:space="preserve">the establishment of the </w:t>
      </w:r>
      <w:r w:rsidR="007D5DF2">
        <w:rPr>
          <w:rFonts w:cstheme="minorHAnsi"/>
        </w:rPr>
        <w:t xml:space="preserve">UK </w:t>
      </w:r>
      <w:r w:rsidR="00DA7489" w:rsidRPr="00190505">
        <w:rPr>
          <w:rFonts w:cstheme="minorHAnsi"/>
        </w:rPr>
        <w:t xml:space="preserve">Gambling Commission. This completely revolutionised and transformed the landscape and lived experiences of gambling in the UK. </w:t>
      </w:r>
      <w:r w:rsidR="00E5049E">
        <w:rPr>
          <w:rFonts w:cstheme="minorHAnsi"/>
        </w:rPr>
        <w:t>Notably, i</w:t>
      </w:r>
      <w:r w:rsidR="00A76B4B" w:rsidRPr="00190505">
        <w:rPr>
          <w:rFonts w:cstheme="minorHAnsi"/>
        </w:rPr>
        <w:t>t</w:t>
      </w:r>
      <w:r w:rsidR="00DA7489" w:rsidRPr="00190505">
        <w:rPr>
          <w:rFonts w:cstheme="minorHAnsi"/>
        </w:rPr>
        <w:t xml:space="preserve"> shifted the risks of gambling to within domestic settings. Thus, prior to the launch of the UK National Lottery, commercial gambling predominantly took place outside of the home, in for example, betting shops, dog tracks, pubs, clubs, bingo halls etc. Even the football pools, participation in which did not require a visit to a ‘physical’, </w:t>
      </w:r>
      <w:r w:rsidR="00C75A4B" w:rsidRPr="00190505">
        <w:rPr>
          <w:rFonts w:cstheme="minorHAnsi"/>
        </w:rPr>
        <w:t xml:space="preserve">dedicated gambling site, </w:t>
      </w:r>
      <w:r w:rsidR="00E5049E">
        <w:rPr>
          <w:rFonts w:cstheme="minorHAnsi"/>
        </w:rPr>
        <w:t xml:space="preserve">was </w:t>
      </w:r>
      <w:r w:rsidR="00C75A4B" w:rsidRPr="00190505">
        <w:rPr>
          <w:rFonts w:cstheme="minorHAnsi"/>
        </w:rPr>
        <w:t xml:space="preserve">centred around focus on a ‘public’ activity (the football match), and syndicates were generally organised in pubs, </w:t>
      </w:r>
      <w:r w:rsidR="00A76B4B" w:rsidRPr="00190505">
        <w:rPr>
          <w:rFonts w:cstheme="minorHAnsi"/>
        </w:rPr>
        <w:t>clubs,</w:t>
      </w:r>
      <w:r w:rsidR="00C75A4B" w:rsidRPr="00190505">
        <w:rPr>
          <w:rFonts w:cstheme="minorHAnsi"/>
        </w:rPr>
        <w:t xml:space="preserve"> and workplaces. One of the </w:t>
      </w:r>
      <w:proofErr w:type="gramStart"/>
      <w:r w:rsidR="00C75A4B" w:rsidRPr="00190505">
        <w:rPr>
          <w:rFonts w:cstheme="minorHAnsi"/>
        </w:rPr>
        <w:t>key ways</w:t>
      </w:r>
      <w:proofErr w:type="gramEnd"/>
      <w:r w:rsidR="00C75A4B" w:rsidRPr="00190505">
        <w:rPr>
          <w:rFonts w:cstheme="minorHAnsi"/>
        </w:rPr>
        <w:t xml:space="preserve"> that the National Lottery shifted the landscape and ways of thinking about gambling and its associated harms, was in the ways that </w:t>
      </w:r>
      <w:r w:rsidR="00C75A4B" w:rsidRPr="00190505">
        <w:rPr>
          <w:rFonts w:cstheme="minorHAnsi"/>
          <w:i/>
          <w:iCs/>
        </w:rPr>
        <w:t>domestic</w:t>
      </w:r>
      <w:r w:rsidR="00C75A4B" w:rsidRPr="00190505">
        <w:rPr>
          <w:rFonts w:cstheme="minorHAnsi"/>
        </w:rPr>
        <w:t xml:space="preserve"> space was reconfigured as a site for gambling on a grand scale. </w:t>
      </w:r>
      <w:r w:rsidR="00E5049E">
        <w:rPr>
          <w:rFonts w:cstheme="minorHAnsi"/>
        </w:rPr>
        <w:t>Almost overnight, people</w:t>
      </w:r>
      <w:r w:rsidR="00C75A4B" w:rsidRPr="00190505">
        <w:rPr>
          <w:rFonts w:cstheme="minorHAnsi"/>
        </w:rPr>
        <w:t xml:space="preserve"> could buy lottery tickets in the supermarket, post office, newsagent, or without leaving their homes at all by purchasing tickets and even choosing weekly recurring numbers online. The </w:t>
      </w:r>
      <w:r w:rsidR="00E5049E">
        <w:rPr>
          <w:rFonts w:cstheme="minorHAnsi"/>
        </w:rPr>
        <w:t xml:space="preserve">televised </w:t>
      </w:r>
      <w:r w:rsidR="00C75A4B" w:rsidRPr="00190505">
        <w:rPr>
          <w:rFonts w:cstheme="minorHAnsi"/>
        </w:rPr>
        <w:t xml:space="preserve">live draw </w:t>
      </w:r>
      <w:r w:rsidR="00E5049E">
        <w:rPr>
          <w:rFonts w:cstheme="minorHAnsi"/>
        </w:rPr>
        <w:t>was</w:t>
      </w:r>
      <w:r w:rsidR="00C75A4B" w:rsidRPr="00190505">
        <w:rPr>
          <w:rFonts w:cstheme="minorHAnsi"/>
        </w:rPr>
        <w:t xml:space="preserve"> watched at home. The National Lottery was an instant popular success with </w:t>
      </w:r>
      <w:r w:rsidR="00B32BCD">
        <w:rPr>
          <w:rFonts w:cstheme="minorHAnsi"/>
        </w:rPr>
        <w:t>22 million people watching</w:t>
      </w:r>
      <w:r w:rsidR="00C75A4B" w:rsidRPr="00190505">
        <w:rPr>
          <w:rFonts w:cstheme="minorHAnsi"/>
        </w:rPr>
        <w:t xml:space="preserve"> the first live draw on </w:t>
      </w:r>
      <w:r w:rsidR="00B32BCD">
        <w:rPr>
          <w:rFonts w:cstheme="minorHAnsi"/>
        </w:rPr>
        <w:t xml:space="preserve">19 November </w:t>
      </w:r>
      <w:r w:rsidR="00C75A4B" w:rsidRPr="00190505">
        <w:rPr>
          <w:rFonts w:cstheme="minorHAnsi"/>
        </w:rPr>
        <w:t xml:space="preserve">1994. Part of the success </w:t>
      </w:r>
      <w:r w:rsidR="006B7CBB" w:rsidRPr="00190505">
        <w:rPr>
          <w:rFonts w:cstheme="minorHAnsi"/>
        </w:rPr>
        <w:t xml:space="preserve">of this new type of domestic gambling was due to its unprecedented popularity among women. Prior to the National Lottery, men had gambled more than women in significantly higher numbers across all forms of gambling </w:t>
      </w:r>
      <w:r w:rsidR="00A76B4B" w:rsidRPr="00190505">
        <w:rPr>
          <w:rFonts w:cstheme="minorHAnsi"/>
        </w:rPr>
        <w:t>except for</w:t>
      </w:r>
      <w:r w:rsidR="006B7CBB" w:rsidRPr="00190505">
        <w:rPr>
          <w:rFonts w:cstheme="minorHAnsi"/>
        </w:rPr>
        <w:t xml:space="preserve"> bingo. The National Lottery on the other hand, was played by men and women in </w:t>
      </w:r>
      <w:r w:rsidR="00A76B4B">
        <w:rPr>
          <w:rFonts w:cstheme="minorHAnsi"/>
        </w:rPr>
        <w:t xml:space="preserve">approximately </w:t>
      </w:r>
      <w:r w:rsidR="00A76B4B" w:rsidRPr="00190505">
        <w:rPr>
          <w:rFonts w:cstheme="minorHAnsi"/>
        </w:rPr>
        <w:t>equal</w:t>
      </w:r>
      <w:r w:rsidR="006B7CBB" w:rsidRPr="00190505">
        <w:rPr>
          <w:rFonts w:cstheme="minorHAnsi"/>
        </w:rPr>
        <w:t xml:space="preserve"> numbers. I have argued elsewhere </w:t>
      </w:r>
      <w:r w:rsidR="006D3950">
        <w:rPr>
          <w:rFonts w:cstheme="minorHAnsi"/>
        </w:rPr>
        <w:t xml:space="preserve">(Casey, 2003; 2008) </w:t>
      </w:r>
      <w:r w:rsidR="006B7CBB" w:rsidRPr="00190505">
        <w:rPr>
          <w:rFonts w:cstheme="minorHAnsi"/>
        </w:rPr>
        <w:t xml:space="preserve">that </w:t>
      </w:r>
      <w:r w:rsidR="00E5049E">
        <w:rPr>
          <w:rFonts w:cstheme="minorHAnsi"/>
        </w:rPr>
        <w:t>the unique popularity of National Lottery play among women was</w:t>
      </w:r>
      <w:r w:rsidR="006B7CBB" w:rsidRPr="00190505">
        <w:rPr>
          <w:rFonts w:cstheme="minorHAnsi"/>
        </w:rPr>
        <w:t xml:space="preserve"> </w:t>
      </w:r>
      <w:r w:rsidR="006B7CBB" w:rsidRPr="00190505">
        <w:rPr>
          <w:rFonts w:cstheme="minorHAnsi"/>
          <w:i/>
          <w:iCs/>
        </w:rPr>
        <w:t xml:space="preserve">because </w:t>
      </w:r>
      <w:r w:rsidR="006B7CBB" w:rsidRPr="00190505">
        <w:rPr>
          <w:rFonts w:cstheme="minorHAnsi"/>
        </w:rPr>
        <w:t xml:space="preserve">of </w:t>
      </w:r>
      <w:r w:rsidR="00E5049E">
        <w:rPr>
          <w:rFonts w:cstheme="minorHAnsi"/>
        </w:rPr>
        <w:t>its</w:t>
      </w:r>
      <w:r w:rsidR="006B7CBB" w:rsidRPr="00190505">
        <w:rPr>
          <w:rFonts w:cstheme="minorHAnsi"/>
        </w:rPr>
        <w:t xml:space="preserve"> domestic nature</w:t>
      </w:r>
      <w:r w:rsidR="009E563A">
        <w:rPr>
          <w:rFonts w:cstheme="minorHAnsi"/>
        </w:rPr>
        <w:t xml:space="preserve">. I have also noted elsewhere </w:t>
      </w:r>
      <w:r w:rsidR="006D3950">
        <w:rPr>
          <w:rFonts w:cstheme="minorHAnsi"/>
        </w:rPr>
        <w:t xml:space="preserve">that the </w:t>
      </w:r>
      <w:r w:rsidR="009E563A">
        <w:rPr>
          <w:rFonts w:cstheme="minorHAnsi"/>
        </w:rPr>
        <w:t xml:space="preserve">historic </w:t>
      </w:r>
      <w:r w:rsidR="006D3950">
        <w:rPr>
          <w:rFonts w:cstheme="minorHAnsi"/>
        </w:rPr>
        <w:t xml:space="preserve">lack of focus on </w:t>
      </w:r>
      <w:r w:rsidR="009E563A">
        <w:rPr>
          <w:rFonts w:cstheme="minorHAnsi"/>
        </w:rPr>
        <w:t>academic studies of women’s participation in gambling, and the myth that women are not ‘really’ gamblers, might partly be explained by the idea that bingo and the National Lottery are generally not seen as ‘real’ or ‘hard core’ forms of gambling even by women gamblers themselves (Casey, 2003).</w:t>
      </w:r>
    </w:p>
    <w:p w14:paraId="3EC3B867" w14:textId="1AE53852" w:rsidR="006635E8" w:rsidRPr="00190505" w:rsidRDefault="006635E8" w:rsidP="37AE04A3">
      <w:pPr>
        <w:jc w:val="both"/>
      </w:pPr>
      <w:r w:rsidRPr="37AE04A3">
        <w:lastRenderedPageBreak/>
        <w:t xml:space="preserve">In the late 1990s other gambling companies attempted to replicate the success of the National Lottery by similarly ‘domesticating’ their own gambling sites. For example, in 1997, the CEO of British betting and gambling company Ladbrokes described how he would like to adapt their business model </w:t>
      </w:r>
      <w:r w:rsidR="00A76B4B" w:rsidRPr="37AE04A3">
        <w:t>to</w:t>
      </w:r>
      <w:r w:rsidRPr="37AE04A3">
        <w:t xml:space="preserve"> offer a more ‘domesticated’ form of gambling. Speaking about betting shops and steps taken to ‘domesticate’ them</w:t>
      </w:r>
      <w:r w:rsidR="00E5049E" w:rsidRPr="37AE04A3">
        <w:t>. He reflected:</w:t>
      </w:r>
    </w:p>
    <w:p w14:paraId="6B8D3CD5" w14:textId="3CB30864" w:rsidR="006635E8" w:rsidRPr="00190505" w:rsidRDefault="006635E8" w:rsidP="00190505">
      <w:pPr>
        <w:ind w:left="720"/>
        <w:jc w:val="both"/>
        <w:rPr>
          <w:rFonts w:cstheme="minorHAnsi"/>
        </w:rPr>
      </w:pPr>
      <w:r w:rsidRPr="00190505">
        <w:rPr>
          <w:rFonts w:cstheme="minorHAnsi"/>
        </w:rPr>
        <w:t>‘We have more ladies now. We have spent a lot of money trying to make our shops more welcoming with coffee and a bit more comfort, and it’s beginning to work. In the future, we will definitely see a much more even spread of men and women customers.’</w:t>
      </w:r>
    </w:p>
    <w:p w14:paraId="52D3A7C8" w14:textId="68A8C569" w:rsidR="006635E8" w:rsidRPr="00190505" w:rsidRDefault="006635E8" w:rsidP="00190505">
      <w:pPr>
        <w:ind w:left="720"/>
        <w:jc w:val="right"/>
        <w:rPr>
          <w:rFonts w:cstheme="minorHAnsi"/>
        </w:rPr>
      </w:pPr>
      <w:r w:rsidRPr="00190505">
        <w:rPr>
          <w:rFonts w:cstheme="minorHAnsi"/>
        </w:rPr>
        <w:t>(Cited in White, 1997: 7)</w:t>
      </w:r>
    </w:p>
    <w:p w14:paraId="2B7F51E6" w14:textId="1E4D1B3B" w:rsidR="006635E8" w:rsidRPr="00190505" w:rsidRDefault="006635E8" w:rsidP="00190505">
      <w:pPr>
        <w:jc w:val="both"/>
        <w:rPr>
          <w:rFonts w:cstheme="minorHAnsi"/>
        </w:rPr>
      </w:pPr>
      <w:r w:rsidRPr="00190505">
        <w:rPr>
          <w:rFonts w:cstheme="minorHAnsi"/>
        </w:rPr>
        <w:t xml:space="preserve">This vision of the new </w:t>
      </w:r>
      <w:r w:rsidR="002D18DD" w:rsidRPr="00190505">
        <w:rPr>
          <w:rFonts w:cstheme="minorHAnsi"/>
        </w:rPr>
        <w:t>domestication</w:t>
      </w:r>
      <w:r w:rsidRPr="00190505">
        <w:rPr>
          <w:rFonts w:cstheme="minorHAnsi"/>
        </w:rPr>
        <w:t xml:space="preserve"> of traditional gambling spaces that would appeal to women was never realised in the way that the Ladbrokes CEO envisaged. Thus, while only slightly more men than women regularly gamble (48% and 41% </w:t>
      </w:r>
      <w:r w:rsidR="009A7839" w:rsidRPr="00190505">
        <w:rPr>
          <w:rFonts w:cstheme="minorHAnsi"/>
        </w:rPr>
        <w:t>respectively</w:t>
      </w:r>
      <w:r w:rsidRPr="00190505">
        <w:rPr>
          <w:rFonts w:cstheme="minorHAnsi"/>
        </w:rPr>
        <w:t>) only 6% of women compared to 20% of men regularly bet on dogs and horses</w:t>
      </w:r>
      <w:r w:rsidR="00406732">
        <w:rPr>
          <w:rFonts w:cstheme="minorHAnsi"/>
        </w:rPr>
        <w:t xml:space="preserve"> (</w:t>
      </w:r>
      <w:r w:rsidR="00B32BCD">
        <w:rPr>
          <w:rFonts w:cstheme="minorHAnsi"/>
        </w:rPr>
        <w:t>Gambling Commission, 2020</w:t>
      </w:r>
      <w:r w:rsidR="00406732">
        <w:rPr>
          <w:rFonts w:cstheme="minorHAnsi"/>
        </w:rPr>
        <w:t>)</w:t>
      </w:r>
      <w:r w:rsidRPr="00190505">
        <w:rPr>
          <w:rFonts w:cstheme="minorHAnsi"/>
        </w:rPr>
        <w:t xml:space="preserve">. Women participate in fewer gambling activities </w:t>
      </w:r>
      <w:r w:rsidR="00A76B4B" w:rsidRPr="00190505">
        <w:rPr>
          <w:rFonts w:cstheme="minorHAnsi"/>
        </w:rPr>
        <w:t>overall and</w:t>
      </w:r>
      <w:r w:rsidRPr="00190505">
        <w:rPr>
          <w:rFonts w:cstheme="minorHAnsi"/>
        </w:rPr>
        <w:t xml:space="preserve"> choose activities that can be participated in at home. Women are thus more likely than men to play at-home gambl</w:t>
      </w:r>
      <w:r w:rsidR="00E5049E">
        <w:rPr>
          <w:rFonts w:cstheme="minorHAnsi"/>
        </w:rPr>
        <w:t>ing games</w:t>
      </w:r>
      <w:r w:rsidRPr="00190505">
        <w:rPr>
          <w:rFonts w:cstheme="minorHAnsi"/>
        </w:rPr>
        <w:t xml:space="preserve"> such as the National Lottery draw, </w:t>
      </w:r>
      <w:proofErr w:type="spellStart"/>
      <w:r w:rsidRPr="00190505">
        <w:rPr>
          <w:rFonts w:cstheme="minorHAnsi"/>
        </w:rPr>
        <w:t>scratchcards</w:t>
      </w:r>
      <w:proofErr w:type="spellEnd"/>
      <w:r w:rsidRPr="00190505">
        <w:rPr>
          <w:rFonts w:cstheme="minorHAnsi"/>
        </w:rPr>
        <w:t xml:space="preserve">, and online bingo </w:t>
      </w:r>
      <w:r w:rsidR="00E5049E">
        <w:rPr>
          <w:rFonts w:cstheme="minorHAnsi"/>
        </w:rPr>
        <w:t xml:space="preserve">which </w:t>
      </w:r>
      <w:r w:rsidRPr="00190505">
        <w:rPr>
          <w:rFonts w:cstheme="minorHAnsi"/>
        </w:rPr>
        <w:t>is especially popular among women with 80% of players female</w:t>
      </w:r>
      <w:r w:rsidR="00B32BCD">
        <w:rPr>
          <w:rFonts w:cstheme="minorHAnsi"/>
        </w:rPr>
        <w:t xml:space="preserve"> (</w:t>
      </w:r>
      <w:r w:rsidR="00B32BCD">
        <w:rPr>
          <w:rFonts w:cstheme="minorHAnsi"/>
          <w:i/>
          <w:iCs/>
        </w:rPr>
        <w:t>Ibid.</w:t>
      </w:r>
      <w:r w:rsidR="00B32BCD">
        <w:rPr>
          <w:rFonts w:cstheme="minorHAnsi"/>
        </w:rPr>
        <w:t>)</w:t>
      </w:r>
      <w:r w:rsidRPr="00190505">
        <w:rPr>
          <w:rFonts w:cstheme="minorHAnsi"/>
        </w:rPr>
        <w:t>.</w:t>
      </w:r>
    </w:p>
    <w:p w14:paraId="1352DA2E" w14:textId="729A12A4" w:rsidR="006635E8" w:rsidRPr="00190505" w:rsidRDefault="006635E8" w:rsidP="00190505">
      <w:pPr>
        <w:jc w:val="both"/>
        <w:rPr>
          <w:rFonts w:cstheme="minorHAnsi"/>
        </w:rPr>
      </w:pPr>
      <w:r w:rsidRPr="00190505">
        <w:rPr>
          <w:rFonts w:cstheme="minorHAnsi"/>
        </w:rPr>
        <w:t xml:space="preserve">With the rapid increase in women gamblers and the </w:t>
      </w:r>
      <w:r w:rsidR="00A76B4B" w:rsidRPr="00190505">
        <w:rPr>
          <w:rFonts w:cstheme="minorHAnsi"/>
        </w:rPr>
        <w:t>opening</w:t>
      </w:r>
      <w:r w:rsidRPr="00190505">
        <w:rPr>
          <w:rFonts w:cstheme="minorHAnsi"/>
        </w:rPr>
        <w:t xml:space="preserve"> of new domestic spaces for gambling, it is more important than ever that domestic rituals and practices of gambling are fully understood. Moreover, although men are more likely than women to be classified as gamblers who are ‘at risk’ of harm (6% compared with 1.9% for women); and 1.5% of men being ‘problem’ gamblers compared with 0.2% of women</w:t>
      </w:r>
      <w:r w:rsidR="00406732">
        <w:rPr>
          <w:rFonts w:cstheme="minorHAnsi"/>
        </w:rPr>
        <w:t xml:space="preserve"> (</w:t>
      </w:r>
      <w:r w:rsidR="00B32BCD">
        <w:rPr>
          <w:rFonts w:cstheme="minorHAnsi"/>
        </w:rPr>
        <w:t>Gambling Commission, 2020</w:t>
      </w:r>
      <w:r w:rsidR="00406732">
        <w:rPr>
          <w:rFonts w:cstheme="minorHAnsi"/>
        </w:rPr>
        <w:t>)</w:t>
      </w:r>
      <w:r w:rsidRPr="00190505">
        <w:rPr>
          <w:rFonts w:cstheme="minorHAnsi"/>
        </w:rPr>
        <w:t xml:space="preserve">, in other ways, women are at a disproportionate </w:t>
      </w:r>
      <w:r w:rsidRPr="00E5049E">
        <w:rPr>
          <w:rFonts w:cstheme="minorHAnsi"/>
          <w:i/>
          <w:iCs/>
        </w:rPr>
        <w:t>risk</w:t>
      </w:r>
      <w:r w:rsidRPr="00190505">
        <w:rPr>
          <w:rFonts w:cstheme="minorHAnsi"/>
        </w:rPr>
        <w:t xml:space="preserve"> of harm from gambling. </w:t>
      </w:r>
      <w:r w:rsidR="00E5049E">
        <w:rPr>
          <w:rFonts w:cstheme="minorHAnsi"/>
        </w:rPr>
        <w:t>M</w:t>
      </w:r>
      <w:r w:rsidRPr="00190505">
        <w:rPr>
          <w:rFonts w:cstheme="minorHAnsi"/>
        </w:rPr>
        <w:t>en are more likely to ‘self-exclude’ themselves from gambling games than women, are more likely to read the terms and conditions and are more likely to make a complaint about a gambling product</w:t>
      </w:r>
      <w:r w:rsidR="00253F79">
        <w:rPr>
          <w:rFonts w:cstheme="minorHAnsi"/>
        </w:rPr>
        <w:t xml:space="preserve"> (</w:t>
      </w:r>
      <w:r w:rsidR="00253F79">
        <w:rPr>
          <w:rFonts w:cstheme="minorHAnsi"/>
          <w:i/>
          <w:iCs/>
        </w:rPr>
        <w:t>Ibid.</w:t>
      </w:r>
      <w:r w:rsidR="00253F79">
        <w:rPr>
          <w:rFonts w:cstheme="minorHAnsi"/>
        </w:rPr>
        <w:t>)</w:t>
      </w:r>
      <w:r w:rsidRPr="00190505">
        <w:rPr>
          <w:rFonts w:cstheme="minorHAnsi"/>
        </w:rPr>
        <w:t>. Women are also less likely to seek help for gambling-related harms than men, meaning that recorded levels of gambling related harms among women may just be the tip of the iceberg.</w:t>
      </w:r>
    </w:p>
    <w:p w14:paraId="4C09EF9B" w14:textId="689A6261" w:rsidR="006635E8" w:rsidRPr="00190505" w:rsidRDefault="00B32BCD" w:rsidP="00190505">
      <w:pPr>
        <w:jc w:val="both"/>
        <w:rPr>
          <w:rFonts w:cstheme="minorHAnsi"/>
        </w:rPr>
      </w:pPr>
      <w:r w:rsidRPr="00190505">
        <w:rPr>
          <w:rFonts w:cstheme="minorHAnsi"/>
        </w:rPr>
        <w:t>To</w:t>
      </w:r>
      <w:r w:rsidR="006635E8" w:rsidRPr="00190505">
        <w:rPr>
          <w:rFonts w:cstheme="minorHAnsi"/>
        </w:rPr>
        <w:t xml:space="preserve"> fully understand the true extent of gambling related harms among women, we need to first identify the specific motivations and experiences of women gamblers in order that we can move away from </w:t>
      </w:r>
      <w:r w:rsidR="009A7839" w:rsidRPr="00190505">
        <w:rPr>
          <w:rFonts w:cstheme="minorHAnsi"/>
        </w:rPr>
        <w:t>homogenous</w:t>
      </w:r>
      <w:r w:rsidR="006635E8" w:rsidRPr="00190505">
        <w:rPr>
          <w:rFonts w:cstheme="minorHAnsi"/>
        </w:rPr>
        <w:t xml:space="preserve"> </w:t>
      </w:r>
      <w:r w:rsidR="002D18DD">
        <w:rPr>
          <w:rFonts w:cstheme="minorHAnsi"/>
        </w:rPr>
        <w:t xml:space="preserve">and malestream </w:t>
      </w:r>
      <w:r w:rsidR="006635E8" w:rsidRPr="00190505">
        <w:rPr>
          <w:rFonts w:cstheme="minorHAnsi"/>
        </w:rPr>
        <w:t>accounts of gambling and target support and treatment solutions accordingly</w:t>
      </w:r>
      <w:r w:rsidR="00E5049E">
        <w:rPr>
          <w:rFonts w:cstheme="minorHAnsi"/>
        </w:rPr>
        <w:t>. S</w:t>
      </w:r>
      <w:r w:rsidR="006635E8" w:rsidRPr="00190505">
        <w:rPr>
          <w:rFonts w:cstheme="minorHAnsi"/>
        </w:rPr>
        <w:t xml:space="preserve">econd, it is important to explore the relevance of the </w:t>
      </w:r>
      <w:r w:rsidR="006635E8" w:rsidRPr="00E5049E">
        <w:rPr>
          <w:rFonts w:cstheme="minorHAnsi"/>
          <w:i/>
          <w:iCs/>
        </w:rPr>
        <w:t>domestic</w:t>
      </w:r>
      <w:r w:rsidR="006635E8" w:rsidRPr="00190505">
        <w:rPr>
          <w:rFonts w:cstheme="minorHAnsi"/>
        </w:rPr>
        <w:t xml:space="preserve"> within these settings. As we have seen, recent research has demonstrated that men continue to gamble more frequently than women. Compared to women, they are more likely to engage in a wide range of gambling games, to gamble online and to become problem gamblers (</w:t>
      </w:r>
      <w:r w:rsidR="007B52F8">
        <w:rPr>
          <w:rFonts w:cstheme="minorHAnsi"/>
        </w:rPr>
        <w:t>Wardle and Seabury, 2012</w:t>
      </w:r>
      <w:r w:rsidR="006635E8" w:rsidRPr="00190505">
        <w:rPr>
          <w:rFonts w:cstheme="minorHAnsi"/>
        </w:rPr>
        <w:t xml:space="preserve">). </w:t>
      </w:r>
      <w:r w:rsidR="00E5049E">
        <w:rPr>
          <w:rFonts w:cstheme="minorHAnsi"/>
        </w:rPr>
        <w:t>However, women are also</w:t>
      </w:r>
      <w:r w:rsidR="006635E8" w:rsidRPr="00190505">
        <w:rPr>
          <w:rFonts w:cstheme="minorHAnsi"/>
        </w:rPr>
        <w:t xml:space="preserve"> significantly more likely to engage in domestic forms of gambling than men.</w:t>
      </w:r>
    </w:p>
    <w:p w14:paraId="144DE76D" w14:textId="1B10ACC4" w:rsidR="006635E8" w:rsidRPr="00190505" w:rsidRDefault="006635E8" w:rsidP="00190505">
      <w:pPr>
        <w:jc w:val="both"/>
        <w:rPr>
          <w:rFonts w:cstheme="minorHAnsi"/>
        </w:rPr>
      </w:pPr>
      <w:r w:rsidRPr="00190505">
        <w:rPr>
          <w:rFonts w:cstheme="minorHAnsi"/>
        </w:rPr>
        <w:t>Other research has also shown that women’s gambling participation, particularly online gambling has continued to increase at a more rapid rate than men’s (</w:t>
      </w:r>
      <w:proofErr w:type="spellStart"/>
      <w:r w:rsidRPr="00190505">
        <w:rPr>
          <w:rFonts w:cstheme="minorHAnsi"/>
        </w:rPr>
        <w:t>Castren</w:t>
      </w:r>
      <w:proofErr w:type="spellEnd"/>
      <w:r w:rsidRPr="00190505">
        <w:rPr>
          <w:rFonts w:cstheme="minorHAnsi"/>
        </w:rPr>
        <w:t xml:space="preserve"> et al., 2018) and that levels of problem gambling have also increased disproportionately in women (McCarthy et al., 2019; Holdsworth et al., 2012). Pointing to the significant increases in women’s gambling participation</w:t>
      </w:r>
      <w:r w:rsidR="002D18DD">
        <w:rPr>
          <w:rFonts w:cstheme="minorHAnsi"/>
        </w:rPr>
        <w:t xml:space="preserve"> in the US context</w:t>
      </w:r>
      <w:r w:rsidRPr="00190505">
        <w:rPr>
          <w:rFonts w:cstheme="minorHAnsi"/>
        </w:rPr>
        <w:t xml:space="preserve">, </w:t>
      </w:r>
      <w:r w:rsidR="00E5049E">
        <w:rPr>
          <w:rFonts w:cstheme="minorHAnsi"/>
        </w:rPr>
        <w:t xml:space="preserve">and </w:t>
      </w:r>
      <w:r w:rsidRPr="00190505">
        <w:rPr>
          <w:rFonts w:cstheme="minorHAnsi"/>
        </w:rPr>
        <w:t xml:space="preserve">a marked increase in women developing gambling problems, </w:t>
      </w:r>
      <w:proofErr w:type="spellStart"/>
      <w:r w:rsidRPr="00190505">
        <w:rPr>
          <w:rFonts w:cstheme="minorHAnsi"/>
        </w:rPr>
        <w:t>Volberg</w:t>
      </w:r>
      <w:proofErr w:type="spellEnd"/>
      <w:r w:rsidRPr="00190505">
        <w:rPr>
          <w:rFonts w:cstheme="minorHAnsi"/>
        </w:rPr>
        <w:t xml:space="preserve"> notes the ‘feminization of gambling’ (2003). However, these trends have not been reflected in research into gambling and problem gambling among women. There is currently a particular dearth of research exploring sub-groups of women’s gambling practices (McCarthy et al., 2018</w:t>
      </w:r>
      <w:r w:rsidR="00E5049E">
        <w:rPr>
          <w:rFonts w:cstheme="minorHAnsi"/>
        </w:rPr>
        <w:t>), although</w:t>
      </w:r>
      <w:r w:rsidRPr="00190505">
        <w:rPr>
          <w:rFonts w:cstheme="minorHAnsi"/>
        </w:rPr>
        <w:t xml:space="preserve"> a small body of research has revealed an association between younger women and gambling problems (</w:t>
      </w:r>
      <w:proofErr w:type="spellStart"/>
      <w:r w:rsidRPr="00190505">
        <w:rPr>
          <w:rFonts w:cstheme="minorHAnsi"/>
        </w:rPr>
        <w:t>Castren</w:t>
      </w:r>
      <w:proofErr w:type="spellEnd"/>
      <w:r w:rsidRPr="00190505">
        <w:rPr>
          <w:rFonts w:cstheme="minorHAnsi"/>
        </w:rPr>
        <w:t xml:space="preserve"> et al., 2018) and </w:t>
      </w:r>
      <w:r w:rsidRPr="00190505">
        <w:rPr>
          <w:rFonts w:cstheme="minorHAnsi"/>
        </w:rPr>
        <w:lastRenderedPageBreak/>
        <w:t xml:space="preserve">gambling among </w:t>
      </w:r>
      <w:r w:rsidR="009A7839" w:rsidRPr="00190505">
        <w:rPr>
          <w:rFonts w:cstheme="minorHAnsi"/>
        </w:rPr>
        <w:t>indigenous</w:t>
      </w:r>
      <w:r w:rsidRPr="00190505">
        <w:rPr>
          <w:rFonts w:cstheme="minorHAnsi"/>
        </w:rPr>
        <w:t xml:space="preserve"> women </w:t>
      </w:r>
      <w:r w:rsidR="00632920">
        <w:rPr>
          <w:rFonts w:cstheme="minorHAnsi"/>
        </w:rPr>
        <w:t>in Native North America (</w:t>
      </w:r>
      <w:proofErr w:type="spellStart"/>
      <w:r w:rsidR="00632920">
        <w:rPr>
          <w:rFonts w:cstheme="minorHAnsi"/>
        </w:rPr>
        <w:t>DeBoar</w:t>
      </w:r>
      <w:proofErr w:type="spellEnd"/>
      <w:r w:rsidR="00632920">
        <w:rPr>
          <w:rFonts w:cstheme="minorHAnsi"/>
        </w:rPr>
        <w:t xml:space="preserve">, 2001) and Australia </w:t>
      </w:r>
      <w:r w:rsidRPr="00190505">
        <w:rPr>
          <w:rFonts w:cstheme="minorHAnsi"/>
        </w:rPr>
        <w:t>(Hing et al., 2014).</w:t>
      </w:r>
    </w:p>
    <w:p w14:paraId="16F980F5" w14:textId="62B78E20" w:rsidR="006635E8" w:rsidRPr="00190505" w:rsidRDefault="006635E8" w:rsidP="00190505">
      <w:pPr>
        <w:jc w:val="both"/>
        <w:rPr>
          <w:rFonts w:cstheme="minorHAnsi"/>
        </w:rPr>
      </w:pPr>
      <w:r w:rsidRPr="00190505">
        <w:rPr>
          <w:rFonts w:cstheme="minorHAnsi"/>
        </w:rPr>
        <w:t xml:space="preserve">Gender differences in gambling participation are reflected in research which demonstrates gender differentials in gambling motivations. Most of these are closely tied to the domestic settings of gambling. For example, Holdsworth et al (2012), found evidence that among older women, as their domestic caring roles decrease, their gambling increased. </w:t>
      </w:r>
      <w:proofErr w:type="spellStart"/>
      <w:r w:rsidRPr="00190505">
        <w:rPr>
          <w:rFonts w:cstheme="minorHAnsi"/>
        </w:rPr>
        <w:t>Castren</w:t>
      </w:r>
      <w:proofErr w:type="spellEnd"/>
      <w:r w:rsidRPr="00190505">
        <w:rPr>
          <w:rFonts w:cstheme="minorHAnsi"/>
        </w:rPr>
        <w:t xml:space="preserve"> et al (2018) found that women are less likely than men to gamble ‘for fun’ and instead are motivated by the possibility of winning money that might prove transformative, particularly in terms of easing everyday ‘domestic’ problems and issues. Other research describes the role of ‘normative femininities’ in constructing gendered gambling identities that adhere to norms of domestic respectability (Casey, 2008; </w:t>
      </w:r>
      <w:proofErr w:type="spellStart"/>
      <w:r w:rsidRPr="00190505">
        <w:rPr>
          <w:rFonts w:cstheme="minorHAnsi"/>
        </w:rPr>
        <w:t>Gavriel</w:t>
      </w:r>
      <w:proofErr w:type="spellEnd"/>
      <w:r w:rsidRPr="00190505">
        <w:rPr>
          <w:rFonts w:cstheme="minorHAnsi"/>
        </w:rPr>
        <w:t>-Fried et al., 2015), particularly around the familial context of gambling (</w:t>
      </w:r>
      <w:proofErr w:type="spellStart"/>
      <w:r w:rsidRPr="00190505">
        <w:rPr>
          <w:rFonts w:cstheme="minorHAnsi"/>
        </w:rPr>
        <w:t>Jarvinen-Tassopoulous</w:t>
      </w:r>
      <w:proofErr w:type="spellEnd"/>
      <w:r w:rsidRPr="00190505">
        <w:rPr>
          <w:rFonts w:cstheme="minorHAnsi"/>
        </w:rPr>
        <w:t xml:space="preserve"> et al., 2015) and its social context</w:t>
      </w:r>
      <w:r w:rsidR="0016170D">
        <w:rPr>
          <w:rFonts w:cstheme="minorHAnsi"/>
        </w:rPr>
        <w:t xml:space="preserve">. </w:t>
      </w:r>
      <w:r w:rsidRPr="00190505">
        <w:rPr>
          <w:rFonts w:cstheme="minorHAnsi"/>
        </w:rPr>
        <w:t>A small body of research has examined how risk factors around gambling are gendered. Hing et al (201</w:t>
      </w:r>
      <w:r w:rsidR="0016170D">
        <w:rPr>
          <w:rFonts w:cstheme="minorHAnsi"/>
        </w:rPr>
        <w:t>4</w:t>
      </w:r>
      <w:r w:rsidRPr="00190505">
        <w:rPr>
          <w:rFonts w:cstheme="minorHAnsi"/>
        </w:rPr>
        <w:t xml:space="preserve">) for example, found that women who socialised in groups with family and friends while gambling were less likely to develop problem gambling, while gendered risk factors included participation in a greater number of gambling types, an early onset of gambling, escape-based motivation and a </w:t>
      </w:r>
      <w:r w:rsidR="00A76B4B" w:rsidRPr="00190505">
        <w:rPr>
          <w:rFonts w:cstheme="minorHAnsi"/>
        </w:rPr>
        <w:t>higher-than-average</w:t>
      </w:r>
      <w:r w:rsidRPr="00190505">
        <w:rPr>
          <w:rFonts w:cstheme="minorHAnsi"/>
        </w:rPr>
        <w:t xml:space="preserve"> incidence of alcohol and drugs. Similarly, </w:t>
      </w:r>
      <w:proofErr w:type="spellStart"/>
      <w:r w:rsidRPr="00190505">
        <w:rPr>
          <w:rFonts w:cstheme="minorHAnsi"/>
        </w:rPr>
        <w:t>Nuske</w:t>
      </w:r>
      <w:proofErr w:type="spellEnd"/>
      <w:r w:rsidRPr="00190505">
        <w:rPr>
          <w:rFonts w:cstheme="minorHAnsi"/>
        </w:rPr>
        <w:t xml:space="preserve"> et </w:t>
      </w:r>
      <w:proofErr w:type="spellStart"/>
      <w:r w:rsidRPr="00190505">
        <w:rPr>
          <w:rFonts w:cstheme="minorHAnsi"/>
        </w:rPr>
        <w:t>al’s</w:t>
      </w:r>
      <w:proofErr w:type="spellEnd"/>
      <w:r w:rsidRPr="00190505">
        <w:rPr>
          <w:rFonts w:cstheme="minorHAnsi"/>
        </w:rPr>
        <w:t xml:space="preserve"> (201</w:t>
      </w:r>
      <w:r w:rsidR="0016170D">
        <w:rPr>
          <w:rFonts w:cstheme="minorHAnsi"/>
        </w:rPr>
        <w:t>6</w:t>
      </w:r>
      <w:r w:rsidRPr="00190505">
        <w:rPr>
          <w:rFonts w:cstheme="minorHAnsi"/>
        </w:rPr>
        <w:t>) study of women problem gamblers in Australia for example, found a correlation between stressful, traumatic life events, including domestic abuse, alcohol dependency and debt, and incidents of problem gambling among women.</w:t>
      </w:r>
    </w:p>
    <w:p w14:paraId="26ABEEB8" w14:textId="52255966" w:rsidR="006635E8" w:rsidRPr="00190505" w:rsidRDefault="0023385A" w:rsidP="37AE04A3">
      <w:pPr>
        <w:jc w:val="both"/>
      </w:pPr>
      <w:r w:rsidRPr="37AE04A3">
        <w:t xml:space="preserve">It is vital that we use this research as a springboard from which to fully comprehend the transition from ‘at risk’ to problem gambling. </w:t>
      </w:r>
      <w:r w:rsidR="00E5049E" w:rsidRPr="37AE04A3">
        <w:t>R</w:t>
      </w:r>
      <w:r w:rsidRPr="37AE04A3">
        <w:t>esearch has explored the social forces inhibiting women’s recovery from problem gambling. Often these are connected to feeling unable to meet the norms of domesticity historically expected of women</w:t>
      </w:r>
      <w:r w:rsidR="009B4CB0">
        <w:t xml:space="preserve"> with gambling offering a temporal escape or emotional release from associated anxiety. Gambling adverts thus routinely promote bingo and lottery games to women as a modest ‘treat’ or escape from the demands of everyday life. This echoes earlier </w:t>
      </w:r>
      <w:r w:rsidR="007A68C2">
        <w:t>adverts that offered ‘solutions’ to the boredom, isolation and stress of domestic labour for women, such</w:t>
      </w:r>
      <w:r w:rsidR="009B4CB0">
        <w:t xml:space="preserve"> as the ‘mother’s little helper’ campaigns of the 1950s and 1960s </w:t>
      </w:r>
      <w:r w:rsidR="007A68C2">
        <w:t xml:space="preserve">that </w:t>
      </w:r>
      <w:r w:rsidR="009B4CB0">
        <w:t xml:space="preserve">offered drug consumption as a solution to the anxiety expressed by housewives. </w:t>
      </w:r>
      <w:r w:rsidR="007A68C2">
        <w:t xml:space="preserve">The recent </w:t>
      </w:r>
      <w:r w:rsidR="00722CDD">
        <w:t xml:space="preserve">popular catchphrase </w:t>
      </w:r>
      <w:r w:rsidR="007A68C2">
        <w:t xml:space="preserve">‘wine o’clock’ might be a contemporary example of a similar idea whereby alcohol is posited as a way of </w:t>
      </w:r>
      <w:r w:rsidR="004418EC">
        <w:t>easing</w:t>
      </w:r>
      <w:r w:rsidR="009B4CB0">
        <w:t xml:space="preserve"> </w:t>
      </w:r>
      <w:r w:rsidR="007A68C2">
        <w:t>a day of stress and anxiety.</w:t>
      </w:r>
      <w:r w:rsidR="009B4CB0">
        <w:t xml:space="preserve"> </w:t>
      </w:r>
      <w:r w:rsidRPr="37AE04A3">
        <w:t xml:space="preserve">McGowan (2003) examines narratives of recovery among women problem gamblers, from ‘chaos’ (despair, shame, loss, self-loathing) towards ‘reconciliation’ and healing the self via ‘transformation </w:t>
      </w:r>
      <w:proofErr w:type="gramStart"/>
      <w:r w:rsidRPr="37AE04A3">
        <w:t>narratives’</w:t>
      </w:r>
      <w:proofErr w:type="gramEnd"/>
      <w:r w:rsidRPr="37AE04A3">
        <w:t xml:space="preserve">. Similarly, </w:t>
      </w:r>
      <w:proofErr w:type="spellStart"/>
      <w:r w:rsidRPr="37AE04A3">
        <w:t>Gavriel</w:t>
      </w:r>
      <w:proofErr w:type="spellEnd"/>
      <w:r w:rsidRPr="37AE04A3">
        <w:t>-Fried et al (2015) identify women problem gamblers</w:t>
      </w:r>
      <w:r w:rsidR="00E5049E" w:rsidRPr="37AE04A3">
        <w:t>’</w:t>
      </w:r>
      <w:r w:rsidRPr="37AE04A3">
        <w:t xml:space="preserve"> rejection of stigma in their </w:t>
      </w:r>
      <w:r w:rsidR="00A655AD" w:rsidRPr="37AE04A3">
        <w:t>accounts</w:t>
      </w:r>
      <w:r w:rsidRPr="37AE04A3">
        <w:t xml:space="preserve"> of problem gambling experiences.</w:t>
      </w:r>
    </w:p>
    <w:p w14:paraId="10FA4A3C" w14:textId="66046417" w:rsidR="0023385A" w:rsidRPr="00190505" w:rsidRDefault="0023385A" w:rsidP="00190505">
      <w:pPr>
        <w:jc w:val="both"/>
        <w:rPr>
          <w:rFonts w:cstheme="minorHAnsi"/>
          <w:b/>
          <w:bCs/>
        </w:rPr>
      </w:pPr>
      <w:r w:rsidRPr="00190505">
        <w:rPr>
          <w:rFonts w:cstheme="minorHAnsi"/>
          <w:b/>
          <w:bCs/>
        </w:rPr>
        <w:t>Domestic Gambling and Covid_19</w:t>
      </w:r>
      <w:r w:rsidR="007A68C2">
        <w:rPr>
          <w:rFonts w:cstheme="minorHAnsi"/>
          <w:b/>
          <w:bCs/>
        </w:rPr>
        <w:t xml:space="preserve"> </w:t>
      </w:r>
    </w:p>
    <w:p w14:paraId="648611B0" w14:textId="6AF26798" w:rsidR="0023385A" w:rsidRPr="00190505" w:rsidRDefault="0023385A" w:rsidP="00190505">
      <w:pPr>
        <w:jc w:val="both"/>
        <w:rPr>
          <w:rFonts w:cstheme="minorHAnsi"/>
        </w:rPr>
      </w:pPr>
      <w:r w:rsidRPr="00190505">
        <w:rPr>
          <w:rFonts w:cstheme="minorHAnsi"/>
        </w:rPr>
        <w:t xml:space="preserve">What we see from the discussion above is that women’s experiences of gambling-related harms and risk are directly connected to their relationships with the domestic sphere in a way that is not generally the case for male gamblers. The Covid_19 pandemic </w:t>
      </w:r>
      <w:r w:rsidR="00B20B02">
        <w:rPr>
          <w:rFonts w:cstheme="minorHAnsi"/>
        </w:rPr>
        <w:t xml:space="preserve">has </w:t>
      </w:r>
      <w:r w:rsidRPr="00190505">
        <w:rPr>
          <w:rFonts w:cstheme="minorHAnsi"/>
        </w:rPr>
        <w:t xml:space="preserve">had a transformative impact on the domestic sphere which has been rapidly reconfigured as a space for work and leisure (Casey and Huq, 2021). </w:t>
      </w:r>
      <w:r w:rsidR="00E5049E">
        <w:rPr>
          <w:rFonts w:cstheme="minorHAnsi"/>
        </w:rPr>
        <w:t>In addition, t</w:t>
      </w:r>
      <w:r w:rsidRPr="00190505">
        <w:rPr>
          <w:rFonts w:cstheme="minorHAnsi"/>
        </w:rPr>
        <w:t xml:space="preserve">he pandemic has had a particularly notable impact on the ways that people gamble. During ‘lockdown’, many of the traditional, public sites of gambling such as betting shops, casinos, </w:t>
      </w:r>
      <w:proofErr w:type="gramStart"/>
      <w:r w:rsidR="00A76B4B" w:rsidRPr="00190505">
        <w:rPr>
          <w:rFonts w:cstheme="minorHAnsi"/>
        </w:rPr>
        <w:t>racetracks</w:t>
      </w:r>
      <w:proofErr w:type="gramEnd"/>
      <w:r w:rsidRPr="00190505">
        <w:rPr>
          <w:rFonts w:cstheme="minorHAnsi"/>
        </w:rPr>
        <w:t xml:space="preserve"> and bingo halls closed, leading to the intensification of gambling within the domestic sphere. Early findings following the Covid_19 pandemic have pointed to significant changes in the way people gamble, centred around new configurations of the domestic sphere</w:t>
      </w:r>
      <w:r w:rsidR="007B52F8">
        <w:rPr>
          <w:rFonts w:cstheme="minorHAnsi"/>
        </w:rPr>
        <w:t xml:space="preserve"> (Gambling Commission, 2020)</w:t>
      </w:r>
      <w:r w:rsidRPr="00190505">
        <w:rPr>
          <w:rFonts w:cstheme="minorHAnsi"/>
        </w:rPr>
        <w:t>.</w:t>
      </w:r>
    </w:p>
    <w:p w14:paraId="36D8133B" w14:textId="7B9352DC" w:rsidR="0023385A" w:rsidRPr="00190505" w:rsidRDefault="0023385A" w:rsidP="37AE04A3">
      <w:pPr>
        <w:jc w:val="both"/>
      </w:pPr>
      <w:r w:rsidRPr="37AE04A3">
        <w:t>Overall,</w:t>
      </w:r>
      <w:r w:rsidR="00D746A9" w:rsidRPr="37AE04A3">
        <w:t xml:space="preserve"> in the UK</w:t>
      </w:r>
      <w:r w:rsidRPr="37AE04A3">
        <w:t xml:space="preserve"> there was a decrease of 5% in overall gambling participation between March and April 2020 at the beginning of the first lockdown and fewer new gamblers (Gambling Commission, </w:t>
      </w:r>
      <w:r w:rsidRPr="37AE04A3">
        <w:lastRenderedPageBreak/>
        <w:t>2020). However, data also reveal that people who already gamble are trying out new products and are engaging in more than one online gambling activity. Data also show an increase in online sessions lasting over one hour. Perhaps unsurprisingly given the closure of sporting venues during lockdown, ‘real event’ betting fell by 55% while online betting rose by 44% (Gambling Commission, 2020). In the same period</w:t>
      </w:r>
      <w:r w:rsidR="004418EC">
        <w:t xml:space="preserve"> between March </w:t>
      </w:r>
      <w:r w:rsidR="00722CDD">
        <w:t>and</w:t>
      </w:r>
      <w:r w:rsidR="004418EC">
        <w:t xml:space="preserve"> April 2020</w:t>
      </w:r>
      <w:r w:rsidRPr="37AE04A3">
        <w:t>, the National Gambling Helpline noted a doubling of safeguarding calls from women affected by gambling, with helpline staff flagging increased concerns around domestic abuse, financial problems and stress and anxiety (</w:t>
      </w:r>
      <w:proofErr w:type="spellStart"/>
      <w:r w:rsidRPr="37AE04A3">
        <w:t>GamCare</w:t>
      </w:r>
      <w:proofErr w:type="spellEnd"/>
      <w:r w:rsidRPr="37AE04A3">
        <w:t>, 2020).</w:t>
      </w:r>
    </w:p>
    <w:p w14:paraId="4D302F2F" w14:textId="5A098058" w:rsidR="00977075" w:rsidRPr="00190505" w:rsidRDefault="00A655AD" w:rsidP="00190505">
      <w:pPr>
        <w:jc w:val="both"/>
        <w:rPr>
          <w:rFonts w:cstheme="minorHAnsi"/>
        </w:rPr>
      </w:pPr>
      <w:r w:rsidRPr="00190505">
        <w:rPr>
          <w:rFonts w:cstheme="minorHAnsi"/>
        </w:rPr>
        <w:t>Covid_19 has also borne witness to significant changes in women’s gambling experiences. The Gordon Moody Foundation</w:t>
      </w:r>
      <w:r w:rsidR="005F40EF">
        <w:rPr>
          <w:rStyle w:val="FootnoteReference"/>
          <w:rFonts w:cstheme="minorHAnsi"/>
        </w:rPr>
        <w:footnoteReference w:id="1"/>
      </w:r>
      <w:r w:rsidRPr="00190505">
        <w:rPr>
          <w:rFonts w:cstheme="minorHAnsi"/>
        </w:rPr>
        <w:t xml:space="preserve"> say that women reporting gambling problems in 2020 is increasing at double the rate of men. </w:t>
      </w:r>
      <w:proofErr w:type="gramStart"/>
      <w:r w:rsidRPr="00190505">
        <w:rPr>
          <w:rFonts w:cstheme="minorHAnsi"/>
        </w:rPr>
        <w:t>As a consequence of</w:t>
      </w:r>
      <w:proofErr w:type="gramEnd"/>
      <w:r w:rsidRPr="00190505">
        <w:rPr>
          <w:rFonts w:cstheme="minorHAnsi"/>
        </w:rPr>
        <w:t xml:space="preserve"> the increase in demand, Gordon Moody </w:t>
      </w:r>
      <w:r w:rsidR="007447F6">
        <w:rPr>
          <w:rFonts w:cstheme="minorHAnsi"/>
        </w:rPr>
        <w:t>announced plans to</w:t>
      </w:r>
      <w:r w:rsidR="007447F6">
        <w:rPr>
          <w:rFonts w:cstheme="minorHAnsi"/>
        </w:rPr>
        <w:t xml:space="preserve"> </w:t>
      </w:r>
      <w:r w:rsidR="00B32BCD">
        <w:rPr>
          <w:rFonts w:cstheme="minorHAnsi"/>
        </w:rPr>
        <w:t>open</w:t>
      </w:r>
      <w:r w:rsidRPr="00190505">
        <w:rPr>
          <w:rFonts w:cstheme="minorHAnsi"/>
        </w:rPr>
        <w:t xml:space="preserve"> its first dedicated residential treatment centre for women suffering gambling related harms</w:t>
      </w:r>
      <w:r w:rsidR="00B32BCD">
        <w:rPr>
          <w:rFonts w:cstheme="minorHAnsi"/>
        </w:rPr>
        <w:t>.</w:t>
      </w:r>
    </w:p>
    <w:p w14:paraId="640ECAB0" w14:textId="061D9B8F" w:rsidR="00A655AD" w:rsidRPr="00190505" w:rsidRDefault="00A655AD" w:rsidP="00190505">
      <w:pPr>
        <w:jc w:val="both"/>
        <w:rPr>
          <w:rFonts w:cstheme="minorHAnsi"/>
        </w:rPr>
      </w:pPr>
      <w:r w:rsidRPr="00190505">
        <w:rPr>
          <w:rFonts w:cstheme="minorHAnsi"/>
        </w:rPr>
        <w:t xml:space="preserve">Early research </w:t>
      </w:r>
      <w:r w:rsidR="00586BEB">
        <w:rPr>
          <w:rFonts w:cstheme="minorHAnsi"/>
        </w:rPr>
        <w:t xml:space="preserve">conducted by </w:t>
      </w:r>
      <w:proofErr w:type="spellStart"/>
      <w:r w:rsidR="00586BEB">
        <w:rPr>
          <w:rFonts w:cstheme="minorHAnsi"/>
        </w:rPr>
        <w:t>GamCare</w:t>
      </w:r>
      <w:proofErr w:type="spellEnd"/>
      <w:r w:rsidR="00586BEB">
        <w:rPr>
          <w:rFonts w:cstheme="minorHAnsi"/>
        </w:rPr>
        <w:t xml:space="preserve"> </w:t>
      </w:r>
      <w:r w:rsidRPr="00190505">
        <w:rPr>
          <w:rFonts w:cstheme="minorHAnsi"/>
        </w:rPr>
        <w:t xml:space="preserve">following the pandemic found that worries and anxieties that are already high </w:t>
      </w:r>
      <w:r w:rsidR="002C1993" w:rsidRPr="00190505">
        <w:rPr>
          <w:rFonts w:cstheme="minorHAnsi"/>
        </w:rPr>
        <w:t>among</w:t>
      </w:r>
      <w:r w:rsidRPr="00190505">
        <w:rPr>
          <w:rFonts w:cstheme="minorHAnsi"/>
        </w:rPr>
        <w:t xml:space="preserve"> women who had been affected and harmed by gambling were exacerbated during the pandemic</w:t>
      </w:r>
      <w:r w:rsidR="00586BEB">
        <w:rPr>
          <w:rFonts w:cstheme="minorHAnsi"/>
        </w:rPr>
        <w:t xml:space="preserve"> (</w:t>
      </w:r>
      <w:proofErr w:type="spellStart"/>
      <w:r w:rsidR="00586BEB">
        <w:rPr>
          <w:rFonts w:cstheme="minorHAnsi"/>
        </w:rPr>
        <w:t>GamCare</w:t>
      </w:r>
      <w:proofErr w:type="spellEnd"/>
      <w:r w:rsidR="00586BEB">
        <w:rPr>
          <w:rFonts w:cstheme="minorHAnsi"/>
        </w:rPr>
        <w:t>, 2020)</w:t>
      </w:r>
      <w:r w:rsidRPr="00190505">
        <w:rPr>
          <w:rFonts w:cstheme="minorHAnsi"/>
        </w:rPr>
        <w:t xml:space="preserve">. </w:t>
      </w:r>
      <w:r w:rsidR="007447F6">
        <w:rPr>
          <w:rFonts w:cstheme="minorHAnsi"/>
        </w:rPr>
        <w:t>W</w:t>
      </w:r>
      <w:r w:rsidRPr="00190505">
        <w:rPr>
          <w:rFonts w:cstheme="minorHAnsi"/>
        </w:rPr>
        <w:t xml:space="preserve">omen were reluctant to seek help for gambling problems firstly, because of a pre-occupation with the pandemic, and second because of concerns around privacy at home. Overall, there was more take up of </w:t>
      </w:r>
      <w:r w:rsidR="009A7839" w:rsidRPr="00190505">
        <w:rPr>
          <w:rFonts w:cstheme="minorHAnsi"/>
        </w:rPr>
        <w:t>text-based</w:t>
      </w:r>
      <w:r w:rsidRPr="00190505">
        <w:rPr>
          <w:rFonts w:cstheme="minorHAnsi"/>
        </w:rPr>
        <w:t xml:space="preserve"> support and online chatrooms for support during the pandemic, but women often cited lack of privacy at home as a key reason not to access these services.</w:t>
      </w:r>
      <w:r w:rsidR="007B52F8">
        <w:rPr>
          <w:rFonts w:cstheme="minorHAnsi"/>
        </w:rPr>
        <w:t xml:space="preserve"> </w:t>
      </w:r>
      <w:r w:rsidRPr="00190505">
        <w:rPr>
          <w:rFonts w:cstheme="minorHAnsi"/>
        </w:rPr>
        <w:t xml:space="preserve">Early research findings indicate that women have been disproportionately affected by the pandemic </w:t>
      </w:r>
      <w:r w:rsidRPr="00190505">
        <w:rPr>
          <w:rFonts w:cstheme="minorHAnsi"/>
          <w:i/>
          <w:iCs/>
        </w:rPr>
        <w:t xml:space="preserve">and </w:t>
      </w:r>
      <w:proofErr w:type="gramStart"/>
      <w:r w:rsidRPr="00190505">
        <w:rPr>
          <w:rFonts w:cstheme="minorHAnsi"/>
        </w:rPr>
        <w:t>as a consequence</w:t>
      </w:r>
      <w:proofErr w:type="gramEnd"/>
      <w:r w:rsidRPr="00190505">
        <w:rPr>
          <w:rFonts w:cstheme="minorHAnsi"/>
        </w:rPr>
        <w:t>, their own gambling or as affected others.</w:t>
      </w:r>
    </w:p>
    <w:p w14:paraId="36812D11" w14:textId="7B76A657" w:rsidR="00A655AD" w:rsidRPr="00190505" w:rsidRDefault="00AF43B2" w:rsidP="00190505">
      <w:pPr>
        <w:jc w:val="both"/>
        <w:rPr>
          <w:rFonts w:cstheme="minorHAnsi"/>
          <w:b/>
          <w:bCs/>
        </w:rPr>
      </w:pPr>
      <w:r w:rsidRPr="00190505">
        <w:rPr>
          <w:rFonts w:cstheme="minorHAnsi"/>
          <w:b/>
          <w:bCs/>
        </w:rPr>
        <w:t>The Gambling and Households Study -</w:t>
      </w:r>
      <w:r w:rsidR="00A655AD" w:rsidRPr="00190505">
        <w:rPr>
          <w:rFonts w:cstheme="minorHAnsi"/>
          <w:b/>
          <w:bCs/>
        </w:rPr>
        <w:t xml:space="preserve"> Mass Observation Archive</w:t>
      </w:r>
    </w:p>
    <w:p w14:paraId="64BE3D67" w14:textId="398DA87A" w:rsidR="00190505" w:rsidRPr="00190505" w:rsidRDefault="00190505" w:rsidP="00406A5C">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The </w:t>
      </w:r>
      <w:r w:rsidRPr="00190505">
        <w:rPr>
          <w:rFonts w:eastAsia="Times New Roman" w:cstheme="minorHAnsi"/>
          <w:i/>
          <w:iCs/>
          <w:color w:val="201F1E"/>
          <w:lang w:eastAsia="en-GB"/>
        </w:rPr>
        <w:t>Gambling and Households</w:t>
      </w:r>
      <w:r w:rsidRPr="00190505">
        <w:rPr>
          <w:rFonts w:eastAsia="Times New Roman" w:cstheme="minorHAnsi"/>
          <w:color w:val="201F1E"/>
          <w:lang w:eastAsia="en-GB"/>
        </w:rPr>
        <w:t xml:space="preserve"> study aimed to explore the hitherto overlooked domestic sphere as site for gambling related harms.</w:t>
      </w:r>
      <w:r w:rsidR="00406A5C">
        <w:rPr>
          <w:rFonts w:eastAsia="Times New Roman" w:cstheme="minorHAnsi"/>
          <w:color w:val="201F1E"/>
          <w:lang w:eastAsia="en-GB"/>
        </w:rPr>
        <w:t xml:space="preserve"> I worked alongside Mass Observation Archive to establish the first Mass Observation ‘directive’ on the topic of gambling since the 1940s. </w:t>
      </w:r>
    </w:p>
    <w:p w14:paraId="71469373" w14:textId="77777777" w:rsidR="00190505" w:rsidRPr="00190505" w:rsidRDefault="00190505" w:rsidP="00190505">
      <w:pPr>
        <w:shd w:val="clear" w:color="auto" w:fill="FFFFFF"/>
        <w:spacing w:after="0" w:line="240" w:lineRule="auto"/>
        <w:jc w:val="both"/>
        <w:textAlignment w:val="baseline"/>
        <w:rPr>
          <w:rFonts w:eastAsia="Times New Roman" w:cstheme="minorHAnsi"/>
          <w:color w:val="201F1E"/>
          <w:lang w:eastAsia="en-GB"/>
        </w:rPr>
      </w:pPr>
    </w:p>
    <w:p w14:paraId="41862A67" w14:textId="3B90C8B8" w:rsidR="00190505" w:rsidRPr="00190505" w:rsidRDefault="00E5049E" w:rsidP="00190505">
      <w:pPr>
        <w:shd w:val="clear" w:color="auto" w:fill="FFFFFF"/>
        <w:spacing w:after="0" w:line="240" w:lineRule="auto"/>
        <w:jc w:val="both"/>
        <w:textAlignment w:val="baseline"/>
        <w:rPr>
          <w:rFonts w:eastAsia="Times New Roman" w:cstheme="minorHAnsi"/>
          <w:color w:val="201F1E"/>
          <w:lang w:eastAsia="en-GB"/>
        </w:rPr>
      </w:pPr>
      <w:r>
        <w:rPr>
          <w:rFonts w:eastAsia="Times New Roman" w:cstheme="minorHAnsi"/>
          <w:color w:val="201F1E"/>
          <w:lang w:eastAsia="en-GB"/>
        </w:rPr>
        <w:t>Founded</w:t>
      </w:r>
      <w:r w:rsidR="00190505" w:rsidRPr="00190505">
        <w:rPr>
          <w:rFonts w:eastAsia="Times New Roman" w:cstheme="minorHAnsi"/>
          <w:color w:val="201F1E"/>
          <w:lang w:eastAsia="en-GB"/>
        </w:rPr>
        <w:t xml:space="preserve"> in 193</w:t>
      </w:r>
      <w:r w:rsidR="00190505">
        <w:rPr>
          <w:rFonts w:eastAsia="Times New Roman" w:cstheme="minorHAnsi"/>
          <w:color w:val="201F1E"/>
          <w:lang w:eastAsia="en-GB"/>
        </w:rPr>
        <w:t>7</w:t>
      </w:r>
      <w:r w:rsidR="00190505" w:rsidRPr="00190505">
        <w:rPr>
          <w:rFonts w:eastAsia="Times New Roman" w:cstheme="minorHAnsi"/>
          <w:color w:val="201F1E"/>
          <w:lang w:eastAsia="en-GB"/>
        </w:rPr>
        <w:t xml:space="preserve"> by the anthropologists Tom </w:t>
      </w:r>
      <w:proofErr w:type="spellStart"/>
      <w:r w:rsidR="00190505" w:rsidRPr="00190505">
        <w:rPr>
          <w:rFonts w:eastAsia="Times New Roman" w:cstheme="minorHAnsi"/>
          <w:color w:val="201F1E"/>
          <w:lang w:eastAsia="en-GB"/>
        </w:rPr>
        <w:t>Harri</w:t>
      </w:r>
      <w:r w:rsidR="007447F6">
        <w:rPr>
          <w:rFonts w:eastAsia="Times New Roman" w:cstheme="minorHAnsi"/>
          <w:color w:val="201F1E"/>
          <w:lang w:eastAsia="en-GB"/>
        </w:rPr>
        <w:t>s</w:t>
      </w:r>
      <w:r w:rsidR="00190505" w:rsidRPr="00190505">
        <w:rPr>
          <w:rFonts w:eastAsia="Times New Roman" w:cstheme="minorHAnsi"/>
          <w:color w:val="201F1E"/>
          <w:lang w:eastAsia="en-GB"/>
        </w:rPr>
        <w:t>son</w:t>
      </w:r>
      <w:proofErr w:type="spellEnd"/>
      <w:r w:rsidR="00190505">
        <w:rPr>
          <w:rFonts w:eastAsia="Times New Roman" w:cstheme="minorHAnsi"/>
          <w:color w:val="201F1E"/>
          <w:lang w:eastAsia="en-GB"/>
        </w:rPr>
        <w:t>, Humphrey Jennings</w:t>
      </w:r>
      <w:r w:rsidR="00190505" w:rsidRPr="00190505">
        <w:rPr>
          <w:rFonts w:eastAsia="Times New Roman" w:cstheme="minorHAnsi"/>
          <w:color w:val="201F1E"/>
          <w:lang w:eastAsia="en-GB"/>
        </w:rPr>
        <w:t xml:space="preserve"> and </w:t>
      </w:r>
      <w:r w:rsidR="00190505">
        <w:rPr>
          <w:rFonts w:eastAsia="Times New Roman" w:cstheme="minorHAnsi"/>
          <w:color w:val="201F1E"/>
          <w:lang w:eastAsia="en-GB"/>
        </w:rPr>
        <w:t>Charles Madge</w:t>
      </w:r>
      <w:r>
        <w:rPr>
          <w:rFonts w:eastAsia="Times New Roman" w:cstheme="minorHAnsi"/>
          <w:color w:val="201F1E"/>
          <w:lang w:eastAsia="en-GB"/>
        </w:rPr>
        <w:t>, t</w:t>
      </w:r>
      <w:r w:rsidR="00190505" w:rsidRPr="00190505">
        <w:rPr>
          <w:rFonts w:eastAsia="Times New Roman" w:cstheme="minorHAnsi"/>
          <w:color w:val="201F1E"/>
          <w:lang w:eastAsia="en-GB"/>
        </w:rPr>
        <w:t xml:space="preserve">he intention of the </w:t>
      </w:r>
      <w:r>
        <w:rPr>
          <w:rFonts w:eastAsia="Times New Roman" w:cstheme="minorHAnsi"/>
          <w:color w:val="201F1E"/>
          <w:lang w:eastAsia="en-GB"/>
        </w:rPr>
        <w:t>Mass Observation A</w:t>
      </w:r>
      <w:r w:rsidR="00190505" w:rsidRPr="00190505">
        <w:rPr>
          <w:rFonts w:eastAsia="Times New Roman" w:cstheme="minorHAnsi"/>
          <w:color w:val="201F1E"/>
          <w:lang w:eastAsia="en-GB"/>
        </w:rPr>
        <w:t>rchive was to record the hitherto overlooked aspects of everyday life and to gather detailed diary information from working-class people whose opinions and words were often not represented in mainstream sociological research</w:t>
      </w:r>
      <w:r w:rsidR="00B32BCD">
        <w:rPr>
          <w:rFonts w:eastAsia="Times New Roman" w:cstheme="minorHAnsi"/>
          <w:color w:val="201F1E"/>
          <w:lang w:eastAsia="en-GB"/>
        </w:rPr>
        <w:t xml:space="preserve"> (Casey et al., 2014)</w:t>
      </w:r>
      <w:r w:rsidR="00190505" w:rsidRPr="00190505">
        <w:rPr>
          <w:rFonts w:eastAsia="Times New Roman" w:cstheme="minorHAnsi"/>
          <w:color w:val="201F1E"/>
          <w:lang w:eastAsia="en-GB"/>
        </w:rPr>
        <w:t>.</w:t>
      </w:r>
      <w:r w:rsidR="00B32BCD">
        <w:rPr>
          <w:rFonts w:eastAsia="Times New Roman" w:cstheme="minorHAnsi"/>
          <w:color w:val="201F1E"/>
          <w:lang w:eastAsia="en-GB"/>
        </w:rPr>
        <w:t xml:space="preserve"> </w:t>
      </w:r>
      <w:r w:rsidR="00190505" w:rsidRPr="00190505">
        <w:rPr>
          <w:rFonts w:eastAsia="Times New Roman" w:cstheme="minorHAnsi"/>
          <w:color w:val="201F1E"/>
          <w:lang w:eastAsia="en-GB"/>
        </w:rPr>
        <w:t xml:space="preserve">Today, the Archive sends out ‘Directives’ to people who volunteer to write for the archive (‘Observers’) twice a year. Observers are asked to write in detail, uninterrupted and in their own time on a given topic. For </w:t>
      </w:r>
      <w:r w:rsidR="004418EC">
        <w:rPr>
          <w:rFonts w:eastAsia="Times New Roman" w:cstheme="minorHAnsi"/>
          <w:color w:val="201F1E"/>
          <w:lang w:eastAsia="en-GB"/>
        </w:rPr>
        <w:t>my</w:t>
      </w:r>
      <w:r w:rsidR="004418EC" w:rsidRPr="00190505">
        <w:rPr>
          <w:rFonts w:eastAsia="Times New Roman" w:cstheme="minorHAnsi"/>
          <w:color w:val="201F1E"/>
          <w:lang w:eastAsia="en-GB"/>
        </w:rPr>
        <w:t xml:space="preserve"> </w:t>
      </w:r>
      <w:r w:rsidR="00190505" w:rsidRPr="00190505">
        <w:rPr>
          <w:rFonts w:eastAsia="Times New Roman" w:cstheme="minorHAnsi"/>
          <w:color w:val="201F1E"/>
          <w:lang w:eastAsia="en-GB"/>
        </w:rPr>
        <w:t>research, Observers were asked to record their experiences of, feelings towards and memories of gambling within household settings.</w:t>
      </w:r>
    </w:p>
    <w:p w14:paraId="53158C74" w14:textId="77777777" w:rsidR="00190505" w:rsidRPr="00190505" w:rsidRDefault="00190505" w:rsidP="00190505">
      <w:pPr>
        <w:shd w:val="clear" w:color="auto" w:fill="FFFFFF"/>
        <w:spacing w:after="0" w:line="240" w:lineRule="auto"/>
        <w:jc w:val="both"/>
        <w:textAlignment w:val="baseline"/>
        <w:rPr>
          <w:rFonts w:eastAsia="Times New Roman" w:cstheme="minorHAnsi"/>
          <w:color w:val="201F1E"/>
          <w:lang w:eastAsia="en-GB"/>
        </w:rPr>
      </w:pPr>
    </w:p>
    <w:p w14:paraId="7818F17F" w14:textId="26987988" w:rsidR="00190505" w:rsidRPr="00190505" w:rsidRDefault="00190505"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There had previously been a Directive about gambling which was commissioned by the sociologist and social reformer Seebohm Roundtree in 1945. Later his chapter </w:t>
      </w:r>
      <w:r w:rsidRPr="00190505">
        <w:rPr>
          <w:rFonts w:eastAsia="Times New Roman" w:cstheme="minorHAnsi"/>
          <w:i/>
          <w:iCs/>
          <w:color w:val="201F1E"/>
          <w:lang w:eastAsia="en-GB"/>
        </w:rPr>
        <w:t>Mass Gambling</w:t>
      </w:r>
      <w:r w:rsidRPr="00190505">
        <w:rPr>
          <w:rFonts w:eastAsia="Times New Roman" w:cstheme="minorHAnsi"/>
          <w:color w:val="201F1E"/>
          <w:lang w:eastAsia="en-GB"/>
        </w:rPr>
        <w:t xml:space="preserve"> was published in his seminal study of poverty in York. However interestingly, </w:t>
      </w:r>
      <w:r w:rsidR="00B32BCD">
        <w:rPr>
          <w:rFonts w:eastAsia="Times New Roman" w:cstheme="minorHAnsi"/>
          <w:color w:val="201F1E"/>
          <w:lang w:eastAsia="en-GB"/>
        </w:rPr>
        <w:t>Rowntree</w:t>
      </w:r>
      <w:r w:rsidRPr="00190505">
        <w:rPr>
          <w:rFonts w:eastAsia="Times New Roman" w:cstheme="minorHAnsi"/>
          <w:color w:val="201F1E"/>
          <w:lang w:eastAsia="en-GB"/>
        </w:rPr>
        <w:t xml:space="preserve"> decided not to use the Mass Observation </w:t>
      </w:r>
      <w:r w:rsidR="004418EC">
        <w:rPr>
          <w:rFonts w:eastAsia="Times New Roman" w:cstheme="minorHAnsi"/>
          <w:color w:val="201F1E"/>
          <w:lang w:eastAsia="en-GB"/>
        </w:rPr>
        <w:t xml:space="preserve">(MOA) </w:t>
      </w:r>
      <w:r w:rsidRPr="00190505">
        <w:rPr>
          <w:rFonts w:eastAsia="Times New Roman" w:cstheme="minorHAnsi"/>
          <w:color w:val="201F1E"/>
          <w:lang w:eastAsia="en-GB"/>
        </w:rPr>
        <w:t xml:space="preserve">data </w:t>
      </w:r>
      <w:r w:rsidR="00B32BCD">
        <w:rPr>
          <w:rFonts w:eastAsia="Times New Roman" w:cstheme="minorHAnsi"/>
          <w:color w:val="201F1E"/>
          <w:lang w:eastAsia="en-GB"/>
        </w:rPr>
        <w:t xml:space="preserve">in the chapter, </w:t>
      </w:r>
      <w:r w:rsidRPr="00190505">
        <w:rPr>
          <w:rFonts w:eastAsia="Times New Roman" w:cstheme="minorHAnsi"/>
          <w:color w:val="201F1E"/>
          <w:lang w:eastAsia="en-GB"/>
        </w:rPr>
        <w:t xml:space="preserve">describing </w:t>
      </w:r>
      <w:r w:rsidR="00B32BCD">
        <w:rPr>
          <w:rFonts w:eastAsia="Times New Roman" w:cstheme="minorHAnsi"/>
          <w:color w:val="201F1E"/>
          <w:lang w:eastAsia="en-GB"/>
        </w:rPr>
        <w:t>it</w:t>
      </w:r>
      <w:r w:rsidRPr="00190505">
        <w:rPr>
          <w:rFonts w:eastAsia="Times New Roman" w:cstheme="minorHAnsi"/>
          <w:color w:val="201F1E"/>
          <w:lang w:eastAsia="en-GB"/>
        </w:rPr>
        <w:t xml:space="preserve"> in a letter to </w:t>
      </w:r>
      <w:r w:rsidR="004418EC">
        <w:rPr>
          <w:rFonts w:eastAsia="Times New Roman" w:cstheme="minorHAnsi"/>
          <w:color w:val="201F1E"/>
          <w:lang w:eastAsia="en-GB"/>
        </w:rPr>
        <w:t xml:space="preserve">one of the founders of the MOA, </w:t>
      </w:r>
      <w:r w:rsidRPr="00190505">
        <w:rPr>
          <w:rFonts w:eastAsia="Times New Roman" w:cstheme="minorHAnsi"/>
          <w:color w:val="201F1E"/>
          <w:lang w:eastAsia="en-GB"/>
        </w:rPr>
        <w:t xml:space="preserve">Tom </w:t>
      </w:r>
      <w:proofErr w:type="spellStart"/>
      <w:r w:rsidRPr="00190505">
        <w:rPr>
          <w:rFonts w:eastAsia="Times New Roman" w:cstheme="minorHAnsi"/>
          <w:color w:val="201F1E"/>
          <w:lang w:eastAsia="en-GB"/>
        </w:rPr>
        <w:t>Harri</w:t>
      </w:r>
      <w:r w:rsidR="00B32BCD">
        <w:rPr>
          <w:rFonts w:eastAsia="Times New Roman" w:cstheme="minorHAnsi"/>
          <w:color w:val="201F1E"/>
          <w:lang w:eastAsia="en-GB"/>
        </w:rPr>
        <w:t>s</w:t>
      </w:r>
      <w:r w:rsidRPr="00190505">
        <w:rPr>
          <w:rFonts w:eastAsia="Times New Roman" w:cstheme="minorHAnsi"/>
          <w:color w:val="201F1E"/>
          <w:lang w:eastAsia="en-GB"/>
        </w:rPr>
        <w:t>son</w:t>
      </w:r>
      <w:proofErr w:type="spellEnd"/>
      <w:r w:rsidRPr="00190505">
        <w:rPr>
          <w:rFonts w:eastAsia="Times New Roman" w:cstheme="minorHAnsi"/>
          <w:color w:val="201F1E"/>
          <w:lang w:eastAsia="en-GB"/>
        </w:rPr>
        <w:t xml:space="preserve"> as being</w:t>
      </w:r>
      <w:r w:rsidR="00E5049E">
        <w:rPr>
          <w:rFonts w:eastAsia="Times New Roman" w:cstheme="minorHAnsi"/>
          <w:color w:val="201F1E"/>
          <w:lang w:eastAsia="en-GB"/>
        </w:rPr>
        <w:t xml:space="preserve"> unwieldy,</w:t>
      </w:r>
      <w:r w:rsidRPr="00190505">
        <w:rPr>
          <w:rFonts w:eastAsia="Times New Roman" w:cstheme="minorHAnsi"/>
          <w:color w:val="201F1E"/>
          <w:lang w:eastAsia="en-GB"/>
        </w:rPr>
        <w:t xml:space="preserve"> </w:t>
      </w:r>
      <w:r w:rsidR="00E5049E">
        <w:rPr>
          <w:rFonts w:eastAsia="Times New Roman" w:cstheme="minorHAnsi"/>
          <w:color w:val="201F1E"/>
          <w:lang w:eastAsia="en-GB"/>
        </w:rPr>
        <w:t>‘far too long’, ‘repetitive’ and lacking in ‘objective construction’ (Casey, 2014)</w:t>
      </w:r>
      <w:r w:rsidRPr="00190505">
        <w:rPr>
          <w:rFonts w:eastAsia="Times New Roman" w:cstheme="minorHAnsi"/>
          <w:color w:val="201F1E"/>
          <w:lang w:eastAsia="en-GB"/>
        </w:rPr>
        <w:t xml:space="preserve">. </w:t>
      </w:r>
      <w:r w:rsidR="00AC281E">
        <w:rPr>
          <w:rFonts w:eastAsia="Times New Roman" w:cstheme="minorHAnsi"/>
          <w:color w:val="201F1E"/>
          <w:lang w:eastAsia="en-GB"/>
        </w:rPr>
        <w:t xml:space="preserve">Rowntree’s </w:t>
      </w:r>
      <w:r w:rsidR="00B32BCD">
        <w:rPr>
          <w:rFonts w:eastAsia="Times New Roman" w:cstheme="minorHAnsi"/>
          <w:color w:val="201F1E"/>
          <w:lang w:eastAsia="en-GB"/>
        </w:rPr>
        <w:t>reticence</w:t>
      </w:r>
      <w:r w:rsidRPr="00190505">
        <w:rPr>
          <w:rFonts w:eastAsia="Times New Roman" w:cstheme="minorHAnsi"/>
          <w:color w:val="201F1E"/>
          <w:lang w:eastAsia="en-GB"/>
        </w:rPr>
        <w:t xml:space="preserve"> </w:t>
      </w:r>
      <w:r w:rsidR="00AC281E">
        <w:rPr>
          <w:rFonts w:eastAsia="Times New Roman" w:cstheme="minorHAnsi"/>
          <w:color w:val="201F1E"/>
          <w:lang w:eastAsia="en-GB"/>
        </w:rPr>
        <w:t xml:space="preserve">to using the data </w:t>
      </w:r>
      <w:r w:rsidRPr="00190505">
        <w:rPr>
          <w:rFonts w:eastAsia="Times New Roman" w:cstheme="minorHAnsi"/>
          <w:color w:val="201F1E"/>
          <w:lang w:eastAsia="en-GB"/>
        </w:rPr>
        <w:t>very much reflected the methodological priorities of the period. Today it is more widely recognised that the lived experiences of gamblers form an important part in making sense of and mitigating against gambling related harms</w:t>
      </w:r>
      <w:r w:rsidR="00B32BCD">
        <w:rPr>
          <w:rFonts w:eastAsia="Times New Roman" w:cstheme="minorHAnsi"/>
          <w:color w:val="201F1E"/>
          <w:lang w:eastAsia="en-GB"/>
        </w:rPr>
        <w:t xml:space="preserve"> with Mass Observation an ideal methodological tool to interrogate these issues</w:t>
      </w:r>
      <w:r w:rsidRPr="00190505">
        <w:rPr>
          <w:rFonts w:eastAsia="Times New Roman" w:cstheme="minorHAnsi"/>
          <w:color w:val="201F1E"/>
          <w:lang w:eastAsia="en-GB"/>
        </w:rPr>
        <w:t>.</w:t>
      </w:r>
    </w:p>
    <w:p w14:paraId="6FF5945D" w14:textId="3416A92E" w:rsidR="00190505" w:rsidRDefault="00190505" w:rsidP="00190505">
      <w:pPr>
        <w:shd w:val="clear" w:color="auto" w:fill="FFFFFF"/>
        <w:spacing w:after="0" w:line="240" w:lineRule="auto"/>
        <w:jc w:val="both"/>
        <w:textAlignment w:val="baseline"/>
        <w:rPr>
          <w:rFonts w:eastAsia="Times New Roman" w:cstheme="minorHAnsi"/>
          <w:color w:val="201F1E"/>
          <w:lang w:eastAsia="en-GB"/>
        </w:rPr>
      </w:pPr>
    </w:p>
    <w:p w14:paraId="7B299D0F" w14:textId="77777777" w:rsidR="00406A5C" w:rsidRPr="00190505" w:rsidRDefault="00406A5C" w:rsidP="00406A5C">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The research aimed to offer an alternative account of gambling processes and practices to mainstream accounts of gambling that had tended to focus on the gambler as pathologized and clinically </w:t>
      </w:r>
      <w:r w:rsidRPr="00190505">
        <w:rPr>
          <w:rFonts w:eastAsia="Times New Roman" w:cstheme="minorHAnsi"/>
          <w:color w:val="201F1E"/>
          <w:lang w:eastAsia="en-GB"/>
        </w:rPr>
        <w:lastRenderedPageBreak/>
        <w:t xml:space="preserve">vulnerable. In addition, the research aimed to look at overlooked </w:t>
      </w:r>
      <w:r w:rsidRPr="00190505">
        <w:rPr>
          <w:rFonts w:eastAsia="Times New Roman" w:cstheme="minorHAnsi"/>
          <w:i/>
          <w:iCs/>
          <w:color w:val="201F1E"/>
          <w:lang w:eastAsia="en-GB"/>
        </w:rPr>
        <w:t>sites</w:t>
      </w:r>
      <w:r w:rsidRPr="00190505">
        <w:rPr>
          <w:rFonts w:eastAsia="Times New Roman" w:cstheme="minorHAnsi"/>
          <w:color w:val="201F1E"/>
          <w:lang w:eastAsia="en-GB"/>
        </w:rPr>
        <w:t xml:space="preserve"> of gambling, in particular the domestic sphere which is not often identified as a key gambling space.</w:t>
      </w:r>
    </w:p>
    <w:p w14:paraId="067B4AFA" w14:textId="77777777" w:rsidR="00406A5C" w:rsidRPr="00190505" w:rsidRDefault="00406A5C" w:rsidP="00406A5C">
      <w:pPr>
        <w:shd w:val="clear" w:color="auto" w:fill="FFFFFF"/>
        <w:spacing w:after="0" w:line="240" w:lineRule="auto"/>
        <w:jc w:val="both"/>
        <w:textAlignment w:val="baseline"/>
        <w:rPr>
          <w:rFonts w:eastAsia="Times New Roman" w:cstheme="minorHAnsi"/>
          <w:color w:val="201F1E"/>
          <w:lang w:eastAsia="en-GB"/>
        </w:rPr>
      </w:pPr>
    </w:p>
    <w:p w14:paraId="42F81C7B" w14:textId="77777777" w:rsidR="00406A5C" w:rsidRPr="00190505" w:rsidRDefault="00406A5C" w:rsidP="00406A5C">
      <w:pPr>
        <w:shd w:val="clear" w:color="auto" w:fill="FFFFFF"/>
        <w:spacing w:after="0" w:line="240" w:lineRule="auto"/>
        <w:jc w:val="both"/>
        <w:textAlignment w:val="baseline"/>
        <w:rPr>
          <w:rFonts w:eastAsia="Times New Roman" w:cstheme="minorHAnsi"/>
          <w:color w:val="201F1E"/>
          <w:lang w:eastAsia="en-GB"/>
        </w:rPr>
      </w:pPr>
      <w:r>
        <w:rPr>
          <w:rFonts w:eastAsia="Times New Roman" w:cstheme="minorHAnsi"/>
          <w:color w:val="201F1E"/>
          <w:lang w:eastAsia="en-GB"/>
        </w:rPr>
        <w:t>My</w:t>
      </w:r>
      <w:r w:rsidRPr="00190505">
        <w:rPr>
          <w:rFonts w:eastAsia="Times New Roman" w:cstheme="minorHAnsi"/>
          <w:color w:val="201F1E"/>
          <w:lang w:eastAsia="en-GB"/>
        </w:rPr>
        <w:t xml:space="preserve"> research sought to develop detailed qualitative and subjective accounts of the </w:t>
      </w:r>
      <w:r w:rsidRPr="00190505">
        <w:rPr>
          <w:rFonts w:eastAsia="Times New Roman" w:cstheme="minorHAnsi"/>
          <w:i/>
          <w:iCs/>
          <w:color w:val="201F1E"/>
          <w:lang w:eastAsia="en-GB"/>
        </w:rPr>
        <w:t>everyday</w:t>
      </w:r>
      <w:r w:rsidRPr="00190505">
        <w:rPr>
          <w:rFonts w:eastAsia="Times New Roman" w:cstheme="minorHAnsi"/>
          <w:color w:val="201F1E"/>
          <w:lang w:eastAsia="en-GB"/>
        </w:rPr>
        <w:t xml:space="preserve"> practices of gambling at home. It started from the position that in terms of developing accounts of gambling related harm, it is important also to make sense of gambling </w:t>
      </w:r>
      <w:r w:rsidRPr="00190505">
        <w:rPr>
          <w:rFonts w:eastAsia="Times New Roman" w:cstheme="minorHAnsi"/>
          <w:i/>
          <w:iCs/>
          <w:color w:val="201F1E"/>
          <w:lang w:eastAsia="en-GB"/>
        </w:rPr>
        <w:t>at home</w:t>
      </w:r>
      <w:r w:rsidRPr="00190505">
        <w:rPr>
          <w:rFonts w:eastAsia="Times New Roman" w:cstheme="minorHAnsi"/>
          <w:color w:val="201F1E"/>
          <w:lang w:eastAsia="en-GB"/>
        </w:rPr>
        <w:t xml:space="preserve"> and not simply to focus on the traditional, public, </w:t>
      </w:r>
      <w:r>
        <w:rPr>
          <w:rFonts w:eastAsia="Times New Roman" w:cstheme="minorHAnsi"/>
          <w:color w:val="201F1E"/>
          <w:lang w:eastAsia="en-GB"/>
        </w:rPr>
        <w:t xml:space="preserve">and </w:t>
      </w:r>
      <w:r w:rsidRPr="00190505">
        <w:rPr>
          <w:rFonts w:eastAsia="Times New Roman" w:cstheme="minorHAnsi"/>
          <w:color w:val="201F1E"/>
          <w:lang w:eastAsia="en-GB"/>
        </w:rPr>
        <w:t xml:space="preserve">masculine sites of gambling. The research was developed alongside Mass Observation Archive </w:t>
      </w:r>
      <w:r>
        <w:rPr>
          <w:rFonts w:eastAsia="Times New Roman" w:cstheme="minorHAnsi"/>
          <w:color w:val="201F1E"/>
          <w:lang w:eastAsia="en-GB"/>
        </w:rPr>
        <w:t xml:space="preserve">with the aim of developing </w:t>
      </w:r>
      <w:r w:rsidRPr="00190505">
        <w:rPr>
          <w:rFonts w:eastAsia="Times New Roman" w:cstheme="minorHAnsi"/>
          <w:color w:val="201F1E"/>
          <w:lang w:eastAsia="en-GB"/>
        </w:rPr>
        <w:t xml:space="preserve">a new qualitative data set examining the complex processes and practices of gambling at home, entitled </w:t>
      </w:r>
      <w:r w:rsidRPr="00190505">
        <w:rPr>
          <w:rFonts w:eastAsia="Times New Roman" w:cstheme="minorHAnsi"/>
          <w:i/>
          <w:iCs/>
          <w:color w:val="201F1E"/>
          <w:lang w:eastAsia="en-GB"/>
        </w:rPr>
        <w:t>Gambling and Households</w:t>
      </w:r>
      <w:r w:rsidRPr="00190505">
        <w:rPr>
          <w:rFonts w:eastAsia="Times New Roman" w:cstheme="minorHAnsi"/>
          <w:color w:val="201F1E"/>
          <w:lang w:eastAsia="en-GB"/>
        </w:rPr>
        <w:t>.</w:t>
      </w:r>
    </w:p>
    <w:p w14:paraId="64652964" w14:textId="77777777" w:rsidR="00406A5C" w:rsidRPr="00190505" w:rsidRDefault="00406A5C" w:rsidP="00190505">
      <w:pPr>
        <w:shd w:val="clear" w:color="auto" w:fill="FFFFFF"/>
        <w:spacing w:after="0" w:line="240" w:lineRule="auto"/>
        <w:jc w:val="both"/>
        <w:textAlignment w:val="baseline"/>
        <w:rPr>
          <w:rFonts w:eastAsia="Times New Roman" w:cstheme="minorHAnsi"/>
          <w:color w:val="201F1E"/>
          <w:lang w:eastAsia="en-GB"/>
        </w:rPr>
      </w:pPr>
    </w:p>
    <w:p w14:paraId="76DDAE2C" w14:textId="283E2F49" w:rsidR="00190505" w:rsidRPr="00190505" w:rsidRDefault="00190505"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The response to the </w:t>
      </w:r>
      <w:r w:rsidR="00AC281E">
        <w:rPr>
          <w:rFonts w:eastAsia="Times New Roman" w:cstheme="minorHAnsi"/>
          <w:color w:val="201F1E"/>
          <w:lang w:eastAsia="en-GB"/>
        </w:rPr>
        <w:t xml:space="preserve">2013 </w:t>
      </w:r>
      <w:r w:rsidRPr="00190505">
        <w:rPr>
          <w:rFonts w:eastAsia="Times New Roman" w:cstheme="minorHAnsi"/>
          <w:color w:val="201F1E"/>
          <w:lang w:eastAsia="en-GB"/>
        </w:rPr>
        <w:t>Directive was impressive. 2</w:t>
      </w:r>
      <w:r>
        <w:rPr>
          <w:rFonts w:eastAsia="Times New Roman" w:cstheme="minorHAnsi"/>
          <w:color w:val="201F1E"/>
          <w:lang w:eastAsia="en-GB"/>
        </w:rPr>
        <w:t>14</w:t>
      </w:r>
      <w:r w:rsidRPr="00190505">
        <w:rPr>
          <w:rFonts w:eastAsia="Times New Roman" w:cstheme="minorHAnsi"/>
          <w:color w:val="201F1E"/>
          <w:lang w:eastAsia="en-GB"/>
        </w:rPr>
        <w:t xml:space="preserve"> very detailed diary entries on the topic of gambling at home were produced. Some of these were</w:t>
      </w:r>
      <w:r>
        <w:rPr>
          <w:rFonts w:eastAsia="Times New Roman" w:cstheme="minorHAnsi"/>
          <w:color w:val="201F1E"/>
          <w:lang w:eastAsia="en-GB"/>
        </w:rPr>
        <w:t xml:space="preserve"> ten pages</w:t>
      </w:r>
      <w:r w:rsidRPr="00190505">
        <w:rPr>
          <w:rFonts w:eastAsia="Times New Roman" w:cstheme="minorHAnsi"/>
          <w:color w:val="201F1E"/>
          <w:lang w:eastAsia="en-GB"/>
        </w:rPr>
        <w:t xml:space="preserve"> in length; some were handwritten and some typed</w:t>
      </w:r>
      <w:r w:rsidR="00B32BCD">
        <w:rPr>
          <w:rFonts w:eastAsia="Times New Roman" w:cstheme="minorHAnsi"/>
          <w:color w:val="201F1E"/>
          <w:lang w:eastAsia="en-GB"/>
        </w:rPr>
        <w:t xml:space="preserve"> (see also Casey, 20</w:t>
      </w:r>
      <w:r w:rsidR="00325EFA">
        <w:rPr>
          <w:rFonts w:eastAsia="Times New Roman" w:cstheme="minorHAnsi"/>
          <w:color w:val="201F1E"/>
          <w:lang w:eastAsia="en-GB"/>
        </w:rPr>
        <w:t>20)</w:t>
      </w:r>
      <w:r w:rsidRPr="00190505">
        <w:rPr>
          <w:rFonts w:eastAsia="Times New Roman" w:cstheme="minorHAnsi"/>
          <w:color w:val="201F1E"/>
          <w:lang w:eastAsia="en-GB"/>
        </w:rPr>
        <w:t xml:space="preserve">. All offered rich, empirical subjective detail around the everyday experiences of gambling at home. </w:t>
      </w:r>
      <w:r w:rsidR="00406A5C">
        <w:rPr>
          <w:rFonts w:eastAsia="Times New Roman" w:cstheme="minorHAnsi"/>
          <w:color w:val="201F1E"/>
          <w:lang w:eastAsia="en-GB"/>
        </w:rPr>
        <w:t>As is the case with Mass Observers, participants were more likely</w:t>
      </w:r>
      <w:r w:rsidR="00937311">
        <w:rPr>
          <w:rFonts w:eastAsia="Times New Roman" w:cstheme="minorHAnsi"/>
          <w:color w:val="201F1E"/>
          <w:lang w:eastAsia="en-GB"/>
        </w:rPr>
        <w:t xml:space="preserve"> </w:t>
      </w:r>
      <w:r w:rsidR="00406A5C">
        <w:rPr>
          <w:rFonts w:eastAsia="Times New Roman" w:cstheme="minorHAnsi"/>
          <w:color w:val="201F1E"/>
          <w:lang w:eastAsia="en-GB"/>
        </w:rPr>
        <w:t>to be older and middle class, but often with working class and impoverished roots</w:t>
      </w:r>
      <w:r w:rsidR="00937311">
        <w:rPr>
          <w:rFonts w:eastAsia="Times New Roman" w:cstheme="minorHAnsi"/>
          <w:color w:val="201F1E"/>
          <w:lang w:eastAsia="en-GB"/>
        </w:rPr>
        <w:t xml:space="preserve">, as </w:t>
      </w:r>
      <w:r w:rsidR="00406A5C">
        <w:rPr>
          <w:rFonts w:eastAsia="Times New Roman" w:cstheme="minorHAnsi"/>
          <w:color w:val="201F1E"/>
          <w:lang w:eastAsia="en-GB"/>
        </w:rPr>
        <w:t>part of the upwardly mobile post-war generation. Elsewhere I have explored the ways in which class identity is interwoven into Mass Obser</w:t>
      </w:r>
      <w:r w:rsidR="00937311">
        <w:rPr>
          <w:rFonts w:eastAsia="Times New Roman" w:cstheme="minorHAnsi"/>
          <w:color w:val="201F1E"/>
          <w:lang w:eastAsia="en-GB"/>
        </w:rPr>
        <w:t>vers’</w:t>
      </w:r>
      <w:r w:rsidR="00406A5C">
        <w:rPr>
          <w:rFonts w:eastAsia="Times New Roman" w:cstheme="minorHAnsi"/>
          <w:color w:val="201F1E"/>
          <w:lang w:eastAsia="en-GB"/>
        </w:rPr>
        <w:t xml:space="preserve"> accounts (Casey, 2019) often in very complex ways. </w:t>
      </w:r>
      <w:r w:rsidRPr="00190505">
        <w:rPr>
          <w:rFonts w:eastAsia="Times New Roman" w:cstheme="minorHAnsi"/>
          <w:color w:val="201F1E"/>
          <w:lang w:eastAsia="en-GB"/>
        </w:rPr>
        <w:t xml:space="preserve">Owing to the financial and time constraints of the project and the detail of responses, I was only able to analyse a small number of responses. Thus, I selected responses where people had </w:t>
      </w:r>
      <w:r>
        <w:rPr>
          <w:rFonts w:eastAsia="Times New Roman" w:cstheme="minorHAnsi"/>
          <w:color w:val="201F1E"/>
          <w:lang w:eastAsia="en-GB"/>
        </w:rPr>
        <w:t>explicitly</w:t>
      </w:r>
      <w:r w:rsidRPr="00190505">
        <w:rPr>
          <w:rFonts w:eastAsia="Times New Roman" w:cstheme="minorHAnsi"/>
          <w:color w:val="201F1E"/>
          <w:lang w:eastAsia="en-GB"/>
        </w:rPr>
        <w:t xml:space="preserve"> addressed the </w:t>
      </w:r>
      <w:r>
        <w:rPr>
          <w:rFonts w:eastAsia="Times New Roman" w:cstheme="minorHAnsi"/>
          <w:color w:val="201F1E"/>
          <w:lang w:eastAsia="en-GB"/>
        </w:rPr>
        <w:t>issue of gambling at home</w:t>
      </w:r>
      <w:r w:rsidRPr="00190505">
        <w:rPr>
          <w:rFonts w:eastAsia="Times New Roman" w:cstheme="minorHAnsi"/>
          <w:color w:val="201F1E"/>
          <w:lang w:eastAsia="en-GB"/>
        </w:rPr>
        <w:t xml:space="preserve">. Although both men and women responded to the directive, </w:t>
      </w:r>
      <w:r w:rsidR="00AC281E">
        <w:rPr>
          <w:rFonts w:eastAsia="Times New Roman" w:cstheme="minorHAnsi"/>
          <w:color w:val="201F1E"/>
          <w:lang w:eastAsia="en-GB"/>
        </w:rPr>
        <w:t>here</w:t>
      </w:r>
      <w:r w:rsidRPr="00190505">
        <w:rPr>
          <w:rFonts w:eastAsia="Times New Roman" w:cstheme="minorHAnsi"/>
          <w:color w:val="201F1E"/>
          <w:lang w:eastAsia="en-GB"/>
        </w:rPr>
        <w:t xml:space="preserve"> I have focused only on women’s responses. This connects with the overall aims of the paper which was to explore women’s gambling experiences within domestic spaces and to look at how the domestic is a key site for the emergence of gambling related harms.</w:t>
      </w:r>
    </w:p>
    <w:p w14:paraId="5AB0F0E0" w14:textId="77777777" w:rsidR="00190505" w:rsidRPr="00190505" w:rsidRDefault="00190505" w:rsidP="00190505">
      <w:pPr>
        <w:shd w:val="clear" w:color="auto" w:fill="FFFFFF"/>
        <w:spacing w:after="0" w:line="240" w:lineRule="auto"/>
        <w:jc w:val="both"/>
        <w:textAlignment w:val="baseline"/>
        <w:rPr>
          <w:rFonts w:eastAsia="Times New Roman" w:cstheme="minorHAnsi"/>
          <w:color w:val="201F1E"/>
          <w:lang w:eastAsia="en-GB"/>
        </w:rPr>
      </w:pPr>
    </w:p>
    <w:p w14:paraId="4EDC4A39" w14:textId="1B14B151" w:rsidR="00A655AD" w:rsidRPr="00190505" w:rsidRDefault="00A655AD" w:rsidP="00190505">
      <w:pPr>
        <w:jc w:val="both"/>
        <w:rPr>
          <w:rFonts w:cstheme="minorHAnsi"/>
          <w:b/>
          <w:bCs/>
        </w:rPr>
      </w:pPr>
      <w:r w:rsidRPr="00190505">
        <w:rPr>
          <w:rFonts w:cstheme="minorHAnsi"/>
          <w:b/>
          <w:bCs/>
        </w:rPr>
        <w:t>Escaping Poverty – Financial Security at Home</w:t>
      </w:r>
    </w:p>
    <w:p w14:paraId="37D7D508" w14:textId="2E1D3168" w:rsidR="00A655AD" w:rsidRPr="00406732" w:rsidRDefault="00A655AD" w:rsidP="37AE04A3">
      <w:pPr>
        <w:shd w:val="clear" w:color="auto" w:fill="FFFFFF" w:themeFill="background1"/>
        <w:spacing w:before="100" w:beforeAutospacing="1" w:after="100" w:afterAutospacing="1" w:line="240" w:lineRule="auto"/>
        <w:jc w:val="both"/>
        <w:textAlignment w:val="baseline"/>
        <w:outlineLvl w:val="0"/>
        <w:rPr>
          <w:rFonts w:eastAsia="Times New Roman"/>
          <w:color w:val="201F1E"/>
          <w:kern w:val="36"/>
          <w:lang w:eastAsia="en-GB"/>
        </w:rPr>
      </w:pPr>
      <w:r w:rsidRPr="37AE04A3">
        <w:rPr>
          <w:rFonts w:eastAsia="Times New Roman"/>
          <w:color w:val="201F1E"/>
          <w:kern w:val="36"/>
          <w:lang w:eastAsia="en-GB"/>
        </w:rPr>
        <w:t>One of the most long-standing criticisms of gambling is that it is a brutal exploitation of hope and a ruthless means of extracting money from a desperate poor</w:t>
      </w:r>
      <w:r w:rsidR="002C1993" w:rsidRPr="37AE04A3">
        <w:rPr>
          <w:rFonts w:eastAsia="Times New Roman"/>
          <w:color w:val="201F1E"/>
          <w:kern w:val="36"/>
          <w:lang w:eastAsia="en-GB"/>
        </w:rPr>
        <w:t xml:space="preserve"> (Reith, 1999)</w:t>
      </w:r>
      <w:r w:rsidRPr="37AE04A3">
        <w:rPr>
          <w:rFonts w:eastAsia="Times New Roman"/>
          <w:color w:val="201F1E"/>
          <w:kern w:val="36"/>
          <w:lang w:eastAsia="en-GB"/>
        </w:rPr>
        <w:t xml:space="preserve">. These criticisms which have </w:t>
      </w:r>
      <w:r w:rsidR="002C1993" w:rsidRPr="37AE04A3">
        <w:rPr>
          <w:rFonts w:eastAsia="Times New Roman"/>
          <w:color w:val="201F1E"/>
          <w:kern w:val="36"/>
          <w:lang w:eastAsia="en-GB"/>
        </w:rPr>
        <w:t>highlighted</w:t>
      </w:r>
      <w:r w:rsidRPr="37AE04A3">
        <w:rPr>
          <w:rFonts w:eastAsia="Times New Roman"/>
          <w:color w:val="201F1E"/>
          <w:kern w:val="36"/>
          <w:lang w:eastAsia="en-GB"/>
        </w:rPr>
        <w:t xml:space="preserve"> the relationship between poverty and gambling related harm have a long history</w:t>
      </w:r>
      <w:r w:rsidR="002C1993" w:rsidRPr="37AE04A3">
        <w:rPr>
          <w:rFonts w:eastAsia="Times New Roman"/>
          <w:color w:val="201F1E"/>
          <w:kern w:val="36"/>
          <w:lang w:eastAsia="en-GB"/>
        </w:rPr>
        <w:t xml:space="preserve">. The </w:t>
      </w:r>
      <w:proofErr w:type="gramStart"/>
      <w:r w:rsidR="00A76B4B" w:rsidRPr="37AE04A3">
        <w:rPr>
          <w:rFonts w:eastAsia="Times New Roman"/>
          <w:color w:val="201F1E"/>
          <w:kern w:val="36"/>
          <w:lang w:eastAsia="en-GB"/>
        </w:rPr>
        <w:t xml:space="preserve">aforementioned </w:t>
      </w:r>
      <w:r w:rsidR="002C1993" w:rsidRPr="37AE04A3">
        <w:rPr>
          <w:rFonts w:eastAsia="Times New Roman"/>
          <w:color w:val="201F1E"/>
          <w:kern w:val="36"/>
          <w:lang w:eastAsia="en-GB"/>
        </w:rPr>
        <w:t>anti-</w:t>
      </w:r>
      <w:proofErr w:type="gramEnd"/>
      <w:r w:rsidR="002C1993" w:rsidRPr="37AE04A3">
        <w:rPr>
          <w:rFonts w:eastAsia="Times New Roman"/>
          <w:color w:val="201F1E"/>
          <w:kern w:val="36"/>
          <w:lang w:eastAsia="en-GB"/>
        </w:rPr>
        <w:t>poverty</w:t>
      </w:r>
      <w:r w:rsidRPr="37AE04A3">
        <w:rPr>
          <w:rFonts w:eastAsia="Times New Roman"/>
          <w:color w:val="201F1E"/>
          <w:kern w:val="36"/>
          <w:lang w:eastAsia="en-GB"/>
        </w:rPr>
        <w:t xml:space="preserve"> campaigner</w:t>
      </w:r>
      <w:r w:rsidR="002C1993" w:rsidRPr="37AE04A3">
        <w:rPr>
          <w:rFonts w:eastAsia="Times New Roman"/>
          <w:color w:val="201F1E"/>
          <w:kern w:val="36"/>
          <w:lang w:eastAsia="en-GB"/>
        </w:rPr>
        <w:t xml:space="preserve">, </w:t>
      </w:r>
      <w:r w:rsidR="00A76B4B" w:rsidRPr="37AE04A3">
        <w:rPr>
          <w:rFonts w:eastAsia="Times New Roman"/>
          <w:color w:val="201F1E"/>
          <w:kern w:val="36"/>
          <w:lang w:eastAsia="en-GB"/>
        </w:rPr>
        <w:t>reformer,</w:t>
      </w:r>
      <w:r w:rsidRPr="37AE04A3">
        <w:rPr>
          <w:rFonts w:eastAsia="Times New Roman"/>
          <w:color w:val="201F1E"/>
          <w:kern w:val="36"/>
          <w:lang w:eastAsia="en-GB"/>
        </w:rPr>
        <w:t xml:space="preserve"> a</w:t>
      </w:r>
      <w:r w:rsidR="00B32BCD" w:rsidRPr="37AE04A3">
        <w:rPr>
          <w:rFonts w:eastAsia="Times New Roman"/>
          <w:color w:val="201F1E"/>
          <w:kern w:val="36"/>
          <w:lang w:eastAsia="en-GB"/>
        </w:rPr>
        <w:t xml:space="preserve">nd social scientist </w:t>
      </w:r>
      <w:r w:rsidRPr="37AE04A3">
        <w:rPr>
          <w:rFonts w:eastAsia="Times New Roman"/>
          <w:color w:val="201F1E"/>
          <w:kern w:val="36"/>
          <w:lang w:eastAsia="en-GB"/>
        </w:rPr>
        <w:t>Seebohm Ro</w:t>
      </w:r>
      <w:r w:rsidR="00AC281E">
        <w:rPr>
          <w:rFonts w:eastAsia="Times New Roman"/>
          <w:color w:val="201F1E"/>
          <w:kern w:val="36"/>
          <w:lang w:eastAsia="en-GB"/>
        </w:rPr>
        <w:t>wn</w:t>
      </w:r>
      <w:r w:rsidRPr="37AE04A3">
        <w:rPr>
          <w:rFonts w:eastAsia="Times New Roman"/>
          <w:color w:val="201F1E"/>
          <w:kern w:val="36"/>
          <w:lang w:eastAsia="en-GB"/>
        </w:rPr>
        <w:t>tree</w:t>
      </w:r>
      <w:r w:rsidR="00B32BCD" w:rsidRPr="37AE04A3">
        <w:rPr>
          <w:rFonts w:eastAsia="Times New Roman"/>
          <w:color w:val="201F1E"/>
          <w:kern w:val="36"/>
          <w:lang w:eastAsia="en-GB"/>
        </w:rPr>
        <w:t>,</w:t>
      </w:r>
      <w:r w:rsidRPr="37AE04A3">
        <w:rPr>
          <w:rFonts w:eastAsia="Times New Roman"/>
          <w:color w:val="201F1E"/>
          <w:kern w:val="36"/>
          <w:lang w:eastAsia="en-GB"/>
        </w:rPr>
        <w:t xml:space="preserve"> writing </w:t>
      </w:r>
      <w:r w:rsidR="00B32BCD" w:rsidRPr="37AE04A3">
        <w:rPr>
          <w:rFonts w:eastAsia="Times New Roman"/>
          <w:color w:val="201F1E"/>
          <w:kern w:val="36"/>
          <w:lang w:eastAsia="en-GB"/>
        </w:rPr>
        <w:t xml:space="preserve">as member of the National Anti-Gambling League </w:t>
      </w:r>
      <w:r w:rsidRPr="37AE04A3">
        <w:rPr>
          <w:rFonts w:eastAsia="Times New Roman"/>
          <w:color w:val="201F1E"/>
          <w:kern w:val="36"/>
          <w:lang w:eastAsia="en-GB"/>
        </w:rPr>
        <w:t>in the early 1900s about the harms associated with gambling and particularly its appeal to a vulnerable poo</w:t>
      </w:r>
      <w:r w:rsidR="002C1993" w:rsidRPr="37AE04A3">
        <w:rPr>
          <w:rFonts w:eastAsia="Times New Roman"/>
          <w:color w:val="201F1E"/>
          <w:kern w:val="36"/>
          <w:lang w:eastAsia="en-GB"/>
        </w:rPr>
        <w:t>r, likened</w:t>
      </w:r>
      <w:r w:rsidRPr="37AE04A3">
        <w:rPr>
          <w:rFonts w:eastAsia="Times New Roman"/>
          <w:color w:val="201F1E"/>
          <w:kern w:val="36"/>
          <w:lang w:eastAsia="en-GB"/>
        </w:rPr>
        <w:t xml:space="preserve"> gambling to </w:t>
      </w:r>
      <w:r w:rsidR="002C1993" w:rsidRPr="37AE04A3">
        <w:rPr>
          <w:rFonts w:eastAsia="Times New Roman"/>
          <w:color w:val="201F1E"/>
          <w:kern w:val="36"/>
          <w:lang w:eastAsia="en-GB"/>
        </w:rPr>
        <w:t xml:space="preserve">a form of </w:t>
      </w:r>
      <w:r w:rsidRPr="37AE04A3">
        <w:rPr>
          <w:rFonts w:eastAsia="Times New Roman"/>
          <w:color w:val="201F1E"/>
          <w:kern w:val="36"/>
          <w:lang w:eastAsia="en-GB"/>
        </w:rPr>
        <w:t>cancer</w:t>
      </w:r>
      <w:r w:rsidR="002C1993" w:rsidRPr="37AE04A3">
        <w:rPr>
          <w:rFonts w:eastAsia="Times New Roman"/>
          <w:color w:val="201F1E"/>
          <w:kern w:val="36"/>
          <w:lang w:eastAsia="en-GB"/>
        </w:rPr>
        <w:t>.</w:t>
      </w:r>
      <w:r w:rsidRPr="37AE04A3">
        <w:rPr>
          <w:rFonts w:eastAsia="Times New Roman"/>
          <w:color w:val="201F1E"/>
          <w:kern w:val="36"/>
          <w:lang w:eastAsia="en-GB"/>
        </w:rPr>
        <w:t xml:space="preserve"> Rowntree believed that gambling exacerbated secondary po</w:t>
      </w:r>
      <w:r w:rsidR="002C1993" w:rsidRPr="37AE04A3">
        <w:rPr>
          <w:rFonts w:eastAsia="Times New Roman"/>
          <w:color w:val="201F1E"/>
          <w:kern w:val="36"/>
          <w:lang w:eastAsia="en-GB"/>
        </w:rPr>
        <w:t>v</w:t>
      </w:r>
      <w:r w:rsidRPr="37AE04A3">
        <w:rPr>
          <w:rFonts w:eastAsia="Times New Roman"/>
          <w:color w:val="201F1E"/>
          <w:kern w:val="36"/>
          <w:lang w:eastAsia="en-GB"/>
        </w:rPr>
        <w:t>erty</w:t>
      </w:r>
      <w:r w:rsidR="002C1993" w:rsidRPr="37AE04A3">
        <w:rPr>
          <w:rFonts w:eastAsia="Times New Roman"/>
          <w:color w:val="201F1E"/>
          <w:kern w:val="36"/>
          <w:lang w:eastAsia="en-GB"/>
        </w:rPr>
        <w:t xml:space="preserve">, leading </w:t>
      </w:r>
      <w:r w:rsidRPr="37AE04A3">
        <w:rPr>
          <w:rFonts w:eastAsia="Times New Roman"/>
          <w:color w:val="201F1E"/>
          <w:kern w:val="36"/>
          <w:lang w:eastAsia="en-GB"/>
        </w:rPr>
        <w:t xml:space="preserve">to </w:t>
      </w:r>
      <w:r w:rsidR="002C1993" w:rsidRPr="37AE04A3">
        <w:rPr>
          <w:rFonts w:eastAsia="Times New Roman"/>
          <w:color w:val="201F1E"/>
          <w:kern w:val="36"/>
          <w:lang w:eastAsia="en-GB"/>
        </w:rPr>
        <w:t>an intensification of</w:t>
      </w:r>
      <w:r w:rsidRPr="37AE04A3">
        <w:rPr>
          <w:rFonts w:eastAsia="Times New Roman"/>
          <w:color w:val="201F1E"/>
          <w:kern w:val="36"/>
          <w:lang w:eastAsia="en-GB"/>
        </w:rPr>
        <w:t xml:space="preserve"> poverty</w:t>
      </w:r>
      <w:r w:rsidR="002C1993" w:rsidRPr="37AE04A3">
        <w:rPr>
          <w:rFonts w:eastAsia="Times New Roman"/>
          <w:color w:val="201F1E"/>
          <w:kern w:val="36"/>
          <w:lang w:eastAsia="en-GB"/>
        </w:rPr>
        <w:t>, destitution, and immorality</w:t>
      </w:r>
      <w:r w:rsidRPr="37AE04A3">
        <w:rPr>
          <w:rFonts w:eastAsia="Times New Roman"/>
          <w:color w:val="201F1E"/>
          <w:kern w:val="36"/>
          <w:lang w:eastAsia="en-GB"/>
        </w:rPr>
        <w:t>. 20th century scholarship has demonstrated that women in particular take responsibility especially in poorer working-class families for managing an often small and precarious household budget</w:t>
      </w:r>
      <w:r w:rsidR="00937311">
        <w:rPr>
          <w:rFonts w:eastAsia="Times New Roman"/>
          <w:color w:val="201F1E"/>
          <w:kern w:val="36"/>
          <w:lang w:eastAsia="en-GB"/>
        </w:rPr>
        <w:t xml:space="preserve"> (for example, </w:t>
      </w:r>
      <w:r w:rsidR="00352F22">
        <w:rPr>
          <w:rFonts w:eastAsia="Times New Roman"/>
          <w:color w:val="201F1E"/>
          <w:kern w:val="36"/>
          <w:lang w:eastAsia="en-GB"/>
        </w:rPr>
        <w:t xml:space="preserve">Charles and Kerr, 1988; </w:t>
      </w:r>
      <w:proofErr w:type="spellStart"/>
      <w:r w:rsidR="00937311">
        <w:rPr>
          <w:rFonts w:eastAsia="Times New Roman"/>
          <w:color w:val="201F1E"/>
          <w:kern w:val="36"/>
          <w:lang w:eastAsia="en-GB"/>
        </w:rPr>
        <w:t>DeVault</w:t>
      </w:r>
      <w:proofErr w:type="spellEnd"/>
      <w:r w:rsidR="00937311">
        <w:rPr>
          <w:rFonts w:eastAsia="Times New Roman"/>
          <w:color w:val="201F1E"/>
          <w:kern w:val="36"/>
          <w:lang w:eastAsia="en-GB"/>
        </w:rPr>
        <w:t xml:space="preserve">, </w:t>
      </w:r>
      <w:r w:rsidR="00352F22">
        <w:rPr>
          <w:rFonts w:eastAsia="Times New Roman"/>
          <w:color w:val="201F1E"/>
          <w:kern w:val="36"/>
          <w:lang w:eastAsia="en-GB"/>
        </w:rPr>
        <w:t>1991</w:t>
      </w:r>
      <w:r w:rsidR="00937311">
        <w:rPr>
          <w:rFonts w:eastAsia="Times New Roman"/>
          <w:color w:val="201F1E"/>
          <w:kern w:val="36"/>
          <w:lang w:eastAsia="en-GB"/>
        </w:rPr>
        <w:t>)</w:t>
      </w:r>
      <w:r w:rsidRPr="37AE04A3">
        <w:rPr>
          <w:rFonts w:eastAsia="Times New Roman"/>
          <w:color w:val="201F1E"/>
          <w:kern w:val="36"/>
          <w:lang w:eastAsia="en-GB"/>
        </w:rPr>
        <w:t xml:space="preserve">. When Lady Florence Bell conducted </w:t>
      </w:r>
      <w:r w:rsidR="002C1993" w:rsidRPr="37AE04A3">
        <w:rPr>
          <w:rFonts w:eastAsia="Times New Roman"/>
          <w:color w:val="201F1E"/>
          <w:kern w:val="36"/>
          <w:lang w:eastAsia="en-GB"/>
        </w:rPr>
        <w:t>her</w:t>
      </w:r>
      <w:r w:rsidRPr="37AE04A3">
        <w:rPr>
          <w:rFonts w:eastAsia="Times New Roman"/>
          <w:color w:val="201F1E"/>
          <w:kern w:val="36"/>
          <w:lang w:eastAsia="en-GB"/>
        </w:rPr>
        <w:t xml:space="preserve"> study in </w:t>
      </w:r>
      <w:r w:rsidR="00406732" w:rsidRPr="37AE04A3">
        <w:rPr>
          <w:rFonts w:eastAsia="Times New Roman"/>
          <w:color w:val="201F1E"/>
          <w:kern w:val="36"/>
          <w:lang w:eastAsia="en-GB"/>
        </w:rPr>
        <w:t>1911</w:t>
      </w:r>
      <w:r w:rsidRPr="37AE04A3">
        <w:rPr>
          <w:rFonts w:eastAsia="Times New Roman"/>
          <w:color w:val="201F1E"/>
          <w:kern w:val="36"/>
          <w:lang w:eastAsia="en-GB"/>
        </w:rPr>
        <w:t xml:space="preserve"> of households in the manufacturing town of Middlesbrough, she noted the </w:t>
      </w:r>
      <w:r w:rsidR="00A76B4B" w:rsidRPr="37AE04A3">
        <w:rPr>
          <w:rFonts w:eastAsia="Times New Roman"/>
          <w:color w:val="201F1E"/>
          <w:kern w:val="36"/>
          <w:lang w:eastAsia="en-GB"/>
        </w:rPr>
        <w:t>role</w:t>
      </w:r>
      <w:r w:rsidRPr="37AE04A3">
        <w:rPr>
          <w:rFonts w:eastAsia="Times New Roman"/>
          <w:color w:val="201F1E"/>
          <w:kern w:val="36"/>
          <w:lang w:eastAsia="en-GB"/>
        </w:rPr>
        <w:t xml:space="preserve"> that women played in balancing the household budget. She showed how gambling was often a “</w:t>
      </w:r>
      <w:r w:rsidR="00406732" w:rsidRPr="00406732">
        <w:t>a quite deliberate effort to add to the income”</w:t>
      </w:r>
      <w:r w:rsidR="00B32BCD">
        <w:t xml:space="preserve"> (Bell, 2011</w:t>
      </w:r>
      <w:r w:rsidR="00FC51F0">
        <w:t>: 354</w:t>
      </w:r>
      <w:r w:rsidR="00B32BCD">
        <w:t>)</w:t>
      </w:r>
      <w:r w:rsidR="00406732" w:rsidRPr="00406732">
        <w:t>.</w:t>
      </w:r>
    </w:p>
    <w:p w14:paraId="269BACDE" w14:textId="59087DA0" w:rsidR="00A655AD" w:rsidRPr="00190505" w:rsidRDefault="00A655AD" w:rsidP="00190505">
      <w:pPr>
        <w:shd w:val="clear" w:color="auto" w:fill="FFFFFF"/>
        <w:spacing w:before="100" w:beforeAutospacing="1" w:after="100" w:afterAutospacing="1" w:line="240" w:lineRule="auto"/>
        <w:jc w:val="both"/>
        <w:textAlignment w:val="baseline"/>
        <w:outlineLvl w:val="0"/>
        <w:rPr>
          <w:rFonts w:eastAsia="Times New Roman" w:cstheme="minorHAnsi"/>
          <w:color w:val="201F1E"/>
          <w:kern w:val="36"/>
          <w:lang w:eastAsia="en-GB"/>
        </w:rPr>
      </w:pPr>
      <w:r w:rsidRPr="00190505">
        <w:rPr>
          <w:rFonts w:eastAsia="Times New Roman" w:cstheme="minorHAnsi"/>
          <w:color w:val="201F1E"/>
          <w:kern w:val="36"/>
          <w:lang w:eastAsia="en-GB"/>
        </w:rPr>
        <w:t xml:space="preserve">In </w:t>
      </w:r>
      <w:r w:rsidR="00AC281E">
        <w:rPr>
          <w:rFonts w:eastAsia="Times New Roman" w:cstheme="minorHAnsi"/>
          <w:color w:val="201F1E"/>
          <w:kern w:val="36"/>
          <w:lang w:eastAsia="en-GB"/>
        </w:rPr>
        <w:t>my</w:t>
      </w:r>
      <w:r w:rsidR="00AC281E" w:rsidRPr="00190505">
        <w:rPr>
          <w:rFonts w:eastAsia="Times New Roman" w:cstheme="minorHAnsi"/>
          <w:color w:val="201F1E"/>
          <w:kern w:val="36"/>
          <w:lang w:eastAsia="en-GB"/>
        </w:rPr>
        <w:t xml:space="preserve"> </w:t>
      </w:r>
      <w:r w:rsidRPr="00190505">
        <w:rPr>
          <w:rFonts w:eastAsia="Times New Roman" w:cstheme="minorHAnsi"/>
          <w:color w:val="201F1E"/>
          <w:kern w:val="36"/>
          <w:lang w:eastAsia="en-GB"/>
        </w:rPr>
        <w:t>study, women regularly described how their gambling practices were part of a reaction to their attempts to manage a</w:t>
      </w:r>
      <w:r w:rsidR="002C1993" w:rsidRPr="00190505">
        <w:rPr>
          <w:rFonts w:eastAsia="Times New Roman" w:cstheme="minorHAnsi"/>
          <w:color w:val="201F1E"/>
          <w:kern w:val="36"/>
          <w:lang w:eastAsia="en-GB"/>
        </w:rPr>
        <w:t>n</w:t>
      </w:r>
      <w:r w:rsidRPr="00190505">
        <w:rPr>
          <w:rFonts w:eastAsia="Times New Roman" w:cstheme="minorHAnsi"/>
          <w:color w:val="201F1E"/>
          <w:kern w:val="36"/>
          <w:lang w:eastAsia="en-GB"/>
        </w:rPr>
        <w:t xml:space="preserve"> </w:t>
      </w:r>
      <w:r w:rsidR="002C1993" w:rsidRPr="00190505">
        <w:rPr>
          <w:rFonts w:eastAsia="Times New Roman" w:cstheme="minorHAnsi"/>
          <w:color w:val="201F1E"/>
          <w:kern w:val="36"/>
          <w:lang w:eastAsia="en-GB"/>
        </w:rPr>
        <w:t>often-inadequate</w:t>
      </w:r>
      <w:r w:rsidRPr="00190505">
        <w:rPr>
          <w:rFonts w:eastAsia="Times New Roman" w:cstheme="minorHAnsi"/>
          <w:color w:val="201F1E"/>
          <w:kern w:val="36"/>
          <w:lang w:eastAsia="en-GB"/>
        </w:rPr>
        <w:t xml:space="preserve"> domestic household budget</w:t>
      </w:r>
      <w:r w:rsidR="002C1993" w:rsidRPr="00190505">
        <w:rPr>
          <w:rFonts w:eastAsia="Times New Roman" w:cstheme="minorHAnsi"/>
          <w:color w:val="201F1E"/>
          <w:kern w:val="36"/>
          <w:lang w:eastAsia="en-GB"/>
        </w:rPr>
        <w:t>, frequently during times of financial hardship and crisis</w:t>
      </w:r>
      <w:r w:rsidRPr="00190505">
        <w:rPr>
          <w:rFonts w:eastAsia="Times New Roman" w:cstheme="minorHAnsi"/>
          <w:color w:val="201F1E"/>
          <w:kern w:val="36"/>
          <w:lang w:eastAsia="en-GB"/>
        </w:rPr>
        <w:t>. Of course</w:t>
      </w:r>
      <w:r w:rsidR="002C1993" w:rsidRPr="00190505">
        <w:rPr>
          <w:rFonts w:eastAsia="Times New Roman" w:cstheme="minorHAnsi"/>
          <w:color w:val="201F1E"/>
          <w:kern w:val="36"/>
          <w:lang w:eastAsia="en-GB"/>
        </w:rPr>
        <w:t>,</w:t>
      </w:r>
      <w:r w:rsidRPr="00190505">
        <w:rPr>
          <w:rFonts w:eastAsia="Times New Roman" w:cstheme="minorHAnsi"/>
          <w:color w:val="201F1E"/>
          <w:kern w:val="36"/>
          <w:lang w:eastAsia="en-GB"/>
        </w:rPr>
        <w:t xml:space="preserve"> it was rarely the case that gambling led to an improvement in the family’s finances, quite often the opposite, however the women recognised and articulate</w:t>
      </w:r>
      <w:r w:rsidR="002C1993" w:rsidRPr="00190505">
        <w:rPr>
          <w:rFonts w:eastAsia="Times New Roman" w:cstheme="minorHAnsi"/>
          <w:color w:val="201F1E"/>
          <w:kern w:val="36"/>
          <w:lang w:eastAsia="en-GB"/>
        </w:rPr>
        <w:t xml:space="preserve">d </w:t>
      </w:r>
      <w:r w:rsidRPr="00190505">
        <w:rPr>
          <w:rFonts w:eastAsia="Times New Roman" w:cstheme="minorHAnsi"/>
          <w:color w:val="201F1E"/>
          <w:kern w:val="36"/>
          <w:lang w:eastAsia="en-GB"/>
        </w:rPr>
        <w:t xml:space="preserve">this </w:t>
      </w:r>
      <w:r w:rsidR="002C1993" w:rsidRPr="00190505">
        <w:rPr>
          <w:rFonts w:eastAsia="Times New Roman" w:cstheme="minorHAnsi"/>
          <w:color w:val="201F1E"/>
          <w:kern w:val="36"/>
          <w:lang w:eastAsia="en-GB"/>
        </w:rPr>
        <w:t>contradiction</w:t>
      </w:r>
      <w:r w:rsidRPr="00190505">
        <w:rPr>
          <w:rFonts w:eastAsia="Times New Roman" w:cstheme="minorHAnsi"/>
          <w:color w:val="201F1E"/>
          <w:kern w:val="36"/>
          <w:lang w:eastAsia="en-GB"/>
        </w:rPr>
        <w:t xml:space="preserve"> and talked about desperation and feeling </w:t>
      </w:r>
      <w:r w:rsidR="002C1993" w:rsidRPr="00190505">
        <w:rPr>
          <w:rFonts w:eastAsia="Times New Roman" w:cstheme="minorHAnsi"/>
          <w:color w:val="201F1E"/>
          <w:kern w:val="36"/>
          <w:lang w:eastAsia="en-GB"/>
        </w:rPr>
        <w:t>‘</w:t>
      </w:r>
      <w:r w:rsidRPr="00190505">
        <w:rPr>
          <w:rFonts w:eastAsia="Times New Roman" w:cstheme="minorHAnsi"/>
          <w:color w:val="201F1E"/>
          <w:kern w:val="36"/>
          <w:lang w:eastAsia="en-GB"/>
        </w:rPr>
        <w:t>stuck</w:t>
      </w:r>
      <w:r w:rsidR="002C1993" w:rsidRPr="00190505">
        <w:rPr>
          <w:rFonts w:eastAsia="Times New Roman" w:cstheme="minorHAnsi"/>
          <w:color w:val="201F1E"/>
          <w:kern w:val="36"/>
          <w:lang w:eastAsia="en-GB"/>
        </w:rPr>
        <w:t>’</w:t>
      </w:r>
      <w:r w:rsidRPr="00190505">
        <w:rPr>
          <w:rFonts w:eastAsia="Times New Roman" w:cstheme="minorHAnsi"/>
          <w:color w:val="201F1E"/>
          <w:kern w:val="36"/>
          <w:lang w:eastAsia="en-GB"/>
        </w:rPr>
        <w:t xml:space="preserve"> with gambling being </w:t>
      </w:r>
      <w:r w:rsidR="002C1993" w:rsidRPr="00190505">
        <w:rPr>
          <w:rFonts w:eastAsia="Times New Roman" w:cstheme="minorHAnsi"/>
          <w:color w:val="201F1E"/>
          <w:kern w:val="36"/>
          <w:lang w:eastAsia="en-GB"/>
        </w:rPr>
        <w:t>an option where there are very few others.</w:t>
      </w:r>
    </w:p>
    <w:p w14:paraId="40BFEA3D" w14:textId="7336FBEF" w:rsidR="002C1993" w:rsidRPr="00190505" w:rsidRDefault="00A655AD" w:rsidP="00190505">
      <w:pPr>
        <w:shd w:val="clear" w:color="auto" w:fill="FFFFFF"/>
        <w:spacing w:before="100" w:beforeAutospacing="1" w:after="100" w:afterAutospacing="1" w:line="240" w:lineRule="auto"/>
        <w:jc w:val="both"/>
        <w:textAlignment w:val="baseline"/>
        <w:outlineLvl w:val="0"/>
        <w:rPr>
          <w:rFonts w:eastAsia="Times New Roman" w:cstheme="minorHAnsi"/>
          <w:color w:val="201F1E"/>
          <w:kern w:val="36"/>
          <w:lang w:eastAsia="en-GB"/>
        </w:rPr>
      </w:pPr>
      <w:proofErr w:type="gramStart"/>
      <w:r w:rsidRPr="00190505">
        <w:rPr>
          <w:rFonts w:eastAsia="Times New Roman" w:cstheme="minorHAnsi"/>
          <w:color w:val="201F1E"/>
          <w:kern w:val="36"/>
          <w:lang w:eastAsia="en-GB"/>
        </w:rPr>
        <w:t>Thus</w:t>
      </w:r>
      <w:proofErr w:type="gramEnd"/>
      <w:r w:rsidRPr="00190505">
        <w:rPr>
          <w:rFonts w:eastAsia="Times New Roman" w:cstheme="minorHAnsi"/>
          <w:color w:val="201F1E"/>
          <w:kern w:val="36"/>
          <w:lang w:eastAsia="en-GB"/>
        </w:rPr>
        <w:t xml:space="preserve"> </w:t>
      </w:r>
      <w:r w:rsidR="00B32BCD">
        <w:rPr>
          <w:rFonts w:eastAsia="Times New Roman" w:cstheme="minorHAnsi"/>
          <w:color w:val="201F1E"/>
          <w:kern w:val="36"/>
          <w:lang w:eastAsia="en-GB"/>
        </w:rPr>
        <w:t>one woman</w:t>
      </w:r>
      <w:r w:rsidRPr="00190505">
        <w:rPr>
          <w:rFonts w:eastAsia="Times New Roman" w:cstheme="minorHAnsi"/>
          <w:color w:val="201F1E"/>
          <w:kern w:val="36"/>
          <w:lang w:eastAsia="en-GB"/>
        </w:rPr>
        <w:t xml:space="preserve"> </w:t>
      </w:r>
      <w:r w:rsidR="002C1993" w:rsidRPr="00190505">
        <w:rPr>
          <w:rFonts w:eastAsia="Times New Roman" w:cstheme="minorHAnsi"/>
          <w:color w:val="201F1E"/>
          <w:kern w:val="36"/>
          <w:lang w:eastAsia="en-GB"/>
        </w:rPr>
        <w:t>remarked:</w:t>
      </w:r>
    </w:p>
    <w:p w14:paraId="2CC9EB37" w14:textId="182A2E96" w:rsidR="00A655AD" w:rsidRPr="00190505" w:rsidRDefault="00A655AD" w:rsidP="00190505">
      <w:pPr>
        <w:shd w:val="clear" w:color="auto" w:fill="FFFFFF"/>
        <w:spacing w:before="100" w:beforeAutospacing="1" w:after="100" w:afterAutospacing="1" w:line="240" w:lineRule="auto"/>
        <w:ind w:left="720"/>
        <w:jc w:val="both"/>
        <w:textAlignment w:val="baseline"/>
        <w:outlineLvl w:val="0"/>
        <w:rPr>
          <w:rFonts w:eastAsia="Times New Roman" w:cstheme="minorHAnsi"/>
          <w:color w:val="201F1E"/>
          <w:kern w:val="36"/>
          <w:lang w:eastAsia="en-GB"/>
        </w:rPr>
      </w:pPr>
      <w:r w:rsidRPr="00190505">
        <w:rPr>
          <w:rFonts w:eastAsia="Times New Roman" w:cstheme="minorHAnsi"/>
          <w:color w:val="201F1E"/>
          <w:kern w:val="36"/>
          <w:lang w:eastAsia="en-GB"/>
        </w:rPr>
        <w:t>“I think I am more likely to gamble if I have less money.</w:t>
      </w:r>
      <w:r w:rsidR="002C1993" w:rsidRPr="00190505">
        <w:rPr>
          <w:rFonts w:eastAsia="Times New Roman" w:cstheme="minorHAnsi"/>
          <w:color w:val="201F1E"/>
          <w:kern w:val="36"/>
          <w:lang w:eastAsia="en-GB"/>
        </w:rPr>
        <w:t xml:space="preserve"> </w:t>
      </w:r>
      <w:r w:rsidRPr="00190505">
        <w:rPr>
          <w:rFonts w:eastAsia="Times New Roman" w:cstheme="minorHAnsi"/>
          <w:color w:val="201F1E"/>
          <w:kern w:val="36"/>
          <w:lang w:eastAsia="en-GB"/>
        </w:rPr>
        <w:t xml:space="preserve">If it’s the end of the month and I have £10 in my purse to last me the three days to payday and I find myself in a queue in the </w:t>
      </w:r>
      <w:proofErr w:type="gramStart"/>
      <w:r w:rsidRPr="00190505">
        <w:rPr>
          <w:rFonts w:eastAsia="Times New Roman" w:cstheme="minorHAnsi"/>
          <w:color w:val="201F1E"/>
          <w:kern w:val="36"/>
          <w:lang w:eastAsia="en-GB"/>
        </w:rPr>
        <w:lastRenderedPageBreak/>
        <w:t>newsagents</w:t>
      </w:r>
      <w:proofErr w:type="gramEnd"/>
      <w:r w:rsidRPr="00190505">
        <w:rPr>
          <w:rFonts w:eastAsia="Times New Roman" w:cstheme="minorHAnsi"/>
          <w:color w:val="201F1E"/>
          <w:kern w:val="36"/>
          <w:lang w:eastAsia="en-GB"/>
        </w:rPr>
        <w:t xml:space="preserve"> I am much more likely to spend £1 on a </w:t>
      </w:r>
      <w:proofErr w:type="spellStart"/>
      <w:r w:rsidRPr="00190505">
        <w:rPr>
          <w:rFonts w:eastAsia="Times New Roman" w:cstheme="minorHAnsi"/>
          <w:color w:val="201F1E"/>
          <w:kern w:val="36"/>
          <w:lang w:eastAsia="en-GB"/>
        </w:rPr>
        <w:t>scratchcard</w:t>
      </w:r>
      <w:proofErr w:type="spellEnd"/>
      <w:r w:rsidRPr="00190505">
        <w:rPr>
          <w:rFonts w:eastAsia="Times New Roman" w:cstheme="minorHAnsi"/>
          <w:color w:val="201F1E"/>
          <w:kern w:val="36"/>
          <w:lang w:eastAsia="en-GB"/>
        </w:rPr>
        <w:t xml:space="preserve"> than if it’s the day after payday and I’m feeling flush.”</w:t>
      </w:r>
    </w:p>
    <w:p w14:paraId="3792801E" w14:textId="2B5D09B0"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Here the harms associated with gambling are </w:t>
      </w:r>
      <w:r w:rsidR="002C1993" w:rsidRPr="00190505">
        <w:rPr>
          <w:rFonts w:eastAsia="Times New Roman" w:cstheme="minorHAnsi"/>
          <w:color w:val="201F1E"/>
          <w:lang w:eastAsia="en-GB"/>
        </w:rPr>
        <w:t>related to a very real attempt to address financial hardship</w:t>
      </w:r>
      <w:r w:rsidRPr="00190505">
        <w:rPr>
          <w:rFonts w:eastAsia="Times New Roman" w:cstheme="minorHAnsi"/>
          <w:color w:val="201F1E"/>
          <w:lang w:eastAsia="en-GB"/>
        </w:rPr>
        <w:t>.</w:t>
      </w:r>
      <w:r w:rsidR="002C1993" w:rsidRPr="00190505">
        <w:rPr>
          <w:rFonts w:eastAsia="Times New Roman" w:cstheme="minorHAnsi"/>
          <w:color w:val="201F1E"/>
          <w:lang w:eastAsia="en-GB"/>
        </w:rPr>
        <w:t xml:space="preserve"> </w:t>
      </w:r>
      <w:r w:rsidRPr="00190505">
        <w:rPr>
          <w:rFonts w:eastAsia="Times New Roman" w:cstheme="minorHAnsi"/>
          <w:color w:val="201F1E"/>
          <w:lang w:eastAsia="en-GB"/>
        </w:rPr>
        <w:t>It is when she is feeling that there is not enough money to go round or to last until the end of the month that she turns to gambling as a possible solution.</w:t>
      </w:r>
    </w:p>
    <w:p w14:paraId="0A49C7BB" w14:textId="77777777"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p>
    <w:p w14:paraId="0A53533D" w14:textId="595345C2" w:rsidR="00A655AD" w:rsidRPr="00190505" w:rsidRDefault="00A655AD" w:rsidP="37AE04A3">
      <w:pPr>
        <w:shd w:val="clear" w:color="auto" w:fill="FFFFFF" w:themeFill="background1"/>
        <w:spacing w:after="0" w:line="240" w:lineRule="auto"/>
        <w:jc w:val="both"/>
        <w:textAlignment w:val="baseline"/>
        <w:rPr>
          <w:rFonts w:eastAsia="Times New Roman"/>
          <w:color w:val="201F1E"/>
          <w:lang w:eastAsia="en-GB"/>
        </w:rPr>
      </w:pPr>
      <w:r w:rsidRPr="37AE04A3">
        <w:rPr>
          <w:rFonts w:eastAsia="Times New Roman"/>
          <w:color w:val="201F1E"/>
          <w:lang w:eastAsia="en-GB"/>
        </w:rPr>
        <w:t xml:space="preserve">It is interesting also </w:t>
      </w:r>
      <w:r w:rsidR="00FC3118" w:rsidRPr="37AE04A3">
        <w:rPr>
          <w:rFonts w:eastAsia="Times New Roman"/>
          <w:color w:val="201F1E"/>
          <w:lang w:eastAsia="en-GB"/>
        </w:rPr>
        <w:t xml:space="preserve">to note </w:t>
      </w:r>
      <w:r w:rsidRPr="37AE04A3">
        <w:rPr>
          <w:rFonts w:eastAsia="Times New Roman"/>
          <w:color w:val="201F1E"/>
          <w:lang w:eastAsia="en-GB"/>
        </w:rPr>
        <w:t xml:space="preserve">that gambling is not </w:t>
      </w:r>
      <w:r w:rsidR="009A7839" w:rsidRPr="37AE04A3">
        <w:rPr>
          <w:rFonts w:eastAsia="Times New Roman"/>
          <w:color w:val="201F1E"/>
          <w:lang w:eastAsia="en-GB"/>
        </w:rPr>
        <w:t xml:space="preserve">necessarily </w:t>
      </w:r>
      <w:r w:rsidRPr="37AE04A3">
        <w:rPr>
          <w:rFonts w:eastAsia="Times New Roman"/>
          <w:color w:val="201F1E"/>
          <w:lang w:eastAsia="en-GB"/>
        </w:rPr>
        <w:t xml:space="preserve">organised and planned. </w:t>
      </w:r>
      <w:r w:rsidR="009A7839" w:rsidRPr="37AE04A3">
        <w:rPr>
          <w:rFonts w:eastAsia="Times New Roman"/>
          <w:color w:val="201F1E"/>
          <w:lang w:eastAsia="en-GB"/>
        </w:rPr>
        <w:t>Instead,</w:t>
      </w:r>
      <w:r w:rsidRPr="37AE04A3">
        <w:rPr>
          <w:rFonts w:eastAsia="Times New Roman"/>
          <w:color w:val="201F1E"/>
          <w:lang w:eastAsia="en-GB"/>
        </w:rPr>
        <w:t xml:space="preserve"> it is described as a spur of the moment and spontaneous event</w:t>
      </w:r>
      <w:r w:rsidR="009A7839" w:rsidRPr="37AE04A3">
        <w:rPr>
          <w:rFonts w:eastAsia="Times New Roman"/>
          <w:color w:val="201F1E"/>
          <w:lang w:eastAsia="en-GB"/>
        </w:rPr>
        <w:t>;</w:t>
      </w:r>
      <w:r w:rsidRPr="37AE04A3">
        <w:rPr>
          <w:rFonts w:eastAsia="Times New Roman"/>
          <w:color w:val="201F1E"/>
          <w:lang w:eastAsia="en-GB"/>
        </w:rPr>
        <w:t xml:space="preserve"> </w:t>
      </w:r>
      <w:r w:rsidR="009A7839" w:rsidRPr="37AE04A3">
        <w:rPr>
          <w:rFonts w:eastAsia="Times New Roman"/>
          <w:color w:val="201F1E"/>
          <w:lang w:eastAsia="en-GB"/>
        </w:rPr>
        <w:t>s</w:t>
      </w:r>
      <w:r w:rsidRPr="37AE04A3">
        <w:rPr>
          <w:rFonts w:eastAsia="Times New Roman"/>
          <w:color w:val="201F1E"/>
          <w:lang w:eastAsia="en-GB"/>
        </w:rPr>
        <w:t xml:space="preserve">omething </w:t>
      </w:r>
      <w:r w:rsidR="009A7839" w:rsidRPr="37AE04A3">
        <w:rPr>
          <w:rFonts w:eastAsia="Times New Roman"/>
          <w:color w:val="201F1E"/>
          <w:lang w:eastAsia="en-GB"/>
        </w:rPr>
        <w:t>that is</w:t>
      </w:r>
      <w:r w:rsidRPr="37AE04A3">
        <w:rPr>
          <w:rFonts w:eastAsia="Times New Roman"/>
          <w:color w:val="201F1E"/>
          <w:lang w:eastAsia="en-GB"/>
        </w:rPr>
        <w:t xml:space="preserve"> consider</w:t>
      </w:r>
      <w:r w:rsidR="009A7839" w:rsidRPr="37AE04A3">
        <w:rPr>
          <w:rFonts w:eastAsia="Times New Roman"/>
          <w:color w:val="201F1E"/>
          <w:lang w:eastAsia="en-GB"/>
        </w:rPr>
        <w:t>ed</w:t>
      </w:r>
      <w:r w:rsidRPr="37AE04A3">
        <w:rPr>
          <w:rFonts w:eastAsia="Times New Roman"/>
          <w:color w:val="201F1E"/>
          <w:lang w:eastAsia="en-GB"/>
        </w:rPr>
        <w:t xml:space="preserve"> when she sees the </w:t>
      </w:r>
      <w:proofErr w:type="spellStart"/>
      <w:r w:rsidRPr="37AE04A3">
        <w:rPr>
          <w:rFonts w:eastAsia="Times New Roman"/>
          <w:color w:val="201F1E"/>
          <w:lang w:eastAsia="en-GB"/>
        </w:rPr>
        <w:t>scratchcards</w:t>
      </w:r>
      <w:proofErr w:type="spellEnd"/>
      <w:r w:rsidRPr="37AE04A3">
        <w:rPr>
          <w:rFonts w:eastAsia="Times New Roman"/>
          <w:color w:val="201F1E"/>
          <w:lang w:eastAsia="en-GB"/>
        </w:rPr>
        <w:t xml:space="preserve"> for sale as she is queueing up in the newsagents.</w:t>
      </w:r>
      <w:r w:rsidR="00AE1966" w:rsidRPr="37AE04A3">
        <w:rPr>
          <w:rFonts w:eastAsia="Times New Roman"/>
          <w:color w:val="201F1E"/>
          <w:lang w:eastAsia="en-GB"/>
        </w:rPr>
        <w:t xml:space="preserve"> This is a far cry from other types of gambling which are </w:t>
      </w:r>
      <w:r w:rsidR="009A7839" w:rsidRPr="37AE04A3">
        <w:rPr>
          <w:rFonts w:eastAsia="Times New Roman"/>
          <w:color w:val="201F1E"/>
          <w:lang w:eastAsia="en-GB"/>
        </w:rPr>
        <w:t xml:space="preserve">often </w:t>
      </w:r>
      <w:r w:rsidR="00AE1966" w:rsidRPr="37AE04A3">
        <w:rPr>
          <w:rFonts w:eastAsia="Times New Roman"/>
          <w:color w:val="201F1E"/>
          <w:lang w:eastAsia="en-GB"/>
        </w:rPr>
        <w:t>pre-planned and organised activit</w:t>
      </w:r>
      <w:r w:rsidR="009A7839" w:rsidRPr="37AE04A3">
        <w:rPr>
          <w:rFonts w:eastAsia="Times New Roman"/>
          <w:color w:val="201F1E"/>
          <w:lang w:eastAsia="en-GB"/>
        </w:rPr>
        <w:t xml:space="preserve">ies that necessitate a trip to a dedicated gambling venue. Other </w:t>
      </w:r>
      <w:r w:rsidR="00473A58">
        <w:rPr>
          <w:rFonts w:eastAsia="Times New Roman"/>
          <w:color w:val="201F1E"/>
          <w:lang w:eastAsia="en-GB"/>
        </w:rPr>
        <w:t xml:space="preserve">feminist </w:t>
      </w:r>
      <w:r w:rsidR="009A7839" w:rsidRPr="37AE04A3">
        <w:rPr>
          <w:rFonts w:eastAsia="Times New Roman"/>
          <w:color w:val="201F1E"/>
          <w:lang w:eastAsia="en-GB"/>
        </w:rPr>
        <w:t>scholars have described the gnawing and relentless anxieties of poverty which infiltrate everyday life and thoughts, which are very difficult to ‘switch off’ or escape</w:t>
      </w:r>
      <w:r w:rsidR="00473A58">
        <w:rPr>
          <w:rFonts w:eastAsia="Times New Roman"/>
          <w:color w:val="201F1E"/>
          <w:lang w:eastAsia="en-GB"/>
        </w:rPr>
        <w:t xml:space="preserve"> (for example Cohen et al., 1992)</w:t>
      </w:r>
      <w:r w:rsidR="009A7839" w:rsidRPr="37AE04A3">
        <w:rPr>
          <w:rFonts w:eastAsia="Times New Roman"/>
          <w:color w:val="201F1E"/>
          <w:lang w:eastAsia="en-GB"/>
        </w:rPr>
        <w:t xml:space="preserve">. Women in </w:t>
      </w:r>
      <w:r w:rsidR="00AC281E">
        <w:rPr>
          <w:rFonts w:eastAsia="Times New Roman"/>
          <w:color w:val="201F1E"/>
          <w:lang w:eastAsia="en-GB"/>
        </w:rPr>
        <w:t>my</w:t>
      </w:r>
      <w:r w:rsidR="00AC281E" w:rsidRPr="37AE04A3">
        <w:rPr>
          <w:rFonts w:eastAsia="Times New Roman"/>
          <w:color w:val="201F1E"/>
          <w:lang w:eastAsia="en-GB"/>
        </w:rPr>
        <w:t xml:space="preserve"> </w:t>
      </w:r>
      <w:r w:rsidR="009A7839" w:rsidRPr="37AE04A3">
        <w:rPr>
          <w:rFonts w:eastAsia="Times New Roman"/>
          <w:color w:val="201F1E"/>
          <w:lang w:eastAsia="en-GB"/>
        </w:rPr>
        <w:t xml:space="preserve">study regularly talked about the nagging stresses and strains of not having enough money and of feeling endlessly anxious about attempting to make a limited household budget meet the demands of the family. Women often described feeling ‘stuck’ and of their struggles to ‘get by’. This is exacerbated during times of economic crisis – the </w:t>
      </w:r>
      <w:r w:rsidR="009A7839" w:rsidRPr="37AE04A3">
        <w:rPr>
          <w:rFonts w:eastAsia="Times New Roman"/>
          <w:i/>
          <w:iCs/>
          <w:color w:val="201F1E"/>
          <w:lang w:eastAsia="en-GB"/>
        </w:rPr>
        <w:t xml:space="preserve">Gambling and Households </w:t>
      </w:r>
      <w:r w:rsidR="009A7839" w:rsidRPr="37AE04A3">
        <w:rPr>
          <w:rFonts w:eastAsia="Times New Roman"/>
          <w:color w:val="201F1E"/>
          <w:lang w:eastAsia="en-GB"/>
        </w:rPr>
        <w:t xml:space="preserve">research was undertaken during a period of dramatic austerity and government spending cuts, and much research demonstrates the </w:t>
      </w:r>
      <w:r w:rsidR="00473A58">
        <w:rPr>
          <w:rFonts w:eastAsia="Times New Roman"/>
          <w:color w:val="201F1E"/>
          <w:lang w:eastAsia="en-GB"/>
        </w:rPr>
        <w:t>emotional in addition to the financial</w:t>
      </w:r>
      <w:r w:rsidR="00473A58" w:rsidRPr="37AE04A3">
        <w:rPr>
          <w:rFonts w:eastAsia="Times New Roman"/>
          <w:color w:val="201F1E"/>
          <w:lang w:eastAsia="en-GB"/>
        </w:rPr>
        <w:t xml:space="preserve"> </w:t>
      </w:r>
      <w:r w:rsidR="009A7839" w:rsidRPr="37AE04A3">
        <w:rPr>
          <w:rFonts w:eastAsia="Times New Roman"/>
          <w:color w:val="201F1E"/>
          <w:lang w:eastAsia="en-GB"/>
        </w:rPr>
        <w:t>impacts of precarity during that time</w:t>
      </w:r>
      <w:r w:rsidR="00473A58">
        <w:rPr>
          <w:rFonts w:eastAsia="Times New Roman"/>
          <w:color w:val="201F1E"/>
          <w:lang w:eastAsia="en-GB"/>
        </w:rPr>
        <w:t xml:space="preserve"> (for example, </w:t>
      </w:r>
      <w:proofErr w:type="spellStart"/>
      <w:r w:rsidR="00473A58">
        <w:rPr>
          <w:rFonts w:eastAsia="Times New Roman"/>
          <w:color w:val="201F1E"/>
          <w:lang w:eastAsia="en-GB"/>
        </w:rPr>
        <w:t>Skeggs</w:t>
      </w:r>
      <w:proofErr w:type="spellEnd"/>
      <w:r w:rsidR="00473A58">
        <w:rPr>
          <w:rFonts w:eastAsia="Times New Roman"/>
          <w:color w:val="201F1E"/>
          <w:lang w:eastAsia="en-GB"/>
        </w:rPr>
        <w:t>, 1997</w:t>
      </w:r>
      <w:r w:rsidR="005F29EF">
        <w:rPr>
          <w:rFonts w:eastAsia="Times New Roman"/>
          <w:color w:val="201F1E"/>
          <w:lang w:eastAsia="en-GB"/>
        </w:rPr>
        <w:t>)</w:t>
      </w:r>
      <w:r w:rsidR="009A7839" w:rsidRPr="37AE04A3">
        <w:rPr>
          <w:rFonts w:eastAsia="Times New Roman"/>
          <w:color w:val="201F1E"/>
          <w:lang w:eastAsia="en-GB"/>
        </w:rPr>
        <w:t>. Gambling offered a glimmer of hope – an attempt to find a way through domestic economic crises.</w:t>
      </w:r>
    </w:p>
    <w:p w14:paraId="3FED5FA4" w14:textId="77777777"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p>
    <w:p w14:paraId="10D0B2B3" w14:textId="5F9038DA" w:rsidR="002C1993" w:rsidRPr="00190505" w:rsidRDefault="009A7839"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Although the women were acutely aware that gambling was not an especially realistic route out of poverty, it facilitated a pleasurable daydream and hope of a life free from economic stress and anxiety. </w:t>
      </w:r>
      <w:r w:rsidR="00A655AD" w:rsidRPr="00190505">
        <w:rPr>
          <w:rFonts w:eastAsia="Times New Roman" w:cstheme="minorHAnsi"/>
          <w:color w:val="201F1E"/>
          <w:lang w:eastAsia="en-GB"/>
        </w:rPr>
        <w:t xml:space="preserve">Buying lottery tickets not only felt like a possible route out of poverty albeit </w:t>
      </w:r>
      <w:proofErr w:type="gramStart"/>
      <w:r w:rsidR="00A655AD" w:rsidRPr="00190505">
        <w:rPr>
          <w:rFonts w:eastAsia="Times New Roman" w:cstheme="minorHAnsi"/>
          <w:color w:val="201F1E"/>
          <w:lang w:eastAsia="en-GB"/>
        </w:rPr>
        <w:t>a</w:t>
      </w:r>
      <w:proofErr w:type="gramEnd"/>
      <w:r w:rsidR="00A655AD" w:rsidRPr="00190505">
        <w:rPr>
          <w:rFonts w:eastAsia="Times New Roman" w:cstheme="minorHAnsi"/>
          <w:color w:val="201F1E"/>
          <w:lang w:eastAsia="en-GB"/>
        </w:rPr>
        <w:t xml:space="preserve"> unlikely one, but also facilitated a pleasurable daydream and hope where it often felt like there was very little</w:t>
      </w:r>
      <w:r w:rsidR="00E5049E">
        <w:rPr>
          <w:rFonts w:eastAsia="Times New Roman" w:cstheme="minorHAnsi"/>
          <w:color w:val="201F1E"/>
          <w:lang w:eastAsia="en-GB"/>
        </w:rPr>
        <w:t xml:space="preserve"> cause for optimism</w:t>
      </w:r>
      <w:r w:rsidR="00A655AD" w:rsidRPr="00190505">
        <w:rPr>
          <w:rFonts w:eastAsia="Times New Roman" w:cstheme="minorHAnsi"/>
          <w:color w:val="201F1E"/>
          <w:lang w:eastAsia="en-GB"/>
        </w:rPr>
        <w:t>.</w:t>
      </w:r>
      <w:r w:rsidRPr="00190505">
        <w:rPr>
          <w:rFonts w:eastAsia="Times New Roman" w:cstheme="minorHAnsi"/>
          <w:color w:val="201F1E"/>
          <w:lang w:eastAsia="en-GB"/>
        </w:rPr>
        <w:t xml:space="preserve"> One woman described this feeling of desperation</w:t>
      </w:r>
      <w:r w:rsidR="002C1993" w:rsidRPr="00190505">
        <w:rPr>
          <w:rFonts w:eastAsia="Times New Roman" w:cstheme="minorHAnsi"/>
          <w:color w:val="201F1E"/>
          <w:lang w:eastAsia="en-GB"/>
        </w:rPr>
        <w:t>:</w:t>
      </w:r>
    </w:p>
    <w:p w14:paraId="7E2A554A" w14:textId="77777777" w:rsidR="002C1993" w:rsidRPr="00190505" w:rsidRDefault="002C1993" w:rsidP="00190505">
      <w:pPr>
        <w:shd w:val="clear" w:color="auto" w:fill="FFFFFF"/>
        <w:spacing w:after="0" w:line="240" w:lineRule="auto"/>
        <w:jc w:val="both"/>
        <w:textAlignment w:val="baseline"/>
        <w:rPr>
          <w:rFonts w:eastAsia="Times New Roman" w:cstheme="minorHAnsi"/>
          <w:color w:val="201F1E"/>
          <w:lang w:eastAsia="en-GB"/>
        </w:rPr>
      </w:pPr>
    </w:p>
    <w:p w14:paraId="02A382A7" w14:textId="384937C3" w:rsidR="00A655AD" w:rsidRPr="00190505" w:rsidRDefault="00A655AD"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w:t>
      </w:r>
      <w:r w:rsidR="002C1993" w:rsidRPr="00190505">
        <w:rPr>
          <w:rFonts w:eastAsia="Times New Roman" w:cstheme="minorHAnsi"/>
          <w:color w:val="201F1E"/>
          <w:lang w:eastAsia="en-GB"/>
        </w:rPr>
        <w:t>R</w:t>
      </w:r>
      <w:r w:rsidRPr="00190505">
        <w:rPr>
          <w:rFonts w:eastAsia="Times New Roman" w:cstheme="minorHAnsi"/>
          <w:color w:val="201F1E"/>
          <w:lang w:eastAsia="en-GB"/>
        </w:rPr>
        <w:t xml:space="preserve">ecently, my partner and I have begun to do the National Lottery out of sheer desperation – we are </w:t>
      </w:r>
      <w:proofErr w:type="gramStart"/>
      <w:r w:rsidRPr="00190505">
        <w:rPr>
          <w:rFonts w:eastAsia="Times New Roman" w:cstheme="minorHAnsi"/>
          <w:color w:val="201F1E"/>
          <w:lang w:eastAsia="en-GB"/>
        </w:rPr>
        <w:t>stuck</w:t>
      </w:r>
      <w:proofErr w:type="gramEnd"/>
      <w:r w:rsidRPr="00190505">
        <w:rPr>
          <w:rFonts w:eastAsia="Times New Roman" w:cstheme="minorHAnsi"/>
          <w:color w:val="201F1E"/>
          <w:lang w:eastAsia="en-GB"/>
        </w:rPr>
        <w:t xml:space="preserve"> and I am not working so we are just getting by.</w:t>
      </w:r>
      <w:r w:rsidR="002C1993" w:rsidRPr="00190505">
        <w:rPr>
          <w:rFonts w:eastAsia="Times New Roman" w:cstheme="minorHAnsi"/>
          <w:color w:val="201F1E"/>
          <w:lang w:eastAsia="en-GB"/>
        </w:rPr>
        <w:t xml:space="preserve"> </w:t>
      </w:r>
      <w:r w:rsidRPr="00190505">
        <w:rPr>
          <w:rFonts w:eastAsia="Times New Roman" w:cstheme="minorHAnsi"/>
          <w:color w:val="201F1E"/>
          <w:lang w:eastAsia="en-GB"/>
        </w:rPr>
        <w:t>What if, what if, what if?? Our favourite topic of conversation is what would we do with the money.”</w:t>
      </w:r>
    </w:p>
    <w:p w14:paraId="55D7E7A1" w14:textId="77777777"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p>
    <w:p w14:paraId="1C49669B" w14:textId="0DED48D9"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It was clear from the research that part of the harms associated with gambling stemmed from a feeling that there was no way out of their poverty and that gambling offered an easily accessible </w:t>
      </w:r>
      <w:r w:rsidR="0090000B" w:rsidRPr="00190505">
        <w:rPr>
          <w:rFonts w:eastAsia="Times New Roman" w:cstheme="minorHAnsi"/>
          <w:color w:val="201F1E"/>
          <w:lang w:eastAsia="en-GB"/>
        </w:rPr>
        <w:t xml:space="preserve">possibility of change </w:t>
      </w:r>
      <w:r w:rsidRPr="00190505">
        <w:rPr>
          <w:rFonts w:eastAsia="Times New Roman" w:cstheme="minorHAnsi"/>
          <w:color w:val="201F1E"/>
          <w:lang w:eastAsia="en-GB"/>
        </w:rPr>
        <w:t>where there are very few if no alternative options available.</w:t>
      </w:r>
      <w:r w:rsidR="0090000B" w:rsidRPr="00190505">
        <w:rPr>
          <w:rFonts w:eastAsia="Times New Roman" w:cstheme="minorHAnsi"/>
          <w:color w:val="201F1E"/>
          <w:lang w:eastAsia="en-GB"/>
        </w:rPr>
        <w:t xml:space="preserve"> It is o</w:t>
      </w:r>
      <w:r w:rsidRPr="00190505">
        <w:rPr>
          <w:rFonts w:eastAsia="Times New Roman" w:cstheme="minorHAnsi"/>
          <w:color w:val="201F1E"/>
          <w:lang w:eastAsia="en-GB"/>
        </w:rPr>
        <w:t xml:space="preserve">ften assumed that the key motivation for gambling, particularly on games </w:t>
      </w:r>
      <w:r w:rsidR="0090000B" w:rsidRPr="00190505">
        <w:rPr>
          <w:rFonts w:eastAsia="Times New Roman" w:cstheme="minorHAnsi"/>
          <w:color w:val="201F1E"/>
          <w:lang w:eastAsia="en-GB"/>
        </w:rPr>
        <w:t xml:space="preserve">with very big prizes </w:t>
      </w:r>
      <w:r w:rsidRPr="00190505">
        <w:rPr>
          <w:rFonts w:eastAsia="Times New Roman" w:cstheme="minorHAnsi"/>
          <w:color w:val="201F1E"/>
          <w:lang w:eastAsia="en-GB"/>
        </w:rPr>
        <w:t>like the UK National Lottery is centred around the desire to win huge, life changing amounts of money.</w:t>
      </w:r>
      <w:r w:rsidR="0090000B" w:rsidRPr="00190505">
        <w:rPr>
          <w:rFonts w:eastAsia="Times New Roman" w:cstheme="minorHAnsi"/>
          <w:color w:val="201F1E"/>
          <w:lang w:eastAsia="en-GB"/>
        </w:rPr>
        <w:t xml:space="preserve"> However, o</w:t>
      </w:r>
      <w:r w:rsidRPr="00190505">
        <w:rPr>
          <w:rFonts w:eastAsia="Times New Roman" w:cstheme="minorHAnsi"/>
          <w:color w:val="201F1E"/>
          <w:lang w:eastAsia="en-GB"/>
        </w:rPr>
        <w:t xml:space="preserve">ne of the </w:t>
      </w:r>
      <w:r w:rsidR="0090000B" w:rsidRPr="00190505">
        <w:rPr>
          <w:rFonts w:eastAsia="Times New Roman" w:cstheme="minorHAnsi"/>
          <w:color w:val="201F1E"/>
          <w:lang w:eastAsia="en-GB"/>
        </w:rPr>
        <w:t xml:space="preserve">notable findings of this research was that women were often motivated by a more domestic, </w:t>
      </w:r>
      <w:proofErr w:type="gramStart"/>
      <w:r w:rsidR="0090000B" w:rsidRPr="00190505">
        <w:rPr>
          <w:rFonts w:eastAsia="Times New Roman" w:cstheme="minorHAnsi"/>
          <w:color w:val="201F1E"/>
          <w:lang w:eastAsia="en-GB"/>
        </w:rPr>
        <w:t>mundane</w:t>
      </w:r>
      <w:proofErr w:type="gramEnd"/>
      <w:r w:rsidR="0090000B" w:rsidRPr="00190505">
        <w:rPr>
          <w:rFonts w:eastAsia="Times New Roman" w:cstheme="minorHAnsi"/>
          <w:color w:val="201F1E"/>
          <w:lang w:eastAsia="en-GB"/>
        </w:rPr>
        <w:t xml:space="preserve"> and </w:t>
      </w:r>
      <w:r w:rsidR="00A76B4B" w:rsidRPr="00190505">
        <w:rPr>
          <w:rFonts w:eastAsia="Times New Roman" w:cstheme="minorHAnsi"/>
          <w:color w:val="201F1E"/>
          <w:lang w:eastAsia="en-GB"/>
        </w:rPr>
        <w:t xml:space="preserve">everyday </w:t>
      </w:r>
      <w:r w:rsidR="00937311">
        <w:rPr>
          <w:rFonts w:eastAsia="Times New Roman" w:cstheme="minorHAnsi"/>
          <w:color w:val="201F1E"/>
          <w:lang w:eastAsia="en-GB"/>
        </w:rPr>
        <w:t>daydream. G</w:t>
      </w:r>
      <w:r w:rsidRPr="00190505">
        <w:rPr>
          <w:rFonts w:eastAsia="Times New Roman" w:cstheme="minorHAnsi"/>
          <w:color w:val="201F1E"/>
          <w:lang w:eastAsia="en-GB"/>
        </w:rPr>
        <w:t>ambling at home and in domestic settings is often less about the thrill o</w:t>
      </w:r>
      <w:r w:rsidR="0090000B" w:rsidRPr="00190505">
        <w:rPr>
          <w:rFonts w:eastAsia="Times New Roman" w:cstheme="minorHAnsi"/>
          <w:color w:val="201F1E"/>
          <w:lang w:eastAsia="en-GB"/>
        </w:rPr>
        <w:t>f</w:t>
      </w:r>
      <w:r w:rsidRPr="00190505">
        <w:rPr>
          <w:rFonts w:eastAsia="Times New Roman" w:cstheme="minorHAnsi"/>
          <w:color w:val="201F1E"/>
          <w:lang w:eastAsia="en-GB"/>
        </w:rPr>
        <w:t xml:space="preserve"> chasing a </w:t>
      </w:r>
      <w:r w:rsidR="0090000B" w:rsidRPr="00190505">
        <w:rPr>
          <w:rFonts w:eastAsia="Times New Roman" w:cstheme="minorHAnsi"/>
          <w:color w:val="201F1E"/>
          <w:lang w:eastAsia="en-GB"/>
        </w:rPr>
        <w:t>‘</w:t>
      </w:r>
      <w:proofErr w:type="spellStart"/>
      <w:r w:rsidRPr="00190505">
        <w:rPr>
          <w:rFonts w:eastAsia="Times New Roman" w:cstheme="minorHAnsi"/>
          <w:color w:val="201F1E"/>
          <w:lang w:eastAsia="en-GB"/>
        </w:rPr>
        <w:t>Jetset</w:t>
      </w:r>
      <w:proofErr w:type="spellEnd"/>
      <w:r w:rsidR="0090000B" w:rsidRPr="00190505">
        <w:rPr>
          <w:rFonts w:eastAsia="Times New Roman" w:cstheme="minorHAnsi"/>
          <w:color w:val="201F1E"/>
          <w:lang w:eastAsia="en-GB"/>
        </w:rPr>
        <w:t>’</w:t>
      </w:r>
      <w:r w:rsidRPr="00190505">
        <w:rPr>
          <w:rFonts w:eastAsia="Times New Roman" w:cstheme="minorHAnsi"/>
          <w:color w:val="201F1E"/>
          <w:lang w:eastAsia="en-GB"/>
        </w:rPr>
        <w:t xml:space="preserve"> lifestyle</w:t>
      </w:r>
      <w:r w:rsidR="0090000B" w:rsidRPr="00190505">
        <w:rPr>
          <w:rFonts w:eastAsia="Times New Roman" w:cstheme="minorHAnsi"/>
          <w:color w:val="201F1E"/>
          <w:lang w:eastAsia="en-GB"/>
        </w:rPr>
        <w:t xml:space="preserve">, rather </w:t>
      </w:r>
      <w:r w:rsidRPr="00190505">
        <w:rPr>
          <w:rFonts w:eastAsia="Times New Roman" w:cstheme="minorHAnsi"/>
          <w:color w:val="201F1E"/>
          <w:lang w:eastAsia="en-GB"/>
        </w:rPr>
        <w:t xml:space="preserve">an attempt to improve </w:t>
      </w:r>
      <w:r w:rsidR="0090000B" w:rsidRPr="00190505">
        <w:rPr>
          <w:rFonts w:eastAsia="Times New Roman" w:cstheme="minorHAnsi"/>
          <w:color w:val="201F1E"/>
          <w:lang w:eastAsia="en-GB"/>
        </w:rPr>
        <w:t xml:space="preserve">on rather than transform </w:t>
      </w:r>
      <w:r w:rsidRPr="00190505">
        <w:rPr>
          <w:rFonts w:eastAsia="Times New Roman" w:cstheme="minorHAnsi"/>
          <w:color w:val="201F1E"/>
          <w:lang w:eastAsia="en-GB"/>
        </w:rPr>
        <w:t xml:space="preserve">their </w:t>
      </w:r>
      <w:r w:rsidR="0090000B" w:rsidRPr="00190505">
        <w:rPr>
          <w:rFonts w:eastAsia="Times New Roman" w:cstheme="minorHAnsi"/>
          <w:color w:val="201F1E"/>
          <w:lang w:eastAsia="en-GB"/>
        </w:rPr>
        <w:t xml:space="preserve">current </w:t>
      </w:r>
      <w:r w:rsidRPr="00190505">
        <w:rPr>
          <w:rFonts w:eastAsia="Times New Roman" w:cstheme="minorHAnsi"/>
          <w:color w:val="201F1E"/>
          <w:lang w:eastAsia="en-GB"/>
        </w:rPr>
        <w:t>domestic situations.</w:t>
      </w:r>
      <w:r w:rsidR="0090000B" w:rsidRPr="00190505">
        <w:rPr>
          <w:rFonts w:eastAsia="Times New Roman" w:cstheme="minorHAnsi"/>
          <w:color w:val="201F1E"/>
          <w:lang w:eastAsia="en-GB"/>
        </w:rPr>
        <w:t xml:space="preserve"> In this sense, gambling is often an attempt to improve on life within the domestic setting. Daydreams are often described as being quite modest and not necessarily life changing, including for example, paying off the mortgage, contributing to bills or maybe taking a holiday without having to worry about being able to afford it.</w:t>
      </w:r>
    </w:p>
    <w:p w14:paraId="0F744019" w14:textId="77777777"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p>
    <w:p w14:paraId="38E84191" w14:textId="7A3C15F5"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As we have seen it is often women who are expected to provide and facilitate a pleasant and respectable domestic setting. This research uncovered the frustrations that are associated with not having the resources available to achieve this.</w:t>
      </w:r>
      <w:r w:rsidR="0090000B" w:rsidRPr="00190505">
        <w:rPr>
          <w:rFonts w:eastAsia="Times New Roman" w:cstheme="minorHAnsi"/>
          <w:color w:val="201F1E"/>
          <w:lang w:eastAsia="en-GB"/>
        </w:rPr>
        <w:t xml:space="preserve"> </w:t>
      </w:r>
      <w:r w:rsidRPr="00190505">
        <w:rPr>
          <w:rFonts w:eastAsia="Times New Roman" w:cstheme="minorHAnsi"/>
          <w:color w:val="201F1E"/>
          <w:lang w:eastAsia="en-GB"/>
        </w:rPr>
        <w:t xml:space="preserve">Women often dealt with this frustration by gambling and daydreaming of a life and domestic life that was free from nagging anxieties and worries about money. </w:t>
      </w:r>
      <w:r w:rsidR="0090000B" w:rsidRPr="00190505">
        <w:rPr>
          <w:rFonts w:eastAsia="Times New Roman" w:cstheme="minorHAnsi"/>
          <w:color w:val="201F1E"/>
          <w:lang w:eastAsia="en-GB"/>
        </w:rPr>
        <w:t>T</w:t>
      </w:r>
      <w:r w:rsidRPr="00190505">
        <w:rPr>
          <w:rFonts w:eastAsia="Times New Roman" w:cstheme="minorHAnsi"/>
          <w:color w:val="201F1E"/>
          <w:lang w:eastAsia="en-GB"/>
        </w:rPr>
        <w:t xml:space="preserve">hese daydreams were often </w:t>
      </w:r>
      <w:r w:rsidR="00A76B4B" w:rsidRPr="00190505">
        <w:rPr>
          <w:rFonts w:eastAsia="Times New Roman" w:cstheme="minorHAnsi"/>
          <w:color w:val="201F1E"/>
          <w:lang w:eastAsia="en-GB"/>
        </w:rPr>
        <w:t>metaphorical,</w:t>
      </w:r>
      <w:r w:rsidRPr="00190505">
        <w:rPr>
          <w:rFonts w:eastAsia="Times New Roman" w:cstheme="minorHAnsi"/>
          <w:color w:val="201F1E"/>
          <w:lang w:eastAsia="en-GB"/>
        </w:rPr>
        <w:t xml:space="preserve"> and the pleasures </w:t>
      </w:r>
      <w:r w:rsidR="0090000B" w:rsidRPr="00190505">
        <w:rPr>
          <w:rFonts w:eastAsia="Times New Roman" w:cstheme="minorHAnsi"/>
          <w:color w:val="201F1E"/>
          <w:lang w:eastAsia="en-GB"/>
        </w:rPr>
        <w:t xml:space="preserve">associated with gambling </w:t>
      </w:r>
      <w:r w:rsidRPr="00190505">
        <w:rPr>
          <w:rFonts w:eastAsia="Times New Roman" w:cstheme="minorHAnsi"/>
          <w:color w:val="201F1E"/>
          <w:lang w:eastAsia="en-GB"/>
        </w:rPr>
        <w:t xml:space="preserve">were mental and psychological rather than physical such as the </w:t>
      </w:r>
      <w:r w:rsidR="0090000B" w:rsidRPr="00190505">
        <w:rPr>
          <w:rFonts w:eastAsia="Times New Roman" w:cstheme="minorHAnsi"/>
          <w:color w:val="201F1E"/>
          <w:lang w:eastAsia="en-GB"/>
        </w:rPr>
        <w:t>‘</w:t>
      </w:r>
      <w:r w:rsidRPr="00190505">
        <w:rPr>
          <w:rFonts w:eastAsia="Times New Roman" w:cstheme="minorHAnsi"/>
          <w:color w:val="201F1E"/>
          <w:lang w:eastAsia="en-GB"/>
        </w:rPr>
        <w:t>flutter</w:t>
      </w:r>
      <w:r w:rsidR="0090000B" w:rsidRPr="00190505">
        <w:rPr>
          <w:rFonts w:eastAsia="Times New Roman" w:cstheme="minorHAnsi"/>
          <w:color w:val="201F1E"/>
          <w:lang w:eastAsia="en-GB"/>
        </w:rPr>
        <w:t>’</w:t>
      </w:r>
      <w:r w:rsidRPr="00190505">
        <w:rPr>
          <w:rFonts w:eastAsia="Times New Roman" w:cstheme="minorHAnsi"/>
          <w:color w:val="201F1E"/>
          <w:lang w:eastAsia="en-GB"/>
        </w:rPr>
        <w:t xml:space="preserve"> of </w:t>
      </w:r>
      <w:r w:rsidR="0090000B" w:rsidRPr="00190505">
        <w:rPr>
          <w:rFonts w:eastAsia="Times New Roman" w:cstheme="minorHAnsi"/>
          <w:color w:val="201F1E"/>
          <w:lang w:eastAsia="en-GB"/>
        </w:rPr>
        <w:t xml:space="preserve">gambling at </w:t>
      </w:r>
      <w:r w:rsidRPr="00190505">
        <w:rPr>
          <w:rFonts w:eastAsia="Times New Roman" w:cstheme="minorHAnsi"/>
          <w:color w:val="201F1E"/>
          <w:lang w:eastAsia="en-GB"/>
        </w:rPr>
        <w:t xml:space="preserve">the dog track or </w:t>
      </w:r>
      <w:r w:rsidR="00A76B4B" w:rsidRPr="00190505">
        <w:rPr>
          <w:rFonts w:eastAsia="Times New Roman" w:cstheme="minorHAnsi"/>
          <w:color w:val="201F1E"/>
          <w:lang w:eastAsia="en-GB"/>
        </w:rPr>
        <w:lastRenderedPageBreak/>
        <w:t>racecourse</w:t>
      </w:r>
      <w:r w:rsidRPr="00190505">
        <w:rPr>
          <w:rFonts w:eastAsia="Times New Roman" w:cstheme="minorHAnsi"/>
          <w:color w:val="201F1E"/>
          <w:lang w:eastAsia="en-GB"/>
        </w:rPr>
        <w:t>.</w:t>
      </w:r>
      <w:r w:rsidR="0090000B" w:rsidRPr="00190505">
        <w:rPr>
          <w:rFonts w:eastAsia="Times New Roman" w:cstheme="minorHAnsi"/>
          <w:color w:val="201F1E"/>
          <w:lang w:eastAsia="en-GB"/>
        </w:rPr>
        <w:t xml:space="preserve"> </w:t>
      </w:r>
      <w:r w:rsidR="00AC281E">
        <w:rPr>
          <w:rFonts w:eastAsia="Times New Roman" w:cstheme="minorHAnsi"/>
          <w:color w:val="201F1E"/>
          <w:lang w:eastAsia="en-GB"/>
        </w:rPr>
        <w:t>Another</w:t>
      </w:r>
      <w:r w:rsidR="00AC281E" w:rsidRPr="00190505">
        <w:rPr>
          <w:rFonts w:eastAsia="Times New Roman" w:cstheme="minorHAnsi"/>
          <w:color w:val="201F1E"/>
          <w:lang w:eastAsia="en-GB"/>
        </w:rPr>
        <w:t xml:space="preserve"> </w:t>
      </w:r>
      <w:r w:rsidRPr="00190505">
        <w:rPr>
          <w:rFonts w:eastAsia="Times New Roman" w:cstheme="minorHAnsi"/>
          <w:color w:val="201F1E"/>
          <w:lang w:eastAsia="en-GB"/>
        </w:rPr>
        <w:t xml:space="preserve">woman described the psychological, domestic pleasures that are </w:t>
      </w:r>
      <w:r w:rsidR="0090000B" w:rsidRPr="00190505">
        <w:rPr>
          <w:rFonts w:eastAsia="Times New Roman" w:cstheme="minorHAnsi"/>
          <w:color w:val="201F1E"/>
          <w:lang w:eastAsia="en-GB"/>
        </w:rPr>
        <w:t>facilitated</w:t>
      </w:r>
      <w:r w:rsidRPr="00190505">
        <w:rPr>
          <w:rFonts w:eastAsia="Times New Roman" w:cstheme="minorHAnsi"/>
          <w:color w:val="201F1E"/>
          <w:lang w:eastAsia="en-GB"/>
        </w:rPr>
        <w:t xml:space="preserve"> by lottery play</w:t>
      </w:r>
      <w:r w:rsidR="0090000B" w:rsidRPr="00190505">
        <w:rPr>
          <w:rFonts w:eastAsia="Times New Roman" w:cstheme="minorHAnsi"/>
          <w:color w:val="201F1E"/>
          <w:lang w:eastAsia="en-GB"/>
        </w:rPr>
        <w:t>:</w:t>
      </w:r>
    </w:p>
    <w:p w14:paraId="412825C0" w14:textId="77777777" w:rsidR="00A655AD" w:rsidRPr="00190505" w:rsidRDefault="00A655AD" w:rsidP="00190505">
      <w:pPr>
        <w:shd w:val="clear" w:color="auto" w:fill="FFFFFF"/>
        <w:spacing w:after="0" w:line="240" w:lineRule="auto"/>
        <w:jc w:val="both"/>
        <w:textAlignment w:val="baseline"/>
        <w:rPr>
          <w:rFonts w:eastAsia="Times New Roman" w:cstheme="minorHAnsi"/>
          <w:color w:val="201F1E"/>
          <w:lang w:eastAsia="en-GB"/>
        </w:rPr>
      </w:pPr>
    </w:p>
    <w:p w14:paraId="3C3D1AEE" w14:textId="276B20C8" w:rsidR="00A655AD" w:rsidRDefault="00A655AD"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“When I’m </w:t>
      </w:r>
      <w:r w:rsidR="00A76B4B" w:rsidRPr="00190505">
        <w:rPr>
          <w:rFonts w:eastAsia="Times New Roman" w:cstheme="minorHAnsi"/>
          <w:color w:val="201F1E"/>
          <w:lang w:eastAsia="en-GB"/>
        </w:rPr>
        <w:t>bored,</w:t>
      </w:r>
      <w:r w:rsidRPr="00190505">
        <w:rPr>
          <w:rFonts w:eastAsia="Times New Roman" w:cstheme="minorHAnsi"/>
          <w:color w:val="201F1E"/>
          <w:lang w:eastAsia="en-GB"/>
        </w:rPr>
        <w:t xml:space="preserve"> my mind does wonder to what holidays I will go on, what my dream house will look like, how I could pay off my </w:t>
      </w:r>
      <w:proofErr w:type="gramStart"/>
      <w:r w:rsidRPr="00190505">
        <w:rPr>
          <w:rFonts w:eastAsia="Times New Roman" w:cstheme="minorHAnsi"/>
          <w:color w:val="201F1E"/>
          <w:lang w:eastAsia="en-GB"/>
        </w:rPr>
        <w:t>parents</w:t>
      </w:r>
      <w:proofErr w:type="gramEnd"/>
      <w:r w:rsidRPr="00190505">
        <w:rPr>
          <w:rFonts w:eastAsia="Times New Roman" w:cstheme="minorHAnsi"/>
          <w:color w:val="201F1E"/>
          <w:lang w:eastAsia="en-GB"/>
        </w:rPr>
        <w:t xml:space="preserve"> mortgage.</w:t>
      </w:r>
      <w:r w:rsidR="0090000B" w:rsidRPr="00190505">
        <w:rPr>
          <w:rFonts w:eastAsia="Times New Roman" w:cstheme="minorHAnsi"/>
          <w:color w:val="201F1E"/>
          <w:lang w:eastAsia="en-GB"/>
        </w:rPr>
        <w:t>”</w:t>
      </w:r>
    </w:p>
    <w:p w14:paraId="53D55965" w14:textId="77777777" w:rsidR="00050752" w:rsidRPr="00190505" w:rsidRDefault="00050752" w:rsidP="00190505">
      <w:pPr>
        <w:shd w:val="clear" w:color="auto" w:fill="FFFFFF"/>
        <w:spacing w:after="0" w:line="240" w:lineRule="auto"/>
        <w:ind w:left="720"/>
        <w:jc w:val="both"/>
        <w:textAlignment w:val="baseline"/>
        <w:rPr>
          <w:rFonts w:eastAsia="Times New Roman" w:cstheme="minorHAnsi"/>
          <w:color w:val="201F1E"/>
          <w:lang w:eastAsia="en-GB"/>
        </w:rPr>
      </w:pPr>
    </w:p>
    <w:p w14:paraId="064C0E39" w14:textId="130D5EF7" w:rsidR="00AF26EE" w:rsidRDefault="00050752" w:rsidP="00050752">
      <w:pPr>
        <w:rPr>
          <w:rFonts w:cstheme="minorHAnsi"/>
        </w:rPr>
      </w:pPr>
      <w:r>
        <w:rPr>
          <w:rFonts w:cstheme="minorHAnsi"/>
        </w:rPr>
        <w:t xml:space="preserve">These narratives connect with feminist concepts of ‘provisioning’ whereby household economics, overlooked by malestream economic thought who have instead focused on the ‘market’, </w:t>
      </w:r>
      <w:r w:rsidR="00AF26EE">
        <w:rPr>
          <w:rFonts w:cstheme="minorHAnsi"/>
        </w:rPr>
        <w:t xml:space="preserve">are positioned as key to exercising social constraints on choice (Ferber and Nelson, 1993). From this perspective, the pressure to manage household budgets and finances often conflict with burgeoning expectations of creating the ideal home and family. Gambling as we have seen, has long offered a daydream of something more – a space to fantasise about a scenario where household economic pressures are alleviated. </w:t>
      </w:r>
    </w:p>
    <w:p w14:paraId="3E4066C6" w14:textId="377617CF" w:rsidR="00050752" w:rsidRPr="00E03A8B" w:rsidRDefault="00937311" w:rsidP="00E03A8B">
      <w:pPr>
        <w:shd w:val="clear" w:color="auto" w:fill="FFFFFF"/>
        <w:spacing w:before="100" w:beforeAutospacing="1" w:after="100" w:afterAutospacing="1" w:line="240" w:lineRule="auto"/>
        <w:jc w:val="both"/>
        <w:textAlignment w:val="baseline"/>
        <w:outlineLvl w:val="0"/>
        <w:rPr>
          <w:rFonts w:eastAsia="Times New Roman" w:cstheme="minorHAnsi"/>
          <w:color w:val="201F1E"/>
          <w:kern w:val="36"/>
          <w:lang w:eastAsia="en-GB"/>
        </w:rPr>
      </w:pPr>
      <w:r w:rsidRPr="00406732">
        <w:rPr>
          <w:rFonts w:eastAsia="Times New Roman" w:cstheme="minorHAnsi"/>
          <w:color w:val="201F1E"/>
          <w:kern w:val="36"/>
          <w:lang w:eastAsia="en-GB"/>
        </w:rPr>
        <w:t xml:space="preserve">Some 100 years </w:t>
      </w:r>
      <w:r>
        <w:rPr>
          <w:rFonts w:eastAsia="Times New Roman" w:cstheme="minorHAnsi"/>
          <w:color w:val="201F1E"/>
          <w:kern w:val="36"/>
          <w:lang w:eastAsia="en-GB"/>
        </w:rPr>
        <w:t>after Florence Bell’s study</w:t>
      </w:r>
      <w:r w:rsidRPr="00406732">
        <w:rPr>
          <w:rFonts w:eastAsia="Times New Roman" w:cstheme="minorHAnsi"/>
          <w:color w:val="201F1E"/>
          <w:kern w:val="36"/>
          <w:lang w:eastAsia="en-GB"/>
        </w:rPr>
        <w:t xml:space="preserve"> it is still the case that for women in poorer families,</w:t>
      </w:r>
      <w:r w:rsidRPr="00190505">
        <w:rPr>
          <w:rFonts w:eastAsia="Times New Roman" w:cstheme="minorHAnsi"/>
          <w:color w:val="201F1E"/>
          <w:kern w:val="36"/>
          <w:lang w:eastAsia="en-GB"/>
        </w:rPr>
        <w:t xml:space="preserve"> gambling remains at times a </w:t>
      </w:r>
      <w:r>
        <w:rPr>
          <w:rFonts w:eastAsia="Times New Roman" w:cstheme="minorHAnsi"/>
          <w:color w:val="201F1E"/>
          <w:kern w:val="36"/>
          <w:lang w:eastAsia="en-GB"/>
        </w:rPr>
        <w:t>conscious</w:t>
      </w:r>
      <w:r w:rsidRPr="00190505">
        <w:rPr>
          <w:rFonts w:eastAsia="Times New Roman" w:cstheme="minorHAnsi"/>
          <w:color w:val="201F1E"/>
          <w:kern w:val="36"/>
          <w:lang w:eastAsia="en-GB"/>
        </w:rPr>
        <w:t xml:space="preserve"> attempt to add to and even protect the finances of the family. In this sense, the harms of gambling are associated with </w:t>
      </w:r>
      <w:r>
        <w:rPr>
          <w:rFonts w:eastAsia="Times New Roman" w:cstheme="minorHAnsi"/>
          <w:color w:val="201F1E"/>
          <w:kern w:val="36"/>
          <w:lang w:eastAsia="en-GB"/>
        </w:rPr>
        <w:t xml:space="preserve">a last-ditch attempt to manage </w:t>
      </w:r>
      <w:proofErr w:type="gramStart"/>
      <w:r w:rsidRPr="00190505">
        <w:rPr>
          <w:rFonts w:eastAsia="Times New Roman" w:cstheme="minorHAnsi"/>
          <w:color w:val="201F1E"/>
          <w:kern w:val="36"/>
          <w:lang w:eastAsia="en-GB"/>
        </w:rPr>
        <w:t>money, and</w:t>
      </w:r>
      <w:proofErr w:type="gramEnd"/>
      <w:r w:rsidRPr="00190505">
        <w:rPr>
          <w:rFonts w:eastAsia="Times New Roman" w:cstheme="minorHAnsi"/>
          <w:color w:val="201F1E"/>
          <w:kern w:val="36"/>
          <w:lang w:eastAsia="en-GB"/>
        </w:rPr>
        <w:t xml:space="preserve"> </w:t>
      </w:r>
      <w:r>
        <w:rPr>
          <w:rFonts w:eastAsia="Times New Roman" w:cstheme="minorHAnsi"/>
          <w:color w:val="201F1E"/>
          <w:kern w:val="36"/>
          <w:lang w:eastAsia="en-GB"/>
        </w:rPr>
        <w:t xml:space="preserve">maintain </w:t>
      </w:r>
      <w:r w:rsidRPr="00190505">
        <w:rPr>
          <w:rFonts w:eastAsia="Times New Roman" w:cstheme="minorHAnsi"/>
          <w:color w:val="201F1E"/>
          <w:kern w:val="36"/>
          <w:lang w:eastAsia="en-GB"/>
        </w:rPr>
        <w:t xml:space="preserve">order </w:t>
      </w:r>
      <w:r>
        <w:rPr>
          <w:rFonts w:eastAsia="Times New Roman" w:cstheme="minorHAnsi"/>
          <w:color w:val="201F1E"/>
          <w:kern w:val="36"/>
          <w:lang w:eastAsia="en-GB"/>
        </w:rPr>
        <w:t xml:space="preserve">and stability </w:t>
      </w:r>
      <w:r w:rsidRPr="00190505">
        <w:rPr>
          <w:rFonts w:eastAsia="Times New Roman" w:cstheme="minorHAnsi"/>
          <w:color w:val="201F1E"/>
          <w:kern w:val="36"/>
          <w:lang w:eastAsia="en-GB"/>
        </w:rPr>
        <w:t>within domestic spaces.</w:t>
      </w:r>
    </w:p>
    <w:p w14:paraId="5C525595" w14:textId="022B2B0B" w:rsidR="0088305A" w:rsidRPr="00190505" w:rsidRDefault="00AC281E" w:rsidP="00190505">
      <w:pPr>
        <w:jc w:val="both"/>
        <w:rPr>
          <w:rFonts w:cstheme="minorHAnsi"/>
          <w:b/>
          <w:bCs/>
        </w:rPr>
      </w:pPr>
      <w:r>
        <w:rPr>
          <w:rFonts w:cstheme="minorHAnsi"/>
          <w:b/>
          <w:bCs/>
        </w:rPr>
        <w:t xml:space="preserve">Gender and </w:t>
      </w:r>
      <w:r w:rsidR="00C33EB0">
        <w:rPr>
          <w:rFonts w:cstheme="minorHAnsi"/>
          <w:b/>
          <w:bCs/>
        </w:rPr>
        <w:t>‘</w:t>
      </w:r>
      <w:r>
        <w:rPr>
          <w:rFonts w:cstheme="minorHAnsi"/>
          <w:b/>
          <w:bCs/>
        </w:rPr>
        <w:t>Respectable</w:t>
      </w:r>
      <w:r w:rsidR="00C33EB0">
        <w:rPr>
          <w:rFonts w:cstheme="minorHAnsi"/>
          <w:b/>
          <w:bCs/>
        </w:rPr>
        <w:t>’</w:t>
      </w:r>
      <w:r>
        <w:rPr>
          <w:rFonts w:cstheme="minorHAnsi"/>
          <w:b/>
          <w:bCs/>
        </w:rPr>
        <w:t xml:space="preserve"> Pursuits</w:t>
      </w:r>
    </w:p>
    <w:p w14:paraId="39631582" w14:textId="73BC8316" w:rsidR="00735524" w:rsidRPr="00190505" w:rsidRDefault="0088305A"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Historically, women have tended to participate in gambling games which enable them to stay physically within the domestic sphere and which align with norms and expectations of women within domestic life.</w:t>
      </w:r>
      <w:r w:rsidR="00C8580D" w:rsidRPr="00190505">
        <w:rPr>
          <w:rFonts w:eastAsia="Times New Roman" w:cstheme="minorHAnsi"/>
          <w:color w:val="201F1E"/>
          <w:lang w:eastAsia="en-GB"/>
        </w:rPr>
        <w:t xml:space="preserve"> </w:t>
      </w:r>
      <w:r w:rsidRPr="00190505">
        <w:rPr>
          <w:rFonts w:eastAsia="Times New Roman" w:cstheme="minorHAnsi"/>
          <w:color w:val="201F1E"/>
          <w:lang w:eastAsia="en-GB"/>
        </w:rPr>
        <w:t>This does not necessarily mean that women are less vulnerable to gambling related harms, only that their experiences of gambling related harms are a lot different to men’s.</w:t>
      </w:r>
      <w:r w:rsidR="00C8580D" w:rsidRPr="00190505">
        <w:rPr>
          <w:rFonts w:eastAsia="Times New Roman" w:cstheme="minorHAnsi"/>
          <w:color w:val="201F1E"/>
          <w:lang w:eastAsia="en-GB"/>
        </w:rPr>
        <w:t xml:space="preserve"> </w:t>
      </w:r>
      <w:r w:rsidRPr="00190505">
        <w:rPr>
          <w:rFonts w:eastAsia="Times New Roman" w:cstheme="minorHAnsi"/>
          <w:color w:val="201F1E"/>
          <w:lang w:eastAsia="en-GB"/>
        </w:rPr>
        <w:t xml:space="preserve">Gambling historically </w:t>
      </w:r>
      <w:r w:rsidR="00735524" w:rsidRPr="00190505">
        <w:rPr>
          <w:rFonts w:eastAsia="Times New Roman" w:cstheme="minorHAnsi"/>
          <w:color w:val="201F1E"/>
          <w:lang w:eastAsia="en-GB"/>
        </w:rPr>
        <w:t xml:space="preserve">has been a highly stigmatised activity. Not only has it long been associated with deepening poverty, familial dysfunction and crime, the spaces of gambling themselves have also been heavily stigmatised, with betting shops often seen as smoky, </w:t>
      </w:r>
      <w:r w:rsidR="00A76B4B" w:rsidRPr="00190505">
        <w:rPr>
          <w:rFonts w:eastAsia="Times New Roman" w:cstheme="minorHAnsi"/>
          <w:color w:val="201F1E"/>
          <w:lang w:eastAsia="en-GB"/>
        </w:rPr>
        <w:t>seedy,</w:t>
      </w:r>
      <w:r w:rsidR="00735524" w:rsidRPr="00190505">
        <w:rPr>
          <w:rFonts w:eastAsia="Times New Roman" w:cstheme="minorHAnsi"/>
          <w:color w:val="201F1E"/>
          <w:lang w:eastAsia="en-GB"/>
        </w:rPr>
        <w:t xml:space="preserve"> and hidden preserves and bingo halls associated with decaying seaside towns with ‘tacky’ prizes and mindless games. Thus, the </w:t>
      </w:r>
      <w:r w:rsidR="00735524" w:rsidRPr="00190505">
        <w:rPr>
          <w:rFonts w:eastAsia="Times New Roman" w:cstheme="minorHAnsi"/>
          <w:i/>
          <w:iCs/>
          <w:color w:val="201F1E"/>
          <w:lang w:eastAsia="en-GB"/>
        </w:rPr>
        <w:t xml:space="preserve">spaces </w:t>
      </w:r>
      <w:r w:rsidR="00735524" w:rsidRPr="00190505">
        <w:rPr>
          <w:rFonts w:eastAsia="Times New Roman" w:cstheme="minorHAnsi"/>
          <w:color w:val="201F1E"/>
          <w:lang w:eastAsia="en-GB"/>
        </w:rPr>
        <w:t xml:space="preserve">of gambling sites themselves have been heavily stigmatised. Historically, betting shops have covered their windows exacerbating the sense of a hidden, </w:t>
      </w:r>
      <w:r w:rsidR="00A76B4B" w:rsidRPr="00190505">
        <w:rPr>
          <w:rFonts w:eastAsia="Times New Roman" w:cstheme="minorHAnsi"/>
          <w:color w:val="201F1E"/>
          <w:lang w:eastAsia="en-GB"/>
        </w:rPr>
        <w:t>deviant,</w:t>
      </w:r>
      <w:r w:rsidR="00735524" w:rsidRPr="00190505">
        <w:rPr>
          <w:rFonts w:eastAsia="Times New Roman" w:cstheme="minorHAnsi"/>
          <w:color w:val="201F1E"/>
          <w:lang w:eastAsia="en-GB"/>
        </w:rPr>
        <w:t xml:space="preserve"> and spatially stigmatized game. </w:t>
      </w:r>
      <w:r w:rsidR="00E5049E">
        <w:rPr>
          <w:rFonts w:eastAsia="Times New Roman" w:cstheme="minorHAnsi"/>
          <w:color w:val="201F1E"/>
          <w:lang w:eastAsia="en-GB"/>
        </w:rPr>
        <w:t>Gambling</w:t>
      </w:r>
      <w:r w:rsidR="00735524" w:rsidRPr="00190505">
        <w:rPr>
          <w:rFonts w:eastAsia="Times New Roman" w:cstheme="minorHAnsi"/>
          <w:color w:val="201F1E"/>
          <w:lang w:eastAsia="en-GB"/>
        </w:rPr>
        <w:t xml:space="preserve"> </w:t>
      </w:r>
      <w:r w:rsidR="00E5049E">
        <w:rPr>
          <w:rFonts w:eastAsia="Times New Roman" w:cstheme="minorHAnsi"/>
          <w:color w:val="201F1E"/>
          <w:lang w:eastAsia="en-GB"/>
        </w:rPr>
        <w:t xml:space="preserve">has long been </w:t>
      </w:r>
      <w:r w:rsidR="00735524" w:rsidRPr="00190505">
        <w:rPr>
          <w:rFonts w:eastAsia="Times New Roman" w:cstheme="minorHAnsi"/>
          <w:color w:val="201F1E"/>
          <w:lang w:eastAsia="en-GB"/>
        </w:rPr>
        <w:t>seen as an activity which is the preserve of men, and often associated with seedy, unsavoury</w:t>
      </w:r>
      <w:r w:rsidR="00FC188A">
        <w:rPr>
          <w:rFonts w:eastAsia="Times New Roman" w:cstheme="minorHAnsi"/>
          <w:color w:val="201F1E"/>
          <w:lang w:eastAsia="en-GB"/>
        </w:rPr>
        <w:t xml:space="preserve"> spaces</w:t>
      </w:r>
      <w:r w:rsidR="00735524" w:rsidRPr="00190505">
        <w:rPr>
          <w:rFonts w:eastAsia="Times New Roman" w:cstheme="minorHAnsi"/>
          <w:color w:val="201F1E"/>
          <w:lang w:eastAsia="en-GB"/>
        </w:rPr>
        <w:t xml:space="preserve">, </w:t>
      </w:r>
      <w:r w:rsidR="00FC188A">
        <w:rPr>
          <w:rFonts w:eastAsia="Times New Roman" w:cstheme="minorHAnsi"/>
          <w:color w:val="201F1E"/>
          <w:lang w:eastAsia="en-GB"/>
        </w:rPr>
        <w:t xml:space="preserve">far </w:t>
      </w:r>
      <w:r w:rsidR="00735524" w:rsidRPr="00190505">
        <w:rPr>
          <w:rFonts w:eastAsia="Times New Roman" w:cstheme="minorHAnsi"/>
          <w:color w:val="201F1E"/>
          <w:lang w:eastAsia="en-GB"/>
        </w:rPr>
        <w:t>removed from the supposed safety and comfort of the domestic sphere</w:t>
      </w:r>
      <w:r w:rsidR="00FC188A">
        <w:rPr>
          <w:rFonts w:eastAsia="Times New Roman" w:cstheme="minorHAnsi"/>
          <w:color w:val="201F1E"/>
          <w:lang w:eastAsia="en-GB"/>
        </w:rPr>
        <w:t>, therefore exciting and alluring for men, but wrought with stigma for women</w:t>
      </w:r>
      <w:r w:rsidR="00735524" w:rsidRPr="00190505">
        <w:rPr>
          <w:rFonts w:eastAsia="Times New Roman" w:cstheme="minorHAnsi"/>
          <w:color w:val="201F1E"/>
          <w:lang w:eastAsia="en-GB"/>
        </w:rPr>
        <w:t>.</w:t>
      </w:r>
    </w:p>
    <w:p w14:paraId="293CE61C" w14:textId="77777777"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p>
    <w:p w14:paraId="20547765" w14:textId="24CF5A95"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Women in the study frequently talked about public gambling spaces as being associated with men, ‘seediness’, danger and harm. For </w:t>
      </w:r>
      <w:proofErr w:type="gramStart"/>
      <w:r w:rsidRPr="00190505">
        <w:rPr>
          <w:rFonts w:eastAsia="Times New Roman" w:cstheme="minorHAnsi"/>
          <w:color w:val="201F1E"/>
          <w:lang w:eastAsia="en-GB"/>
        </w:rPr>
        <w:t>example</w:t>
      </w:r>
      <w:proofErr w:type="gramEnd"/>
      <w:r w:rsidRPr="00190505">
        <w:rPr>
          <w:rFonts w:eastAsia="Times New Roman" w:cstheme="minorHAnsi"/>
          <w:color w:val="201F1E"/>
          <w:lang w:eastAsia="en-GB"/>
        </w:rPr>
        <w:t xml:space="preserve"> one woman remarks:</w:t>
      </w:r>
    </w:p>
    <w:p w14:paraId="63753282" w14:textId="77777777"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p>
    <w:p w14:paraId="221F96BF" w14:textId="1BEA0E3F" w:rsidR="00735524" w:rsidRPr="00190505" w:rsidRDefault="00735524"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“I have never heard of women doing these things, pubs and bookies are male </w:t>
      </w:r>
      <w:proofErr w:type="gramStart"/>
      <w:r w:rsidRPr="00190505">
        <w:rPr>
          <w:rFonts w:eastAsia="Times New Roman" w:cstheme="minorHAnsi"/>
          <w:color w:val="201F1E"/>
          <w:lang w:eastAsia="en-GB"/>
        </w:rPr>
        <w:t>preserves;</w:t>
      </w:r>
      <w:proofErr w:type="gramEnd"/>
      <w:r w:rsidRPr="00190505">
        <w:rPr>
          <w:rFonts w:eastAsia="Times New Roman" w:cstheme="minorHAnsi"/>
          <w:color w:val="201F1E"/>
          <w:lang w:eastAsia="en-GB"/>
        </w:rPr>
        <w:t xml:space="preserve"> scruffy smoking males”</w:t>
      </w:r>
    </w:p>
    <w:p w14:paraId="30E6D7FB" w14:textId="77777777"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p>
    <w:p w14:paraId="22F893AC" w14:textId="68081BCF"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In contrast to this view of traditional gambling spaces as deviant and stigmatized, women have often been presented within gambling scholarship as being the ‘arm of constraint’ </w:t>
      </w:r>
      <w:r w:rsidR="00B32BCD">
        <w:rPr>
          <w:rFonts w:eastAsia="Times New Roman" w:cstheme="minorHAnsi"/>
          <w:color w:val="201F1E"/>
          <w:lang w:eastAsia="en-GB"/>
        </w:rPr>
        <w:t xml:space="preserve">(Scott, 2003) </w:t>
      </w:r>
      <w:r w:rsidRPr="00190505">
        <w:rPr>
          <w:rFonts w:eastAsia="Times New Roman" w:cstheme="minorHAnsi"/>
          <w:color w:val="201F1E"/>
          <w:lang w:eastAsia="en-GB"/>
        </w:rPr>
        <w:t>– preventing men from developing gambling related harms and ultimately protecting the family and its finances from harm. These narratives which underpin long-standing gendered accounts of gambling and respectability firmly position gambling as an activity that ‘respectable’ women do not participate in. Indeed, throughout the research, women often described gambling as indecent, an activity that was not something that respectable, responsible women do. One woman described a childhood of being instructed tha</w:t>
      </w:r>
      <w:r w:rsidR="00E5049E">
        <w:rPr>
          <w:rFonts w:eastAsia="Times New Roman" w:cstheme="minorHAnsi"/>
          <w:color w:val="201F1E"/>
          <w:lang w:eastAsia="en-GB"/>
        </w:rPr>
        <w:t>t</w:t>
      </w:r>
      <w:r w:rsidRPr="00190505">
        <w:rPr>
          <w:rFonts w:eastAsia="Times New Roman" w:cstheme="minorHAnsi"/>
          <w:color w:val="201F1E"/>
          <w:lang w:eastAsia="en-GB"/>
        </w:rPr>
        <w:t xml:space="preserve"> gambling did not adhere to the norms of respectability particularly for women and girls. As a child her mother went to great lengths to distinguish their family from those who spent their money in harmful ways particularly on gambling activities:</w:t>
      </w:r>
    </w:p>
    <w:p w14:paraId="3545FF02" w14:textId="77777777"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p>
    <w:p w14:paraId="5954BB2E" w14:textId="253D03A4" w:rsidR="00735524" w:rsidRPr="00190505" w:rsidRDefault="002C1993"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“W</w:t>
      </w:r>
      <w:r w:rsidR="00735524" w:rsidRPr="00190505">
        <w:rPr>
          <w:rFonts w:eastAsia="Times New Roman" w:cstheme="minorHAnsi"/>
          <w:color w:val="201F1E"/>
          <w:lang w:eastAsia="en-GB"/>
        </w:rPr>
        <w:t>hen I was a young child, I was friendly with a girl who often went to the bingo with her mother, and they want some cuddly toys of small prizes. I remember asking my mother what the bingo was, and she said it was something that some people like to do, but that people like us did not get involved in anything like that.</w:t>
      </w:r>
      <w:r w:rsidR="00B32BCD">
        <w:rPr>
          <w:rFonts w:eastAsia="Times New Roman" w:cstheme="minorHAnsi"/>
          <w:color w:val="201F1E"/>
          <w:lang w:eastAsia="en-GB"/>
        </w:rPr>
        <w:t>”</w:t>
      </w:r>
    </w:p>
    <w:p w14:paraId="3509CE7B" w14:textId="77777777" w:rsidR="00735524"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p>
    <w:p w14:paraId="5D50B071" w14:textId="296C9A1D" w:rsidR="0088305A" w:rsidRPr="00190505" w:rsidRDefault="00735524"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i/>
          <w:iCs/>
          <w:color w:val="201F1E"/>
          <w:lang w:eastAsia="en-GB"/>
        </w:rPr>
        <w:t xml:space="preserve">People like us </w:t>
      </w:r>
      <w:r w:rsidRPr="00190505">
        <w:rPr>
          <w:rFonts w:eastAsia="Times New Roman" w:cstheme="minorHAnsi"/>
          <w:color w:val="201F1E"/>
          <w:lang w:eastAsia="en-GB"/>
        </w:rPr>
        <w:t xml:space="preserve">reminds us that the stigma and </w:t>
      </w:r>
      <w:r w:rsidRPr="00190505">
        <w:rPr>
          <w:rFonts w:eastAsia="Times New Roman" w:cstheme="minorHAnsi"/>
          <w:i/>
          <w:iCs/>
          <w:color w:val="201F1E"/>
          <w:lang w:eastAsia="en-GB"/>
        </w:rPr>
        <w:t>harm</w:t>
      </w:r>
      <w:r w:rsidRPr="00190505">
        <w:rPr>
          <w:rFonts w:eastAsia="Times New Roman" w:cstheme="minorHAnsi"/>
          <w:color w:val="201F1E"/>
          <w:lang w:eastAsia="en-GB"/>
        </w:rPr>
        <w:t xml:space="preserve"> associated with gambling is not just about the financial </w:t>
      </w:r>
      <w:r w:rsidR="002C1993" w:rsidRPr="00190505">
        <w:rPr>
          <w:rFonts w:eastAsia="Times New Roman" w:cstheme="minorHAnsi"/>
          <w:color w:val="201F1E"/>
          <w:lang w:eastAsia="en-GB"/>
        </w:rPr>
        <w:t>harms</w:t>
      </w:r>
      <w:r w:rsidRPr="00190505">
        <w:rPr>
          <w:rFonts w:eastAsia="Times New Roman" w:cstheme="minorHAnsi"/>
          <w:color w:val="201F1E"/>
          <w:lang w:eastAsia="en-GB"/>
        </w:rPr>
        <w:t xml:space="preserve"> that it can cause, but also with wider cultural positioning of gambling as an unsavoury and low-status leisure activity. </w:t>
      </w:r>
      <w:r w:rsidR="002C1993" w:rsidRPr="00190505">
        <w:rPr>
          <w:rFonts w:eastAsia="Times New Roman" w:cstheme="minorHAnsi"/>
          <w:color w:val="201F1E"/>
          <w:lang w:eastAsia="en-GB"/>
        </w:rPr>
        <w:t xml:space="preserve">As </w:t>
      </w:r>
      <w:r w:rsidR="00E62413">
        <w:rPr>
          <w:rFonts w:eastAsia="Times New Roman" w:cstheme="minorHAnsi"/>
          <w:color w:val="201F1E"/>
          <w:lang w:eastAsia="en-GB"/>
        </w:rPr>
        <w:t>I have</w:t>
      </w:r>
      <w:r w:rsidR="002C1993" w:rsidRPr="00190505">
        <w:rPr>
          <w:rFonts w:eastAsia="Times New Roman" w:cstheme="minorHAnsi"/>
          <w:color w:val="201F1E"/>
          <w:lang w:eastAsia="en-GB"/>
        </w:rPr>
        <w:t xml:space="preserve"> shown</w:t>
      </w:r>
      <w:r w:rsidR="00E62413">
        <w:rPr>
          <w:rFonts w:eastAsia="Times New Roman" w:cstheme="minorHAnsi"/>
          <w:color w:val="201F1E"/>
          <w:lang w:eastAsia="en-GB"/>
        </w:rPr>
        <w:t xml:space="preserve"> </w:t>
      </w:r>
      <w:r w:rsidR="00081CA8">
        <w:rPr>
          <w:rFonts w:eastAsia="Times New Roman" w:cstheme="minorHAnsi"/>
          <w:color w:val="201F1E"/>
          <w:lang w:eastAsia="en-GB"/>
        </w:rPr>
        <w:t>elsewhere</w:t>
      </w:r>
      <w:r w:rsidR="002C1993" w:rsidRPr="00190505">
        <w:rPr>
          <w:rFonts w:eastAsia="Times New Roman" w:cstheme="minorHAnsi"/>
          <w:color w:val="201F1E"/>
          <w:lang w:eastAsia="en-GB"/>
        </w:rPr>
        <w:t>, women are more likely than men to express fears that gambling might negatively impact on the financial wellbeing on the family and to describe gambling as a d</w:t>
      </w:r>
      <w:r w:rsidRPr="00190505">
        <w:rPr>
          <w:rFonts w:eastAsia="Times New Roman" w:cstheme="minorHAnsi"/>
          <w:color w:val="201F1E"/>
          <w:lang w:eastAsia="en-GB"/>
        </w:rPr>
        <w:t>rain on the household finances</w:t>
      </w:r>
      <w:r w:rsidR="00E62413">
        <w:rPr>
          <w:rFonts w:eastAsia="Times New Roman" w:cstheme="minorHAnsi"/>
          <w:color w:val="201F1E"/>
          <w:lang w:eastAsia="en-GB"/>
        </w:rPr>
        <w:t xml:space="preserve"> (Casey, 2008)</w:t>
      </w:r>
      <w:r w:rsidR="0088305A" w:rsidRPr="00190505">
        <w:rPr>
          <w:rFonts w:eastAsia="Times New Roman" w:cstheme="minorHAnsi"/>
          <w:color w:val="201F1E"/>
          <w:lang w:eastAsia="en-GB"/>
        </w:rPr>
        <w:t>.</w:t>
      </w:r>
      <w:r w:rsidR="00C8580D" w:rsidRPr="00190505">
        <w:rPr>
          <w:rFonts w:eastAsia="Times New Roman" w:cstheme="minorHAnsi"/>
          <w:color w:val="201F1E"/>
          <w:lang w:eastAsia="en-GB"/>
        </w:rPr>
        <w:t xml:space="preserve"> </w:t>
      </w:r>
      <w:r w:rsidR="002C1993" w:rsidRPr="00190505">
        <w:rPr>
          <w:rFonts w:eastAsia="Times New Roman" w:cstheme="minorHAnsi"/>
          <w:color w:val="201F1E"/>
          <w:lang w:eastAsia="en-GB"/>
        </w:rPr>
        <w:t>As we have seen, gambling has</w:t>
      </w:r>
      <w:r w:rsidR="00C8580D" w:rsidRPr="00190505">
        <w:rPr>
          <w:rFonts w:eastAsia="Times New Roman" w:cstheme="minorHAnsi"/>
          <w:color w:val="201F1E"/>
          <w:lang w:eastAsia="en-GB"/>
        </w:rPr>
        <w:t xml:space="preserve"> </w:t>
      </w:r>
      <w:r w:rsidR="002C1993" w:rsidRPr="00190505">
        <w:rPr>
          <w:rFonts w:eastAsia="Times New Roman" w:cstheme="minorHAnsi"/>
          <w:color w:val="201F1E"/>
          <w:lang w:eastAsia="en-GB"/>
        </w:rPr>
        <w:t>long been</w:t>
      </w:r>
      <w:r w:rsidR="00C8580D" w:rsidRPr="00190505">
        <w:rPr>
          <w:rFonts w:eastAsia="Times New Roman" w:cstheme="minorHAnsi"/>
          <w:color w:val="201F1E"/>
          <w:lang w:eastAsia="en-GB"/>
        </w:rPr>
        <w:t xml:space="preserve"> framed within moral discourses of responsibility and pathologies of harm</w:t>
      </w:r>
      <w:r w:rsidR="002C1993" w:rsidRPr="00190505">
        <w:rPr>
          <w:rFonts w:eastAsia="Times New Roman" w:cstheme="minorHAnsi"/>
          <w:color w:val="201F1E"/>
          <w:lang w:eastAsia="en-GB"/>
        </w:rPr>
        <w:t xml:space="preserve"> </w:t>
      </w:r>
      <w:r w:rsidR="00A76B4B" w:rsidRPr="00190505">
        <w:rPr>
          <w:rFonts w:eastAsia="Times New Roman" w:cstheme="minorHAnsi"/>
          <w:color w:val="201F1E"/>
          <w:lang w:eastAsia="en-GB"/>
        </w:rPr>
        <w:t>and, it</w:t>
      </w:r>
      <w:r w:rsidR="00C8580D" w:rsidRPr="00190505">
        <w:rPr>
          <w:rFonts w:eastAsia="Times New Roman" w:cstheme="minorHAnsi"/>
          <w:color w:val="201F1E"/>
          <w:lang w:eastAsia="en-GB"/>
        </w:rPr>
        <w:t xml:space="preserve"> is often closely associated with familial dysfunction, </w:t>
      </w:r>
      <w:proofErr w:type="gramStart"/>
      <w:r w:rsidR="00C8580D" w:rsidRPr="00190505">
        <w:rPr>
          <w:rFonts w:eastAsia="Times New Roman" w:cstheme="minorHAnsi"/>
          <w:color w:val="201F1E"/>
          <w:lang w:eastAsia="en-GB"/>
        </w:rPr>
        <w:t>crime</w:t>
      </w:r>
      <w:proofErr w:type="gramEnd"/>
      <w:r w:rsidR="00C8580D" w:rsidRPr="00190505">
        <w:rPr>
          <w:rFonts w:eastAsia="Times New Roman" w:cstheme="minorHAnsi"/>
          <w:color w:val="201F1E"/>
          <w:lang w:eastAsia="en-GB"/>
        </w:rPr>
        <w:t xml:space="preserve"> and destitution</w:t>
      </w:r>
      <w:r w:rsidR="002C1993" w:rsidRPr="00190505">
        <w:rPr>
          <w:rFonts w:eastAsia="Times New Roman" w:cstheme="minorHAnsi"/>
          <w:color w:val="201F1E"/>
          <w:lang w:eastAsia="en-GB"/>
        </w:rPr>
        <w:t xml:space="preserve">. How then, do women who gamble with increasing regularity mitigate the harms and risks of gambling? </w:t>
      </w:r>
      <w:r w:rsidR="00C8580D" w:rsidRPr="00190505">
        <w:rPr>
          <w:rFonts w:eastAsia="Times New Roman" w:cstheme="minorHAnsi"/>
          <w:color w:val="201F1E"/>
          <w:lang w:eastAsia="en-GB"/>
        </w:rPr>
        <w:t xml:space="preserve">As gambling has increasingly become entwined with domestic spaces, increasingly moving online and ‘at home’, </w:t>
      </w:r>
      <w:r w:rsidR="002C1993" w:rsidRPr="00190505">
        <w:rPr>
          <w:rFonts w:eastAsia="Times New Roman" w:cstheme="minorHAnsi"/>
          <w:color w:val="201F1E"/>
          <w:lang w:eastAsia="en-GB"/>
        </w:rPr>
        <w:t xml:space="preserve">more women than ever are regular gamblers. One of the consequences of this is that </w:t>
      </w:r>
      <w:r w:rsidR="00C8580D" w:rsidRPr="00190505">
        <w:rPr>
          <w:rFonts w:eastAsia="Times New Roman" w:cstheme="minorHAnsi"/>
          <w:color w:val="201F1E"/>
          <w:lang w:eastAsia="en-GB"/>
        </w:rPr>
        <w:t xml:space="preserve">the presentation of gambling related harms has also changed. </w:t>
      </w:r>
      <w:r w:rsidR="00B32BCD">
        <w:rPr>
          <w:rFonts w:eastAsia="Times New Roman" w:cstheme="minorHAnsi"/>
          <w:color w:val="201F1E"/>
          <w:lang w:eastAsia="en-GB"/>
        </w:rPr>
        <w:t>The</w:t>
      </w:r>
      <w:r w:rsidR="00C8580D" w:rsidRPr="00190505">
        <w:rPr>
          <w:rFonts w:eastAsia="Times New Roman" w:cstheme="minorHAnsi"/>
          <w:color w:val="201F1E"/>
          <w:lang w:eastAsia="en-GB"/>
        </w:rPr>
        <w:t xml:space="preserve"> harms traditionally associated with gambling </w:t>
      </w:r>
      <w:r w:rsidR="002C1993" w:rsidRPr="00190505">
        <w:rPr>
          <w:rFonts w:eastAsia="Times New Roman" w:cstheme="minorHAnsi"/>
          <w:color w:val="201F1E"/>
          <w:lang w:eastAsia="en-GB"/>
        </w:rPr>
        <w:t>are no longer</w:t>
      </w:r>
      <w:r w:rsidR="00C8580D" w:rsidRPr="00190505">
        <w:rPr>
          <w:rFonts w:eastAsia="Times New Roman" w:cstheme="minorHAnsi"/>
          <w:color w:val="201F1E"/>
          <w:lang w:eastAsia="en-GB"/>
        </w:rPr>
        <w:t xml:space="preserve"> </w:t>
      </w:r>
      <w:r w:rsidR="002C1993" w:rsidRPr="00190505">
        <w:rPr>
          <w:rFonts w:eastAsia="Times New Roman" w:cstheme="minorHAnsi"/>
          <w:color w:val="201F1E"/>
          <w:lang w:eastAsia="en-GB"/>
        </w:rPr>
        <w:t>wholly</w:t>
      </w:r>
      <w:r w:rsidR="00C8580D" w:rsidRPr="00190505">
        <w:rPr>
          <w:rFonts w:eastAsia="Times New Roman" w:cstheme="minorHAnsi"/>
          <w:color w:val="201F1E"/>
          <w:lang w:eastAsia="en-GB"/>
        </w:rPr>
        <w:t xml:space="preserve"> located ‘outside’ the domestic </w:t>
      </w:r>
      <w:proofErr w:type="gramStart"/>
      <w:r w:rsidR="00C8580D" w:rsidRPr="00190505">
        <w:rPr>
          <w:rFonts w:eastAsia="Times New Roman" w:cstheme="minorHAnsi"/>
          <w:color w:val="201F1E"/>
          <w:lang w:eastAsia="en-GB"/>
        </w:rPr>
        <w:t>sphere;</w:t>
      </w:r>
      <w:proofErr w:type="gramEnd"/>
      <w:r w:rsidR="00C8580D" w:rsidRPr="00190505">
        <w:rPr>
          <w:rFonts w:eastAsia="Times New Roman" w:cstheme="minorHAnsi"/>
          <w:color w:val="201F1E"/>
          <w:lang w:eastAsia="en-GB"/>
        </w:rPr>
        <w:t xml:space="preserve"> in betting shops and dog tracks, bingo halls for example. Gambling today is increasingly ubiquitous in domestic settings</w:t>
      </w:r>
      <w:r w:rsidR="002C1993" w:rsidRPr="00190505">
        <w:rPr>
          <w:rFonts w:eastAsia="Times New Roman" w:cstheme="minorHAnsi"/>
          <w:color w:val="201F1E"/>
          <w:lang w:eastAsia="en-GB"/>
        </w:rPr>
        <w:t xml:space="preserve"> with harms surrounding gambling increasingly connected to women’s historical roles as purveyors of domestic calm, </w:t>
      </w:r>
      <w:r w:rsidR="00A76B4B" w:rsidRPr="00190505">
        <w:rPr>
          <w:rFonts w:eastAsia="Times New Roman" w:cstheme="minorHAnsi"/>
          <w:color w:val="201F1E"/>
          <w:lang w:eastAsia="en-GB"/>
        </w:rPr>
        <w:t>order,</w:t>
      </w:r>
      <w:r w:rsidR="002C1993" w:rsidRPr="00190505">
        <w:rPr>
          <w:rFonts w:eastAsia="Times New Roman" w:cstheme="minorHAnsi"/>
          <w:color w:val="201F1E"/>
          <w:lang w:eastAsia="en-GB"/>
        </w:rPr>
        <w:t xml:space="preserve"> and sanctuary.</w:t>
      </w:r>
    </w:p>
    <w:p w14:paraId="19421DAE" w14:textId="77777777" w:rsidR="0088305A" w:rsidRPr="00190505" w:rsidRDefault="0088305A" w:rsidP="00190505">
      <w:pPr>
        <w:shd w:val="clear" w:color="auto" w:fill="FFFFFF"/>
        <w:spacing w:after="0" w:line="240" w:lineRule="auto"/>
        <w:jc w:val="both"/>
        <w:textAlignment w:val="baseline"/>
        <w:rPr>
          <w:rFonts w:eastAsia="Times New Roman" w:cstheme="minorHAnsi"/>
          <w:color w:val="201F1E"/>
          <w:lang w:eastAsia="en-GB"/>
        </w:rPr>
      </w:pPr>
    </w:p>
    <w:p w14:paraId="187952B0" w14:textId="57DAB510" w:rsidR="0088305A" w:rsidRPr="00190505" w:rsidRDefault="002C1993"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Thus, i</w:t>
      </w:r>
      <w:r w:rsidR="00C8580D" w:rsidRPr="00190505">
        <w:rPr>
          <w:rFonts w:eastAsia="Times New Roman" w:cstheme="minorHAnsi"/>
          <w:color w:val="201F1E"/>
          <w:lang w:eastAsia="en-GB"/>
        </w:rPr>
        <w:t xml:space="preserve">n addition to taking responsibility for maintaining the household budget and ensuring the family is protected from the financial consequences of gambling related harm, women also take responsibility for ensuring the respectability of the family and for ensuring the home remains a site of safety and security. Where the home is also a site for gambling, </w:t>
      </w:r>
      <w:r w:rsidRPr="00190505">
        <w:rPr>
          <w:rFonts w:eastAsia="Times New Roman" w:cstheme="minorHAnsi"/>
          <w:color w:val="201F1E"/>
          <w:lang w:eastAsia="en-GB"/>
        </w:rPr>
        <w:t xml:space="preserve">women </w:t>
      </w:r>
      <w:r w:rsidR="00EB2F52">
        <w:rPr>
          <w:rFonts w:eastAsia="Times New Roman" w:cstheme="minorHAnsi"/>
          <w:color w:val="201F1E"/>
          <w:lang w:eastAsia="en-GB"/>
        </w:rPr>
        <w:t>are allocated responsibility for protecting</w:t>
      </w:r>
      <w:r w:rsidR="0088305A" w:rsidRPr="00190505">
        <w:rPr>
          <w:rFonts w:eastAsia="Times New Roman" w:cstheme="minorHAnsi"/>
          <w:color w:val="201F1E"/>
          <w:lang w:eastAsia="en-GB"/>
        </w:rPr>
        <w:t xml:space="preserve"> the respectability of the family and </w:t>
      </w:r>
      <w:r w:rsidR="00EB2F52">
        <w:rPr>
          <w:rFonts w:eastAsia="Times New Roman" w:cstheme="minorHAnsi"/>
          <w:color w:val="201F1E"/>
          <w:lang w:eastAsia="en-GB"/>
        </w:rPr>
        <w:t>for creating</w:t>
      </w:r>
      <w:r w:rsidR="00EB2F52" w:rsidRPr="00190505">
        <w:rPr>
          <w:rFonts w:eastAsia="Times New Roman" w:cstheme="minorHAnsi"/>
          <w:color w:val="201F1E"/>
          <w:lang w:eastAsia="en-GB"/>
        </w:rPr>
        <w:t xml:space="preserve"> </w:t>
      </w:r>
      <w:r w:rsidR="0088305A" w:rsidRPr="00190505">
        <w:rPr>
          <w:rFonts w:eastAsia="Times New Roman" w:cstheme="minorHAnsi"/>
          <w:color w:val="201F1E"/>
          <w:lang w:eastAsia="en-GB"/>
        </w:rPr>
        <w:t>a home that is safe and free from harm</w:t>
      </w:r>
      <w:r w:rsidR="00EB2F52">
        <w:rPr>
          <w:rFonts w:eastAsia="Times New Roman" w:cstheme="minorHAnsi"/>
          <w:color w:val="201F1E"/>
          <w:lang w:eastAsia="en-GB"/>
        </w:rPr>
        <w:t>.</w:t>
      </w:r>
    </w:p>
    <w:p w14:paraId="0165DF71" w14:textId="77777777" w:rsidR="0088305A" w:rsidRPr="00190505" w:rsidRDefault="0088305A" w:rsidP="00190505">
      <w:pPr>
        <w:shd w:val="clear" w:color="auto" w:fill="FFFFFF"/>
        <w:spacing w:after="0" w:line="240" w:lineRule="auto"/>
        <w:jc w:val="both"/>
        <w:textAlignment w:val="baseline"/>
        <w:rPr>
          <w:rFonts w:eastAsia="Times New Roman" w:cstheme="minorHAnsi"/>
          <w:color w:val="201F1E"/>
          <w:lang w:eastAsia="en-GB"/>
        </w:rPr>
      </w:pPr>
    </w:p>
    <w:p w14:paraId="3C3999B0" w14:textId="7C60FACE" w:rsidR="0088305A" w:rsidRPr="00190505" w:rsidRDefault="0088305A"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The women in th</w:t>
      </w:r>
      <w:r w:rsidR="00C341D4">
        <w:rPr>
          <w:rFonts w:eastAsia="Times New Roman" w:cstheme="minorHAnsi"/>
          <w:color w:val="201F1E"/>
          <w:lang w:eastAsia="en-GB"/>
        </w:rPr>
        <w:t>is</w:t>
      </w:r>
      <w:r w:rsidRPr="00190505">
        <w:rPr>
          <w:rFonts w:eastAsia="Times New Roman" w:cstheme="minorHAnsi"/>
          <w:color w:val="201F1E"/>
          <w:lang w:eastAsia="en-GB"/>
        </w:rPr>
        <w:t xml:space="preserve"> study very much acknowledged and saw themselves as purveyors of domestic safety and security and this extended </w:t>
      </w:r>
      <w:r w:rsidR="00A76B4B" w:rsidRPr="00190505">
        <w:rPr>
          <w:rFonts w:eastAsia="Times New Roman" w:cstheme="minorHAnsi"/>
          <w:color w:val="201F1E"/>
          <w:lang w:eastAsia="en-GB"/>
        </w:rPr>
        <w:t>to</w:t>
      </w:r>
      <w:r w:rsidRPr="00190505">
        <w:rPr>
          <w:rFonts w:eastAsia="Times New Roman" w:cstheme="minorHAnsi"/>
          <w:color w:val="201F1E"/>
          <w:lang w:eastAsia="en-GB"/>
        </w:rPr>
        <w:t xml:space="preserve"> their gambling practices at home. </w:t>
      </w:r>
      <w:proofErr w:type="gramStart"/>
      <w:r w:rsidRPr="00190505">
        <w:rPr>
          <w:rFonts w:eastAsia="Times New Roman" w:cstheme="minorHAnsi"/>
          <w:color w:val="201F1E"/>
          <w:lang w:eastAsia="en-GB"/>
        </w:rPr>
        <w:t>Thus</w:t>
      </w:r>
      <w:proofErr w:type="gramEnd"/>
      <w:r w:rsidRPr="00190505">
        <w:rPr>
          <w:rFonts w:eastAsia="Times New Roman" w:cstheme="minorHAnsi"/>
          <w:color w:val="201F1E"/>
          <w:lang w:eastAsia="en-GB"/>
        </w:rPr>
        <w:t xml:space="preserve"> for example </w:t>
      </w:r>
      <w:r w:rsidR="002C1993" w:rsidRPr="00190505">
        <w:rPr>
          <w:rFonts w:eastAsia="Times New Roman" w:cstheme="minorHAnsi"/>
          <w:color w:val="201F1E"/>
          <w:lang w:eastAsia="en-GB"/>
        </w:rPr>
        <w:t>w</w:t>
      </w:r>
      <w:r w:rsidRPr="00190505">
        <w:rPr>
          <w:rFonts w:eastAsia="Times New Roman" w:cstheme="minorHAnsi"/>
          <w:color w:val="201F1E"/>
          <w:lang w:eastAsia="en-GB"/>
        </w:rPr>
        <w:t xml:space="preserve">omen often </w:t>
      </w:r>
      <w:r w:rsidR="00AC281E">
        <w:rPr>
          <w:rFonts w:eastAsia="Times New Roman" w:cstheme="minorHAnsi"/>
          <w:color w:val="201F1E"/>
          <w:lang w:eastAsia="en-GB"/>
        </w:rPr>
        <w:t>wrote</w:t>
      </w:r>
      <w:r w:rsidR="00AC281E" w:rsidRPr="00190505">
        <w:rPr>
          <w:rFonts w:eastAsia="Times New Roman" w:cstheme="minorHAnsi"/>
          <w:color w:val="201F1E"/>
          <w:lang w:eastAsia="en-GB"/>
        </w:rPr>
        <w:t xml:space="preserve"> </w:t>
      </w:r>
      <w:r w:rsidRPr="00190505">
        <w:rPr>
          <w:rFonts w:eastAsia="Times New Roman" w:cstheme="minorHAnsi"/>
          <w:color w:val="201F1E"/>
          <w:lang w:eastAsia="en-GB"/>
        </w:rPr>
        <w:t>about how they would take action to protect their children from gambling. One of the interesting things about domestic forms of gambling is that the home as a space of safety and a haven from home is compromised. Women were acutely aware of the potential risks associated with bringing gambling into the home. Strategies for mitigating against this risk included for example in the quote</w:t>
      </w:r>
      <w:r w:rsidR="00C8580D" w:rsidRPr="00190505">
        <w:rPr>
          <w:rFonts w:eastAsia="Times New Roman" w:cstheme="minorHAnsi"/>
          <w:color w:val="201F1E"/>
          <w:lang w:eastAsia="en-GB"/>
        </w:rPr>
        <w:t xml:space="preserve"> </w:t>
      </w:r>
      <w:r w:rsidRPr="00190505">
        <w:rPr>
          <w:rFonts w:eastAsia="Times New Roman" w:cstheme="minorHAnsi"/>
          <w:color w:val="201F1E"/>
          <w:lang w:eastAsia="en-GB"/>
        </w:rPr>
        <w:t xml:space="preserve">below making sure that lottery tickets are not on display. As we have seen the National Lottery is probably the most popular form of at home gambling in the UK. It is often associated with infiltrating </w:t>
      </w:r>
      <w:r w:rsidR="002C1993" w:rsidRPr="00190505">
        <w:rPr>
          <w:rFonts w:eastAsia="Times New Roman" w:cstheme="minorHAnsi"/>
          <w:color w:val="201F1E"/>
          <w:lang w:eastAsia="en-GB"/>
        </w:rPr>
        <w:t>all</w:t>
      </w:r>
      <w:r w:rsidRPr="00190505">
        <w:rPr>
          <w:rFonts w:eastAsia="Times New Roman" w:cstheme="minorHAnsi"/>
          <w:color w:val="201F1E"/>
          <w:lang w:eastAsia="en-GB"/>
        </w:rPr>
        <w:t xml:space="preserve"> aspect</w:t>
      </w:r>
      <w:r w:rsidR="002C1993" w:rsidRPr="00190505">
        <w:rPr>
          <w:rFonts w:eastAsia="Times New Roman" w:cstheme="minorHAnsi"/>
          <w:color w:val="201F1E"/>
          <w:lang w:eastAsia="en-GB"/>
        </w:rPr>
        <w:t>s</w:t>
      </w:r>
      <w:r w:rsidRPr="00190505">
        <w:rPr>
          <w:rFonts w:eastAsia="Times New Roman" w:cstheme="minorHAnsi"/>
          <w:color w:val="201F1E"/>
          <w:lang w:eastAsia="en-GB"/>
        </w:rPr>
        <w:t xml:space="preserve"> of everyday life. Some </w:t>
      </w:r>
      <w:r w:rsidR="002C1993" w:rsidRPr="00190505">
        <w:rPr>
          <w:rFonts w:eastAsia="Times New Roman" w:cstheme="minorHAnsi"/>
          <w:color w:val="201F1E"/>
          <w:lang w:eastAsia="en-GB"/>
        </w:rPr>
        <w:t>scholars</w:t>
      </w:r>
      <w:r w:rsidRPr="00190505">
        <w:rPr>
          <w:rFonts w:eastAsia="Times New Roman" w:cstheme="minorHAnsi"/>
          <w:color w:val="201F1E"/>
          <w:lang w:eastAsia="en-GB"/>
        </w:rPr>
        <w:t xml:space="preserve"> have argued that the harms associated with National Lottery play are greater than for other forms of </w:t>
      </w:r>
      <w:r w:rsidR="002C1993" w:rsidRPr="00190505">
        <w:rPr>
          <w:rFonts w:eastAsia="Times New Roman" w:cstheme="minorHAnsi"/>
          <w:color w:val="201F1E"/>
          <w:lang w:eastAsia="en-GB"/>
        </w:rPr>
        <w:t>gambling</w:t>
      </w:r>
      <w:r w:rsidRPr="00190505">
        <w:rPr>
          <w:rFonts w:eastAsia="Times New Roman" w:cstheme="minorHAnsi"/>
          <w:color w:val="201F1E"/>
          <w:lang w:eastAsia="en-GB"/>
        </w:rPr>
        <w:t xml:space="preserve"> because it is so closely integrated into </w:t>
      </w:r>
      <w:proofErr w:type="spellStart"/>
      <w:r w:rsidRPr="00190505">
        <w:rPr>
          <w:rFonts w:eastAsia="Times New Roman" w:cstheme="minorHAnsi"/>
          <w:color w:val="201F1E"/>
          <w:lang w:eastAsia="en-GB"/>
        </w:rPr>
        <w:t>everyday</w:t>
      </w:r>
      <w:proofErr w:type="spellEnd"/>
      <w:r w:rsidR="002C1993" w:rsidRPr="00190505">
        <w:rPr>
          <w:rFonts w:eastAsia="Times New Roman" w:cstheme="minorHAnsi"/>
          <w:color w:val="201F1E"/>
          <w:lang w:eastAsia="en-GB"/>
        </w:rPr>
        <w:t>, domestic</w:t>
      </w:r>
      <w:r w:rsidRPr="00190505">
        <w:rPr>
          <w:rFonts w:eastAsia="Times New Roman" w:cstheme="minorHAnsi"/>
          <w:color w:val="201F1E"/>
          <w:lang w:eastAsia="en-GB"/>
        </w:rPr>
        <w:t xml:space="preserve"> lives and activities</w:t>
      </w:r>
      <w:r w:rsidR="002C1993" w:rsidRPr="00190505">
        <w:rPr>
          <w:rFonts w:eastAsia="Times New Roman" w:cstheme="minorHAnsi"/>
          <w:color w:val="201F1E"/>
          <w:lang w:eastAsia="en-GB"/>
        </w:rPr>
        <w:t xml:space="preserve">. </w:t>
      </w:r>
      <w:r w:rsidRPr="00190505">
        <w:rPr>
          <w:rFonts w:eastAsia="Times New Roman" w:cstheme="minorHAnsi"/>
          <w:color w:val="201F1E"/>
          <w:lang w:eastAsia="en-GB"/>
        </w:rPr>
        <w:t xml:space="preserve">With physical forms of gambling there is at least a physical separation between the home and gambling and a way of escaping it. With the </w:t>
      </w:r>
      <w:r w:rsidR="002C1993" w:rsidRPr="00190505">
        <w:rPr>
          <w:rFonts w:eastAsia="Times New Roman" w:cstheme="minorHAnsi"/>
          <w:color w:val="201F1E"/>
          <w:lang w:eastAsia="en-GB"/>
        </w:rPr>
        <w:t>intensification of</w:t>
      </w:r>
      <w:r w:rsidRPr="00190505">
        <w:rPr>
          <w:rFonts w:eastAsia="Times New Roman" w:cstheme="minorHAnsi"/>
          <w:color w:val="201F1E"/>
          <w:lang w:eastAsia="en-GB"/>
        </w:rPr>
        <w:t xml:space="preserve"> domestication of everyday life particularly following the COVID-19 pandemic it is increasingly the case that gambling activities as with many other forms of leisure activities are increasingly being integrated into the home. Some of the women </w:t>
      </w:r>
      <w:r w:rsidR="00AC281E">
        <w:rPr>
          <w:rFonts w:eastAsia="Times New Roman" w:cstheme="minorHAnsi"/>
          <w:color w:val="201F1E"/>
          <w:lang w:eastAsia="en-GB"/>
        </w:rPr>
        <w:t>wrote</w:t>
      </w:r>
      <w:r w:rsidR="00AC281E" w:rsidRPr="00190505">
        <w:rPr>
          <w:rFonts w:eastAsia="Times New Roman" w:cstheme="minorHAnsi"/>
          <w:color w:val="201F1E"/>
          <w:lang w:eastAsia="en-GB"/>
        </w:rPr>
        <w:t xml:space="preserve"> </w:t>
      </w:r>
      <w:r w:rsidRPr="00190505">
        <w:rPr>
          <w:rFonts w:eastAsia="Times New Roman" w:cstheme="minorHAnsi"/>
          <w:color w:val="201F1E"/>
          <w:lang w:eastAsia="en-GB"/>
        </w:rPr>
        <w:t>about strategies that they had for mitigating this risk</w:t>
      </w:r>
      <w:r w:rsidR="002C1993" w:rsidRPr="00190505">
        <w:rPr>
          <w:rFonts w:eastAsia="Times New Roman" w:cstheme="minorHAnsi"/>
          <w:color w:val="201F1E"/>
          <w:lang w:eastAsia="en-GB"/>
        </w:rPr>
        <w:t>:</w:t>
      </w:r>
    </w:p>
    <w:p w14:paraId="08C9D227" w14:textId="77777777" w:rsidR="0088305A" w:rsidRPr="00190505" w:rsidRDefault="0088305A" w:rsidP="00190505">
      <w:pPr>
        <w:shd w:val="clear" w:color="auto" w:fill="FFFFFF"/>
        <w:spacing w:after="0" w:line="240" w:lineRule="auto"/>
        <w:jc w:val="both"/>
        <w:textAlignment w:val="baseline"/>
        <w:rPr>
          <w:rFonts w:eastAsia="Times New Roman" w:cstheme="minorHAnsi"/>
          <w:color w:val="201F1E"/>
          <w:lang w:eastAsia="en-GB"/>
        </w:rPr>
      </w:pPr>
    </w:p>
    <w:p w14:paraId="418FDF9C" w14:textId="1C709D41" w:rsidR="0088305A" w:rsidRPr="00190505" w:rsidRDefault="0088305A"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w:t>
      </w:r>
      <w:r w:rsidR="002C1993" w:rsidRPr="00190505">
        <w:rPr>
          <w:rFonts w:eastAsia="Times New Roman" w:cstheme="minorHAnsi"/>
          <w:color w:val="201F1E"/>
          <w:lang w:eastAsia="en-GB"/>
        </w:rPr>
        <w:t>O</w:t>
      </w:r>
      <w:r w:rsidRPr="00190505">
        <w:rPr>
          <w:rFonts w:eastAsia="Times New Roman" w:cstheme="minorHAnsi"/>
          <w:color w:val="201F1E"/>
          <w:lang w:eastAsia="en-GB"/>
        </w:rPr>
        <w:t>ne thing I’m very strict about is not letting my daughter see my lottery ticket. I wouldn’t put it on the wall in case she thought it was normal and started gambling herself</w:t>
      </w:r>
      <w:r w:rsidR="002C1993" w:rsidRPr="00190505">
        <w:rPr>
          <w:rFonts w:eastAsia="Times New Roman" w:cstheme="minorHAnsi"/>
          <w:color w:val="201F1E"/>
          <w:lang w:eastAsia="en-GB"/>
        </w:rPr>
        <w:t>.”</w:t>
      </w:r>
    </w:p>
    <w:p w14:paraId="2F11991A" w14:textId="77777777" w:rsidR="00C8580D" w:rsidRPr="00190505" w:rsidRDefault="00C8580D" w:rsidP="00190505">
      <w:pPr>
        <w:shd w:val="clear" w:color="auto" w:fill="FFFFFF"/>
        <w:spacing w:after="0" w:line="240" w:lineRule="auto"/>
        <w:jc w:val="both"/>
        <w:textAlignment w:val="baseline"/>
        <w:rPr>
          <w:rFonts w:eastAsia="Times New Roman" w:cstheme="minorHAnsi"/>
          <w:color w:val="201F1E"/>
          <w:lang w:eastAsia="en-GB"/>
        </w:rPr>
      </w:pPr>
    </w:p>
    <w:p w14:paraId="3A90A8F4" w14:textId="3ED24695" w:rsidR="0090000B" w:rsidRPr="00190505" w:rsidRDefault="0088305A" w:rsidP="00190505">
      <w:pPr>
        <w:jc w:val="both"/>
        <w:rPr>
          <w:rFonts w:cstheme="minorHAnsi"/>
          <w:b/>
          <w:bCs/>
        </w:rPr>
      </w:pPr>
      <w:r w:rsidRPr="00190505">
        <w:rPr>
          <w:rFonts w:cstheme="minorHAnsi"/>
          <w:b/>
          <w:bCs/>
        </w:rPr>
        <w:t xml:space="preserve">Creating </w:t>
      </w:r>
      <w:r w:rsidR="00E5049E">
        <w:rPr>
          <w:rFonts w:cstheme="minorHAnsi"/>
          <w:b/>
          <w:bCs/>
        </w:rPr>
        <w:t xml:space="preserve">Gambling </w:t>
      </w:r>
      <w:r w:rsidRPr="00190505">
        <w:rPr>
          <w:rFonts w:cstheme="minorHAnsi"/>
          <w:b/>
          <w:bCs/>
        </w:rPr>
        <w:t>Communities within Domestic Spaces</w:t>
      </w:r>
      <w:r w:rsidR="00E5049E">
        <w:rPr>
          <w:rFonts w:cstheme="minorHAnsi"/>
          <w:b/>
          <w:bCs/>
        </w:rPr>
        <w:t>: Mitigating Harm</w:t>
      </w:r>
    </w:p>
    <w:p w14:paraId="6F4AD50B" w14:textId="2F82A26E"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Current literature around gambling has often focused on the ways in which gambling communities have formed </w:t>
      </w:r>
      <w:r w:rsidR="003F7715" w:rsidRPr="00190505">
        <w:rPr>
          <w:rFonts w:eastAsia="Times New Roman" w:cstheme="minorHAnsi"/>
          <w:color w:val="201F1E"/>
          <w:lang w:eastAsia="en-GB"/>
        </w:rPr>
        <w:t>within traditional</w:t>
      </w:r>
      <w:r w:rsidRPr="00190505">
        <w:rPr>
          <w:rFonts w:eastAsia="Times New Roman" w:cstheme="minorHAnsi"/>
          <w:color w:val="201F1E"/>
          <w:lang w:eastAsia="en-GB"/>
        </w:rPr>
        <w:t xml:space="preserve"> gambling sites which enable </w:t>
      </w:r>
      <w:r w:rsidR="003F7715" w:rsidRPr="00190505">
        <w:rPr>
          <w:rFonts w:eastAsia="Times New Roman" w:cstheme="minorHAnsi"/>
          <w:color w:val="201F1E"/>
          <w:lang w:eastAsia="en-GB"/>
        </w:rPr>
        <w:t>people</w:t>
      </w:r>
      <w:r w:rsidRPr="00190505">
        <w:rPr>
          <w:rFonts w:eastAsia="Times New Roman" w:cstheme="minorHAnsi"/>
          <w:color w:val="201F1E"/>
          <w:lang w:eastAsia="en-GB"/>
        </w:rPr>
        <w:t xml:space="preserve"> to gamble alongside other</w:t>
      </w:r>
      <w:r w:rsidR="003F7715" w:rsidRPr="00190505">
        <w:rPr>
          <w:rFonts w:eastAsia="Times New Roman" w:cstheme="minorHAnsi"/>
          <w:color w:val="201F1E"/>
          <w:lang w:eastAsia="en-GB"/>
        </w:rPr>
        <w:t>s</w:t>
      </w:r>
      <w:r w:rsidRPr="00190505">
        <w:rPr>
          <w:rFonts w:eastAsia="Times New Roman" w:cstheme="minorHAnsi"/>
          <w:color w:val="201F1E"/>
          <w:lang w:eastAsia="en-GB"/>
        </w:rPr>
        <w:t xml:space="preserve">. </w:t>
      </w:r>
      <w:r w:rsidR="003F7715" w:rsidRPr="00190505">
        <w:rPr>
          <w:rFonts w:eastAsia="Times New Roman" w:cstheme="minorHAnsi"/>
          <w:color w:val="201F1E"/>
          <w:lang w:eastAsia="en-GB"/>
        </w:rPr>
        <w:t>R</w:t>
      </w:r>
      <w:r w:rsidRPr="00190505">
        <w:rPr>
          <w:rFonts w:eastAsia="Times New Roman" w:cstheme="minorHAnsi"/>
          <w:color w:val="201F1E"/>
          <w:lang w:eastAsia="en-GB"/>
        </w:rPr>
        <w:t xml:space="preserve">esearch by Cassidy </w:t>
      </w:r>
      <w:r w:rsidR="00B32BCD">
        <w:rPr>
          <w:rFonts w:eastAsia="Times New Roman" w:cstheme="minorHAnsi"/>
          <w:color w:val="201F1E"/>
          <w:lang w:eastAsia="en-GB"/>
        </w:rPr>
        <w:t xml:space="preserve">(2013) </w:t>
      </w:r>
      <w:r w:rsidR="003F7715" w:rsidRPr="00190505">
        <w:rPr>
          <w:rFonts w:eastAsia="Times New Roman" w:cstheme="minorHAnsi"/>
          <w:color w:val="201F1E"/>
          <w:lang w:eastAsia="en-GB"/>
        </w:rPr>
        <w:t>for example, identifies</w:t>
      </w:r>
      <w:r w:rsidRPr="00190505">
        <w:rPr>
          <w:rFonts w:eastAsia="Times New Roman" w:cstheme="minorHAnsi"/>
          <w:color w:val="201F1E"/>
          <w:lang w:eastAsia="en-GB"/>
        </w:rPr>
        <w:t xml:space="preserve"> the betting shop as site for</w:t>
      </w:r>
      <w:r w:rsidR="003F7715" w:rsidRPr="00190505">
        <w:rPr>
          <w:rFonts w:eastAsia="Times New Roman" w:cstheme="minorHAnsi"/>
          <w:color w:val="201F1E"/>
          <w:lang w:eastAsia="en-GB"/>
        </w:rPr>
        <w:t xml:space="preserve"> male s</w:t>
      </w:r>
      <w:r w:rsidRPr="00190505">
        <w:rPr>
          <w:rFonts w:eastAsia="Times New Roman" w:cstheme="minorHAnsi"/>
          <w:color w:val="201F1E"/>
          <w:lang w:eastAsia="en-GB"/>
        </w:rPr>
        <w:t xml:space="preserve">ocialising alongside gambling </w:t>
      </w:r>
      <w:r w:rsidR="003F7715" w:rsidRPr="00190505">
        <w:rPr>
          <w:rFonts w:eastAsia="Times New Roman" w:cstheme="minorHAnsi"/>
          <w:color w:val="201F1E"/>
          <w:lang w:eastAsia="en-GB"/>
        </w:rPr>
        <w:t xml:space="preserve">processes, </w:t>
      </w:r>
      <w:r w:rsidRPr="00190505">
        <w:rPr>
          <w:rFonts w:eastAsia="Times New Roman" w:cstheme="minorHAnsi"/>
          <w:color w:val="201F1E"/>
          <w:lang w:eastAsia="en-GB"/>
        </w:rPr>
        <w:t>and Dix</w:t>
      </w:r>
      <w:r w:rsidR="007E3157">
        <w:rPr>
          <w:rFonts w:eastAsia="Times New Roman" w:cstheme="minorHAnsi"/>
          <w:color w:val="201F1E"/>
          <w:lang w:eastAsia="en-GB"/>
        </w:rPr>
        <w:t>ey</w:t>
      </w:r>
      <w:r w:rsidRPr="00190505">
        <w:rPr>
          <w:rFonts w:eastAsia="Times New Roman" w:cstheme="minorHAnsi"/>
          <w:color w:val="201F1E"/>
          <w:lang w:eastAsia="en-GB"/>
        </w:rPr>
        <w:t xml:space="preserve"> and Talbot</w:t>
      </w:r>
      <w:r w:rsidR="003F7715" w:rsidRPr="00190505">
        <w:rPr>
          <w:rFonts w:eastAsia="Times New Roman" w:cstheme="minorHAnsi"/>
          <w:color w:val="201F1E"/>
          <w:lang w:eastAsia="en-GB"/>
        </w:rPr>
        <w:t>’</w:t>
      </w:r>
      <w:r w:rsidRPr="00190505">
        <w:rPr>
          <w:rFonts w:eastAsia="Times New Roman" w:cstheme="minorHAnsi"/>
          <w:color w:val="201F1E"/>
          <w:lang w:eastAsia="en-GB"/>
        </w:rPr>
        <w:t xml:space="preserve">s </w:t>
      </w:r>
      <w:r w:rsidR="00B32BCD">
        <w:rPr>
          <w:rFonts w:eastAsia="Times New Roman" w:cstheme="minorHAnsi"/>
          <w:color w:val="201F1E"/>
          <w:lang w:eastAsia="en-GB"/>
        </w:rPr>
        <w:t xml:space="preserve">(1988) </w:t>
      </w:r>
      <w:r w:rsidRPr="00190505">
        <w:rPr>
          <w:rFonts w:eastAsia="Times New Roman" w:cstheme="minorHAnsi"/>
          <w:color w:val="201F1E"/>
          <w:lang w:eastAsia="en-GB"/>
        </w:rPr>
        <w:t xml:space="preserve">classic study </w:t>
      </w:r>
      <w:proofErr w:type="gramStart"/>
      <w:r w:rsidR="003F7715" w:rsidRPr="00190505">
        <w:rPr>
          <w:rFonts w:eastAsia="Times New Roman" w:cstheme="minorHAnsi"/>
          <w:color w:val="201F1E"/>
          <w:lang w:eastAsia="en-GB"/>
        </w:rPr>
        <w:t>describes</w:t>
      </w:r>
      <w:proofErr w:type="gramEnd"/>
      <w:r w:rsidRPr="00190505">
        <w:rPr>
          <w:rFonts w:eastAsia="Times New Roman" w:cstheme="minorHAnsi"/>
          <w:color w:val="201F1E"/>
          <w:lang w:eastAsia="en-GB"/>
        </w:rPr>
        <w:t xml:space="preserve"> how the bingo </w:t>
      </w:r>
      <w:r w:rsidRPr="00190505">
        <w:rPr>
          <w:rFonts w:eastAsia="Times New Roman" w:cstheme="minorHAnsi"/>
          <w:color w:val="201F1E"/>
          <w:lang w:eastAsia="en-GB"/>
        </w:rPr>
        <w:lastRenderedPageBreak/>
        <w:t xml:space="preserve">halls of the 1980s were an important </w:t>
      </w:r>
      <w:r w:rsidR="003F7715" w:rsidRPr="00190505">
        <w:rPr>
          <w:rFonts w:eastAsia="Times New Roman" w:cstheme="minorHAnsi"/>
          <w:color w:val="201F1E"/>
          <w:lang w:eastAsia="en-GB"/>
        </w:rPr>
        <w:t xml:space="preserve">safe </w:t>
      </w:r>
      <w:r w:rsidRPr="00190505">
        <w:rPr>
          <w:rFonts w:eastAsia="Times New Roman" w:cstheme="minorHAnsi"/>
          <w:color w:val="201F1E"/>
          <w:lang w:eastAsia="en-GB"/>
        </w:rPr>
        <w:t xml:space="preserve">social </w:t>
      </w:r>
      <w:r w:rsidR="003F7715" w:rsidRPr="00190505">
        <w:rPr>
          <w:rFonts w:eastAsia="Times New Roman" w:cstheme="minorHAnsi"/>
          <w:color w:val="201F1E"/>
          <w:lang w:eastAsia="en-GB"/>
        </w:rPr>
        <w:t>leisure space</w:t>
      </w:r>
      <w:r w:rsidRPr="00190505">
        <w:rPr>
          <w:rFonts w:eastAsia="Times New Roman" w:cstheme="minorHAnsi"/>
          <w:color w:val="201F1E"/>
          <w:lang w:eastAsia="en-GB"/>
        </w:rPr>
        <w:t xml:space="preserve"> for working-class women.</w:t>
      </w:r>
      <w:r w:rsidR="00A36289" w:rsidRPr="00190505">
        <w:rPr>
          <w:rFonts w:eastAsia="Times New Roman" w:cstheme="minorHAnsi"/>
          <w:color w:val="201F1E"/>
          <w:lang w:eastAsia="en-GB"/>
        </w:rPr>
        <w:t xml:space="preserve"> In my early work, I also developed the idea of ‘physical’ and ‘metaphorical’ gambling spaces</w:t>
      </w:r>
      <w:r w:rsidR="00B32BCD">
        <w:rPr>
          <w:rFonts w:eastAsia="Times New Roman" w:cstheme="minorHAnsi"/>
          <w:color w:val="201F1E"/>
          <w:lang w:eastAsia="en-GB"/>
        </w:rPr>
        <w:t xml:space="preserve"> (Casey, 2004)</w:t>
      </w:r>
      <w:r w:rsidR="00A36289" w:rsidRPr="00190505">
        <w:rPr>
          <w:rFonts w:eastAsia="Times New Roman" w:cstheme="minorHAnsi"/>
          <w:color w:val="201F1E"/>
          <w:lang w:eastAsia="en-GB"/>
        </w:rPr>
        <w:t>; the latter of which are far more popular among women.</w:t>
      </w:r>
    </w:p>
    <w:p w14:paraId="24DBFCEF" w14:textId="77777777"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p>
    <w:p w14:paraId="4A73C850" w14:textId="468DF5DA" w:rsidR="0090000B" w:rsidRPr="00190505" w:rsidRDefault="00A36289"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Thu</w:t>
      </w:r>
      <w:r w:rsidR="00B32BCD">
        <w:rPr>
          <w:rFonts w:eastAsia="Times New Roman" w:cstheme="minorHAnsi"/>
          <w:color w:val="201F1E"/>
          <w:lang w:eastAsia="en-GB"/>
        </w:rPr>
        <w:t>s</w:t>
      </w:r>
      <w:r w:rsidRPr="00190505">
        <w:rPr>
          <w:rFonts w:eastAsia="Times New Roman" w:cstheme="minorHAnsi"/>
          <w:color w:val="201F1E"/>
          <w:lang w:eastAsia="en-GB"/>
        </w:rPr>
        <w:t>, the</w:t>
      </w:r>
      <w:r w:rsidR="0090000B" w:rsidRPr="00190505">
        <w:rPr>
          <w:rFonts w:eastAsia="Times New Roman" w:cstheme="minorHAnsi"/>
          <w:color w:val="201F1E"/>
          <w:lang w:eastAsia="en-GB"/>
        </w:rPr>
        <w:t xml:space="preserve"> domestic is not historically seen as a site for the </w:t>
      </w:r>
      <w:r w:rsidR="003F7715" w:rsidRPr="00190505">
        <w:rPr>
          <w:rFonts w:eastAsia="Times New Roman" w:cstheme="minorHAnsi"/>
          <w:color w:val="201F1E"/>
          <w:lang w:eastAsia="en-GB"/>
        </w:rPr>
        <w:t>emergence</w:t>
      </w:r>
      <w:r w:rsidR="0090000B" w:rsidRPr="00190505">
        <w:rPr>
          <w:rFonts w:eastAsia="Times New Roman" w:cstheme="minorHAnsi"/>
          <w:color w:val="201F1E"/>
          <w:lang w:eastAsia="en-GB"/>
        </w:rPr>
        <w:t xml:space="preserve"> of communities</w:t>
      </w:r>
      <w:r w:rsidRPr="00190505">
        <w:rPr>
          <w:rFonts w:eastAsia="Times New Roman" w:cstheme="minorHAnsi"/>
          <w:color w:val="201F1E"/>
          <w:lang w:eastAsia="en-GB"/>
        </w:rPr>
        <w:t>, gambling or otherwise</w:t>
      </w:r>
      <w:r w:rsidR="0090000B" w:rsidRPr="00190505">
        <w:rPr>
          <w:rFonts w:eastAsia="Times New Roman" w:cstheme="minorHAnsi"/>
          <w:color w:val="201F1E"/>
          <w:lang w:eastAsia="en-GB"/>
        </w:rPr>
        <w:t>. On the contrary</w:t>
      </w:r>
      <w:r w:rsidRPr="00190505">
        <w:rPr>
          <w:rFonts w:eastAsia="Times New Roman" w:cstheme="minorHAnsi"/>
          <w:color w:val="201F1E"/>
          <w:lang w:eastAsia="en-GB"/>
        </w:rPr>
        <w:t>,</w:t>
      </w:r>
      <w:r w:rsidR="0090000B" w:rsidRPr="00190505">
        <w:rPr>
          <w:rFonts w:eastAsia="Times New Roman" w:cstheme="minorHAnsi"/>
          <w:color w:val="201F1E"/>
          <w:lang w:eastAsia="en-GB"/>
        </w:rPr>
        <w:t xml:space="preserve"> </w:t>
      </w:r>
      <w:r w:rsidR="003F7715" w:rsidRPr="00190505">
        <w:rPr>
          <w:rFonts w:eastAsia="Times New Roman" w:cstheme="minorHAnsi"/>
          <w:color w:val="201F1E"/>
          <w:lang w:eastAsia="en-GB"/>
        </w:rPr>
        <w:t>a divide</w:t>
      </w:r>
      <w:r w:rsidR="0090000B" w:rsidRPr="00190505">
        <w:rPr>
          <w:rFonts w:eastAsia="Times New Roman" w:cstheme="minorHAnsi"/>
          <w:color w:val="201F1E"/>
          <w:lang w:eastAsia="en-GB"/>
        </w:rPr>
        <w:t xml:space="preserve"> </w:t>
      </w:r>
      <w:r w:rsidR="003F7715" w:rsidRPr="00190505">
        <w:rPr>
          <w:rFonts w:eastAsia="Times New Roman" w:cstheme="minorHAnsi"/>
          <w:color w:val="201F1E"/>
          <w:lang w:eastAsia="en-GB"/>
        </w:rPr>
        <w:t>has</w:t>
      </w:r>
      <w:r w:rsidR="0090000B" w:rsidRPr="00190505">
        <w:rPr>
          <w:rFonts w:eastAsia="Times New Roman" w:cstheme="minorHAnsi"/>
          <w:color w:val="201F1E"/>
          <w:lang w:eastAsia="en-GB"/>
        </w:rPr>
        <w:t xml:space="preserve"> </w:t>
      </w:r>
      <w:r w:rsidR="003F7715" w:rsidRPr="00190505">
        <w:rPr>
          <w:rFonts w:eastAsia="Times New Roman" w:cstheme="minorHAnsi"/>
          <w:color w:val="201F1E"/>
          <w:lang w:eastAsia="en-GB"/>
        </w:rPr>
        <w:t>long</w:t>
      </w:r>
      <w:r w:rsidR="0090000B" w:rsidRPr="00190505">
        <w:rPr>
          <w:rFonts w:eastAsia="Times New Roman" w:cstheme="minorHAnsi"/>
          <w:color w:val="201F1E"/>
          <w:lang w:eastAsia="en-GB"/>
        </w:rPr>
        <w:t xml:space="preserve"> </w:t>
      </w:r>
      <w:r w:rsidR="003F7715" w:rsidRPr="00190505">
        <w:rPr>
          <w:rFonts w:eastAsia="Times New Roman" w:cstheme="minorHAnsi"/>
          <w:color w:val="201F1E"/>
          <w:lang w:eastAsia="en-GB"/>
        </w:rPr>
        <w:t>existed</w:t>
      </w:r>
      <w:r w:rsidR="0090000B" w:rsidRPr="00190505">
        <w:rPr>
          <w:rFonts w:eastAsia="Times New Roman" w:cstheme="minorHAnsi"/>
          <w:color w:val="201F1E"/>
          <w:lang w:eastAsia="en-GB"/>
        </w:rPr>
        <w:t xml:space="preserve"> between the public world of community and the private world of individuals and their families. However</w:t>
      </w:r>
      <w:r w:rsidRPr="00190505">
        <w:rPr>
          <w:rFonts w:eastAsia="Times New Roman" w:cstheme="minorHAnsi"/>
          <w:color w:val="201F1E"/>
          <w:lang w:eastAsia="en-GB"/>
        </w:rPr>
        <w:t>,</w:t>
      </w:r>
      <w:r w:rsidR="0090000B" w:rsidRPr="00190505">
        <w:rPr>
          <w:rFonts w:eastAsia="Times New Roman" w:cstheme="minorHAnsi"/>
          <w:color w:val="201F1E"/>
          <w:lang w:eastAsia="en-GB"/>
        </w:rPr>
        <w:t xml:space="preserve"> the gambling and household study revealed that domestic spaces are increasingly emerging as a new type of gambling “community</w:t>
      </w:r>
      <w:r w:rsidRPr="00190505">
        <w:rPr>
          <w:rFonts w:eastAsia="Times New Roman" w:cstheme="minorHAnsi"/>
          <w:color w:val="201F1E"/>
          <w:lang w:eastAsia="en-GB"/>
        </w:rPr>
        <w:t>”</w:t>
      </w:r>
      <w:r w:rsidR="0090000B" w:rsidRPr="00190505">
        <w:rPr>
          <w:rFonts w:eastAsia="Times New Roman" w:cstheme="minorHAnsi"/>
          <w:color w:val="201F1E"/>
          <w:lang w:eastAsia="en-GB"/>
        </w:rPr>
        <w:t>.</w:t>
      </w:r>
      <w:r w:rsidR="003F7715" w:rsidRPr="00190505">
        <w:rPr>
          <w:rFonts w:eastAsia="Times New Roman" w:cstheme="minorHAnsi"/>
          <w:color w:val="201F1E"/>
          <w:lang w:eastAsia="en-GB"/>
        </w:rPr>
        <w:t xml:space="preserve"> This is caused </w:t>
      </w:r>
      <w:r w:rsidRPr="00190505">
        <w:rPr>
          <w:rFonts w:eastAsia="Times New Roman" w:cstheme="minorHAnsi"/>
          <w:color w:val="201F1E"/>
          <w:lang w:eastAsia="en-GB"/>
        </w:rPr>
        <w:t xml:space="preserve">in part </w:t>
      </w:r>
      <w:r w:rsidR="003F7715" w:rsidRPr="00190505">
        <w:rPr>
          <w:rFonts w:eastAsia="Times New Roman" w:cstheme="minorHAnsi"/>
          <w:color w:val="201F1E"/>
          <w:lang w:eastAsia="en-GB"/>
        </w:rPr>
        <w:t>by t</w:t>
      </w:r>
      <w:r w:rsidR="0090000B" w:rsidRPr="00190505">
        <w:rPr>
          <w:rFonts w:eastAsia="Times New Roman" w:cstheme="minorHAnsi"/>
          <w:color w:val="201F1E"/>
          <w:lang w:eastAsia="en-GB"/>
        </w:rPr>
        <w:t xml:space="preserve">he </w:t>
      </w:r>
      <w:r w:rsidR="003F7715" w:rsidRPr="00190505">
        <w:rPr>
          <w:rFonts w:eastAsia="Times New Roman" w:cstheme="minorHAnsi"/>
          <w:color w:val="201F1E"/>
          <w:lang w:eastAsia="en-GB"/>
        </w:rPr>
        <w:t xml:space="preserve">meteoric </w:t>
      </w:r>
      <w:r w:rsidR="0090000B" w:rsidRPr="00190505">
        <w:rPr>
          <w:rFonts w:eastAsia="Times New Roman" w:cstheme="minorHAnsi"/>
          <w:color w:val="201F1E"/>
          <w:lang w:eastAsia="en-GB"/>
        </w:rPr>
        <w:t xml:space="preserve">rise of online gambling </w:t>
      </w:r>
      <w:r w:rsidR="003F7715" w:rsidRPr="00190505">
        <w:rPr>
          <w:rFonts w:eastAsia="Times New Roman" w:cstheme="minorHAnsi"/>
          <w:color w:val="201F1E"/>
          <w:lang w:eastAsia="en-GB"/>
        </w:rPr>
        <w:t xml:space="preserve">which </w:t>
      </w:r>
      <w:r w:rsidR="0090000B" w:rsidRPr="00190505">
        <w:rPr>
          <w:rFonts w:eastAsia="Times New Roman" w:cstheme="minorHAnsi"/>
          <w:color w:val="201F1E"/>
          <w:lang w:eastAsia="en-GB"/>
        </w:rPr>
        <w:t>is often seen as</w:t>
      </w:r>
      <w:r w:rsidR="003F7715" w:rsidRPr="00190505">
        <w:rPr>
          <w:rFonts w:eastAsia="Times New Roman" w:cstheme="minorHAnsi"/>
          <w:color w:val="201F1E"/>
          <w:lang w:eastAsia="en-GB"/>
        </w:rPr>
        <w:t xml:space="preserve"> central to the </w:t>
      </w:r>
      <w:r w:rsidR="0090000B" w:rsidRPr="00190505">
        <w:rPr>
          <w:rFonts w:eastAsia="Times New Roman" w:cstheme="minorHAnsi"/>
          <w:color w:val="201F1E"/>
          <w:lang w:eastAsia="en-GB"/>
        </w:rPr>
        <w:t>exacerbat</w:t>
      </w:r>
      <w:r w:rsidR="003F7715" w:rsidRPr="00190505">
        <w:rPr>
          <w:rFonts w:eastAsia="Times New Roman" w:cstheme="minorHAnsi"/>
          <w:color w:val="201F1E"/>
          <w:lang w:eastAsia="en-GB"/>
        </w:rPr>
        <w:t xml:space="preserve">ion </w:t>
      </w:r>
      <w:r w:rsidR="0090000B" w:rsidRPr="00190505">
        <w:rPr>
          <w:rFonts w:eastAsia="Times New Roman" w:cstheme="minorHAnsi"/>
          <w:color w:val="201F1E"/>
          <w:lang w:eastAsia="en-GB"/>
        </w:rPr>
        <w:t>of gambling related harms.</w:t>
      </w:r>
      <w:r w:rsidR="003F7715" w:rsidRPr="00190505">
        <w:rPr>
          <w:rFonts w:eastAsia="Times New Roman" w:cstheme="minorHAnsi"/>
          <w:color w:val="201F1E"/>
          <w:lang w:eastAsia="en-GB"/>
        </w:rPr>
        <w:t xml:space="preserve"> </w:t>
      </w:r>
      <w:r w:rsidR="00D933DF">
        <w:rPr>
          <w:rFonts w:eastAsia="Times New Roman" w:cstheme="minorHAnsi"/>
          <w:color w:val="201F1E"/>
          <w:lang w:eastAsia="en-GB"/>
        </w:rPr>
        <w:t xml:space="preserve">Informal constraints around gambling often prevent the slippage between ‘at risk’ and ‘problem’ gambling behaviour. </w:t>
      </w:r>
      <w:r w:rsidRPr="00190505">
        <w:rPr>
          <w:rFonts w:eastAsia="Times New Roman" w:cstheme="minorHAnsi"/>
          <w:color w:val="201F1E"/>
          <w:lang w:eastAsia="en-GB"/>
        </w:rPr>
        <w:t xml:space="preserve">This informal advice and support </w:t>
      </w:r>
      <w:r w:rsidR="0090000B" w:rsidRPr="00190505">
        <w:rPr>
          <w:rFonts w:eastAsia="Times New Roman" w:cstheme="minorHAnsi"/>
          <w:color w:val="201F1E"/>
          <w:lang w:eastAsia="en-GB"/>
        </w:rPr>
        <w:t>offered by friends</w:t>
      </w:r>
      <w:r w:rsidRPr="00190505">
        <w:rPr>
          <w:rFonts w:eastAsia="Times New Roman" w:cstheme="minorHAnsi"/>
          <w:color w:val="201F1E"/>
          <w:lang w:eastAsia="en-GB"/>
        </w:rPr>
        <w:t xml:space="preserve">, </w:t>
      </w:r>
      <w:r w:rsidR="0090000B" w:rsidRPr="00190505">
        <w:rPr>
          <w:rFonts w:eastAsia="Times New Roman" w:cstheme="minorHAnsi"/>
          <w:color w:val="201F1E"/>
          <w:lang w:eastAsia="en-GB"/>
        </w:rPr>
        <w:t xml:space="preserve">family </w:t>
      </w:r>
      <w:r w:rsidRPr="00190505">
        <w:rPr>
          <w:rFonts w:eastAsia="Times New Roman" w:cstheme="minorHAnsi"/>
          <w:color w:val="201F1E"/>
          <w:lang w:eastAsia="en-GB"/>
        </w:rPr>
        <w:t>and even</w:t>
      </w:r>
      <w:r w:rsidR="0090000B" w:rsidRPr="00190505">
        <w:rPr>
          <w:rFonts w:eastAsia="Times New Roman" w:cstheme="minorHAnsi"/>
          <w:color w:val="201F1E"/>
          <w:lang w:eastAsia="en-GB"/>
        </w:rPr>
        <w:t xml:space="preserve"> strangers within gambling spaces </w:t>
      </w:r>
      <w:r w:rsidRPr="00190505">
        <w:rPr>
          <w:rFonts w:eastAsia="Times New Roman" w:cstheme="minorHAnsi"/>
          <w:color w:val="201F1E"/>
          <w:lang w:eastAsia="en-GB"/>
        </w:rPr>
        <w:t>can be an invaluable strategy for the avoidance of gambling related harms.</w:t>
      </w:r>
      <w:r w:rsidR="00D933DF">
        <w:rPr>
          <w:rFonts w:eastAsia="Times New Roman" w:cstheme="minorHAnsi"/>
          <w:color w:val="201F1E"/>
          <w:lang w:eastAsia="en-GB"/>
        </w:rPr>
        <w:t xml:space="preserve"> I</w:t>
      </w:r>
      <w:r w:rsidRPr="00190505">
        <w:rPr>
          <w:rFonts w:eastAsia="Times New Roman" w:cstheme="minorHAnsi"/>
          <w:color w:val="201F1E"/>
          <w:lang w:eastAsia="en-GB"/>
        </w:rPr>
        <w:t xml:space="preserve">nformal networks of support </w:t>
      </w:r>
      <w:r w:rsidR="0090000B" w:rsidRPr="00190505">
        <w:rPr>
          <w:rFonts w:eastAsia="Times New Roman" w:cstheme="minorHAnsi"/>
          <w:color w:val="201F1E"/>
          <w:lang w:eastAsia="en-GB"/>
        </w:rPr>
        <w:t>are absent when people or gambling on their own at home</w:t>
      </w:r>
      <w:r w:rsidRPr="00190505">
        <w:rPr>
          <w:rFonts w:eastAsia="Times New Roman" w:cstheme="minorHAnsi"/>
          <w:color w:val="201F1E"/>
          <w:lang w:eastAsia="en-GB"/>
        </w:rPr>
        <w:t>. O</w:t>
      </w:r>
      <w:r w:rsidR="0090000B" w:rsidRPr="00190505">
        <w:rPr>
          <w:rFonts w:eastAsia="Times New Roman" w:cstheme="minorHAnsi"/>
          <w:color w:val="201F1E"/>
          <w:lang w:eastAsia="en-GB"/>
        </w:rPr>
        <w:t xml:space="preserve">nline gambling often </w:t>
      </w:r>
      <w:r w:rsidRPr="00190505">
        <w:rPr>
          <w:rFonts w:eastAsia="Times New Roman" w:cstheme="minorHAnsi"/>
          <w:color w:val="201F1E"/>
          <w:lang w:eastAsia="en-GB"/>
        </w:rPr>
        <w:t>takes place</w:t>
      </w:r>
      <w:r w:rsidR="0090000B" w:rsidRPr="00190505">
        <w:rPr>
          <w:rFonts w:eastAsia="Times New Roman" w:cstheme="minorHAnsi"/>
          <w:color w:val="201F1E"/>
          <w:lang w:eastAsia="en-GB"/>
        </w:rPr>
        <w:t xml:space="preserve"> entirely individual</w:t>
      </w:r>
      <w:r w:rsidRPr="00190505">
        <w:rPr>
          <w:rFonts w:eastAsia="Times New Roman" w:cstheme="minorHAnsi"/>
          <w:color w:val="201F1E"/>
          <w:lang w:eastAsia="en-GB"/>
        </w:rPr>
        <w:t>ly with the gambler</w:t>
      </w:r>
      <w:r w:rsidR="0090000B" w:rsidRPr="00190505">
        <w:rPr>
          <w:rFonts w:eastAsia="Times New Roman" w:cstheme="minorHAnsi"/>
          <w:color w:val="201F1E"/>
          <w:lang w:eastAsia="en-GB"/>
        </w:rPr>
        <w:t xml:space="preserve"> alone and </w:t>
      </w:r>
      <w:r w:rsidRPr="00190505">
        <w:rPr>
          <w:rFonts w:eastAsia="Times New Roman" w:cstheme="minorHAnsi"/>
          <w:color w:val="201F1E"/>
          <w:lang w:eastAsia="en-GB"/>
        </w:rPr>
        <w:t>potentially particularly</w:t>
      </w:r>
      <w:r w:rsidR="0090000B" w:rsidRPr="00190505">
        <w:rPr>
          <w:rFonts w:eastAsia="Times New Roman" w:cstheme="minorHAnsi"/>
          <w:color w:val="201F1E"/>
          <w:lang w:eastAsia="en-GB"/>
        </w:rPr>
        <w:t xml:space="preserve"> vulnerable without the support and </w:t>
      </w:r>
      <w:r w:rsidRPr="00190505">
        <w:rPr>
          <w:rFonts w:eastAsia="Times New Roman" w:cstheme="minorHAnsi"/>
          <w:color w:val="201F1E"/>
          <w:lang w:eastAsia="en-GB"/>
        </w:rPr>
        <w:t>check-ups</w:t>
      </w:r>
      <w:r w:rsidR="0090000B" w:rsidRPr="00190505">
        <w:rPr>
          <w:rFonts w:eastAsia="Times New Roman" w:cstheme="minorHAnsi"/>
          <w:color w:val="201F1E"/>
          <w:lang w:eastAsia="en-GB"/>
        </w:rPr>
        <w:t xml:space="preserve"> from fellow gamblers.</w:t>
      </w:r>
      <w:r w:rsidRPr="00190505">
        <w:rPr>
          <w:rFonts w:eastAsia="Times New Roman" w:cstheme="minorHAnsi"/>
          <w:color w:val="201F1E"/>
          <w:lang w:eastAsia="en-GB"/>
        </w:rPr>
        <w:t xml:space="preserve"> </w:t>
      </w:r>
      <w:r w:rsidR="0090000B" w:rsidRPr="00190505">
        <w:rPr>
          <w:rFonts w:eastAsia="Times New Roman" w:cstheme="minorHAnsi"/>
          <w:color w:val="201F1E"/>
          <w:lang w:eastAsia="en-GB"/>
        </w:rPr>
        <w:t>An individualised gambler does not have people around them to identify and offer support if gambling becomes excessive.</w:t>
      </w:r>
    </w:p>
    <w:p w14:paraId="56D88DE3" w14:textId="77777777"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p>
    <w:p w14:paraId="5550C3E4" w14:textId="7093326C" w:rsidR="00A36289"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The home in this way is the scene </w:t>
      </w:r>
      <w:r w:rsidR="00A36289" w:rsidRPr="00190505">
        <w:rPr>
          <w:rFonts w:eastAsia="Times New Roman" w:cstheme="minorHAnsi"/>
          <w:color w:val="201F1E"/>
          <w:lang w:eastAsia="en-GB"/>
        </w:rPr>
        <w:t>of</w:t>
      </w:r>
      <w:r w:rsidRPr="00190505">
        <w:rPr>
          <w:rFonts w:eastAsia="Times New Roman" w:cstheme="minorHAnsi"/>
          <w:color w:val="201F1E"/>
          <w:lang w:eastAsia="en-GB"/>
        </w:rPr>
        <w:t xml:space="preserve"> a potential </w:t>
      </w:r>
      <w:r w:rsidR="00A36289" w:rsidRPr="00190505">
        <w:rPr>
          <w:rFonts w:eastAsia="Times New Roman" w:cstheme="minorHAnsi"/>
          <w:color w:val="201F1E"/>
          <w:lang w:eastAsia="en-GB"/>
        </w:rPr>
        <w:t>danger</w:t>
      </w:r>
      <w:r w:rsidRPr="00190505">
        <w:rPr>
          <w:rFonts w:eastAsia="Times New Roman" w:cstheme="minorHAnsi"/>
          <w:color w:val="201F1E"/>
          <w:lang w:eastAsia="en-GB"/>
        </w:rPr>
        <w:t xml:space="preserve"> in terms of gambling practice.</w:t>
      </w:r>
      <w:r w:rsidR="00A36289" w:rsidRPr="00190505">
        <w:rPr>
          <w:rFonts w:eastAsia="Times New Roman" w:cstheme="minorHAnsi"/>
          <w:color w:val="201F1E"/>
          <w:lang w:eastAsia="en-GB"/>
        </w:rPr>
        <w:t xml:space="preserve"> However, it is probably too simplistic to suggest that gambling communities </w:t>
      </w:r>
      <w:r w:rsidR="00B32BCD">
        <w:rPr>
          <w:rFonts w:eastAsia="Times New Roman" w:cstheme="minorHAnsi"/>
          <w:color w:val="201F1E"/>
          <w:lang w:eastAsia="en-GB"/>
        </w:rPr>
        <w:t>never</w:t>
      </w:r>
      <w:r w:rsidR="00A36289" w:rsidRPr="00190505">
        <w:rPr>
          <w:rFonts w:eastAsia="Times New Roman" w:cstheme="minorHAnsi"/>
          <w:color w:val="201F1E"/>
          <w:lang w:eastAsia="en-GB"/>
        </w:rPr>
        <w:t xml:space="preserve"> exist within the home. </w:t>
      </w:r>
      <w:r w:rsidR="00A76B4B" w:rsidRPr="00190505">
        <w:rPr>
          <w:rFonts w:eastAsia="Times New Roman" w:cstheme="minorHAnsi"/>
          <w:color w:val="201F1E"/>
          <w:lang w:eastAsia="en-GB"/>
        </w:rPr>
        <w:t>It</w:t>
      </w:r>
      <w:r w:rsidR="00A36289" w:rsidRPr="00190505">
        <w:rPr>
          <w:rFonts w:eastAsia="Times New Roman" w:cstheme="minorHAnsi"/>
          <w:color w:val="201F1E"/>
          <w:lang w:eastAsia="en-GB"/>
        </w:rPr>
        <w:t xml:space="preserve"> is not entirely true that people who gamble at home alone and online are not part of any community. Increasingly online, social media communities are forming around gambling. There is also a relatively untapped possibility for online spaces, chat rooms, social media etc to offer protection against the development of gambling related harms.</w:t>
      </w:r>
    </w:p>
    <w:p w14:paraId="57280344" w14:textId="77777777"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p>
    <w:p w14:paraId="6A76A1E1" w14:textId="03EBA36C"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r w:rsidRPr="00190505">
        <w:rPr>
          <w:rFonts w:eastAsia="Times New Roman" w:cstheme="minorHAnsi"/>
          <w:color w:val="201F1E"/>
          <w:lang w:eastAsia="en-GB"/>
        </w:rPr>
        <w:t xml:space="preserve">One of the key findings of the gambling and </w:t>
      </w:r>
      <w:proofErr w:type="gramStart"/>
      <w:r w:rsidRPr="00190505">
        <w:rPr>
          <w:rFonts w:eastAsia="Times New Roman" w:cstheme="minorHAnsi"/>
          <w:color w:val="201F1E"/>
          <w:lang w:eastAsia="en-GB"/>
        </w:rPr>
        <w:t>households</w:t>
      </w:r>
      <w:proofErr w:type="gramEnd"/>
      <w:r w:rsidRPr="00190505">
        <w:rPr>
          <w:rFonts w:eastAsia="Times New Roman" w:cstheme="minorHAnsi"/>
          <w:color w:val="201F1E"/>
          <w:lang w:eastAsia="en-GB"/>
        </w:rPr>
        <w:t xml:space="preserve"> study was that </w:t>
      </w:r>
      <w:r w:rsidR="00414C24" w:rsidRPr="00190505">
        <w:rPr>
          <w:rFonts w:eastAsia="Times New Roman" w:cstheme="minorHAnsi"/>
          <w:color w:val="201F1E"/>
          <w:lang w:eastAsia="en-GB"/>
        </w:rPr>
        <w:t>women often</w:t>
      </w:r>
      <w:r w:rsidRPr="00190505">
        <w:rPr>
          <w:rFonts w:eastAsia="Times New Roman" w:cstheme="minorHAnsi"/>
          <w:color w:val="201F1E"/>
          <w:lang w:eastAsia="en-GB"/>
        </w:rPr>
        <w:t xml:space="preserve"> described </w:t>
      </w:r>
      <w:r w:rsidR="00414C24" w:rsidRPr="00190505">
        <w:rPr>
          <w:rFonts w:eastAsia="Times New Roman" w:cstheme="minorHAnsi"/>
          <w:color w:val="201F1E"/>
          <w:lang w:eastAsia="en-GB"/>
        </w:rPr>
        <w:t xml:space="preserve">how they felt constrained to the home owing to responsibilities to family and others. This meant that </w:t>
      </w:r>
      <w:r w:rsidRPr="00190505">
        <w:rPr>
          <w:rFonts w:eastAsia="Times New Roman" w:cstheme="minorHAnsi"/>
          <w:color w:val="201F1E"/>
          <w:lang w:eastAsia="en-GB"/>
        </w:rPr>
        <w:t xml:space="preserve">most of their social </w:t>
      </w:r>
      <w:r w:rsidR="00414C24" w:rsidRPr="00190505">
        <w:rPr>
          <w:rFonts w:eastAsia="Times New Roman" w:cstheme="minorHAnsi"/>
          <w:color w:val="201F1E"/>
          <w:lang w:eastAsia="en-GB"/>
        </w:rPr>
        <w:t xml:space="preserve">and leisure </w:t>
      </w:r>
      <w:r w:rsidRPr="00190505">
        <w:rPr>
          <w:rFonts w:eastAsia="Times New Roman" w:cstheme="minorHAnsi"/>
          <w:color w:val="201F1E"/>
          <w:lang w:eastAsia="en-GB"/>
        </w:rPr>
        <w:t>activities</w:t>
      </w:r>
      <w:r w:rsidR="00414C24" w:rsidRPr="00190505">
        <w:rPr>
          <w:rFonts w:eastAsia="Times New Roman" w:cstheme="minorHAnsi"/>
          <w:color w:val="201F1E"/>
          <w:lang w:eastAsia="en-GB"/>
        </w:rPr>
        <w:t xml:space="preserve"> also became predominantly domestic and home-based. This ties with a plethora of research which has found that women’s leisure activities have often been curtailed in a different way to men’s because of their increased roles and responsibilities to the family and domestic sphere </w:t>
      </w:r>
      <w:r w:rsidR="00A76B4B" w:rsidRPr="00190505">
        <w:rPr>
          <w:rFonts w:eastAsia="Times New Roman" w:cstheme="minorHAnsi"/>
          <w:color w:val="201F1E"/>
          <w:lang w:eastAsia="en-GB"/>
        </w:rPr>
        <w:t>and</w:t>
      </w:r>
      <w:r w:rsidR="00414C24" w:rsidRPr="00190505">
        <w:rPr>
          <w:rFonts w:eastAsia="Times New Roman" w:cstheme="minorHAnsi"/>
          <w:color w:val="201F1E"/>
          <w:lang w:eastAsia="en-GB"/>
        </w:rPr>
        <w:t xml:space="preserve"> to do with issues around feeling unsafe in public places</w:t>
      </w:r>
      <w:r w:rsidR="00D933DF">
        <w:rPr>
          <w:rFonts w:eastAsia="Times New Roman" w:cstheme="minorHAnsi"/>
          <w:color w:val="201F1E"/>
          <w:lang w:eastAsia="en-GB"/>
        </w:rPr>
        <w:t xml:space="preserve"> (for example, </w:t>
      </w:r>
      <w:r w:rsidR="00352F22">
        <w:rPr>
          <w:rFonts w:eastAsia="Times New Roman" w:cstheme="minorHAnsi"/>
          <w:color w:val="201F1E"/>
          <w:lang w:eastAsia="en-GB"/>
        </w:rPr>
        <w:t>Green, He</w:t>
      </w:r>
      <w:r w:rsidR="00CA4824">
        <w:rPr>
          <w:rFonts w:eastAsia="Times New Roman" w:cstheme="minorHAnsi"/>
          <w:color w:val="201F1E"/>
          <w:lang w:eastAsia="en-GB"/>
        </w:rPr>
        <w:t>b</w:t>
      </w:r>
      <w:r w:rsidR="00352F22">
        <w:rPr>
          <w:rFonts w:eastAsia="Times New Roman" w:cstheme="minorHAnsi"/>
          <w:color w:val="201F1E"/>
          <w:lang w:eastAsia="en-GB"/>
        </w:rPr>
        <w:t>ron and Woodward, 19</w:t>
      </w:r>
      <w:r w:rsidR="00CA4824">
        <w:rPr>
          <w:rFonts w:eastAsia="Times New Roman" w:cstheme="minorHAnsi"/>
          <w:color w:val="201F1E"/>
          <w:lang w:eastAsia="en-GB"/>
        </w:rPr>
        <w:t>87</w:t>
      </w:r>
      <w:r w:rsidR="00352F22">
        <w:rPr>
          <w:rFonts w:eastAsia="Times New Roman" w:cstheme="minorHAnsi"/>
          <w:color w:val="201F1E"/>
          <w:lang w:eastAsia="en-GB"/>
        </w:rPr>
        <w:t>; Wimbush and Talbot, 1988)</w:t>
      </w:r>
      <w:r w:rsidR="00414C24" w:rsidRPr="00190505">
        <w:rPr>
          <w:rFonts w:eastAsia="Times New Roman" w:cstheme="minorHAnsi"/>
          <w:color w:val="201F1E"/>
          <w:lang w:eastAsia="en-GB"/>
        </w:rPr>
        <w:t>. Women have also long found creative ways of utilising the domestic sphere for their leisure activities. This inc</w:t>
      </w:r>
      <w:r w:rsidR="00B32BCD">
        <w:rPr>
          <w:rFonts w:eastAsia="Times New Roman" w:cstheme="minorHAnsi"/>
          <w:color w:val="201F1E"/>
          <w:lang w:eastAsia="en-GB"/>
        </w:rPr>
        <w:t>l</w:t>
      </w:r>
      <w:r w:rsidR="00414C24" w:rsidRPr="00190505">
        <w:rPr>
          <w:rFonts w:eastAsia="Times New Roman" w:cstheme="minorHAnsi"/>
          <w:color w:val="201F1E"/>
          <w:lang w:eastAsia="en-GB"/>
        </w:rPr>
        <w:t>udes g</w:t>
      </w:r>
      <w:r w:rsidRPr="00190505">
        <w:rPr>
          <w:rFonts w:eastAsia="Times New Roman" w:cstheme="minorHAnsi"/>
          <w:color w:val="201F1E"/>
          <w:lang w:eastAsia="en-GB"/>
        </w:rPr>
        <w:t xml:space="preserve">ambling </w:t>
      </w:r>
      <w:r w:rsidR="00414C24" w:rsidRPr="00190505">
        <w:rPr>
          <w:rFonts w:eastAsia="Times New Roman" w:cstheme="minorHAnsi"/>
          <w:color w:val="201F1E"/>
          <w:lang w:eastAsia="en-GB"/>
        </w:rPr>
        <w:t xml:space="preserve">within domestic spaces whereby women seek spaces and communities which facilitate a sense of belonging. </w:t>
      </w:r>
      <w:r w:rsidRPr="00190505">
        <w:rPr>
          <w:rFonts w:eastAsia="Times New Roman" w:cstheme="minorHAnsi"/>
          <w:color w:val="201F1E"/>
          <w:lang w:eastAsia="en-GB"/>
        </w:rPr>
        <w:t xml:space="preserve">Often gambling was described as a way of accessing communities, feeling part of </w:t>
      </w:r>
      <w:r w:rsidR="00A76B4B" w:rsidRPr="00190505">
        <w:rPr>
          <w:rFonts w:eastAsia="Times New Roman" w:cstheme="minorHAnsi"/>
          <w:color w:val="201F1E"/>
          <w:lang w:eastAsia="en-GB"/>
        </w:rPr>
        <w:t>something,</w:t>
      </w:r>
      <w:r w:rsidRPr="00190505">
        <w:rPr>
          <w:rFonts w:eastAsia="Times New Roman" w:cstheme="minorHAnsi"/>
          <w:color w:val="201F1E"/>
          <w:lang w:eastAsia="en-GB"/>
        </w:rPr>
        <w:t xml:space="preserve"> and feeling a sense of connection. In this sense </w:t>
      </w:r>
      <w:r w:rsidR="00414C24" w:rsidRPr="00190505">
        <w:rPr>
          <w:rFonts w:eastAsia="Times New Roman" w:cstheme="minorHAnsi"/>
          <w:color w:val="201F1E"/>
          <w:lang w:eastAsia="en-GB"/>
        </w:rPr>
        <w:t>the harms of gambling were exacerbated by its appeal as offering access to a type of ‘community’:</w:t>
      </w:r>
    </w:p>
    <w:p w14:paraId="642D285A" w14:textId="77777777"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p>
    <w:p w14:paraId="60F9EA3E" w14:textId="0ACF5207" w:rsidR="0090000B" w:rsidRPr="00190505" w:rsidRDefault="00414C24" w:rsidP="00190505">
      <w:pPr>
        <w:shd w:val="clear" w:color="auto" w:fill="FFFFFF"/>
        <w:spacing w:after="0" w:line="240" w:lineRule="auto"/>
        <w:ind w:left="720"/>
        <w:jc w:val="both"/>
        <w:textAlignment w:val="baseline"/>
        <w:rPr>
          <w:rFonts w:eastAsia="Times New Roman" w:cstheme="minorHAnsi"/>
          <w:color w:val="201F1E"/>
          <w:lang w:eastAsia="en-GB"/>
        </w:rPr>
      </w:pPr>
      <w:r w:rsidRPr="00190505">
        <w:rPr>
          <w:rFonts w:eastAsia="Times New Roman" w:cstheme="minorHAnsi"/>
          <w:color w:val="201F1E"/>
          <w:lang w:eastAsia="en-GB"/>
        </w:rPr>
        <w:t>“</w:t>
      </w:r>
      <w:r w:rsidR="0090000B" w:rsidRPr="00190505">
        <w:rPr>
          <w:rFonts w:eastAsia="Times New Roman" w:cstheme="minorHAnsi"/>
          <w:color w:val="201F1E"/>
          <w:lang w:eastAsia="en-GB"/>
        </w:rPr>
        <w:t xml:space="preserve">There was something I did a few times which was sort of gambling… That used to be a programme on TV late at night in which viewers could phone in… I was not really expecting to win but I did it just for fun… There was a feeling of joining in with other people… There was a kind of friendly atmosphere… It was </w:t>
      </w:r>
      <w:proofErr w:type="gramStart"/>
      <w:r w:rsidR="0090000B" w:rsidRPr="00190505">
        <w:rPr>
          <w:rFonts w:eastAsia="Times New Roman" w:cstheme="minorHAnsi"/>
          <w:color w:val="201F1E"/>
          <w:lang w:eastAsia="en-GB"/>
        </w:rPr>
        <w:t>fairly harmless</w:t>
      </w:r>
      <w:proofErr w:type="gramEnd"/>
      <w:r w:rsidR="0090000B" w:rsidRPr="00190505">
        <w:rPr>
          <w:rFonts w:eastAsia="Times New Roman" w:cstheme="minorHAnsi"/>
          <w:color w:val="201F1E"/>
          <w:lang w:eastAsia="en-GB"/>
        </w:rPr>
        <w:t>, but I knew I should not really have done it.</w:t>
      </w:r>
      <w:r w:rsidRPr="00190505">
        <w:rPr>
          <w:rFonts w:eastAsia="Times New Roman" w:cstheme="minorHAnsi"/>
          <w:color w:val="201F1E"/>
          <w:lang w:eastAsia="en-GB"/>
        </w:rPr>
        <w:t xml:space="preserve"> </w:t>
      </w:r>
      <w:r w:rsidR="0090000B" w:rsidRPr="00190505">
        <w:rPr>
          <w:rFonts w:eastAsia="Times New Roman" w:cstheme="minorHAnsi"/>
          <w:color w:val="201F1E"/>
          <w:lang w:eastAsia="en-GB"/>
        </w:rPr>
        <w:t>I think perhaps the full sense of community the impression that the present it was a sort of friend, contributes to a feeling of joining in and belonging… And that was a big temptation to participate.</w:t>
      </w:r>
      <w:r w:rsidRPr="00190505">
        <w:rPr>
          <w:rFonts w:eastAsia="Times New Roman" w:cstheme="minorHAnsi"/>
          <w:color w:val="201F1E"/>
          <w:lang w:eastAsia="en-GB"/>
        </w:rPr>
        <w:t>”</w:t>
      </w:r>
    </w:p>
    <w:p w14:paraId="6E9C2875" w14:textId="0B4B25B7" w:rsidR="0090000B" w:rsidRPr="00190505" w:rsidRDefault="0090000B" w:rsidP="00190505">
      <w:pPr>
        <w:shd w:val="clear" w:color="auto" w:fill="FFFFFF"/>
        <w:spacing w:after="0" w:line="240" w:lineRule="auto"/>
        <w:jc w:val="both"/>
        <w:textAlignment w:val="baseline"/>
        <w:rPr>
          <w:rFonts w:eastAsia="Times New Roman" w:cstheme="minorHAnsi"/>
          <w:color w:val="201F1E"/>
          <w:lang w:eastAsia="en-GB"/>
        </w:rPr>
      </w:pPr>
    </w:p>
    <w:p w14:paraId="77C90BD5" w14:textId="2C4315B6" w:rsidR="0090000B" w:rsidRPr="00190505" w:rsidRDefault="00414C24" w:rsidP="37AE04A3">
      <w:pPr>
        <w:shd w:val="clear" w:color="auto" w:fill="FFFFFF" w:themeFill="background1"/>
        <w:spacing w:after="0" w:line="240" w:lineRule="auto"/>
        <w:jc w:val="both"/>
        <w:textAlignment w:val="baseline"/>
        <w:rPr>
          <w:rFonts w:eastAsia="Times New Roman"/>
          <w:color w:val="201F1E"/>
          <w:lang w:eastAsia="en-GB"/>
        </w:rPr>
      </w:pPr>
      <w:r w:rsidRPr="37AE04A3">
        <w:rPr>
          <w:rFonts w:eastAsia="Times New Roman"/>
          <w:color w:val="201F1E"/>
          <w:lang w:eastAsia="en-GB"/>
        </w:rPr>
        <w:t xml:space="preserve">It is easy to see how during the recent </w:t>
      </w:r>
      <w:r w:rsidR="00E5049E" w:rsidRPr="37AE04A3">
        <w:rPr>
          <w:rFonts w:eastAsia="Times New Roman"/>
          <w:color w:val="201F1E"/>
          <w:lang w:eastAsia="en-GB"/>
        </w:rPr>
        <w:t>C</w:t>
      </w:r>
      <w:r w:rsidRPr="37AE04A3">
        <w:rPr>
          <w:rFonts w:eastAsia="Times New Roman"/>
          <w:color w:val="201F1E"/>
          <w:lang w:eastAsia="en-GB"/>
        </w:rPr>
        <w:t>ovid_19 lockdown, the lure of online gambling and the promise of a ‘community’ that will help to alleviate loneliness might have been particularly acute.</w:t>
      </w:r>
      <w:r w:rsidR="00A76B4B" w:rsidRPr="37AE04A3">
        <w:rPr>
          <w:rFonts w:eastAsia="Times New Roman"/>
          <w:color w:val="201F1E"/>
          <w:lang w:eastAsia="en-GB"/>
        </w:rPr>
        <w:t xml:space="preserve"> </w:t>
      </w:r>
      <w:r w:rsidR="0090000B" w:rsidRPr="37AE04A3">
        <w:rPr>
          <w:rFonts w:eastAsia="Times New Roman"/>
          <w:color w:val="201F1E"/>
          <w:lang w:eastAsia="en-GB"/>
        </w:rPr>
        <w:t>The sense of seeking out</w:t>
      </w:r>
      <w:r w:rsidRPr="37AE04A3">
        <w:rPr>
          <w:rFonts w:eastAsia="Times New Roman"/>
          <w:color w:val="201F1E"/>
          <w:lang w:eastAsia="en-GB"/>
        </w:rPr>
        <w:t xml:space="preserve"> f</w:t>
      </w:r>
      <w:r w:rsidR="0090000B" w:rsidRPr="37AE04A3">
        <w:rPr>
          <w:rFonts w:eastAsia="Times New Roman"/>
          <w:color w:val="201F1E"/>
          <w:lang w:eastAsia="en-GB"/>
        </w:rPr>
        <w:t>riendship</w:t>
      </w:r>
      <w:r w:rsidRPr="37AE04A3">
        <w:rPr>
          <w:rFonts w:eastAsia="Times New Roman"/>
          <w:color w:val="201F1E"/>
          <w:lang w:eastAsia="en-GB"/>
        </w:rPr>
        <w:t>,</w:t>
      </w:r>
      <w:r w:rsidR="0090000B" w:rsidRPr="37AE04A3">
        <w:rPr>
          <w:rFonts w:eastAsia="Times New Roman"/>
          <w:color w:val="201F1E"/>
          <w:lang w:eastAsia="en-GB"/>
        </w:rPr>
        <w:t xml:space="preserve"> community and a feeling of belonging was clear and helps us to understand some of the</w:t>
      </w:r>
      <w:r w:rsidR="00A76B4B" w:rsidRPr="37AE04A3">
        <w:rPr>
          <w:rFonts w:eastAsia="Times New Roman"/>
          <w:color w:val="201F1E"/>
          <w:lang w:eastAsia="en-GB"/>
        </w:rPr>
        <w:t xml:space="preserve"> associated</w:t>
      </w:r>
      <w:r w:rsidR="0090000B" w:rsidRPr="37AE04A3">
        <w:rPr>
          <w:rFonts w:eastAsia="Times New Roman"/>
          <w:color w:val="201F1E"/>
          <w:lang w:eastAsia="en-GB"/>
        </w:rPr>
        <w:t xml:space="preserve"> gambling related harms</w:t>
      </w:r>
      <w:r w:rsidR="00A76B4B" w:rsidRPr="37AE04A3">
        <w:rPr>
          <w:rFonts w:eastAsia="Times New Roman"/>
          <w:color w:val="201F1E"/>
          <w:lang w:eastAsia="en-GB"/>
        </w:rPr>
        <w:t>.</w:t>
      </w:r>
      <w:r w:rsidR="00853513">
        <w:rPr>
          <w:rFonts w:eastAsia="Times New Roman"/>
          <w:color w:val="201F1E"/>
          <w:lang w:eastAsia="en-GB"/>
        </w:rPr>
        <w:t xml:space="preserve"> During times of crisis</w:t>
      </w:r>
      <w:r w:rsidR="00505E53">
        <w:rPr>
          <w:rFonts w:eastAsia="Times New Roman"/>
          <w:color w:val="201F1E"/>
          <w:lang w:eastAsia="en-GB"/>
        </w:rPr>
        <w:t xml:space="preserve"> and flux</w:t>
      </w:r>
      <w:r w:rsidR="00853513">
        <w:rPr>
          <w:rFonts w:eastAsia="Times New Roman"/>
          <w:color w:val="201F1E"/>
          <w:lang w:eastAsia="en-GB"/>
        </w:rPr>
        <w:t xml:space="preserve">, especially </w:t>
      </w:r>
      <w:r w:rsidR="00505E53">
        <w:rPr>
          <w:rFonts w:eastAsia="Times New Roman"/>
          <w:color w:val="201F1E"/>
          <w:lang w:eastAsia="en-GB"/>
        </w:rPr>
        <w:t xml:space="preserve">during </w:t>
      </w:r>
      <w:r w:rsidR="00853513">
        <w:rPr>
          <w:rFonts w:eastAsia="Times New Roman"/>
          <w:color w:val="201F1E"/>
          <w:lang w:eastAsia="en-GB"/>
        </w:rPr>
        <w:t>the Covid_19 lockdown</w:t>
      </w:r>
      <w:r w:rsidR="00505E53">
        <w:rPr>
          <w:rFonts w:eastAsia="Times New Roman"/>
          <w:color w:val="201F1E"/>
          <w:lang w:eastAsia="en-GB"/>
        </w:rPr>
        <w:t>,</w:t>
      </w:r>
      <w:r w:rsidR="00853513">
        <w:rPr>
          <w:rFonts w:eastAsia="Times New Roman"/>
          <w:color w:val="201F1E"/>
          <w:lang w:eastAsia="en-GB"/>
        </w:rPr>
        <w:t xml:space="preserve"> </w:t>
      </w:r>
      <w:r w:rsidR="00505E53">
        <w:rPr>
          <w:rFonts w:eastAsia="Times New Roman"/>
          <w:color w:val="201F1E"/>
          <w:lang w:eastAsia="en-GB"/>
        </w:rPr>
        <w:t>gambling offers a</w:t>
      </w:r>
      <w:r w:rsidR="00853513">
        <w:rPr>
          <w:rFonts w:eastAsia="Times New Roman"/>
          <w:color w:val="201F1E"/>
          <w:lang w:eastAsia="en-GB"/>
        </w:rPr>
        <w:t xml:space="preserve"> form of daydream, cheap pleasure-seeking thrills and boredom </w:t>
      </w:r>
      <w:r w:rsidR="00853513">
        <w:rPr>
          <w:rFonts w:eastAsia="Times New Roman"/>
          <w:color w:val="201F1E"/>
          <w:lang w:eastAsia="en-GB"/>
        </w:rPr>
        <w:lastRenderedPageBreak/>
        <w:t>relief</w:t>
      </w:r>
      <w:r w:rsidR="00505E53">
        <w:rPr>
          <w:rFonts w:eastAsia="Times New Roman"/>
          <w:color w:val="201F1E"/>
          <w:lang w:eastAsia="en-GB"/>
        </w:rPr>
        <w:t>. As my research shows, gambling within domestic settings offers more than simply the prospect of material gain.</w:t>
      </w:r>
    </w:p>
    <w:p w14:paraId="0EB85511" w14:textId="5968C974" w:rsidR="00A36289" w:rsidRPr="00190505" w:rsidRDefault="00A36289" w:rsidP="00190505">
      <w:pPr>
        <w:jc w:val="both"/>
        <w:rPr>
          <w:rFonts w:cstheme="minorHAnsi"/>
        </w:rPr>
      </w:pPr>
    </w:p>
    <w:p w14:paraId="5675391A" w14:textId="1F4713E8" w:rsidR="00A36289" w:rsidRPr="00A76B4B" w:rsidRDefault="00A36289" w:rsidP="00F762E8">
      <w:pPr>
        <w:jc w:val="both"/>
        <w:rPr>
          <w:rFonts w:cstheme="minorHAnsi"/>
          <w:b/>
          <w:bCs/>
        </w:rPr>
      </w:pPr>
      <w:r w:rsidRPr="00190505">
        <w:rPr>
          <w:rFonts w:cstheme="minorHAnsi"/>
          <w:b/>
          <w:bCs/>
        </w:rPr>
        <w:t>Conclusion</w:t>
      </w:r>
    </w:p>
    <w:p w14:paraId="3E0F6CCF" w14:textId="5044BCEA" w:rsidR="00C81AA0" w:rsidRPr="00C81AA0" w:rsidRDefault="00C81AA0" w:rsidP="00F762E8">
      <w:pPr>
        <w:spacing w:after="0" w:line="240" w:lineRule="auto"/>
        <w:jc w:val="both"/>
        <w:textAlignment w:val="baseline"/>
        <w:rPr>
          <w:rFonts w:eastAsia="Times New Roman" w:cstheme="minorHAnsi"/>
          <w:lang w:eastAsia="en-GB"/>
        </w:rPr>
      </w:pPr>
      <w:r w:rsidRPr="00C81AA0">
        <w:rPr>
          <w:rFonts w:eastAsia="Times New Roman" w:cstheme="minorHAnsi"/>
          <w:lang w:eastAsia="en-GB"/>
        </w:rPr>
        <w:t xml:space="preserve">This </w:t>
      </w:r>
      <w:r w:rsidR="001E04CF">
        <w:rPr>
          <w:rFonts w:eastAsia="Times New Roman" w:cstheme="minorHAnsi"/>
          <w:lang w:eastAsia="en-GB"/>
        </w:rPr>
        <w:t>chapter</w:t>
      </w:r>
      <w:r w:rsidRPr="00C81AA0">
        <w:rPr>
          <w:rFonts w:eastAsia="Times New Roman" w:cstheme="minorHAnsi"/>
          <w:lang w:eastAsia="en-GB"/>
        </w:rPr>
        <w:t xml:space="preserve"> adds to a body of current literature which has identified the domestic as space for the creation and reproduction of social harms. It is rare to find social science research which examines the home and domestic as site for gambling practice</w:t>
      </w:r>
      <w:r w:rsidR="00505E53">
        <w:rPr>
          <w:rFonts w:eastAsia="Times New Roman" w:cstheme="minorHAnsi"/>
          <w:lang w:eastAsia="en-GB"/>
        </w:rPr>
        <w:t xml:space="preserve">. As </w:t>
      </w:r>
      <w:r w:rsidRPr="00C81AA0">
        <w:rPr>
          <w:rFonts w:eastAsia="Times New Roman" w:cstheme="minorHAnsi"/>
          <w:lang w:eastAsia="en-GB"/>
        </w:rPr>
        <w:t xml:space="preserve">this </w:t>
      </w:r>
      <w:r w:rsidR="001E04CF">
        <w:rPr>
          <w:rFonts w:eastAsia="Times New Roman" w:cstheme="minorHAnsi"/>
          <w:lang w:eastAsia="en-GB"/>
        </w:rPr>
        <w:t>chapter</w:t>
      </w:r>
      <w:r w:rsidRPr="00C81AA0">
        <w:rPr>
          <w:rFonts w:eastAsia="Times New Roman" w:cstheme="minorHAnsi"/>
          <w:lang w:eastAsia="en-GB"/>
        </w:rPr>
        <w:t xml:space="preserve"> has demonstrated</w:t>
      </w:r>
      <w:r w:rsidR="001E04CF">
        <w:rPr>
          <w:rFonts w:eastAsia="Times New Roman" w:cstheme="minorHAnsi"/>
          <w:lang w:eastAsia="en-GB"/>
        </w:rPr>
        <w:t>,</w:t>
      </w:r>
      <w:r w:rsidRPr="00C81AA0">
        <w:rPr>
          <w:rFonts w:eastAsia="Times New Roman" w:cstheme="minorHAnsi"/>
          <w:lang w:eastAsia="en-GB"/>
        </w:rPr>
        <w:t xml:space="preserve"> this is an oversight which has </w:t>
      </w:r>
      <w:r w:rsidR="007312E9">
        <w:rPr>
          <w:rFonts w:eastAsia="Times New Roman" w:cstheme="minorHAnsi"/>
          <w:lang w:eastAsia="en-GB"/>
        </w:rPr>
        <w:t xml:space="preserve">a </w:t>
      </w:r>
      <w:r w:rsidRPr="00C81AA0">
        <w:rPr>
          <w:rFonts w:eastAsia="Times New Roman" w:cstheme="minorHAnsi"/>
          <w:lang w:eastAsia="en-GB"/>
        </w:rPr>
        <w:t>potentially damaging impact on the development of meaningful social policies and interventions</w:t>
      </w:r>
      <w:r w:rsidR="00505E53">
        <w:rPr>
          <w:rFonts w:eastAsia="Times New Roman" w:cstheme="minorHAnsi"/>
          <w:lang w:eastAsia="en-GB"/>
        </w:rPr>
        <w:t>. Such policies would potentially</w:t>
      </w:r>
      <w:r w:rsidRPr="00C81AA0">
        <w:rPr>
          <w:rFonts w:eastAsia="Times New Roman" w:cstheme="minorHAnsi"/>
          <w:lang w:eastAsia="en-GB"/>
        </w:rPr>
        <w:t xml:space="preserve"> </w:t>
      </w:r>
      <w:r w:rsidR="00505E53">
        <w:rPr>
          <w:rFonts w:eastAsia="Times New Roman" w:cstheme="minorHAnsi"/>
          <w:lang w:eastAsia="en-GB"/>
        </w:rPr>
        <w:t>offer</w:t>
      </w:r>
      <w:r w:rsidRPr="00C81AA0">
        <w:rPr>
          <w:rFonts w:eastAsia="Times New Roman" w:cstheme="minorHAnsi"/>
          <w:lang w:eastAsia="en-GB"/>
        </w:rPr>
        <w:t xml:space="preserve"> direct</w:t>
      </w:r>
      <w:r w:rsidR="00505E53">
        <w:rPr>
          <w:rFonts w:eastAsia="Times New Roman" w:cstheme="minorHAnsi"/>
          <w:lang w:eastAsia="en-GB"/>
        </w:rPr>
        <w:t>, targeted</w:t>
      </w:r>
      <w:r w:rsidRPr="00C81AA0">
        <w:rPr>
          <w:rFonts w:eastAsia="Times New Roman" w:cstheme="minorHAnsi"/>
          <w:lang w:eastAsia="en-GB"/>
        </w:rPr>
        <w:t xml:space="preserve"> support </w:t>
      </w:r>
      <w:r w:rsidR="00505E53">
        <w:rPr>
          <w:rFonts w:eastAsia="Times New Roman" w:cstheme="minorHAnsi"/>
          <w:lang w:eastAsia="en-GB"/>
        </w:rPr>
        <w:t>to gamblers</w:t>
      </w:r>
      <w:r w:rsidRPr="00C81AA0">
        <w:rPr>
          <w:rFonts w:eastAsia="Times New Roman" w:cstheme="minorHAnsi"/>
          <w:lang w:eastAsia="en-GB"/>
        </w:rPr>
        <w:t>, particularly women, whose gambling takes place predominantly at home, in domestic spaces</w:t>
      </w:r>
      <w:r w:rsidR="001E04CF">
        <w:rPr>
          <w:rFonts w:eastAsia="Times New Roman" w:cstheme="minorHAnsi"/>
          <w:lang w:eastAsia="en-GB"/>
        </w:rPr>
        <w:t xml:space="preserve"> </w:t>
      </w:r>
      <w:r w:rsidR="00505E53">
        <w:rPr>
          <w:rFonts w:eastAsia="Times New Roman" w:cstheme="minorHAnsi"/>
          <w:lang w:eastAsia="en-GB"/>
        </w:rPr>
        <w:t xml:space="preserve">and </w:t>
      </w:r>
      <w:r w:rsidRPr="00C81AA0">
        <w:rPr>
          <w:rFonts w:eastAsia="Times New Roman" w:cstheme="minorHAnsi"/>
          <w:lang w:eastAsia="en-GB"/>
        </w:rPr>
        <w:t>behind close</w:t>
      </w:r>
      <w:r w:rsidR="007312E9">
        <w:rPr>
          <w:rFonts w:eastAsia="Times New Roman" w:cstheme="minorHAnsi"/>
          <w:lang w:eastAsia="en-GB"/>
        </w:rPr>
        <w:t>d</w:t>
      </w:r>
      <w:r w:rsidRPr="00C81AA0">
        <w:rPr>
          <w:rFonts w:eastAsia="Times New Roman" w:cstheme="minorHAnsi"/>
          <w:lang w:eastAsia="en-GB"/>
        </w:rPr>
        <w:t xml:space="preserve"> doors.</w:t>
      </w:r>
    </w:p>
    <w:p w14:paraId="70CE2633" w14:textId="77777777" w:rsidR="00C81AA0" w:rsidRPr="00C81AA0" w:rsidRDefault="00C81AA0" w:rsidP="00F762E8">
      <w:pPr>
        <w:spacing w:after="0" w:line="240" w:lineRule="auto"/>
        <w:jc w:val="both"/>
        <w:textAlignment w:val="baseline"/>
        <w:rPr>
          <w:rFonts w:eastAsia="Times New Roman" w:cstheme="minorHAnsi"/>
          <w:lang w:eastAsia="en-GB"/>
        </w:rPr>
      </w:pPr>
    </w:p>
    <w:p w14:paraId="2F9C6D09" w14:textId="7810301A" w:rsidR="00C81AA0" w:rsidRPr="00C81AA0" w:rsidRDefault="00C81AA0" w:rsidP="00F762E8">
      <w:pPr>
        <w:spacing w:after="0" w:line="240" w:lineRule="auto"/>
        <w:jc w:val="both"/>
        <w:textAlignment w:val="baseline"/>
        <w:rPr>
          <w:rFonts w:eastAsia="Times New Roman" w:cstheme="minorHAnsi"/>
          <w:lang w:eastAsia="en-GB"/>
        </w:rPr>
      </w:pPr>
      <w:r w:rsidRPr="00C81AA0">
        <w:rPr>
          <w:rFonts w:eastAsia="Times New Roman" w:cstheme="minorHAnsi"/>
          <w:lang w:eastAsia="en-GB"/>
        </w:rPr>
        <w:t xml:space="preserve">By offering an overview of current gambling research and feminist scholarship, the </w:t>
      </w:r>
      <w:r w:rsidR="001E04CF">
        <w:rPr>
          <w:rFonts w:eastAsia="Times New Roman" w:cstheme="minorHAnsi"/>
          <w:lang w:eastAsia="en-GB"/>
        </w:rPr>
        <w:t>chapter has</w:t>
      </w:r>
      <w:r w:rsidRPr="00C81AA0">
        <w:rPr>
          <w:rFonts w:eastAsia="Times New Roman" w:cstheme="minorHAnsi"/>
          <w:lang w:eastAsia="en-GB"/>
        </w:rPr>
        <w:t xml:space="preserve"> </w:t>
      </w:r>
      <w:r w:rsidR="001E04CF">
        <w:rPr>
          <w:rFonts w:eastAsia="Times New Roman" w:cstheme="minorHAnsi"/>
          <w:lang w:eastAsia="en-GB"/>
        </w:rPr>
        <w:t>identified</w:t>
      </w:r>
      <w:r w:rsidRPr="00C81AA0">
        <w:rPr>
          <w:rFonts w:eastAsia="Times New Roman" w:cstheme="minorHAnsi"/>
          <w:lang w:eastAsia="en-GB"/>
        </w:rPr>
        <w:t xml:space="preserve"> the home as </w:t>
      </w:r>
      <w:r w:rsidR="002B7DBB">
        <w:rPr>
          <w:rFonts w:eastAsia="Times New Roman" w:cstheme="minorHAnsi"/>
          <w:lang w:eastAsia="en-GB"/>
        </w:rPr>
        <w:t xml:space="preserve">the </w:t>
      </w:r>
      <w:r w:rsidRPr="00C81AA0">
        <w:rPr>
          <w:rFonts w:eastAsia="Times New Roman" w:cstheme="minorHAnsi"/>
          <w:lang w:eastAsia="en-GB"/>
        </w:rPr>
        <w:t>location for a very particular set of experiences and motivations of gambling.</w:t>
      </w:r>
      <w:r w:rsidR="001E04CF">
        <w:rPr>
          <w:rFonts w:eastAsia="Times New Roman" w:cstheme="minorHAnsi"/>
          <w:lang w:eastAsia="en-GB"/>
        </w:rPr>
        <w:t xml:space="preserve"> </w:t>
      </w:r>
      <w:r w:rsidRPr="00C81AA0">
        <w:rPr>
          <w:rFonts w:eastAsia="Times New Roman" w:cstheme="minorHAnsi"/>
          <w:lang w:eastAsia="en-GB"/>
        </w:rPr>
        <w:t xml:space="preserve">It </w:t>
      </w:r>
      <w:r w:rsidR="001E04CF">
        <w:rPr>
          <w:rFonts w:eastAsia="Times New Roman" w:cstheme="minorHAnsi"/>
          <w:lang w:eastAsia="en-GB"/>
        </w:rPr>
        <w:t>has shown</w:t>
      </w:r>
      <w:r w:rsidRPr="00C81AA0">
        <w:rPr>
          <w:rFonts w:eastAsia="Times New Roman" w:cstheme="minorHAnsi"/>
          <w:lang w:eastAsia="en-GB"/>
        </w:rPr>
        <w:t xml:space="preserve"> how during the Covid pandemic and “lockdown</w:t>
      </w:r>
      <w:r w:rsidR="001E04CF">
        <w:rPr>
          <w:rFonts w:eastAsia="Times New Roman" w:cstheme="minorHAnsi"/>
          <w:lang w:eastAsia="en-GB"/>
        </w:rPr>
        <w:t>”</w:t>
      </w:r>
      <w:r w:rsidRPr="00C81AA0">
        <w:rPr>
          <w:rFonts w:eastAsia="Times New Roman" w:cstheme="minorHAnsi"/>
          <w:lang w:eastAsia="en-GB"/>
        </w:rPr>
        <w:t xml:space="preserve">, this has been thrown into stark relief with </w:t>
      </w:r>
      <w:r w:rsidR="001E04CF">
        <w:rPr>
          <w:rFonts w:eastAsia="Times New Roman" w:cstheme="minorHAnsi"/>
          <w:lang w:eastAsia="en-GB"/>
        </w:rPr>
        <w:t>t</w:t>
      </w:r>
      <w:r w:rsidRPr="00C81AA0">
        <w:rPr>
          <w:rFonts w:eastAsia="Times New Roman" w:cstheme="minorHAnsi"/>
          <w:lang w:eastAsia="en-GB"/>
        </w:rPr>
        <w:t>he development and entrenchment of at home gambling practices, in particular online gambling practices and processes of gambling that intersect with women’s broader experiences of domestic life.</w:t>
      </w:r>
    </w:p>
    <w:p w14:paraId="1F0FCB83" w14:textId="77777777" w:rsidR="00C81AA0" w:rsidRPr="00C81AA0" w:rsidRDefault="00C81AA0" w:rsidP="00F762E8">
      <w:pPr>
        <w:spacing w:after="0" w:line="240" w:lineRule="auto"/>
        <w:jc w:val="both"/>
        <w:textAlignment w:val="baseline"/>
        <w:rPr>
          <w:rFonts w:eastAsia="Times New Roman" w:cstheme="minorHAnsi"/>
          <w:lang w:eastAsia="en-GB"/>
        </w:rPr>
      </w:pPr>
    </w:p>
    <w:p w14:paraId="39A39687" w14:textId="6A2DC570" w:rsidR="00C81AA0" w:rsidRPr="00C81AA0" w:rsidRDefault="00C81AA0" w:rsidP="00F762E8">
      <w:pPr>
        <w:spacing w:after="0" w:line="240" w:lineRule="auto"/>
        <w:jc w:val="both"/>
        <w:textAlignment w:val="baseline"/>
        <w:rPr>
          <w:rFonts w:eastAsia="Times New Roman" w:cstheme="minorHAnsi"/>
          <w:lang w:eastAsia="en-GB"/>
        </w:rPr>
      </w:pPr>
      <w:r w:rsidRPr="00C81AA0">
        <w:rPr>
          <w:rFonts w:eastAsia="Times New Roman" w:cstheme="minorHAnsi"/>
          <w:lang w:eastAsia="en-GB"/>
        </w:rPr>
        <w:t xml:space="preserve">The </w:t>
      </w:r>
      <w:r w:rsidR="001E04CF">
        <w:rPr>
          <w:rFonts w:eastAsia="Times New Roman" w:cstheme="minorHAnsi"/>
          <w:lang w:eastAsia="en-GB"/>
        </w:rPr>
        <w:t>chapter</w:t>
      </w:r>
      <w:r w:rsidRPr="00C81AA0">
        <w:rPr>
          <w:rFonts w:eastAsia="Times New Roman" w:cstheme="minorHAnsi"/>
          <w:lang w:eastAsia="en-GB"/>
        </w:rPr>
        <w:t xml:space="preserve"> shows firstly, how for women, gambling is often a last-ditch attempt to add to the family and household income and protect the financial well-being of the family.</w:t>
      </w:r>
      <w:r w:rsidR="001E04CF">
        <w:rPr>
          <w:rFonts w:eastAsia="Times New Roman" w:cstheme="minorHAnsi"/>
          <w:lang w:eastAsia="en-GB"/>
        </w:rPr>
        <w:t xml:space="preserve"> </w:t>
      </w:r>
      <w:r w:rsidRPr="00C81AA0">
        <w:rPr>
          <w:rFonts w:eastAsia="Times New Roman" w:cstheme="minorHAnsi"/>
          <w:lang w:eastAsia="en-GB"/>
        </w:rPr>
        <w:t>Gambling is thus often a response to wider problems of austerity and poverty and pre</w:t>
      </w:r>
      <w:r w:rsidR="001E04CF">
        <w:rPr>
          <w:rFonts w:eastAsia="Times New Roman" w:cstheme="minorHAnsi"/>
          <w:lang w:eastAsia="en-GB"/>
        </w:rPr>
        <w:t>carity</w:t>
      </w:r>
      <w:r w:rsidRPr="00C81AA0">
        <w:rPr>
          <w:rFonts w:eastAsia="Times New Roman" w:cstheme="minorHAnsi"/>
          <w:lang w:eastAsia="en-GB"/>
        </w:rPr>
        <w:t xml:space="preserve">, which women have </w:t>
      </w:r>
      <w:r w:rsidR="001E04CF">
        <w:rPr>
          <w:rFonts w:eastAsia="Times New Roman" w:cstheme="minorHAnsi"/>
          <w:lang w:eastAsia="en-GB"/>
        </w:rPr>
        <w:t>frequently</w:t>
      </w:r>
      <w:r w:rsidRPr="00C81AA0">
        <w:rPr>
          <w:rFonts w:eastAsia="Times New Roman" w:cstheme="minorHAnsi"/>
          <w:lang w:eastAsia="en-GB"/>
        </w:rPr>
        <w:t xml:space="preserve"> borne the brunt of. This </w:t>
      </w:r>
      <w:r w:rsidR="001E04CF">
        <w:rPr>
          <w:rFonts w:eastAsia="Times New Roman" w:cstheme="minorHAnsi"/>
          <w:lang w:eastAsia="en-GB"/>
        </w:rPr>
        <w:t>chapter</w:t>
      </w:r>
      <w:r w:rsidRPr="00C81AA0">
        <w:rPr>
          <w:rFonts w:eastAsia="Times New Roman" w:cstheme="minorHAnsi"/>
          <w:lang w:eastAsia="en-GB"/>
        </w:rPr>
        <w:t xml:space="preserve"> also shows how gambling is often framed within discourses of moral and ethical critique which are often in direct contrast to normative assumptions around “respectable” </w:t>
      </w:r>
      <w:r w:rsidR="001E04CF">
        <w:rPr>
          <w:rFonts w:eastAsia="Times New Roman" w:cstheme="minorHAnsi"/>
          <w:lang w:eastAsia="en-GB"/>
        </w:rPr>
        <w:t>f</w:t>
      </w:r>
      <w:r w:rsidRPr="00C81AA0">
        <w:rPr>
          <w:rFonts w:eastAsia="Times New Roman" w:cstheme="minorHAnsi"/>
          <w:lang w:eastAsia="en-GB"/>
        </w:rPr>
        <w:t>eminine identity practices, particularly motherhood. As a highly stigmatised activity</w:t>
      </w:r>
      <w:r w:rsidR="001E04CF">
        <w:rPr>
          <w:rFonts w:eastAsia="Times New Roman" w:cstheme="minorHAnsi"/>
          <w:lang w:eastAsia="en-GB"/>
        </w:rPr>
        <w:t>,</w:t>
      </w:r>
      <w:r w:rsidRPr="00C81AA0">
        <w:rPr>
          <w:rFonts w:eastAsia="Times New Roman" w:cstheme="minorHAnsi"/>
          <w:lang w:eastAsia="en-GB"/>
        </w:rPr>
        <w:t xml:space="preserve"> gambling flies in the face of the usual expectations of women as creators of calm and order and purveyors of a happy and secure family home.</w:t>
      </w:r>
      <w:r w:rsidR="001E04CF">
        <w:rPr>
          <w:rFonts w:eastAsia="Times New Roman" w:cstheme="minorHAnsi"/>
          <w:lang w:eastAsia="en-GB"/>
        </w:rPr>
        <w:t xml:space="preserve"> </w:t>
      </w:r>
      <w:r w:rsidRPr="00C81AA0">
        <w:rPr>
          <w:rFonts w:eastAsia="Times New Roman" w:cstheme="minorHAnsi"/>
          <w:lang w:eastAsia="en-GB"/>
        </w:rPr>
        <w:t xml:space="preserve">The </w:t>
      </w:r>
      <w:r w:rsidR="001E04CF">
        <w:rPr>
          <w:rFonts w:eastAsia="Times New Roman" w:cstheme="minorHAnsi"/>
          <w:lang w:eastAsia="en-GB"/>
        </w:rPr>
        <w:t>chapter</w:t>
      </w:r>
      <w:r w:rsidRPr="00C81AA0">
        <w:rPr>
          <w:rFonts w:eastAsia="Times New Roman" w:cstheme="minorHAnsi"/>
          <w:lang w:eastAsia="en-GB"/>
        </w:rPr>
        <w:t xml:space="preserve"> shows how the women gamblers of this study sought to negotiate their gambling practices in a way which also maintained feminine norms by </w:t>
      </w:r>
      <w:r w:rsidR="001E04CF">
        <w:rPr>
          <w:rFonts w:eastAsia="Times New Roman" w:cstheme="minorHAnsi"/>
          <w:lang w:eastAsia="en-GB"/>
        </w:rPr>
        <w:t>s</w:t>
      </w:r>
      <w:r w:rsidRPr="00C81AA0">
        <w:rPr>
          <w:rFonts w:eastAsia="Times New Roman" w:cstheme="minorHAnsi"/>
          <w:lang w:eastAsia="en-GB"/>
        </w:rPr>
        <w:t>eeking to actively protect the family from gambling related harms.</w:t>
      </w:r>
    </w:p>
    <w:p w14:paraId="53D27A9B" w14:textId="77777777" w:rsidR="00C81AA0" w:rsidRPr="00C81AA0" w:rsidRDefault="00C81AA0" w:rsidP="00F762E8">
      <w:pPr>
        <w:spacing w:after="0" w:line="240" w:lineRule="auto"/>
        <w:jc w:val="both"/>
        <w:textAlignment w:val="baseline"/>
        <w:rPr>
          <w:rFonts w:eastAsia="Times New Roman" w:cstheme="minorHAnsi"/>
          <w:lang w:eastAsia="en-GB"/>
        </w:rPr>
      </w:pPr>
    </w:p>
    <w:p w14:paraId="0E512671" w14:textId="20124025" w:rsidR="00C81AA0" w:rsidRPr="00C81AA0" w:rsidRDefault="00C81AA0" w:rsidP="00F762E8">
      <w:pPr>
        <w:spacing w:after="0" w:line="240" w:lineRule="auto"/>
        <w:jc w:val="both"/>
        <w:textAlignment w:val="baseline"/>
        <w:rPr>
          <w:rFonts w:eastAsia="Times New Roman" w:cstheme="minorHAnsi"/>
          <w:lang w:eastAsia="en-GB"/>
        </w:rPr>
      </w:pPr>
      <w:r w:rsidRPr="00C81AA0">
        <w:rPr>
          <w:rFonts w:eastAsia="Times New Roman" w:cstheme="minorHAnsi"/>
          <w:lang w:eastAsia="en-GB"/>
        </w:rPr>
        <w:t xml:space="preserve">Finally, the </w:t>
      </w:r>
      <w:r w:rsidR="002B7DBB">
        <w:rPr>
          <w:rFonts w:eastAsia="Times New Roman" w:cstheme="minorHAnsi"/>
          <w:lang w:eastAsia="en-GB"/>
        </w:rPr>
        <w:t>chapter</w:t>
      </w:r>
      <w:r w:rsidR="00CC43D8">
        <w:rPr>
          <w:rFonts w:eastAsia="Times New Roman" w:cstheme="minorHAnsi"/>
          <w:lang w:eastAsia="en-GB"/>
        </w:rPr>
        <w:t xml:space="preserve"> </w:t>
      </w:r>
      <w:r w:rsidRPr="00C81AA0">
        <w:rPr>
          <w:rFonts w:eastAsia="Times New Roman" w:cstheme="minorHAnsi"/>
          <w:lang w:eastAsia="en-GB"/>
        </w:rPr>
        <w:t xml:space="preserve">offers new insights into the notion of (communities) at home. Counter to general assumptions that networks and communities tend to evolve outside the home, this paper demonstrates how increasingly communities can be found within domestic spaces. In the case of gambling, it also shows how </w:t>
      </w:r>
      <w:r w:rsidR="00F762E8" w:rsidRPr="00C81AA0">
        <w:rPr>
          <w:rFonts w:eastAsia="Times New Roman" w:cstheme="minorHAnsi"/>
          <w:lang w:eastAsia="en-GB"/>
        </w:rPr>
        <w:t>communities,</w:t>
      </w:r>
      <w:r w:rsidRPr="00C81AA0">
        <w:rPr>
          <w:rFonts w:eastAsia="Times New Roman" w:cstheme="minorHAnsi"/>
          <w:lang w:eastAsia="en-GB"/>
        </w:rPr>
        <w:t xml:space="preserve"> and a feeling of belonging are often used as a way of luring people into gambling </w:t>
      </w:r>
      <w:r w:rsidR="001E04CF">
        <w:rPr>
          <w:rFonts w:eastAsia="Times New Roman" w:cstheme="minorHAnsi"/>
          <w:lang w:eastAsia="en-GB"/>
        </w:rPr>
        <w:t>b</w:t>
      </w:r>
      <w:r w:rsidRPr="00C81AA0">
        <w:rPr>
          <w:rFonts w:eastAsia="Times New Roman" w:cstheme="minorHAnsi"/>
          <w:lang w:eastAsia="en-GB"/>
        </w:rPr>
        <w:t xml:space="preserve">y tapping into feelings of loneliness and isolation. </w:t>
      </w:r>
      <w:r w:rsidR="00F762E8" w:rsidRPr="00C81AA0">
        <w:rPr>
          <w:rFonts w:eastAsia="Times New Roman" w:cstheme="minorHAnsi"/>
          <w:lang w:eastAsia="en-GB"/>
        </w:rPr>
        <w:t>However,</w:t>
      </w:r>
      <w:r w:rsidRPr="00C81AA0">
        <w:rPr>
          <w:rFonts w:eastAsia="Times New Roman" w:cstheme="minorHAnsi"/>
          <w:lang w:eastAsia="en-GB"/>
        </w:rPr>
        <w:t xml:space="preserve"> the </w:t>
      </w:r>
      <w:r w:rsidR="001E04CF">
        <w:rPr>
          <w:rFonts w:eastAsia="Times New Roman" w:cstheme="minorHAnsi"/>
          <w:lang w:eastAsia="en-GB"/>
        </w:rPr>
        <w:t>chapter</w:t>
      </w:r>
      <w:r w:rsidRPr="00C81AA0">
        <w:rPr>
          <w:rFonts w:eastAsia="Times New Roman" w:cstheme="minorHAnsi"/>
          <w:lang w:eastAsia="en-GB"/>
        </w:rPr>
        <w:t xml:space="preserve"> also suggests that there is potential for the emergence of new communities of support for gamblers that might help to mitigate gambling related harms, particularly for example </w:t>
      </w:r>
      <w:proofErr w:type="gramStart"/>
      <w:r w:rsidRPr="00C81AA0">
        <w:rPr>
          <w:rFonts w:eastAsia="Times New Roman" w:cstheme="minorHAnsi"/>
          <w:lang w:eastAsia="en-GB"/>
        </w:rPr>
        <w:t>through the use of</w:t>
      </w:r>
      <w:proofErr w:type="gramEnd"/>
      <w:r w:rsidRPr="00C81AA0">
        <w:rPr>
          <w:rFonts w:eastAsia="Times New Roman" w:cstheme="minorHAnsi"/>
          <w:lang w:eastAsia="en-GB"/>
        </w:rPr>
        <w:t xml:space="preserve"> social media.</w:t>
      </w:r>
    </w:p>
    <w:p w14:paraId="46607286" w14:textId="22F25732" w:rsidR="00406732" w:rsidRPr="00B65638" w:rsidRDefault="00406732" w:rsidP="00F762E8">
      <w:pPr>
        <w:shd w:val="clear" w:color="auto" w:fill="FFFFFF"/>
        <w:spacing w:after="0" w:line="240" w:lineRule="auto"/>
        <w:jc w:val="both"/>
        <w:textAlignment w:val="baseline"/>
        <w:rPr>
          <w:rFonts w:eastAsia="Times New Roman" w:cstheme="minorHAnsi"/>
          <w:color w:val="201F1E"/>
          <w:lang w:eastAsia="en-GB"/>
        </w:rPr>
      </w:pPr>
    </w:p>
    <w:p w14:paraId="67970740" w14:textId="35D84933" w:rsidR="001E04CF" w:rsidRPr="00B65638" w:rsidRDefault="00B65638" w:rsidP="00406732">
      <w:pPr>
        <w:shd w:val="clear" w:color="auto" w:fill="FFFFFF"/>
        <w:spacing w:after="0" w:line="240" w:lineRule="auto"/>
        <w:jc w:val="both"/>
        <w:textAlignment w:val="baseline"/>
        <w:rPr>
          <w:rFonts w:eastAsia="Times New Roman" w:cstheme="minorHAnsi"/>
          <w:b/>
          <w:bCs/>
          <w:color w:val="201F1E"/>
          <w:lang w:eastAsia="en-GB"/>
        </w:rPr>
      </w:pPr>
      <w:r w:rsidRPr="00B65638">
        <w:rPr>
          <w:rFonts w:eastAsia="Times New Roman" w:cstheme="minorHAnsi"/>
          <w:b/>
          <w:bCs/>
          <w:color w:val="201F1E"/>
          <w:lang w:eastAsia="en-GB"/>
        </w:rPr>
        <w:t>Funding</w:t>
      </w:r>
    </w:p>
    <w:p w14:paraId="0882292D" w14:textId="4D4DA8C6" w:rsidR="00B65638" w:rsidRPr="00B65638" w:rsidRDefault="00B65638" w:rsidP="00B65638">
      <w:pPr>
        <w:spacing w:before="100" w:beforeAutospacing="1" w:after="100" w:afterAutospacing="1" w:line="240" w:lineRule="auto"/>
        <w:rPr>
          <w:rFonts w:eastAsia="Times New Roman" w:cstheme="minorHAnsi"/>
          <w:lang w:eastAsia="en-GB"/>
        </w:rPr>
      </w:pPr>
      <w:r w:rsidRPr="00B65638">
        <w:rPr>
          <w:rFonts w:eastAsia="Times New Roman" w:cstheme="minorHAnsi"/>
          <w:lang w:eastAsia="en-GB"/>
        </w:rPr>
        <w:t>The research was funded by the Economic and Social Research Council (</w:t>
      </w:r>
      <w:r w:rsidRPr="00B65638">
        <w:rPr>
          <w:rFonts w:eastAsia="Times New Roman" w:cstheme="minorHAnsi"/>
          <w:i/>
          <w:iCs/>
          <w:lang w:eastAsia="en-GB"/>
        </w:rPr>
        <w:t>Gambling and Households: New Gambling Directive at Mass Observation Archive</w:t>
      </w:r>
      <w:r w:rsidRPr="00B65638">
        <w:rPr>
          <w:rFonts w:eastAsia="Times New Roman" w:cstheme="minorHAnsi"/>
          <w:lang w:eastAsia="en-GB"/>
        </w:rPr>
        <w:t xml:space="preserve">, RES-000-22-4314). </w:t>
      </w:r>
    </w:p>
    <w:p w14:paraId="3F62B47E" w14:textId="77777777" w:rsidR="00B65638" w:rsidRPr="00B65638" w:rsidRDefault="00B65638" w:rsidP="00406732">
      <w:pPr>
        <w:shd w:val="clear" w:color="auto" w:fill="FFFFFF"/>
        <w:spacing w:after="0" w:line="240" w:lineRule="auto"/>
        <w:jc w:val="both"/>
        <w:textAlignment w:val="baseline"/>
        <w:rPr>
          <w:rFonts w:eastAsia="Times New Roman" w:cstheme="minorHAnsi"/>
          <w:color w:val="201F1E"/>
          <w:lang w:eastAsia="en-GB"/>
        </w:rPr>
      </w:pPr>
    </w:p>
    <w:p w14:paraId="7E2E1AF4" w14:textId="58947433" w:rsidR="00E5049E" w:rsidRPr="00B65638" w:rsidRDefault="00406732" w:rsidP="00001EE3">
      <w:pPr>
        <w:spacing w:after="0" w:line="240" w:lineRule="auto"/>
        <w:jc w:val="both"/>
        <w:rPr>
          <w:rFonts w:cstheme="minorHAnsi"/>
          <w:b/>
          <w:bCs/>
        </w:rPr>
      </w:pPr>
      <w:r w:rsidRPr="00B65638">
        <w:rPr>
          <w:rFonts w:cstheme="minorHAnsi"/>
          <w:b/>
          <w:bCs/>
        </w:rPr>
        <w:t>References</w:t>
      </w:r>
    </w:p>
    <w:p w14:paraId="523AB16D" w14:textId="77777777" w:rsidR="00001EE3" w:rsidRPr="00C81AA0" w:rsidRDefault="00001EE3" w:rsidP="00001EE3">
      <w:pPr>
        <w:spacing w:after="0" w:line="240" w:lineRule="auto"/>
        <w:jc w:val="both"/>
        <w:rPr>
          <w:rFonts w:cstheme="minorHAnsi"/>
          <w:b/>
          <w:bCs/>
        </w:rPr>
      </w:pPr>
    </w:p>
    <w:p w14:paraId="636DA46D" w14:textId="02547F7C" w:rsidR="00406732" w:rsidRDefault="00406732" w:rsidP="00001EE3">
      <w:pPr>
        <w:spacing w:after="0" w:line="240" w:lineRule="auto"/>
        <w:rPr>
          <w:rFonts w:cstheme="minorHAnsi"/>
        </w:rPr>
      </w:pPr>
      <w:r w:rsidRPr="00C81AA0">
        <w:rPr>
          <w:rFonts w:cstheme="minorHAnsi"/>
        </w:rPr>
        <w:t xml:space="preserve">Bell, F. (1911) </w:t>
      </w:r>
      <w:r w:rsidRPr="00C81AA0">
        <w:rPr>
          <w:rFonts w:cstheme="minorHAnsi"/>
          <w:i/>
          <w:iCs/>
        </w:rPr>
        <w:t xml:space="preserve">At </w:t>
      </w:r>
      <w:proofErr w:type="gramStart"/>
      <w:r w:rsidRPr="00C81AA0">
        <w:rPr>
          <w:rFonts w:cstheme="minorHAnsi"/>
          <w:i/>
          <w:iCs/>
        </w:rPr>
        <w:t>The</w:t>
      </w:r>
      <w:proofErr w:type="gramEnd"/>
      <w:r w:rsidRPr="00C81AA0">
        <w:rPr>
          <w:rFonts w:cstheme="minorHAnsi"/>
          <w:i/>
          <w:iCs/>
        </w:rPr>
        <w:t xml:space="preserve"> Works: A Study of a Manufacturing Town</w:t>
      </w:r>
      <w:r w:rsidRPr="00C81AA0">
        <w:rPr>
          <w:rFonts w:cstheme="minorHAnsi"/>
        </w:rPr>
        <w:t xml:space="preserve"> London: Thomas Nelson &amp; Sons.</w:t>
      </w:r>
    </w:p>
    <w:p w14:paraId="7EAB6A9F" w14:textId="2B186400" w:rsidR="007F4D1E" w:rsidRDefault="007F4D1E" w:rsidP="00001EE3">
      <w:pPr>
        <w:spacing w:after="0" w:line="240" w:lineRule="auto"/>
        <w:rPr>
          <w:rFonts w:cstheme="minorHAnsi"/>
        </w:rPr>
      </w:pPr>
    </w:p>
    <w:p w14:paraId="302CE99B" w14:textId="6A287410" w:rsidR="007F4D1E" w:rsidRPr="007F4D1E" w:rsidRDefault="007F4D1E" w:rsidP="007F4D1E">
      <w:pPr>
        <w:spacing w:after="0" w:line="240" w:lineRule="auto"/>
        <w:rPr>
          <w:rFonts w:ascii="Times New Roman" w:eastAsia="Times New Roman" w:hAnsi="Times New Roman" w:cs="Times New Roman"/>
          <w:sz w:val="24"/>
          <w:szCs w:val="24"/>
          <w:lang w:eastAsia="en-GB"/>
        </w:rPr>
      </w:pPr>
      <w:r w:rsidRPr="000B5602">
        <w:rPr>
          <w:rFonts w:ascii="Arial" w:eastAsia="Times New Roman" w:hAnsi="Arial" w:cs="Arial"/>
          <w:color w:val="5F6368"/>
          <w:sz w:val="21"/>
          <w:szCs w:val="21"/>
          <w:shd w:val="clear" w:color="auto" w:fill="FFFFFF"/>
          <w:lang w:eastAsia="en-GB"/>
        </w:rPr>
        <w:lastRenderedPageBreak/>
        <w:t>Budd</w:t>
      </w:r>
      <w:r w:rsidRPr="0016170D">
        <w:rPr>
          <w:rFonts w:ascii="Arial" w:eastAsia="Times New Roman" w:hAnsi="Arial" w:cs="Arial"/>
          <w:color w:val="4D5156"/>
          <w:sz w:val="21"/>
          <w:szCs w:val="21"/>
          <w:shd w:val="clear" w:color="auto" w:fill="FFFFFF"/>
          <w:lang w:eastAsia="en-GB"/>
        </w:rPr>
        <w:t>, A., </w:t>
      </w:r>
      <w:r w:rsidRPr="000B5602">
        <w:rPr>
          <w:rFonts w:ascii="Arial" w:eastAsia="Times New Roman" w:hAnsi="Arial" w:cs="Arial"/>
          <w:color w:val="5F6368"/>
          <w:sz w:val="21"/>
          <w:szCs w:val="21"/>
          <w:shd w:val="clear" w:color="auto" w:fill="FFFFFF"/>
          <w:lang w:eastAsia="en-GB"/>
        </w:rPr>
        <w:t>Bishop</w:t>
      </w:r>
      <w:r w:rsidRPr="0016170D">
        <w:rPr>
          <w:rFonts w:ascii="Arial" w:eastAsia="Times New Roman" w:hAnsi="Arial" w:cs="Arial"/>
          <w:color w:val="4D5156"/>
          <w:sz w:val="21"/>
          <w:szCs w:val="21"/>
          <w:shd w:val="clear" w:color="auto" w:fill="FFFFFF"/>
          <w:lang w:eastAsia="en-GB"/>
        </w:rPr>
        <w:t>, D., </w:t>
      </w:r>
      <w:r w:rsidRPr="000B5602">
        <w:rPr>
          <w:rFonts w:ascii="Arial" w:eastAsia="Times New Roman" w:hAnsi="Arial" w:cs="Arial"/>
          <w:color w:val="5F6368"/>
          <w:sz w:val="21"/>
          <w:szCs w:val="21"/>
          <w:shd w:val="clear" w:color="auto" w:fill="FFFFFF"/>
          <w:lang w:eastAsia="en-GB"/>
        </w:rPr>
        <w:t>Bose</w:t>
      </w:r>
      <w:r w:rsidRPr="0016170D">
        <w:rPr>
          <w:rFonts w:ascii="Arial" w:eastAsia="Times New Roman" w:hAnsi="Arial" w:cs="Arial"/>
          <w:color w:val="4D5156"/>
          <w:sz w:val="21"/>
          <w:szCs w:val="21"/>
          <w:shd w:val="clear" w:color="auto" w:fill="FFFFFF"/>
          <w:lang w:eastAsia="en-GB"/>
        </w:rPr>
        <w:t xml:space="preserve">, M., Dean, P., Gray, J., </w:t>
      </w:r>
      <w:proofErr w:type="spellStart"/>
      <w:r w:rsidRPr="0016170D">
        <w:rPr>
          <w:rFonts w:ascii="Arial" w:eastAsia="Times New Roman" w:hAnsi="Arial" w:cs="Arial"/>
          <w:color w:val="4D5156"/>
          <w:sz w:val="21"/>
          <w:szCs w:val="21"/>
          <w:shd w:val="clear" w:color="auto" w:fill="FFFFFF"/>
          <w:lang w:eastAsia="en-GB"/>
        </w:rPr>
        <w:t>Hoddinott</w:t>
      </w:r>
      <w:proofErr w:type="spellEnd"/>
      <w:r w:rsidRPr="0016170D">
        <w:rPr>
          <w:rFonts w:ascii="Arial" w:eastAsia="Times New Roman" w:hAnsi="Arial" w:cs="Arial"/>
          <w:color w:val="4D5156"/>
          <w:sz w:val="21"/>
          <w:szCs w:val="21"/>
          <w:shd w:val="clear" w:color="auto" w:fill="FFFFFF"/>
          <w:lang w:eastAsia="en-GB"/>
        </w:rPr>
        <w:t>, J., Marks, P., Nathan, S., Weekes, A. &amp; Wolfe, J. (</w:t>
      </w:r>
      <w:r w:rsidRPr="000B5602">
        <w:rPr>
          <w:rFonts w:ascii="Arial" w:eastAsia="Times New Roman" w:hAnsi="Arial" w:cs="Arial"/>
          <w:color w:val="5F6368"/>
          <w:sz w:val="21"/>
          <w:szCs w:val="21"/>
          <w:shd w:val="clear" w:color="auto" w:fill="FFFFFF"/>
          <w:lang w:eastAsia="en-GB"/>
        </w:rPr>
        <w:t>2001</w:t>
      </w:r>
      <w:r w:rsidRPr="0016170D">
        <w:rPr>
          <w:rFonts w:ascii="Arial" w:eastAsia="Times New Roman" w:hAnsi="Arial" w:cs="Arial"/>
          <w:color w:val="4D5156"/>
          <w:sz w:val="21"/>
          <w:szCs w:val="21"/>
          <w:shd w:val="clear" w:color="auto" w:fill="FFFFFF"/>
          <w:lang w:eastAsia="en-GB"/>
        </w:rPr>
        <w:t>),</w:t>
      </w:r>
      <w:r w:rsidRPr="007F4D1E">
        <w:rPr>
          <w:rFonts w:ascii="Arial" w:eastAsia="Times New Roman" w:hAnsi="Arial" w:cs="Arial"/>
          <w:color w:val="4D5156"/>
          <w:sz w:val="21"/>
          <w:szCs w:val="21"/>
          <w:shd w:val="clear" w:color="auto" w:fill="FFFFFF"/>
          <w:lang w:eastAsia="en-GB"/>
        </w:rPr>
        <w:t xml:space="preserve"> </w:t>
      </w:r>
      <w:r w:rsidRPr="000B5602">
        <w:rPr>
          <w:rFonts w:ascii="Arial" w:eastAsia="Times New Roman" w:hAnsi="Arial" w:cs="Arial"/>
          <w:i/>
          <w:iCs/>
          <w:color w:val="5F6368"/>
          <w:sz w:val="21"/>
          <w:szCs w:val="21"/>
          <w:shd w:val="clear" w:color="auto" w:fill="FFFFFF"/>
          <w:lang w:eastAsia="en-GB"/>
        </w:rPr>
        <w:t>Gambling Review Report</w:t>
      </w:r>
      <w:r w:rsidR="0016170D">
        <w:rPr>
          <w:rFonts w:ascii="Arial" w:eastAsia="Times New Roman" w:hAnsi="Arial" w:cs="Arial"/>
          <w:color w:val="4D5156"/>
          <w:sz w:val="21"/>
          <w:szCs w:val="21"/>
          <w:shd w:val="clear" w:color="auto" w:fill="FFFFFF"/>
          <w:lang w:eastAsia="en-GB"/>
        </w:rPr>
        <w:t xml:space="preserve"> London: HM Stationery Office</w:t>
      </w:r>
    </w:p>
    <w:p w14:paraId="61C12765" w14:textId="77777777" w:rsidR="007F4D1E" w:rsidRDefault="007F4D1E" w:rsidP="00001EE3">
      <w:pPr>
        <w:spacing w:after="0" w:line="240" w:lineRule="auto"/>
        <w:rPr>
          <w:rFonts w:cstheme="minorHAnsi"/>
        </w:rPr>
      </w:pPr>
    </w:p>
    <w:p w14:paraId="3F2892B4" w14:textId="77777777" w:rsidR="00001EE3" w:rsidRDefault="00001EE3" w:rsidP="00001EE3">
      <w:pPr>
        <w:spacing w:after="0" w:line="240" w:lineRule="auto"/>
        <w:rPr>
          <w:rFonts w:cstheme="minorHAnsi"/>
        </w:rPr>
      </w:pPr>
    </w:p>
    <w:p w14:paraId="6F6FCBAF" w14:textId="1290D032" w:rsidR="001E04CF" w:rsidRDefault="001E04CF" w:rsidP="00001EE3">
      <w:pPr>
        <w:spacing w:after="0" w:line="240" w:lineRule="auto"/>
        <w:rPr>
          <w:rFonts w:cstheme="minorHAnsi"/>
          <w:bCs/>
        </w:rPr>
      </w:pPr>
      <w:r w:rsidRPr="00C81AA0">
        <w:rPr>
          <w:rFonts w:cstheme="minorHAnsi"/>
        </w:rPr>
        <w:t xml:space="preserve">Casey E (2008) </w:t>
      </w:r>
      <w:r w:rsidRPr="00C81AA0">
        <w:rPr>
          <w:rFonts w:cstheme="minorHAnsi"/>
          <w:bCs/>
          <w:i/>
          <w:iCs/>
        </w:rPr>
        <w:t xml:space="preserve">Women, </w:t>
      </w:r>
      <w:proofErr w:type="gramStart"/>
      <w:r w:rsidRPr="00C81AA0">
        <w:rPr>
          <w:rFonts w:cstheme="minorHAnsi"/>
          <w:bCs/>
          <w:i/>
          <w:iCs/>
        </w:rPr>
        <w:t>Pleasure</w:t>
      </w:r>
      <w:proofErr w:type="gramEnd"/>
      <w:r w:rsidRPr="00C81AA0">
        <w:rPr>
          <w:rFonts w:cstheme="minorHAnsi"/>
          <w:bCs/>
          <w:i/>
          <w:iCs/>
        </w:rPr>
        <w:t xml:space="preserve"> and the Gambling Experience</w:t>
      </w:r>
      <w:r w:rsidRPr="00C81AA0">
        <w:rPr>
          <w:rFonts w:cstheme="minorHAnsi"/>
          <w:bCs/>
          <w:iCs/>
        </w:rPr>
        <w:t>.</w:t>
      </w:r>
      <w:r w:rsidRPr="00C81AA0">
        <w:rPr>
          <w:rFonts w:cstheme="minorHAnsi"/>
          <w:bCs/>
        </w:rPr>
        <w:t xml:space="preserve"> Hampshire: Ashgate.</w:t>
      </w:r>
    </w:p>
    <w:p w14:paraId="588FC89B" w14:textId="77777777" w:rsidR="00001EE3" w:rsidRPr="00C81AA0" w:rsidRDefault="00001EE3" w:rsidP="00001EE3">
      <w:pPr>
        <w:spacing w:after="0" w:line="240" w:lineRule="auto"/>
        <w:rPr>
          <w:rFonts w:cstheme="minorHAnsi"/>
          <w:bCs/>
        </w:rPr>
      </w:pPr>
    </w:p>
    <w:p w14:paraId="54E7E2B1" w14:textId="77777777" w:rsidR="006E0EDA" w:rsidRPr="006E0EDA" w:rsidRDefault="001E04CF" w:rsidP="00001EE3">
      <w:pPr>
        <w:pStyle w:val="Heading2"/>
        <w:keepLines w:val="0"/>
        <w:spacing w:before="0"/>
        <w:rPr>
          <w:rFonts w:asciiTheme="minorHAnsi" w:hAnsiTheme="minorHAnsi" w:cstheme="minorHAnsi"/>
          <w:color w:val="000000" w:themeColor="text1"/>
          <w:sz w:val="22"/>
          <w:szCs w:val="22"/>
        </w:rPr>
      </w:pPr>
      <w:r w:rsidRPr="00C81AA0">
        <w:rPr>
          <w:rFonts w:asciiTheme="minorHAnsi" w:hAnsiTheme="minorHAnsi" w:cstheme="minorHAnsi"/>
          <w:color w:val="auto"/>
          <w:sz w:val="22"/>
          <w:szCs w:val="22"/>
        </w:rPr>
        <w:t>Casey E (2014) ‘Mass Gambling’ from 1947 to 2011: Controversies and Pathologies.</w:t>
      </w:r>
      <w:r w:rsidRPr="00C81AA0">
        <w:rPr>
          <w:rFonts w:asciiTheme="minorHAnsi" w:hAnsiTheme="minorHAnsi" w:cstheme="minorHAnsi"/>
          <w:i/>
          <w:color w:val="auto"/>
          <w:sz w:val="22"/>
          <w:szCs w:val="22"/>
        </w:rPr>
        <w:t xml:space="preserve"> Sociological Research Online</w:t>
      </w:r>
      <w:r w:rsidRPr="00C81AA0">
        <w:rPr>
          <w:rFonts w:asciiTheme="minorHAnsi" w:hAnsiTheme="minorHAnsi" w:cstheme="minorHAnsi"/>
          <w:color w:val="auto"/>
          <w:sz w:val="22"/>
          <w:szCs w:val="22"/>
        </w:rPr>
        <w:t xml:space="preserve"> 19(3): 13.</w:t>
      </w:r>
    </w:p>
    <w:p w14:paraId="4B8A5D3D" w14:textId="77777777" w:rsidR="006E0EDA" w:rsidRPr="006E0EDA" w:rsidRDefault="006E0EDA" w:rsidP="00001EE3">
      <w:pPr>
        <w:pStyle w:val="Heading2"/>
        <w:keepLines w:val="0"/>
        <w:spacing w:before="0"/>
        <w:rPr>
          <w:rFonts w:asciiTheme="minorHAnsi" w:hAnsiTheme="minorHAnsi" w:cstheme="minorHAnsi"/>
          <w:color w:val="000000" w:themeColor="text1"/>
          <w:sz w:val="22"/>
          <w:szCs w:val="22"/>
        </w:rPr>
      </w:pPr>
    </w:p>
    <w:p w14:paraId="4DFEB549" w14:textId="035A82CD" w:rsidR="00001EE3" w:rsidRPr="00001EE3" w:rsidRDefault="006E0EDA" w:rsidP="00001EE3">
      <w:pPr>
        <w:pStyle w:val="Heading2"/>
        <w:keepLines w:val="0"/>
        <w:spacing w:before="0"/>
        <w:rPr>
          <w:rFonts w:asciiTheme="minorHAnsi" w:hAnsiTheme="minorHAnsi" w:cstheme="minorHAnsi"/>
          <w:color w:val="000000" w:themeColor="text1"/>
          <w:sz w:val="22"/>
          <w:szCs w:val="22"/>
        </w:rPr>
      </w:pPr>
      <w:r w:rsidRPr="006E0EDA">
        <w:rPr>
          <w:rFonts w:asciiTheme="minorHAnsi" w:hAnsiTheme="minorHAnsi" w:cstheme="minorHAnsi"/>
          <w:color w:val="000000" w:themeColor="text1"/>
          <w:sz w:val="22"/>
          <w:szCs w:val="22"/>
        </w:rPr>
        <w:t xml:space="preserve">Casey, E., Courage, F. &amp; Hubble, N. (2014) </w:t>
      </w:r>
      <w:r w:rsidR="0016170D">
        <w:rPr>
          <w:rFonts w:asciiTheme="minorHAnsi" w:hAnsiTheme="minorHAnsi" w:cstheme="minorHAnsi"/>
          <w:color w:val="000000" w:themeColor="text1"/>
          <w:sz w:val="22"/>
          <w:szCs w:val="22"/>
        </w:rPr>
        <w:t>‘</w:t>
      </w:r>
      <w:r w:rsidRPr="000B5602">
        <w:rPr>
          <w:rFonts w:asciiTheme="minorHAnsi" w:hAnsiTheme="minorHAnsi" w:cstheme="minorHAnsi"/>
          <w:color w:val="000000" w:themeColor="text1"/>
          <w:sz w:val="22"/>
          <w:szCs w:val="22"/>
        </w:rPr>
        <w:t>Special Section Introduction: Mass Observation as Method</w:t>
      </w:r>
      <w:r w:rsidR="0016170D">
        <w:rPr>
          <w:rFonts w:asciiTheme="minorHAnsi" w:hAnsiTheme="minorHAnsi" w:cstheme="minorHAnsi"/>
          <w:color w:val="000000" w:themeColor="text1"/>
          <w:sz w:val="22"/>
          <w:szCs w:val="22"/>
        </w:rPr>
        <w:t>’</w:t>
      </w:r>
      <w:r w:rsidRPr="006E0EDA">
        <w:rPr>
          <w:rFonts w:asciiTheme="minorHAnsi" w:hAnsiTheme="minorHAnsi" w:cstheme="minorHAnsi"/>
          <w:color w:val="000000" w:themeColor="text1"/>
          <w:sz w:val="22"/>
          <w:szCs w:val="22"/>
        </w:rPr>
        <w:t xml:space="preserve"> in </w:t>
      </w:r>
      <w:r w:rsidRPr="000B5602">
        <w:rPr>
          <w:rFonts w:asciiTheme="minorHAnsi" w:hAnsiTheme="minorHAnsi" w:cstheme="minorHAnsi"/>
          <w:i/>
          <w:iCs/>
          <w:color w:val="000000" w:themeColor="text1"/>
          <w:sz w:val="22"/>
          <w:szCs w:val="22"/>
        </w:rPr>
        <w:t>Sociological Research Online</w:t>
      </w:r>
      <w:r w:rsidRPr="006E0EDA">
        <w:rPr>
          <w:rFonts w:asciiTheme="minorHAnsi" w:hAnsiTheme="minorHAnsi" w:cstheme="minorHAnsi"/>
          <w:color w:val="000000" w:themeColor="text1"/>
          <w:sz w:val="22"/>
          <w:szCs w:val="22"/>
        </w:rPr>
        <w:t>, Vol.19:3, pp.1-17</w:t>
      </w:r>
      <w:r w:rsidR="009C2EAE">
        <w:rPr>
          <w:rFonts w:asciiTheme="minorHAnsi" w:hAnsiTheme="minorHAnsi" w:cstheme="minorHAnsi"/>
          <w:color w:val="000000" w:themeColor="text1"/>
          <w:sz w:val="22"/>
          <w:szCs w:val="22"/>
        </w:rPr>
        <w:t>.</w:t>
      </w:r>
    </w:p>
    <w:p w14:paraId="34A1790C" w14:textId="77777777" w:rsidR="00001EE3" w:rsidRDefault="00001EE3" w:rsidP="00001EE3">
      <w:pPr>
        <w:pStyle w:val="NormalWeb"/>
        <w:spacing w:before="0" w:beforeAutospacing="0" w:after="0" w:afterAutospacing="0"/>
        <w:rPr>
          <w:rFonts w:asciiTheme="minorHAnsi" w:hAnsiTheme="minorHAnsi" w:cstheme="minorHAnsi"/>
          <w:color w:val="000000" w:themeColor="text1"/>
          <w:sz w:val="22"/>
          <w:szCs w:val="22"/>
          <w:lang w:val="en-US"/>
        </w:rPr>
      </w:pPr>
    </w:p>
    <w:p w14:paraId="1DB8427A" w14:textId="246014D2" w:rsidR="001E04CF" w:rsidRDefault="001E04CF" w:rsidP="00001EE3">
      <w:pPr>
        <w:pStyle w:val="NormalWeb"/>
        <w:spacing w:before="0" w:beforeAutospacing="0" w:after="0" w:afterAutospacing="0"/>
        <w:rPr>
          <w:rFonts w:asciiTheme="minorHAnsi" w:hAnsiTheme="minorHAnsi" w:cstheme="minorHAnsi"/>
          <w:sz w:val="22"/>
          <w:szCs w:val="22"/>
          <w:lang w:val="en-US"/>
        </w:rPr>
      </w:pPr>
      <w:r w:rsidRPr="006E0EDA">
        <w:rPr>
          <w:rFonts w:asciiTheme="minorHAnsi" w:hAnsiTheme="minorHAnsi" w:cstheme="minorHAnsi"/>
          <w:color w:val="000000" w:themeColor="text1"/>
          <w:sz w:val="22"/>
          <w:szCs w:val="22"/>
          <w:lang w:val="en-US"/>
        </w:rPr>
        <w:t xml:space="preserve">Casey, E. (2004). </w:t>
      </w:r>
      <w:r w:rsidR="0016170D">
        <w:rPr>
          <w:rFonts w:asciiTheme="minorHAnsi" w:hAnsiTheme="minorHAnsi" w:cstheme="minorHAnsi"/>
          <w:color w:val="000000" w:themeColor="text1"/>
          <w:sz w:val="22"/>
          <w:szCs w:val="22"/>
          <w:lang w:val="en-US"/>
        </w:rPr>
        <w:t>‘</w:t>
      </w:r>
      <w:r w:rsidRPr="006E0EDA">
        <w:rPr>
          <w:rFonts w:asciiTheme="minorHAnsi" w:hAnsiTheme="minorHAnsi" w:cstheme="minorHAnsi"/>
          <w:color w:val="000000" w:themeColor="text1"/>
          <w:sz w:val="22"/>
          <w:szCs w:val="22"/>
          <w:lang w:val="en-US"/>
        </w:rPr>
        <w:t>Metaphorical and Physical Leisure Spaces: Women, Pleasure and the UK National Lottery</w:t>
      </w:r>
      <w:r w:rsidR="0016170D">
        <w:rPr>
          <w:rFonts w:asciiTheme="minorHAnsi" w:hAnsiTheme="minorHAnsi" w:cstheme="minorHAnsi"/>
          <w:color w:val="000000" w:themeColor="text1"/>
          <w:sz w:val="22"/>
          <w:szCs w:val="22"/>
          <w:lang w:val="en-US"/>
        </w:rPr>
        <w:t>’</w:t>
      </w:r>
      <w:r w:rsidRPr="006E0EDA">
        <w:rPr>
          <w:rFonts w:asciiTheme="minorHAnsi" w:hAnsiTheme="minorHAnsi" w:cstheme="minorHAnsi"/>
          <w:color w:val="000000" w:themeColor="text1"/>
          <w:sz w:val="22"/>
          <w:szCs w:val="22"/>
          <w:lang w:val="en-US"/>
        </w:rPr>
        <w:t xml:space="preserve"> In C. Aitchison &amp; H. </w:t>
      </w:r>
      <w:proofErr w:type="spellStart"/>
      <w:r w:rsidRPr="006E0EDA">
        <w:rPr>
          <w:rFonts w:asciiTheme="minorHAnsi" w:hAnsiTheme="minorHAnsi" w:cstheme="minorHAnsi"/>
          <w:color w:val="000000" w:themeColor="text1"/>
          <w:sz w:val="22"/>
          <w:szCs w:val="22"/>
          <w:lang w:val="en-US"/>
        </w:rPr>
        <w:t>Pussard</w:t>
      </w:r>
      <w:proofErr w:type="spellEnd"/>
      <w:r w:rsidRPr="006E0EDA">
        <w:rPr>
          <w:rFonts w:asciiTheme="minorHAnsi" w:hAnsiTheme="minorHAnsi" w:cstheme="minorHAnsi"/>
          <w:color w:val="000000" w:themeColor="text1"/>
          <w:sz w:val="22"/>
          <w:szCs w:val="22"/>
          <w:lang w:val="en-US"/>
        </w:rPr>
        <w:t xml:space="preserve"> (Eds.), </w:t>
      </w:r>
      <w:r w:rsidRPr="006E0EDA">
        <w:rPr>
          <w:rFonts w:asciiTheme="minorHAnsi" w:hAnsiTheme="minorHAnsi" w:cstheme="minorHAnsi"/>
          <w:i/>
          <w:iCs/>
          <w:color w:val="000000" w:themeColor="text1"/>
          <w:sz w:val="22"/>
          <w:szCs w:val="22"/>
          <w:lang w:val="en-US"/>
        </w:rPr>
        <w:t xml:space="preserve">Space, </w:t>
      </w:r>
      <w:r w:rsidRPr="00C81AA0">
        <w:rPr>
          <w:rFonts w:asciiTheme="minorHAnsi" w:hAnsiTheme="minorHAnsi" w:cstheme="minorHAnsi"/>
          <w:i/>
          <w:iCs/>
          <w:sz w:val="22"/>
          <w:szCs w:val="22"/>
          <w:lang w:val="en-US"/>
        </w:rPr>
        <w:t>Leisure and Visual Culture</w:t>
      </w:r>
      <w:r w:rsidRPr="00C81AA0">
        <w:rPr>
          <w:rFonts w:asciiTheme="minorHAnsi" w:hAnsiTheme="minorHAnsi" w:cstheme="minorHAnsi"/>
          <w:sz w:val="22"/>
          <w:szCs w:val="22"/>
          <w:lang w:val="en-US"/>
        </w:rPr>
        <w:t>. Eastbourne: LSA</w:t>
      </w:r>
      <w:r w:rsidR="00720FF6">
        <w:rPr>
          <w:rFonts w:asciiTheme="minorHAnsi" w:hAnsiTheme="minorHAnsi" w:cstheme="minorHAnsi"/>
          <w:sz w:val="22"/>
          <w:szCs w:val="22"/>
          <w:lang w:val="en-US"/>
        </w:rPr>
        <w:t>.</w:t>
      </w:r>
    </w:p>
    <w:p w14:paraId="13889EE8" w14:textId="77777777" w:rsidR="00001EE3" w:rsidRPr="001E04CF" w:rsidRDefault="00001EE3" w:rsidP="00001EE3">
      <w:pPr>
        <w:pStyle w:val="NormalWeb"/>
        <w:spacing w:before="0" w:beforeAutospacing="0" w:after="0" w:afterAutospacing="0"/>
        <w:rPr>
          <w:rFonts w:asciiTheme="minorHAnsi" w:hAnsiTheme="minorHAnsi" w:cstheme="minorHAnsi"/>
          <w:sz w:val="22"/>
          <w:szCs w:val="22"/>
          <w:lang w:val="en-US"/>
        </w:rPr>
      </w:pPr>
    </w:p>
    <w:p w14:paraId="521F8182" w14:textId="767499B6" w:rsidR="001E04CF" w:rsidRDefault="001E04CF" w:rsidP="00001EE3">
      <w:pPr>
        <w:spacing w:after="0" w:line="240" w:lineRule="auto"/>
        <w:textAlignment w:val="baseline"/>
        <w:rPr>
          <w:rFonts w:cstheme="minorHAnsi"/>
        </w:rPr>
      </w:pPr>
      <w:r w:rsidRPr="00C81AA0">
        <w:rPr>
          <w:rFonts w:cstheme="minorHAnsi"/>
        </w:rPr>
        <w:t>Casey, E.</w:t>
      </w:r>
      <w:r w:rsidR="0016170D">
        <w:rPr>
          <w:rFonts w:cstheme="minorHAnsi"/>
        </w:rPr>
        <w:t xml:space="preserve"> </w:t>
      </w:r>
      <w:r w:rsidRPr="00C81AA0">
        <w:rPr>
          <w:rFonts w:cstheme="minorHAnsi"/>
        </w:rPr>
        <w:t xml:space="preserve">(2020) </w:t>
      </w:r>
      <w:r w:rsidR="0016170D">
        <w:rPr>
          <w:rFonts w:cstheme="minorHAnsi"/>
        </w:rPr>
        <w:t>‘</w:t>
      </w:r>
      <w:r w:rsidRPr="000B5602">
        <w:rPr>
          <w:rFonts w:cstheme="minorHAnsi"/>
        </w:rPr>
        <w:t>Gambling, Status Anxiety and Intergenerational Social Mobility: Findings from the Mass Observation Archive</w:t>
      </w:r>
      <w:r w:rsidR="0016170D">
        <w:rPr>
          <w:rFonts w:cstheme="minorHAnsi"/>
        </w:rPr>
        <w:t>’</w:t>
      </w:r>
      <w:r w:rsidRPr="00C81AA0">
        <w:rPr>
          <w:rFonts w:cstheme="minorHAnsi"/>
        </w:rPr>
        <w:t xml:space="preserve"> in </w:t>
      </w:r>
      <w:r w:rsidRPr="000B5602">
        <w:rPr>
          <w:rFonts w:cstheme="minorHAnsi"/>
          <w:i/>
          <w:iCs/>
        </w:rPr>
        <w:t>Sociology</w:t>
      </w:r>
      <w:r w:rsidRPr="00C81AA0">
        <w:rPr>
          <w:rFonts w:cstheme="minorHAnsi"/>
        </w:rPr>
        <w:t xml:space="preserve">, </w:t>
      </w:r>
      <w:r>
        <w:rPr>
          <w:rFonts w:cstheme="minorHAnsi"/>
        </w:rPr>
        <w:t>Vol</w:t>
      </w:r>
      <w:r w:rsidRPr="00C81AA0">
        <w:rPr>
          <w:rFonts w:cstheme="minorHAnsi"/>
        </w:rPr>
        <w:t>.54:2, pp.380-396</w:t>
      </w:r>
      <w:r w:rsidR="00720FF6">
        <w:rPr>
          <w:rFonts w:cstheme="minorHAnsi"/>
        </w:rPr>
        <w:t>.</w:t>
      </w:r>
    </w:p>
    <w:p w14:paraId="1FEFFFA1" w14:textId="77777777" w:rsidR="00001EE3" w:rsidRDefault="00001EE3" w:rsidP="00001EE3">
      <w:pPr>
        <w:spacing w:after="0" w:line="240" w:lineRule="auto"/>
        <w:textAlignment w:val="baseline"/>
        <w:rPr>
          <w:rFonts w:cstheme="minorHAnsi"/>
        </w:rPr>
      </w:pPr>
    </w:p>
    <w:p w14:paraId="1D9BB239" w14:textId="3071AC9B" w:rsidR="006E0EDA" w:rsidRDefault="006E0EDA" w:rsidP="00001EE3">
      <w:pPr>
        <w:pStyle w:val="dx-doi"/>
        <w:spacing w:before="0" w:beforeAutospacing="0" w:after="0" w:afterAutospacing="0"/>
        <w:rPr>
          <w:rFonts w:asciiTheme="minorHAnsi" w:hAnsiTheme="minorHAnsi" w:cstheme="minorHAnsi"/>
          <w:color w:val="333333"/>
          <w:sz w:val="22"/>
          <w:szCs w:val="22"/>
        </w:rPr>
      </w:pPr>
      <w:r w:rsidRPr="006E0EDA">
        <w:rPr>
          <w:rFonts w:asciiTheme="minorHAnsi" w:hAnsiTheme="minorHAnsi" w:cstheme="minorHAnsi"/>
          <w:sz w:val="22"/>
          <w:szCs w:val="22"/>
        </w:rPr>
        <w:t xml:space="preserve">Casey, E. and Huq, R. (2021) </w:t>
      </w:r>
      <w:r w:rsidR="0016170D">
        <w:rPr>
          <w:rFonts w:asciiTheme="minorHAnsi" w:hAnsiTheme="minorHAnsi" w:cstheme="minorHAnsi"/>
          <w:sz w:val="22"/>
          <w:szCs w:val="22"/>
        </w:rPr>
        <w:t>‘</w:t>
      </w:r>
      <w:r w:rsidRPr="000B5602">
        <w:rPr>
          <w:rFonts w:asciiTheme="minorHAnsi" w:hAnsiTheme="minorHAnsi" w:cstheme="minorHAnsi"/>
          <w:sz w:val="22"/>
          <w:szCs w:val="22"/>
        </w:rPr>
        <w:t>Biscuits and Unicorns: Shifting Meanings of Domestic Space in a Post-Lockdown World</w:t>
      </w:r>
      <w:r w:rsidR="0016170D">
        <w:rPr>
          <w:rFonts w:asciiTheme="minorHAnsi" w:hAnsiTheme="minorHAnsi" w:cstheme="minorHAnsi"/>
          <w:sz w:val="22"/>
          <w:szCs w:val="22"/>
        </w:rPr>
        <w:t>’</w:t>
      </w:r>
      <w:r w:rsidRPr="006E0EDA">
        <w:rPr>
          <w:rFonts w:asciiTheme="minorHAnsi" w:hAnsiTheme="minorHAnsi" w:cstheme="minorHAnsi"/>
          <w:sz w:val="22"/>
          <w:szCs w:val="22"/>
        </w:rPr>
        <w:t xml:space="preserve"> in </w:t>
      </w:r>
      <w:r w:rsidRPr="000B5602">
        <w:rPr>
          <w:rFonts w:asciiTheme="minorHAnsi" w:hAnsiTheme="minorHAnsi" w:cstheme="minorHAnsi"/>
          <w:i/>
          <w:iCs/>
          <w:sz w:val="22"/>
          <w:szCs w:val="22"/>
        </w:rPr>
        <w:t>Journal for Cultural Research</w:t>
      </w:r>
      <w:r w:rsidRPr="006E0EDA">
        <w:rPr>
          <w:rFonts w:asciiTheme="minorHAnsi" w:hAnsiTheme="minorHAnsi" w:cstheme="minorHAnsi"/>
          <w:sz w:val="22"/>
          <w:szCs w:val="22"/>
        </w:rPr>
        <w:t xml:space="preserve"> EPUB ahead of print </w:t>
      </w:r>
      <w:hyperlink r:id="rId8" w:history="1">
        <w:r w:rsidRPr="006E0EDA">
          <w:rPr>
            <w:rStyle w:val="Hyperlink"/>
            <w:rFonts w:asciiTheme="minorHAnsi" w:hAnsiTheme="minorHAnsi" w:cstheme="minorHAnsi"/>
            <w:color w:val="006DB4"/>
            <w:sz w:val="22"/>
            <w:szCs w:val="22"/>
          </w:rPr>
          <w:t>https://doi.org/10.1080/14797585.2021.1989315</w:t>
        </w:r>
      </w:hyperlink>
    </w:p>
    <w:p w14:paraId="739F2780" w14:textId="77777777" w:rsidR="00001EE3" w:rsidRPr="006E0EDA" w:rsidRDefault="00001EE3" w:rsidP="00001EE3">
      <w:pPr>
        <w:pStyle w:val="dx-doi"/>
        <w:spacing w:before="0" w:beforeAutospacing="0" w:after="0" w:afterAutospacing="0"/>
        <w:rPr>
          <w:rFonts w:asciiTheme="minorHAnsi" w:hAnsiTheme="minorHAnsi" w:cstheme="minorHAnsi"/>
          <w:color w:val="333333"/>
          <w:sz w:val="22"/>
          <w:szCs w:val="22"/>
        </w:rPr>
      </w:pPr>
    </w:p>
    <w:p w14:paraId="5525D912" w14:textId="787FD6C7" w:rsidR="006E0EDA" w:rsidRDefault="006E0EDA" w:rsidP="00001EE3">
      <w:pPr>
        <w:spacing w:after="0" w:line="240" w:lineRule="auto"/>
        <w:textAlignment w:val="baseline"/>
        <w:rPr>
          <w:rFonts w:cstheme="minorHAnsi"/>
        </w:rPr>
      </w:pPr>
      <w:r w:rsidRPr="00C81AA0">
        <w:rPr>
          <w:rFonts w:cstheme="minorHAnsi"/>
        </w:rPr>
        <w:t>Cassidy, R.</w:t>
      </w:r>
      <w:r w:rsidR="00B65638">
        <w:rPr>
          <w:rFonts w:cstheme="minorHAnsi"/>
        </w:rPr>
        <w:t xml:space="preserve"> </w:t>
      </w:r>
      <w:r w:rsidRPr="00C81AA0">
        <w:rPr>
          <w:rFonts w:cstheme="minorHAnsi"/>
        </w:rPr>
        <w:t xml:space="preserve">(2013) </w:t>
      </w:r>
      <w:r w:rsidR="0016170D">
        <w:rPr>
          <w:rFonts w:cstheme="minorHAnsi"/>
        </w:rPr>
        <w:t>‘A</w:t>
      </w:r>
      <w:r w:rsidRPr="00C81AA0">
        <w:rPr>
          <w:rFonts w:cstheme="minorHAnsi"/>
        </w:rPr>
        <w:t xml:space="preserve"> </w:t>
      </w:r>
      <w:r w:rsidR="00192621">
        <w:rPr>
          <w:rFonts w:cstheme="minorHAnsi"/>
        </w:rPr>
        <w:t>P</w:t>
      </w:r>
      <w:r w:rsidRPr="00C81AA0">
        <w:rPr>
          <w:rFonts w:cstheme="minorHAnsi"/>
        </w:rPr>
        <w:t>lace for</w:t>
      </w:r>
      <w:r w:rsidR="00192621">
        <w:rPr>
          <w:rFonts w:cstheme="minorHAnsi"/>
        </w:rPr>
        <w:t xml:space="preserve"> M</w:t>
      </w:r>
      <w:r w:rsidRPr="00C81AA0">
        <w:rPr>
          <w:rFonts w:cstheme="minorHAnsi"/>
        </w:rPr>
        <w:t xml:space="preserve">en to </w:t>
      </w:r>
      <w:r w:rsidR="00192621">
        <w:rPr>
          <w:rFonts w:cstheme="minorHAnsi"/>
        </w:rPr>
        <w:t>C</w:t>
      </w:r>
      <w:r w:rsidRPr="00C81AA0">
        <w:rPr>
          <w:rFonts w:cstheme="minorHAnsi"/>
        </w:rPr>
        <w:t xml:space="preserve">ome and do their </w:t>
      </w:r>
      <w:r w:rsidR="00192621">
        <w:rPr>
          <w:rFonts w:cstheme="minorHAnsi"/>
        </w:rPr>
        <w:t>T</w:t>
      </w:r>
      <w:r w:rsidRPr="00C81AA0">
        <w:rPr>
          <w:rFonts w:cstheme="minorHAnsi"/>
        </w:rPr>
        <w:t xml:space="preserve">hing: </w:t>
      </w:r>
      <w:r w:rsidR="00192621">
        <w:rPr>
          <w:rFonts w:cstheme="minorHAnsi"/>
        </w:rPr>
        <w:t>C</w:t>
      </w:r>
      <w:r w:rsidRPr="00C81AA0">
        <w:rPr>
          <w:rFonts w:cstheme="minorHAnsi"/>
        </w:rPr>
        <w:t xml:space="preserve">onstructing </w:t>
      </w:r>
      <w:r w:rsidR="00192621">
        <w:rPr>
          <w:rFonts w:cstheme="minorHAnsi"/>
        </w:rPr>
        <w:t>M</w:t>
      </w:r>
      <w:r w:rsidRPr="00C81AA0">
        <w:rPr>
          <w:rFonts w:cstheme="minorHAnsi"/>
        </w:rPr>
        <w:t xml:space="preserve">asculinity in </w:t>
      </w:r>
      <w:r w:rsidR="00192621">
        <w:rPr>
          <w:rFonts w:cstheme="minorHAnsi"/>
        </w:rPr>
        <w:t>B</w:t>
      </w:r>
      <w:r w:rsidRPr="00C81AA0">
        <w:rPr>
          <w:rFonts w:cstheme="minorHAnsi"/>
        </w:rPr>
        <w:t xml:space="preserve">etting </w:t>
      </w:r>
      <w:r w:rsidR="00192621">
        <w:rPr>
          <w:rFonts w:cstheme="minorHAnsi"/>
        </w:rPr>
        <w:t>S</w:t>
      </w:r>
      <w:r w:rsidRPr="00C81AA0">
        <w:rPr>
          <w:rFonts w:cstheme="minorHAnsi"/>
        </w:rPr>
        <w:t>hops in London</w:t>
      </w:r>
      <w:r w:rsidR="00192621">
        <w:rPr>
          <w:rFonts w:cstheme="minorHAnsi"/>
        </w:rPr>
        <w:t>’</w:t>
      </w:r>
      <w:r w:rsidRPr="00C81AA0">
        <w:rPr>
          <w:rFonts w:cstheme="minorHAnsi"/>
        </w:rPr>
        <w:t xml:space="preserve"> in </w:t>
      </w:r>
      <w:r w:rsidRPr="000B5602">
        <w:rPr>
          <w:rFonts w:cstheme="minorHAnsi"/>
          <w:i/>
          <w:iCs/>
        </w:rPr>
        <w:t xml:space="preserve">British Journal of </w:t>
      </w:r>
      <w:r w:rsidR="00192621" w:rsidRPr="000B5602">
        <w:rPr>
          <w:rFonts w:cstheme="minorHAnsi"/>
          <w:i/>
          <w:iCs/>
        </w:rPr>
        <w:t>S</w:t>
      </w:r>
      <w:r w:rsidRPr="000B5602">
        <w:rPr>
          <w:rFonts w:cstheme="minorHAnsi"/>
          <w:i/>
          <w:iCs/>
        </w:rPr>
        <w:t>ociology</w:t>
      </w:r>
      <w:r w:rsidR="00192621">
        <w:rPr>
          <w:rFonts w:cstheme="minorHAnsi"/>
        </w:rPr>
        <w:t xml:space="preserve"> Vol.</w:t>
      </w:r>
      <w:r w:rsidRPr="00C81AA0">
        <w:rPr>
          <w:rFonts w:cstheme="minorHAnsi"/>
        </w:rPr>
        <w:t>65:</w:t>
      </w:r>
      <w:r w:rsidR="00192621">
        <w:rPr>
          <w:rFonts w:cstheme="minorHAnsi"/>
        </w:rPr>
        <w:t>1</w:t>
      </w:r>
      <w:r w:rsidRPr="00C81AA0">
        <w:rPr>
          <w:rFonts w:cstheme="minorHAnsi"/>
        </w:rPr>
        <w:t xml:space="preserve">, </w:t>
      </w:r>
      <w:r w:rsidR="00192621">
        <w:rPr>
          <w:rFonts w:cstheme="minorHAnsi"/>
        </w:rPr>
        <w:t>pp</w:t>
      </w:r>
      <w:r w:rsidRPr="00C81AA0">
        <w:rPr>
          <w:rFonts w:cstheme="minorHAnsi"/>
        </w:rPr>
        <w:t>.170–191</w:t>
      </w:r>
    </w:p>
    <w:p w14:paraId="1E085928" w14:textId="77777777" w:rsidR="00001EE3" w:rsidRPr="00C81AA0" w:rsidRDefault="00001EE3" w:rsidP="00001EE3">
      <w:pPr>
        <w:spacing w:after="0" w:line="240" w:lineRule="auto"/>
        <w:textAlignment w:val="baseline"/>
        <w:rPr>
          <w:rFonts w:cstheme="minorHAnsi"/>
        </w:rPr>
      </w:pPr>
    </w:p>
    <w:p w14:paraId="317CDC03" w14:textId="421379FC" w:rsidR="001E04CF" w:rsidRDefault="001E04CF" w:rsidP="00001EE3">
      <w:pPr>
        <w:pStyle w:val="NormalWeb"/>
        <w:spacing w:before="0" w:beforeAutospacing="0" w:after="0" w:afterAutospacing="0"/>
        <w:rPr>
          <w:rFonts w:asciiTheme="minorHAnsi" w:hAnsiTheme="minorHAnsi" w:cstheme="minorHAnsi"/>
          <w:sz w:val="22"/>
          <w:szCs w:val="22"/>
        </w:rPr>
      </w:pPr>
      <w:proofErr w:type="spellStart"/>
      <w:r w:rsidRPr="00C81AA0">
        <w:rPr>
          <w:rFonts w:asciiTheme="minorHAnsi" w:hAnsiTheme="minorHAnsi" w:cstheme="minorHAnsi"/>
          <w:color w:val="111111"/>
          <w:sz w:val="22"/>
          <w:szCs w:val="22"/>
        </w:rPr>
        <w:t>Castren</w:t>
      </w:r>
      <w:proofErr w:type="spellEnd"/>
      <w:r w:rsidRPr="00C81AA0">
        <w:rPr>
          <w:rFonts w:asciiTheme="minorHAnsi" w:hAnsiTheme="minorHAnsi" w:cstheme="minorHAnsi"/>
          <w:color w:val="111111"/>
          <w:sz w:val="22"/>
          <w:szCs w:val="22"/>
        </w:rPr>
        <w:t xml:space="preserve">, S, </w:t>
      </w:r>
      <w:proofErr w:type="spellStart"/>
      <w:r w:rsidRPr="00C81AA0">
        <w:rPr>
          <w:rFonts w:asciiTheme="minorHAnsi" w:hAnsiTheme="minorHAnsi" w:cstheme="minorHAnsi"/>
          <w:color w:val="111111"/>
          <w:sz w:val="22"/>
          <w:szCs w:val="22"/>
        </w:rPr>
        <w:t>Kontto</w:t>
      </w:r>
      <w:proofErr w:type="spellEnd"/>
      <w:r w:rsidRPr="00C81AA0">
        <w:rPr>
          <w:rFonts w:asciiTheme="minorHAnsi" w:hAnsiTheme="minorHAnsi" w:cstheme="minorHAnsi"/>
          <w:color w:val="111111"/>
          <w:sz w:val="22"/>
          <w:szCs w:val="22"/>
        </w:rPr>
        <w:t xml:space="preserve">, J., </w:t>
      </w:r>
      <w:proofErr w:type="spellStart"/>
      <w:r w:rsidRPr="00C81AA0">
        <w:rPr>
          <w:rFonts w:asciiTheme="minorHAnsi" w:hAnsiTheme="minorHAnsi" w:cstheme="minorHAnsi"/>
          <w:color w:val="111111"/>
          <w:sz w:val="22"/>
          <w:szCs w:val="22"/>
        </w:rPr>
        <w:t>Alho</w:t>
      </w:r>
      <w:proofErr w:type="spellEnd"/>
      <w:r w:rsidRPr="00C81AA0">
        <w:rPr>
          <w:rFonts w:asciiTheme="minorHAnsi" w:hAnsiTheme="minorHAnsi" w:cstheme="minorHAnsi"/>
          <w:color w:val="111111"/>
          <w:sz w:val="22"/>
          <w:szCs w:val="22"/>
        </w:rPr>
        <w:t xml:space="preserve">, H. &amp; Salonen, A. (2018) </w:t>
      </w:r>
      <w:r w:rsidR="00192621">
        <w:rPr>
          <w:rFonts w:asciiTheme="minorHAnsi" w:hAnsiTheme="minorHAnsi" w:cstheme="minorHAnsi"/>
          <w:color w:val="111111"/>
          <w:sz w:val="22"/>
          <w:szCs w:val="22"/>
        </w:rPr>
        <w:t>‘</w:t>
      </w:r>
      <w:r w:rsidRPr="000B5602">
        <w:rPr>
          <w:rFonts w:asciiTheme="minorHAnsi" w:hAnsiTheme="minorHAnsi" w:cstheme="minorHAnsi"/>
          <w:sz w:val="22"/>
          <w:szCs w:val="22"/>
        </w:rPr>
        <w:t>The relationship between gambling expenditure, socio- demographics, health-related correlates and gambling behaviour—a cross-sectional population-based survey in Finland</w:t>
      </w:r>
      <w:r w:rsidR="00192621">
        <w:rPr>
          <w:rFonts w:asciiTheme="minorHAnsi" w:hAnsiTheme="minorHAnsi" w:cstheme="minorHAnsi"/>
          <w:sz w:val="22"/>
          <w:szCs w:val="22"/>
        </w:rPr>
        <w:t>’</w:t>
      </w:r>
      <w:r w:rsidRPr="00C81AA0">
        <w:rPr>
          <w:rFonts w:asciiTheme="minorHAnsi" w:hAnsiTheme="minorHAnsi" w:cstheme="minorHAnsi"/>
          <w:sz w:val="22"/>
          <w:szCs w:val="22"/>
        </w:rPr>
        <w:t xml:space="preserve"> In </w:t>
      </w:r>
      <w:r w:rsidRPr="000B5602">
        <w:rPr>
          <w:rFonts w:asciiTheme="minorHAnsi" w:hAnsiTheme="minorHAnsi" w:cstheme="minorHAnsi"/>
          <w:i/>
          <w:iCs/>
          <w:sz w:val="22"/>
          <w:szCs w:val="22"/>
        </w:rPr>
        <w:t>Addiction</w:t>
      </w:r>
      <w:r w:rsidRPr="00C81AA0">
        <w:rPr>
          <w:rFonts w:asciiTheme="minorHAnsi" w:hAnsiTheme="minorHAnsi" w:cstheme="minorHAnsi"/>
          <w:sz w:val="22"/>
          <w:szCs w:val="22"/>
        </w:rPr>
        <w:t xml:space="preserve"> Vol. 113 pp. 91-106</w:t>
      </w:r>
    </w:p>
    <w:p w14:paraId="7988D9E4" w14:textId="2D3AA57C" w:rsidR="00352F22" w:rsidRDefault="00352F22" w:rsidP="00001EE3">
      <w:pPr>
        <w:pStyle w:val="NormalWeb"/>
        <w:spacing w:before="0" w:beforeAutospacing="0" w:after="0" w:afterAutospacing="0"/>
        <w:rPr>
          <w:rFonts w:asciiTheme="minorHAnsi" w:hAnsiTheme="minorHAnsi" w:cstheme="minorHAnsi"/>
          <w:sz w:val="22"/>
          <w:szCs w:val="22"/>
        </w:rPr>
      </w:pPr>
    </w:p>
    <w:p w14:paraId="3DEB461C" w14:textId="1351EA62" w:rsidR="00352F22" w:rsidRPr="000B5602" w:rsidRDefault="00352F22" w:rsidP="000B5602">
      <w:pPr>
        <w:widowControl w:val="0"/>
        <w:autoSpaceDE w:val="0"/>
        <w:autoSpaceDN w:val="0"/>
        <w:adjustRightInd w:val="0"/>
        <w:spacing w:line="480" w:lineRule="auto"/>
        <w:ind w:left="720" w:hanging="720"/>
        <w:jc w:val="both"/>
        <w:rPr>
          <w:lang w:val="en-US"/>
        </w:rPr>
      </w:pPr>
      <w:r>
        <w:rPr>
          <w:lang w:val="en-US"/>
        </w:rPr>
        <w:t xml:space="preserve">Charles, N., &amp; Kerr, M. (1988). </w:t>
      </w:r>
      <w:r>
        <w:rPr>
          <w:i/>
          <w:iCs/>
          <w:lang w:val="en-US"/>
        </w:rPr>
        <w:t>Women, Food and Families</w:t>
      </w:r>
      <w:r>
        <w:rPr>
          <w:lang w:val="en-US"/>
        </w:rPr>
        <w:t>. Manchester: Manchester University Press.</w:t>
      </w:r>
    </w:p>
    <w:p w14:paraId="4CCE3CE5" w14:textId="0245EB34" w:rsidR="001E04CF" w:rsidRDefault="001E04CF" w:rsidP="000B5602">
      <w:pPr>
        <w:shd w:val="clear" w:color="auto" w:fill="FFFFFF"/>
        <w:spacing w:after="0" w:line="240" w:lineRule="auto"/>
        <w:jc w:val="both"/>
        <w:textAlignment w:val="baseline"/>
        <w:rPr>
          <w:rFonts w:eastAsia="Times New Roman" w:cstheme="minorHAnsi"/>
          <w:color w:val="201F1E"/>
          <w:lang w:eastAsia="en-GB"/>
        </w:rPr>
      </w:pPr>
      <w:r w:rsidRPr="00C81AA0">
        <w:rPr>
          <w:rFonts w:eastAsia="Times New Roman" w:cstheme="minorHAnsi"/>
          <w:color w:val="201F1E"/>
          <w:lang w:eastAsia="en-GB"/>
        </w:rPr>
        <w:t xml:space="preserve">DeBoer, W. (2001) </w:t>
      </w:r>
      <w:r w:rsidR="00192621">
        <w:rPr>
          <w:rFonts w:eastAsia="Times New Roman" w:cstheme="minorHAnsi"/>
          <w:color w:val="201F1E"/>
          <w:lang w:eastAsia="en-GB"/>
        </w:rPr>
        <w:t>‘</w:t>
      </w:r>
      <w:r w:rsidRPr="000B5602">
        <w:rPr>
          <w:rFonts w:eastAsia="Times New Roman" w:cstheme="minorHAnsi"/>
          <w:color w:val="201F1E"/>
          <w:lang w:eastAsia="en-GB"/>
        </w:rPr>
        <w:t>Of Dice and Women: Gambling and Exchange in Native North America</w:t>
      </w:r>
      <w:r w:rsidR="00192621">
        <w:rPr>
          <w:rFonts w:eastAsia="Times New Roman" w:cstheme="minorHAnsi"/>
          <w:color w:val="201F1E"/>
          <w:lang w:eastAsia="en-GB"/>
        </w:rPr>
        <w:t>’</w:t>
      </w:r>
      <w:r w:rsidRPr="00C81AA0">
        <w:rPr>
          <w:rFonts w:eastAsia="Times New Roman" w:cstheme="minorHAnsi"/>
          <w:color w:val="201F1E"/>
          <w:lang w:eastAsia="en-GB"/>
        </w:rPr>
        <w:t xml:space="preserve"> in </w:t>
      </w:r>
      <w:r w:rsidRPr="000B5602">
        <w:rPr>
          <w:rFonts w:eastAsia="Times New Roman" w:cstheme="minorHAnsi"/>
          <w:i/>
          <w:iCs/>
          <w:color w:val="201F1E"/>
          <w:lang w:eastAsia="en-GB"/>
        </w:rPr>
        <w:t>Journal of Archaeological Methods and Theory</w:t>
      </w:r>
      <w:r w:rsidRPr="00C81AA0">
        <w:rPr>
          <w:rFonts w:eastAsia="Times New Roman" w:cstheme="minorHAnsi"/>
          <w:color w:val="201F1E"/>
          <w:lang w:eastAsia="en-GB"/>
        </w:rPr>
        <w:t>, Vol 8:3, pp.215-268</w:t>
      </w:r>
    </w:p>
    <w:p w14:paraId="6078AE66" w14:textId="3D5542F6" w:rsidR="00352F22" w:rsidRDefault="00352F22" w:rsidP="00B65638">
      <w:pPr>
        <w:shd w:val="clear" w:color="auto" w:fill="FFFFFF"/>
        <w:spacing w:after="0" w:line="240" w:lineRule="auto"/>
        <w:jc w:val="both"/>
        <w:textAlignment w:val="baseline"/>
        <w:rPr>
          <w:rFonts w:eastAsia="Times New Roman" w:cstheme="minorHAnsi"/>
          <w:color w:val="201F1E"/>
          <w:lang w:eastAsia="en-GB"/>
        </w:rPr>
      </w:pPr>
    </w:p>
    <w:p w14:paraId="39631D40" w14:textId="7F78140C" w:rsidR="006E0EDA" w:rsidRDefault="00352F22" w:rsidP="00B65638">
      <w:pPr>
        <w:widowControl w:val="0"/>
        <w:autoSpaceDE w:val="0"/>
        <w:autoSpaceDN w:val="0"/>
        <w:adjustRightInd w:val="0"/>
        <w:spacing w:after="0" w:line="240" w:lineRule="auto"/>
        <w:jc w:val="both"/>
        <w:rPr>
          <w:lang w:val="en-US"/>
        </w:rPr>
      </w:pPr>
      <w:proofErr w:type="spellStart"/>
      <w:r>
        <w:rPr>
          <w:lang w:val="en-US"/>
        </w:rPr>
        <w:t>DeVault</w:t>
      </w:r>
      <w:proofErr w:type="spellEnd"/>
      <w:r>
        <w:rPr>
          <w:lang w:val="en-US"/>
        </w:rPr>
        <w:t xml:space="preserve">, M. L. (1991). </w:t>
      </w:r>
      <w:r>
        <w:rPr>
          <w:i/>
          <w:iCs/>
          <w:lang w:val="en-US"/>
        </w:rPr>
        <w:t>Feeding the Family: The Social Organization of Caring as Gendered Work</w:t>
      </w:r>
      <w:r>
        <w:rPr>
          <w:lang w:val="en-US"/>
        </w:rPr>
        <w:t>.</w:t>
      </w:r>
      <w:r w:rsidR="00192621">
        <w:rPr>
          <w:lang w:val="en-US"/>
        </w:rPr>
        <w:t xml:space="preserve"> </w:t>
      </w:r>
      <w:r>
        <w:rPr>
          <w:lang w:val="en-US"/>
        </w:rPr>
        <w:t>Chicago: University of Chicago Press.</w:t>
      </w:r>
    </w:p>
    <w:p w14:paraId="3CA616B5" w14:textId="77777777" w:rsidR="00B65638" w:rsidRDefault="00B65638" w:rsidP="00B65638">
      <w:pPr>
        <w:widowControl w:val="0"/>
        <w:autoSpaceDE w:val="0"/>
        <w:autoSpaceDN w:val="0"/>
        <w:adjustRightInd w:val="0"/>
        <w:spacing w:after="0" w:line="240" w:lineRule="auto"/>
        <w:jc w:val="both"/>
        <w:rPr>
          <w:rFonts w:eastAsia="Times New Roman" w:cstheme="minorHAnsi"/>
          <w:color w:val="201F1E"/>
          <w:lang w:eastAsia="en-GB"/>
        </w:rPr>
      </w:pPr>
    </w:p>
    <w:p w14:paraId="248C6A2A" w14:textId="7DE372B8" w:rsidR="00001EE3" w:rsidRDefault="00001EE3" w:rsidP="000B5602">
      <w:pPr>
        <w:spacing w:after="0"/>
        <w:jc w:val="both"/>
        <w:rPr>
          <w:rFonts w:cs="Arial"/>
        </w:rPr>
      </w:pPr>
      <w:r w:rsidRPr="00001EE3">
        <w:rPr>
          <w:rFonts w:cs="Arial"/>
        </w:rPr>
        <w:t>Dixey, R., &amp; Talbot, M. (1982).</w:t>
      </w:r>
      <w:r w:rsidRPr="00001EE3">
        <w:rPr>
          <w:rFonts w:cs="Arial"/>
          <w:i/>
        </w:rPr>
        <w:t xml:space="preserve"> Women, Leisure and Bingo. </w:t>
      </w:r>
      <w:r w:rsidRPr="00001EE3">
        <w:rPr>
          <w:rFonts w:cs="Arial"/>
        </w:rPr>
        <w:t>Leeds: Trinity and All Saints College.</w:t>
      </w:r>
    </w:p>
    <w:p w14:paraId="19B506CA" w14:textId="0C4B1526" w:rsidR="00035B01" w:rsidRDefault="00035B01" w:rsidP="00001EE3">
      <w:pPr>
        <w:spacing w:after="0"/>
        <w:rPr>
          <w:rFonts w:cs="Arial"/>
        </w:rPr>
      </w:pPr>
    </w:p>
    <w:p w14:paraId="37770755" w14:textId="2F8FCE52" w:rsidR="00035B01" w:rsidRPr="004C2465" w:rsidRDefault="00035B01" w:rsidP="00001EE3">
      <w:pPr>
        <w:spacing w:after="0"/>
        <w:rPr>
          <w:rFonts w:cs="Arial"/>
        </w:rPr>
      </w:pPr>
      <w:r>
        <w:rPr>
          <w:rFonts w:cs="Arial"/>
        </w:rPr>
        <w:t>Ferber</w:t>
      </w:r>
      <w:r w:rsidR="004C2465">
        <w:rPr>
          <w:rFonts w:cs="Arial"/>
        </w:rPr>
        <w:t xml:space="preserve">, </w:t>
      </w:r>
      <w:proofErr w:type="gramStart"/>
      <w:r w:rsidR="004C2465">
        <w:rPr>
          <w:rFonts w:cs="Arial"/>
        </w:rPr>
        <w:t>M.</w:t>
      </w:r>
      <w:proofErr w:type="gramEnd"/>
      <w:r>
        <w:rPr>
          <w:rFonts w:cs="Arial"/>
        </w:rPr>
        <w:t xml:space="preserve"> and Nelson</w:t>
      </w:r>
      <w:r w:rsidR="004C2465">
        <w:rPr>
          <w:rFonts w:cs="Arial"/>
        </w:rPr>
        <w:t xml:space="preserve"> J.</w:t>
      </w:r>
      <w:r>
        <w:rPr>
          <w:rFonts w:cs="Arial"/>
        </w:rPr>
        <w:t xml:space="preserve"> (1993)</w:t>
      </w:r>
      <w:r w:rsidR="004C2465">
        <w:rPr>
          <w:rFonts w:cs="Arial"/>
        </w:rPr>
        <w:t xml:space="preserve"> </w:t>
      </w:r>
      <w:r w:rsidR="004C2465">
        <w:rPr>
          <w:rFonts w:cs="Arial"/>
          <w:i/>
          <w:iCs/>
        </w:rPr>
        <w:t xml:space="preserve">Beyond Economic Man </w:t>
      </w:r>
      <w:r w:rsidR="004C2465">
        <w:rPr>
          <w:rFonts w:cs="Arial"/>
        </w:rPr>
        <w:t>Chicago: University of Chicago Press</w:t>
      </w:r>
    </w:p>
    <w:p w14:paraId="383924F6" w14:textId="77777777" w:rsidR="00001EE3" w:rsidRPr="006E0EDA" w:rsidRDefault="00001EE3" w:rsidP="00001EE3">
      <w:pPr>
        <w:spacing w:after="0" w:line="240" w:lineRule="auto"/>
        <w:textAlignment w:val="baseline"/>
        <w:rPr>
          <w:rFonts w:cstheme="minorHAnsi"/>
        </w:rPr>
      </w:pPr>
    </w:p>
    <w:p w14:paraId="26B63DFD" w14:textId="6BED3323" w:rsidR="001E04CF" w:rsidRDefault="001E04CF" w:rsidP="00001EE3">
      <w:pPr>
        <w:shd w:val="clear" w:color="auto" w:fill="FFFFFF"/>
        <w:spacing w:after="0" w:line="240" w:lineRule="auto"/>
        <w:textAlignment w:val="baseline"/>
        <w:rPr>
          <w:rFonts w:eastAsia="Times New Roman" w:cstheme="minorHAnsi"/>
          <w:color w:val="201F1E"/>
          <w:lang w:eastAsia="en-GB"/>
        </w:rPr>
      </w:pPr>
      <w:proofErr w:type="spellStart"/>
      <w:r w:rsidRPr="00C81AA0">
        <w:rPr>
          <w:rFonts w:eastAsia="Times New Roman" w:cstheme="minorHAnsi"/>
          <w:color w:val="201F1E"/>
          <w:lang w:eastAsia="en-GB"/>
        </w:rPr>
        <w:t>GamCare</w:t>
      </w:r>
      <w:proofErr w:type="spellEnd"/>
      <w:r w:rsidRPr="00C81AA0">
        <w:rPr>
          <w:rFonts w:eastAsia="Times New Roman" w:cstheme="minorHAnsi"/>
          <w:color w:val="201F1E"/>
          <w:lang w:eastAsia="en-GB"/>
        </w:rPr>
        <w:t xml:space="preserve"> (2020) </w:t>
      </w:r>
      <w:r w:rsidRPr="00C81AA0">
        <w:rPr>
          <w:rFonts w:eastAsia="Times New Roman" w:cstheme="minorHAnsi"/>
          <w:i/>
          <w:iCs/>
          <w:color w:val="201F1E"/>
          <w:lang w:eastAsia="en-GB"/>
        </w:rPr>
        <w:t>Women’s Programme Report</w:t>
      </w:r>
      <w:r w:rsidRPr="00C81AA0">
        <w:rPr>
          <w:rFonts w:eastAsia="Times New Roman" w:cstheme="minorHAnsi"/>
          <w:color w:val="201F1E"/>
          <w:lang w:eastAsia="en-GB"/>
        </w:rPr>
        <w:t xml:space="preserve">. </w:t>
      </w:r>
      <w:r w:rsidR="004C2465">
        <w:rPr>
          <w:rFonts w:eastAsia="Times New Roman" w:cstheme="minorHAnsi"/>
          <w:color w:val="201F1E"/>
          <w:lang w:eastAsia="en-GB"/>
        </w:rPr>
        <w:t xml:space="preserve">London: </w:t>
      </w:r>
      <w:r w:rsidRPr="00C81AA0">
        <w:rPr>
          <w:rFonts w:eastAsia="Times New Roman" w:cstheme="minorHAnsi"/>
          <w:color w:val="201F1E"/>
          <w:lang w:eastAsia="en-GB"/>
        </w:rPr>
        <w:t>DCMS</w:t>
      </w:r>
    </w:p>
    <w:p w14:paraId="7524BC07" w14:textId="77777777" w:rsidR="001E04CF" w:rsidRDefault="001E04CF" w:rsidP="00001EE3">
      <w:pPr>
        <w:shd w:val="clear" w:color="auto" w:fill="FFFFFF"/>
        <w:spacing w:after="0" w:line="240" w:lineRule="auto"/>
        <w:textAlignment w:val="baseline"/>
        <w:rPr>
          <w:rFonts w:eastAsia="Times New Roman" w:cstheme="minorHAnsi"/>
          <w:color w:val="201F1E"/>
          <w:lang w:eastAsia="en-GB"/>
        </w:rPr>
      </w:pPr>
    </w:p>
    <w:p w14:paraId="13CCF217" w14:textId="2C146890" w:rsidR="001E04CF" w:rsidRPr="00FC51F0" w:rsidRDefault="001E04CF" w:rsidP="00001EE3">
      <w:pPr>
        <w:shd w:val="clear" w:color="auto" w:fill="FFFFFF"/>
        <w:spacing w:after="0" w:line="240" w:lineRule="auto"/>
        <w:textAlignment w:val="baseline"/>
        <w:rPr>
          <w:rFonts w:eastAsia="Times New Roman" w:cstheme="minorHAnsi"/>
          <w:color w:val="201F1E"/>
          <w:lang w:eastAsia="en-GB"/>
        </w:rPr>
      </w:pPr>
      <w:r w:rsidRPr="006E0EDA">
        <w:rPr>
          <w:rFonts w:eastAsia="Times New Roman" w:cstheme="minorHAnsi"/>
          <w:color w:val="201F1E"/>
          <w:lang w:eastAsia="en-GB"/>
        </w:rPr>
        <w:t xml:space="preserve">Gambling Commission (2017) </w:t>
      </w:r>
      <w:r w:rsidRPr="006E0EDA">
        <w:rPr>
          <w:rFonts w:eastAsia="Times New Roman" w:cstheme="minorHAnsi"/>
          <w:i/>
          <w:iCs/>
          <w:color w:val="201F1E"/>
          <w:lang w:eastAsia="en-GB"/>
        </w:rPr>
        <w:t>Gambling Participation in 2017: Behaviour, Awareness and Attitudes</w:t>
      </w:r>
      <w:r w:rsidR="00FC51F0">
        <w:rPr>
          <w:rFonts w:eastAsia="Times New Roman" w:cstheme="minorHAnsi"/>
          <w:i/>
          <w:iCs/>
          <w:color w:val="201F1E"/>
          <w:lang w:eastAsia="en-GB"/>
        </w:rPr>
        <w:t xml:space="preserve"> </w:t>
      </w:r>
      <w:r w:rsidR="00FC51F0" w:rsidRPr="00FC51F0">
        <w:rPr>
          <w:rFonts w:eastAsia="Times New Roman" w:cstheme="minorHAnsi"/>
          <w:color w:val="201F1E"/>
          <w:lang w:eastAsia="en-GB"/>
        </w:rPr>
        <w:t>https://www.gamblingcommission.gov.uk/statistics-and-research/behaviour-awareness-and-attitudes/series/behaviour-awareness-and-attitudes</w:t>
      </w:r>
    </w:p>
    <w:p w14:paraId="36CE0A4B" w14:textId="77777777" w:rsidR="006E0EDA" w:rsidRPr="006E0EDA" w:rsidRDefault="006E0EDA" w:rsidP="00001EE3">
      <w:pPr>
        <w:shd w:val="clear" w:color="auto" w:fill="FFFFFF"/>
        <w:spacing w:after="0" w:line="240" w:lineRule="auto"/>
        <w:textAlignment w:val="baseline"/>
        <w:rPr>
          <w:rFonts w:eastAsia="Times New Roman" w:cstheme="minorHAnsi"/>
          <w:color w:val="201F1E"/>
          <w:lang w:eastAsia="en-GB"/>
        </w:rPr>
      </w:pPr>
    </w:p>
    <w:p w14:paraId="3721B6E8" w14:textId="4AED40B2" w:rsidR="006E0EDA" w:rsidRDefault="006E0EDA" w:rsidP="00001EE3">
      <w:pPr>
        <w:pStyle w:val="Heading1"/>
        <w:shd w:val="clear" w:color="auto" w:fill="FFFFFF"/>
        <w:spacing w:before="0" w:beforeAutospacing="0" w:after="0" w:afterAutospacing="0"/>
        <w:rPr>
          <w:rFonts w:asciiTheme="minorHAnsi" w:hAnsiTheme="minorHAnsi" w:cstheme="minorHAnsi"/>
          <w:b w:val="0"/>
          <w:bCs w:val="0"/>
          <w:color w:val="171B1F"/>
          <w:sz w:val="22"/>
          <w:szCs w:val="22"/>
        </w:rPr>
      </w:pPr>
      <w:r w:rsidRPr="006E0EDA">
        <w:rPr>
          <w:rFonts w:asciiTheme="minorHAnsi" w:hAnsiTheme="minorHAnsi" w:cstheme="minorHAnsi"/>
          <w:b w:val="0"/>
          <w:bCs w:val="0"/>
          <w:sz w:val="22"/>
          <w:szCs w:val="22"/>
        </w:rPr>
        <w:t xml:space="preserve">Gambling Commission (2020) </w:t>
      </w:r>
      <w:r w:rsidRPr="006E0EDA">
        <w:rPr>
          <w:rFonts w:asciiTheme="minorHAnsi" w:hAnsiTheme="minorHAnsi" w:cstheme="minorHAnsi"/>
          <w:b w:val="0"/>
          <w:bCs w:val="0"/>
          <w:i/>
          <w:iCs/>
          <w:color w:val="171B1F"/>
          <w:sz w:val="22"/>
          <w:szCs w:val="22"/>
        </w:rPr>
        <w:t>Impact of Covid-19 on Gambling Behaviour</w:t>
      </w:r>
      <w:r w:rsidRPr="006E0EDA">
        <w:rPr>
          <w:rFonts w:asciiTheme="minorHAnsi" w:hAnsiTheme="minorHAnsi" w:cstheme="minorHAnsi"/>
          <w:b w:val="0"/>
          <w:bCs w:val="0"/>
          <w:color w:val="171B1F"/>
          <w:sz w:val="22"/>
          <w:szCs w:val="22"/>
        </w:rPr>
        <w:t xml:space="preserve"> </w:t>
      </w:r>
      <w:r w:rsidR="00FC51F0" w:rsidRPr="00FC51F0">
        <w:rPr>
          <w:rFonts w:asciiTheme="minorHAnsi" w:hAnsiTheme="minorHAnsi" w:cstheme="minorHAnsi"/>
          <w:b w:val="0"/>
          <w:bCs w:val="0"/>
          <w:color w:val="171B1F"/>
          <w:sz w:val="22"/>
          <w:szCs w:val="22"/>
        </w:rPr>
        <w:t>https://www.gamblingcommission.gov.uk/statistics-and-research/publication/covid-19-and-its-impact-on-gambling-march-2020</w:t>
      </w:r>
    </w:p>
    <w:p w14:paraId="0F604F2D" w14:textId="77777777" w:rsidR="00001EE3" w:rsidRPr="006E0EDA" w:rsidRDefault="00001EE3" w:rsidP="00001EE3">
      <w:pPr>
        <w:pStyle w:val="Heading1"/>
        <w:shd w:val="clear" w:color="auto" w:fill="FFFFFF"/>
        <w:spacing w:before="0" w:beforeAutospacing="0" w:after="0" w:afterAutospacing="0"/>
        <w:rPr>
          <w:rFonts w:asciiTheme="minorHAnsi" w:hAnsiTheme="minorHAnsi" w:cstheme="minorHAnsi"/>
          <w:b w:val="0"/>
          <w:bCs w:val="0"/>
          <w:color w:val="171B1F"/>
          <w:sz w:val="22"/>
          <w:szCs w:val="22"/>
        </w:rPr>
      </w:pPr>
    </w:p>
    <w:p w14:paraId="74522009" w14:textId="233D54A4" w:rsidR="00001EE3" w:rsidRPr="00001EE3" w:rsidRDefault="001E04CF" w:rsidP="00001EE3">
      <w:pPr>
        <w:pStyle w:val="Heading1"/>
        <w:shd w:val="clear" w:color="auto" w:fill="FFFFFF"/>
        <w:spacing w:before="0" w:beforeAutospacing="0" w:after="0" w:afterAutospacing="0"/>
        <w:rPr>
          <w:rFonts w:asciiTheme="minorHAnsi" w:hAnsiTheme="minorHAnsi" w:cstheme="minorHAnsi"/>
          <w:b w:val="0"/>
          <w:bCs w:val="0"/>
          <w:sz w:val="22"/>
          <w:szCs w:val="22"/>
        </w:rPr>
      </w:pPr>
      <w:proofErr w:type="spellStart"/>
      <w:r w:rsidRPr="006E0EDA">
        <w:rPr>
          <w:rFonts w:asciiTheme="minorHAnsi" w:hAnsiTheme="minorHAnsi" w:cstheme="minorHAnsi"/>
          <w:b w:val="0"/>
          <w:bCs w:val="0"/>
          <w:sz w:val="22"/>
          <w:szCs w:val="22"/>
        </w:rPr>
        <w:lastRenderedPageBreak/>
        <w:t>Gavriel</w:t>
      </w:r>
      <w:proofErr w:type="spellEnd"/>
      <w:r w:rsidRPr="006E0EDA">
        <w:rPr>
          <w:rFonts w:asciiTheme="minorHAnsi" w:hAnsiTheme="minorHAnsi" w:cstheme="minorHAnsi"/>
          <w:b w:val="0"/>
          <w:bCs w:val="0"/>
          <w:sz w:val="22"/>
          <w:szCs w:val="22"/>
        </w:rPr>
        <w:t xml:space="preserve">-Fried, B. &amp; </w:t>
      </w:r>
      <w:proofErr w:type="spellStart"/>
      <w:r w:rsidRPr="006E0EDA">
        <w:rPr>
          <w:rFonts w:asciiTheme="minorHAnsi" w:hAnsiTheme="minorHAnsi" w:cstheme="minorHAnsi"/>
          <w:b w:val="0"/>
          <w:bCs w:val="0"/>
          <w:sz w:val="22"/>
          <w:szCs w:val="22"/>
        </w:rPr>
        <w:t>Ajzenstadt</w:t>
      </w:r>
      <w:proofErr w:type="spellEnd"/>
      <w:r w:rsidRPr="006E0EDA">
        <w:rPr>
          <w:rFonts w:asciiTheme="minorHAnsi" w:hAnsiTheme="minorHAnsi" w:cstheme="minorHAnsi"/>
          <w:b w:val="0"/>
          <w:bCs w:val="0"/>
          <w:sz w:val="22"/>
          <w:szCs w:val="22"/>
        </w:rPr>
        <w:t xml:space="preserve">, E. (2015) </w:t>
      </w:r>
      <w:r w:rsidR="004C2465">
        <w:rPr>
          <w:rFonts w:asciiTheme="minorHAnsi" w:hAnsiTheme="minorHAnsi" w:cstheme="minorHAnsi"/>
          <w:b w:val="0"/>
          <w:bCs w:val="0"/>
          <w:sz w:val="22"/>
          <w:szCs w:val="22"/>
        </w:rPr>
        <w:t>‘</w:t>
      </w:r>
      <w:r w:rsidRPr="000B5602">
        <w:rPr>
          <w:rFonts w:asciiTheme="minorHAnsi" w:hAnsiTheme="minorHAnsi" w:cstheme="minorHAnsi"/>
          <w:b w:val="0"/>
          <w:bCs w:val="0"/>
          <w:sz w:val="22"/>
          <w:szCs w:val="22"/>
        </w:rPr>
        <w:t xml:space="preserve">Normative Identity Construction Among Women Diagnosed </w:t>
      </w:r>
      <w:proofErr w:type="gramStart"/>
      <w:r w:rsidRPr="000B5602">
        <w:rPr>
          <w:rFonts w:asciiTheme="minorHAnsi" w:hAnsiTheme="minorHAnsi" w:cstheme="minorHAnsi"/>
          <w:b w:val="0"/>
          <w:bCs w:val="0"/>
          <w:sz w:val="22"/>
          <w:szCs w:val="22"/>
        </w:rPr>
        <w:t>With</w:t>
      </w:r>
      <w:proofErr w:type="gramEnd"/>
      <w:r w:rsidRPr="000B5602">
        <w:rPr>
          <w:rFonts w:asciiTheme="minorHAnsi" w:hAnsiTheme="minorHAnsi" w:cstheme="minorHAnsi"/>
          <w:b w:val="0"/>
          <w:bCs w:val="0"/>
          <w:sz w:val="22"/>
          <w:szCs w:val="22"/>
        </w:rPr>
        <w:t xml:space="preserve"> a Gambling Disorder</w:t>
      </w:r>
      <w:r w:rsidR="004C2465">
        <w:rPr>
          <w:rFonts w:asciiTheme="minorHAnsi" w:hAnsiTheme="minorHAnsi" w:cstheme="minorHAnsi"/>
          <w:b w:val="0"/>
          <w:bCs w:val="0"/>
          <w:sz w:val="22"/>
          <w:szCs w:val="22"/>
        </w:rPr>
        <w:t>’</w:t>
      </w:r>
      <w:r w:rsidRPr="00001EE3">
        <w:rPr>
          <w:rFonts w:asciiTheme="minorHAnsi" w:hAnsiTheme="minorHAnsi" w:cstheme="minorHAnsi"/>
          <w:b w:val="0"/>
          <w:bCs w:val="0"/>
          <w:i/>
          <w:iCs/>
          <w:sz w:val="22"/>
          <w:szCs w:val="22"/>
        </w:rPr>
        <w:t xml:space="preserve"> </w:t>
      </w:r>
      <w:r w:rsidRPr="00001EE3">
        <w:rPr>
          <w:rFonts w:asciiTheme="minorHAnsi" w:hAnsiTheme="minorHAnsi" w:cstheme="minorHAnsi"/>
          <w:b w:val="0"/>
          <w:bCs w:val="0"/>
          <w:sz w:val="22"/>
          <w:szCs w:val="22"/>
        </w:rPr>
        <w:t xml:space="preserve">in </w:t>
      </w:r>
      <w:r w:rsidRPr="000B5602">
        <w:rPr>
          <w:rFonts w:asciiTheme="minorHAnsi" w:hAnsiTheme="minorHAnsi" w:cstheme="minorHAnsi"/>
          <w:b w:val="0"/>
          <w:bCs w:val="0"/>
          <w:i/>
          <w:iCs/>
          <w:sz w:val="22"/>
          <w:szCs w:val="22"/>
        </w:rPr>
        <w:t>American Journal of Orthopsychiatry</w:t>
      </w:r>
      <w:r w:rsidRPr="00001EE3">
        <w:rPr>
          <w:rFonts w:asciiTheme="minorHAnsi" w:hAnsiTheme="minorHAnsi" w:cstheme="minorHAnsi"/>
          <w:b w:val="0"/>
          <w:bCs w:val="0"/>
          <w:sz w:val="22"/>
          <w:szCs w:val="22"/>
        </w:rPr>
        <w:t xml:space="preserve"> Vol. 85: 2, pp.159–169 </w:t>
      </w:r>
    </w:p>
    <w:p w14:paraId="77339EF3" w14:textId="77777777" w:rsidR="00CA4824" w:rsidRDefault="00CA4824" w:rsidP="00FC51F0">
      <w:pPr>
        <w:pStyle w:val="Heading1"/>
        <w:shd w:val="clear" w:color="auto" w:fill="FFFFFF"/>
        <w:spacing w:before="0" w:beforeAutospacing="0" w:after="0" w:afterAutospacing="0"/>
        <w:rPr>
          <w:rFonts w:asciiTheme="minorHAnsi" w:hAnsiTheme="minorHAnsi" w:cstheme="minorHAnsi"/>
          <w:b w:val="0"/>
          <w:bCs w:val="0"/>
          <w:color w:val="111111"/>
          <w:sz w:val="22"/>
          <w:szCs w:val="22"/>
        </w:rPr>
      </w:pPr>
    </w:p>
    <w:p w14:paraId="65DF3D28" w14:textId="3D4BA724" w:rsidR="00CA4824" w:rsidRDefault="00CA4824" w:rsidP="00054D0D">
      <w:pPr>
        <w:widowControl w:val="0"/>
        <w:autoSpaceDE w:val="0"/>
        <w:autoSpaceDN w:val="0"/>
        <w:adjustRightInd w:val="0"/>
        <w:spacing w:after="0" w:line="240" w:lineRule="auto"/>
        <w:jc w:val="both"/>
        <w:rPr>
          <w:lang w:val="en-US"/>
        </w:rPr>
      </w:pPr>
      <w:r>
        <w:rPr>
          <w:lang w:val="en-US"/>
        </w:rPr>
        <w:t>Green, E., Hebron, S. and Woodward, D. (1987</w:t>
      </w:r>
      <w:r w:rsidR="004C2465">
        <w:rPr>
          <w:lang w:val="en-US"/>
        </w:rPr>
        <w:t>) ‘</w:t>
      </w:r>
      <w:r>
        <w:rPr>
          <w:lang w:val="en-US"/>
        </w:rPr>
        <w:t>Women, Leisure and Social Control</w:t>
      </w:r>
      <w:r w:rsidR="004C2465">
        <w:rPr>
          <w:lang w:val="en-US"/>
        </w:rPr>
        <w:t>’</w:t>
      </w:r>
      <w:r>
        <w:rPr>
          <w:lang w:val="en-US"/>
        </w:rPr>
        <w:t xml:space="preserve"> In J. </w:t>
      </w:r>
      <w:proofErr w:type="spellStart"/>
      <w:r>
        <w:rPr>
          <w:lang w:val="en-US"/>
        </w:rPr>
        <w:t>Hanmer</w:t>
      </w:r>
      <w:proofErr w:type="spellEnd"/>
      <w:r>
        <w:rPr>
          <w:lang w:val="en-US"/>
        </w:rPr>
        <w:t xml:space="preserve"> and M. Maynard (Eds.), </w:t>
      </w:r>
      <w:r>
        <w:rPr>
          <w:i/>
          <w:iCs/>
          <w:lang w:val="en-US"/>
        </w:rPr>
        <w:t>Women, Violence and Social Control</w:t>
      </w:r>
      <w:r>
        <w:rPr>
          <w:lang w:val="en-US"/>
        </w:rPr>
        <w:t>. London: Macmillan.</w:t>
      </w:r>
    </w:p>
    <w:p w14:paraId="1A57E4F9" w14:textId="77777777" w:rsidR="00054D0D" w:rsidRPr="00FC51F0" w:rsidRDefault="00054D0D" w:rsidP="00FC51F0">
      <w:pPr>
        <w:widowControl w:val="0"/>
        <w:autoSpaceDE w:val="0"/>
        <w:autoSpaceDN w:val="0"/>
        <w:adjustRightInd w:val="0"/>
        <w:spacing w:after="0" w:line="240" w:lineRule="auto"/>
        <w:ind w:hanging="720"/>
        <w:jc w:val="both"/>
        <w:rPr>
          <w:lang w:val="en-US"/>
        </w:rPr>
      </w:pPr>
    </w:p>
    <w:p w14:paraId="273776A0" w14:textId="4C3DC081" w:rsidR="006E0EDA" w:rsidRDefault="001E04CF" w:rsidP="00FC51F0">
      <w:pPr>
        <w:pStyle w:val="Heading1"/>
        <w:shd w:val="clear" w:color="auto" w:fill="FFFFFF"/>
        <w:spacing w:before="0" w:beforeAutospacing="0" w:after="0" w:afterAutospacing="0"/>
        <w:rPr>
          <w:rFonts w:asciiTheme="minorHAnsi" w:hAnsiTheme="minorHAnsi" w:cstheme="minorHAnsi"/>
          <w:b w:val="0"/>
          <w:bCs w:val="0"/>
          <w:color w:val="111111"/>
          <w:sz w:val="22"/>
          <w:szCs w:val="22"/>
        </w:rPr>
      </w:pPr>
      <w:r w:rsidRPr="00001EE3">
        <w:rPr>
          <w:rFonts w:asciiTheme="minorHAnsi" w:hAnsiTheme="minorHAnsi" w:cstheme="minorHAnsi"/>
          <w:b w:val="0"/>
          <w:bCs w:val="0"/>
          <w:color w:val="111111"/>
          <w:sz w:val="22"/>
          <w:szCs w:val="22"/>
        </w:rPr>
        <w:t xml:space="preserve">Hing, N., Breen, H., Gordon, A. &amp; Russell, A. (2014) </w:t>
      </w:r>
      <w:r w:rsidR="004C2465">
        <w:rPr>
          <w:rFonts w:asciiTheme="minorHAnsi" w:hAnsiTheme="minorHAnsi" w:cstheme="minorHAnsi"/>
          <w:b w:val="0"/>
          <w:bCs w:val="0"/>
          <w:color w:val="111111"/>
          <w:sz w:val="22"/>
          <w:szCs w:val="22"/>
        </w:rPr>
        <w:t>‘</w:t>
      </w:r>
      <w:r w:rsidRPr="000B5602">
        <w:rPr>
          <w:rFonts w:asciiTheme="minorHAnsi" w:hAnsiTheme="minorHAnsi" w:cstheme="minorHAnsi"/>
          <w:b w:val="0"/>
          <w:bCs w:val="0"/>
          <w:color w:val="111111"/>
          <w:sz w:val="22"/>
          <w:szCs w:val="22"/>
        </w:rPr>
        <w:t>Gambling Behaviour and Gambling Risk Factors for Indigenous Australian Women</w:t>
      </w:r>
      <w:r w:rsidR="004C2465">
        <w:rPr>
          <w:rFonts w:asciiTheme="minorHAnsi" w:hAnsiTheme="minorHAnsi" w:cstheme="minorHAnsi"/>
          <w:b w:val="0"/>
          <w:bCs w:val="0"/>
          <w:color w:val="111111"/>
          <w:sz w:val="22"/>
          <w:szCs w:val="22"/>
        </w:rPr>
        <w:t>’</w:t>
      </w:r>
      <w:r w:rsidRPr="004C2465">
        <w:rPr>
          <w:rFonts w:asciiTheme="minorHAnsi" w:hAnsiTheme="minorHAnsi" w:cstheme="minorHAnsi"/>
          <w:b w:val="0"/>
          <w:bCs w:val="0"/>
          <w:color w:val="111111"/>
          <w:sz w:val="22"/>
          <w:szCs w:val="22"/>
        </w:rPr>
        <w:t xml:space="preserve"> </w:t>
      </w:r>
      <w:r w:rsidRPr="00001EE3">
        <w:rPr>
          <w:rFonts w:asciiTheme="minorHAnsi" w:hAnsiTheme="minorHAnsi" w:cstheme="minorHAnsi"/>
          <w:b w:val="0"/>
          <w:bCs w:val="0"/>
          <w:color w:val="111111"/>
          <w:sz w:val="22"/>
          <w:szCs w:val="22"/>
        </w:rPr>
        <w:t xml:space="preserve">in </w:t>
      </w:r>
      <w:r w:rsidRPr="000B5602">
        <w:rPr>
          <w:rFonts w:asciiTheme="minorHAnsi" w:hAnsiTheme="minorHAnsi" w:cstheme="minorHAnsi"/>
          <w:b w:val="0"/>
          <w:bCs w:val="0"/>
          <w:i/>
          <w:iCs/>
          <w:color w:val="111111"/>
          <w:sz w:val="22"/>
          <w:szCs w:val="22"/>
        </w:rPr>
        <w:t>International Journal of Mental Health Addiction</w:t>
      </w:r>
      <w:r w:rsidRPr="00001EE3">
        <w:rPr>
          <w:rFonts w:asciiTheme="minorHAnsi" w:hAnsiTheme="minorHAnsi" w:cstheme="minorHAnsi"/>
          <w:b w:val="0"/>
          <w:bCs w:val="0"/>
          <w:color w:val="111111"/>
          <w:sz w:val="22"/>
          <w:szCs w:val="22"/>
        </w:rPr>
        <w:t xml:space="preserve"> Vol. 12:</w:t>
      </w:r>
      <w:r w:rsidR="004C2465">
        <w:rPr>
          <w:rFonts w:asciiTheme="minorHAnsi" w:hAnsiTheme="minorHAnsi" w:cstheme="minorHAnsi"/>
          <w:b w:val="0"/>
          <w:bCs w:val="0"/>
          <w:color w:val="111111"/>
          <w:sz w:val="22"/>
          <w:szCs w:val="22"/>
        </w:rPr>
        <w:t xml:space="preserve"> pp.</w:t>
      </w:r>
      <w:r w:rsidRPr="00001EE3">
        <w:rPr>
          <w:rFonts w:asciiTheme="minorHAnsi" w:hAnsiTheme="minorHAnsi" w:cstheme="minorHAnsi"/>
          <w:b w:val="0"/>
          <w:bCs w:val="0"/>
          <w:color w:val="111111"/>
          <w:sz w:val="22"/>
          <w:szCs w:val="22"/>
        </w:rPr>
        <w:t xml:space="preserve">1–20 </w:t>
      </w:r>
    </w:p>
    <w:p w14:paraId="6724E303" w14:textId="77777777" w:rsidR="00001EE3" w:rsidRPr="00001EE3" w:rsidRDefault="00001EE3" w:rsidP="00001EE3">
      <w:pPr>
        <w:pStyle w:val="Heading1"/>
        <w:shd w:val="clear" w:color="auto" w:fill="FFFFFF"/>
        <w:spacing w:before="0" w:beforeAutospacing="0" w:after="0" w:afterAutospacing="0"/>
        <w:rPr>
          <w:rFonts w:asciiTheme="minorHAnsi" w:hAnsiTheme="minorHAnsi" w:cstheme="minorHAnsi"/>
          <w:b w:val="0"/>
          <w:bCs w:val="0"/>
          <w:color w:val="111111"/>
          <w:sz w:val="22"/>
          <w:szCs w:val="22"/>
        </w:rPr>
      </w:pPr>
    </w:p>
    <w:p w14:paraId="7698919E" w14:textId="0B808A36" w:rsidR="004C2465" w:rsidRDefault="001E04CF" w:rsidP="00001EE3">
      <w:pPr>
        <w:pStyle w:val="Heading1"/>
        <w:shd w:val="clear" w:color="auto" w:fill="FFFFFF"/>
        <w:spacing w:before="0" w:beforeAutospacing="0" w:after="0" w:afterAutospacing="0"/>
        <w:rPr>
          <w:rFonts w:asciiTheme="minorHAnsi" w:hAnsiTheme="minorHAnsi" w:cstheme="minorHAnsi"/>
          <w:b w:val="0"/>
          <w:bCs w:val="0"/>
          <w:color w:val="201F1E"/>
          <w:sz w:val="22"/>
          <w:szCs w:val="22"/>
        </w:rPr>
      </w:pPr>
      <w:r w:rsidRPr="00001EE3">
        <w:rPr>
          <w:rFonts w:asciiTheme="minorHAnsi" w:hAnsiTheme="minorHAnsi" w:cstheme="minorHAnsi"/>
          <w:b w:val="0"/>
          <w:bCs w:val="0"/>
          <w:color w:val="201F1E"/>
          <w:sz w:val="22"/>
          <w:szCs w:val="22"/>
        </w:rPr>
        <w:t xml:space="preserve">Holdsworth, L., Hing, N. &amp; Breen, H. (2012) </w:t>
      </w:r>
      <w:r w:rsidR="004C2465">
        <w:rPr>
          <w:rFonts w:asciiTheme="minorHAnsi" w:hAnsiTheme="minorHAnsi" w:cstheme="minorHAnsi"/>
          <w:b w:val="0"/>
          <w:bCs w:val="0"/>
          <w:color w:val="201F1E"/>
          <w:sz w:val="22"/>
          <w:szCs w:val="22"/>
        </w:rPr>
        <w:t>‘E</w:t>
      </w:r>
      <w:r w:rsidRPr="00001EE3">
        <w:rPr>
          <w:rFonts w:asciiTheme="minorHAnsi" w:hAnsiTheme="minorHAnsi" w:cstheme="minorHAnsi"/>
          <w:b w:val="0"/>
          <w:bCs w:val="0"/>
          <w:color w:val="201F1E"/>
          <w:sz w:val="22"/>
          <w:szCs w:val="22"/>
        </w:rPr>
        <w:t xml:space="preserve">xploring </w:t>
      </w:r>
      <w:r w:rsidR="004C2465">
        <w:rPr>
          <w:rFonts w:asciiTheme="minorHAnsi" w:hAnsiTheme="minorHAnsi" w:cstheme="minorHAnsi"/>
          <w:b w:val="0"/>
          <w:bCs w:val="0"/>
          <w:color w:val="201F1E"/>
          <w:sz w:val="22"/>
          <w:szCs w:val="22"/>
        </w:rPr>
        <w:t>W</w:t>
      </w:r>
      <w:r w:rsidRPr="00001EE3">
        <w:rPr>
          <w:rFonts w:asciiTheme="minorHAnsi" w:hAnsiTheme="minorHAnsi" w:cstheme="minorHAnsi"/>
          <w:b w:val="0"/>
          <w:bCs w:val="0"/>
          <w:color w:val="201F1E"/>
          <w:sz w:val="22"/>
          <w:szCs w:val="22"/>
        </w:rPr>
        <w:t xml:space="preserve">omen’s </w:t>
      </w:r>
      <w:r w:rsidR="004C2465">
        <w:rPr>
          <w:rFonts w:asciiTheme="minorHAnsi" w:hAnsiTheme="minorHAnsi" w:cstheme="minorHAnsi"/>
          <w:b w:val="0"/>
          <w:bCs w:val="0"/>
          <w:color w:val="201F1E"/>
          <w:sz w:val="22"/>
          <w:szCs w:val="22"/>
        </w:rPr>
        <w:t>P</w:t>
      </w:r>
      <w:r w:rsidRPr="00001EE3">
        <w:rPr>
          <w:rFonts w:asciiTheme="minorHAnsi" w:hAnsiTheme="minorHAnsi" w:cstheme="minorHAnsi"/>
          <w:b w:val="0"/>
          <w:bCs w:val="0"/>
          <w:color w:val="201F1E"/>
          <w:sz w:val="22"/>
          <w:szCs w:val="22"/>
        </w:rPr>
        <w:t xml:space="preserve">roblem </w:t>
      </w:r>
      <w:r w:rsidR="004C2465">
        <w:rPr>
          <w:rFonts w:asciiTheme="minorHAnsi" w:hAnsiTheme="minorHAnsi" w:cstheme="minorHAnsi"/>
          <w:b w:val="0"/>
          <w:bCs w:val="0"/>
          <w:color w:val="201F1E"/>
          <w:sz w:val="22"/>
          <w:szCs w:val="22"/>
        </w:rPr>
        <w:t>G</w:t>
      </w:r>
      <w:r w:rsidRPr="00001EE3">
        <w:rPr>
          <w:rFonts w:asciiTheme="minorHAnsi" w:hAnsiTheme="minorHAnsi" w:cstheme="minorHAnsi"/>
          <w:b w:val="0"/>
          <w:bCs w:val="0"/>
          <w:color w:val="201F1E"/>
          <w:sz w:val="22"/>
          <w:szCs w:val="22"/>
        </w:rPr>
        <w:t xml:space="preserve">ambling: </w:t>
      </w:r>
      <w:proofErr w:type="gramStart"/>
      <w:r w:rsidRPr="00001EE3">
        <w:rPr>
          <w:rFonts w:asciiTheme="minorHAnsi" w:hAnsiTheme="minorHAnsi" w:cstheme="minorHAnsi"/>
          <w:b w:val="0"/>
          <w:bCs w:val="0"/>
          <w:color w:val="201F1E"/>
          <w:sz w:val="22"/>
          <w:szCs w:val="22"/>
        </w:rPr>
        <w:t>a</w:t>
      </w:r>
      <w:proofErr w:type="gramEnd"/>
      <w:r w:rsidRPr="00001EE3">
        <w:rPr>
          <w:rFonts w:asciiTheme="minorHAnsi" w:hAnsiTheme="minorHAnsi" w:cstheme="minorHAnsi"/>
          <w:b w:val="0"/>
          <w:bCs w:val="0"/>
          <w:color w:val="201F1E"/>
          <w:sz w:val="22"/>
          <w:szCs w:val="22"/>
        </w:rPr>
        <w:t xml:space="preserve"> </w:t>
      </w:r>
      <w:r w:rsidR="004C2465">
        <w:rPr>
          <w:rFonts w:asciiTheme="minorHAnsi" w:hAnsiTheme="minorHAnsi" w:cstheme="minorHAnsi"/>
          <w:b w:val="0"/>
          <w:bCs w:val="0"/>
          <w:color w:val="201F1E"/>
          <w:sz w:val="22"/>
          <w:szCs w:val="22"/>
        </w:rPr>
        <w:t>R</w:t>
      </w:r>
      <w:r w:rsidRPr="00001EE3">
        <w:rPr>
          <w:rFonts w:asciiTheme="minorHAnsi" w:hAnsiTheme="minorHAnsi" w:cstheme="minorHAnsi"/>
          <w:b w:val="0"/>
          <w:bCs w:val="0"/>
          <w:color w:val="201F1E"/>
          <w:sz w:val="22"/>
          <w:szCs w:val="22"/>
        </w:rPr>
        <w:t xml:space="preserve">eview of the </w:t>
      </w:r>
      <w:r w:rsidR="004C2465">
        <w:rPr>
          <w:rFonts w:asciiTheme="minorHAnsi" w:hAnsiTheme="minorHAnsi" w:cstheme="minorHAnsi"/>
          <w:b w:val="0"/>
          <w:bCs w:val="0"/>
          <w:color w:val="201F1E"/>
          <w:sz w:val="22"/>
          <w:szCs w:val="22"/>
        </w:rPr>
        <w:t>L</w:t>
      </w:r>
      <w:r w:rsidRPr="00001EE3">
        <w:rPr>
          <w:rFonts w:asciiTheme="minorHAnsi" w:hAnsiTheme="minorHAnsi" w:cstheme="minorHAnsi"/>
          <w:b w:val="0"/>
          <w:bCs w:val="0"/>
          <w:color w:val="201F1E"/>
          <w:sz w:val="22"/>
          <w:szCs w:val="22"/>
        </w:rPr>
        <w:t>iterature</w:t>
      </w:r>
      <w:r w:rsidR="004C2465">
        <w:rPr>
          <w:rFonts w:asciiTheme="minorHAnsi" w:hAnsiTheme="minorHAnsi" w:cstheme="minorHAnsi"/>
          <w:b w:val="0"/>
          <w:bCs w:val="0"/>
          <w:color w:val="201F1E"/>
          <w:sz w:val="22"/>
          <w:szCs w:val="22"/>
        </w:rPr>
        <w:t>’</w:t>
      </w:r>
      <w:r w:rsidRPr="00001EE3">
        <w:rPr>
          <w:rFonts w:asciiTheme="minorHAnsi" w:hAnsiTheme="minorHAnsi" w:cstheme="minorHAnsi"/>
          <w:b w:val="0"/>
          <w:bCs w:val="0"/>
          <w:color w:val="201F1E"/>
          <w:sz w:val="22"/>
          <w:szCs w:val="22"/>
        </w:rPr>
        <w:t xml:space="preserve"> in </w:t>
      </w:r>
      <w:r w:rsidR="004C2465" w:rsidRPr="000B5602">
        <w:rPr>
          <w:rFonts w:asciiTheme="minorHAnsi" w:hAnsiTheme="minorHAnsi" w:cstheme="minorHAnsi"/>
          <w:b w:val="0"/>
          <w:bCs w:val="0"/>
          <w:i/>
          <w:iCs/>
          <w:color w:val="201F1E"/>
          <w:sz w:val="22"/>
          <w:szCs w:val="22"/>
        </w:rPr>
        <w:t>I</w:t>
      </w:r>
      <w:r w:rsidRPr="000B5602">
        <w:rPr>
          <w:rFonts w:asciiTheme="minorHAnsi" w:hAnsiTheme="minorHAnsi" w:cstheme="minorHAnsi"/>
          <w:b w:val="0"/>
          <w:bCs w:val="0"/>
          <w:i/>
          <w:iCs/>
          <w:color w:val="201F1E"/>
          <w:sz w:val="22"/>
          <w:szCs w:val="22"/>
        </w:rPr>
        <w:t xml:space="preserve">nternational </w:t>
      </w:r>
      <w:r w:rsidR="004C2465" w:rsidRPr="000B5602">
        <w:rPr>
          <w:rFonts w:asciiTheme="minorHAnsi" w:hAnsiTheme="minorHAnsi" w:cstheme="minorHAnsi"/>
          <w:b w:val="0"/>
          <w:bCs w:val="0"/>
          <w:i/>
          <w:iCs/>
          <w:color w:val="201F1E"/>
          <w:sz w:val="22"/>
          <w:szCs w:val="22"/>
        </w:rPr>
        <w:t>G</w:t>
      </w:r>
      <w:r w:rsidRPr="000B5602">
        <w:rPr>
          <w:rFonts w:asciiTheme="minorHAnsi" w:hAnsiTheme="minorHAnsi" w:cstheme="minorHAnsi"/>
          <w:b w:val="0"/>
          <w:bCs w:val="0"/>
          <w:i/>
          <w:iCs/>
          <w:color w:val="201F1E"/>
          <w:sz w:val="22"/>
          <w:szCs w:val="22"/>
        </w:rPr>
        <w:t xml:space="preserve">ambling </w:t>
      </w:r>
      <w:r w:rsidR="004C2465" w:rsidRPr="000B5602">
        <w:rPr>
          <w:rFonts w:asciiTheme="minorHAnsi" w:hAnsiTheme="minorHAnsi" w:cstheme="minorHAnsi"/>
          <w:b w:val="0"/>
          <w:bCs w:val="0"/>
          <w:i/>
          <w:iCs/>
          <w:color w:val="201F1E"/>
          <w:sz w:val="22"/>
          <w:szCs w:val="22"/>
        </w:rPr>
        <w:t>S</w:t>
      </w:r>
      <w:r w:rsidRPr="000B5602">
        <w:rPr>
          <w:rFonts w:asciiTheme="minorHAnsi" w:hAnsiTheme="minorHAnsi" w:cstheme="minorHAnsi"/>
          <w:b w:val="0"/>
          <w:bCs w:val="0"/>
          <w:i/>
          <w:iCs/>
          <w:color w:val="201F1E"/>
          <w:sz w:val="22"/>
          <w:szCs w:val="22"/>
        </w:rPr>
        <w:t>tudies</w:t>
      </w:r>
      <w:r w:rsidRPr="00001EE3">
        <w:rPr>
          <w:rFonts w:asciiTheme="minorHAnsi" w:hAnsiTheme="minorHAnsi" w:cstheme="minorHAnsi"/>
          <w:b w:val="0"/>
          <w:bCs w:val="0"/>
          <w:color w:val="201F1E"/>
          <w:sz w:val="22"/>
          <w:szCs w:val="22"/>
        </w:rPr>
        <w:t>, Vol.12:2, pp.199</w:t>
      </w:r>
      <w:r w:rsidRPr="00C81AA0">
        <w:rPr>
          <w:rFonts w:asciiTheme="minorHAnsi" w:hAnsiTheme="minorHAnsi" w:cstheme="minorHAnsi"/>
          <w:color w:val="201F1E"/>
          <w:sz w:val="22"/>
          <w:szCs w:val="22"/>
        </w:rPr>
        <w:t>-</w:t>
      </w:r>
      <w:r w:rsidRPr="00001EE3">
        <w:rPr>
          <w:rFonts w:asciiTheme="minorHAnsi" w:hAnsiTheme="minorHAnsi" w:cstheme="minorHAnsi"/>
          <w:b w:val="0"/>
          <w:bCs w:val="0"/>
          <w:color w:val="201F1E"/>
          <w:sz w:val="22"/>
          <w:szCs w:val="22"/>
        </w:rPr>
        <w:t>213</w:t>
      </w:r>
    </w:p>
    <w:p w14:paraId="7F66D5C6" w14:textId="77777777" w:rsidR="00001EE3" w:rsidRPr="006E0EDA" w:rsidRDefault="00001EE3" w:rsidP="00001EE3">
      <w:pPr>
        <w:pStyle w:val="Heading1"/>
        <w:shd w:val="clear" w:color="auto" w:fill="FFFFFF"/>
        <w:spacing w:before="0" w:beforeAutospacing="0" w:after="0" w:afterAutospacing="0"/>
        <w:rPr>
          <w:rFonts w:asciiTheme="minorHAnsi" w:hAnsiTheme="minorHAnsi" w:cstheme="minorHAnsi"/>
          <w:b w:val="0"/>
          <w:bCs w:val="0"/>
          <w:color w:val="171B1F"/>
          <w:sz w:val="22"/>
          <w:szCs w:val="22"/>
        </w:rPr>
      </w:pPr>
    </w:p>
    <w:p w14:paraId="13D47401" w14:textId="52B6649F" w:rsidR="00406732" w:rsidRDefault="00406732" w:rsidP="00001EE3">
      <w:pPr>
        <w:spacing w:after="0" w:line="240" w:lineRule="auto"/>
        <w:rPr>
          <w:rFonts w:cstheme="minorHAnsi"/>
        </w:rPr>
      </w:pPr>
      <w:proofErr w:type="spellStart"/>
      <w:r w:rsidRPr="00C81AA0">
        <w:rPr>
          <w:rFonts w:cstheme="minorHAnsi"/>
        </w:rPr>
        <w:t>Jarvinen-Tassopoulos</w:t>
      </w:r>
      <w:proofErr w:type="spellEnd"/>
      <w:r w:rsidRPr="00C81AA0">
        <w:rPr>
          <w:rFonts w:cstheme="minorHAnsi"/>
        </w:rPr>
        <w:t xml:space="preserve">, J. (2016) </w:t>
      </w:r>
      <w:r w:rsidR="004C2465">
        <w:rPr>
          <w:rFonts w:cstheme="minorHAnsi"/>
        </w:rPr>
        <w:t>‘</w:t>
      </w:r>
      <w:r w:rsidRPr="000B5602">
        <w:rPr>
          <w:rFonts w:cstheme="minorHAnsi"/>
        </w:rPr>
        <w:t xml:space="preserve">Problem </w:t>
      </w:r>
      <w:r w:rsidR="004C2465" w:rsidRPr="000B5602">
        <w:rPr>
          <w:rFonts w:cstheme="minorHAnsi"/>
        </w:rPr>
        <w:t>G</w:t>
      </w:r>
      <w:r w:rsidRPr="000B5602">
        <w:rPr>
          <w:rFonts w:cstheme="minorHAnsi"/>
        </w:rPr>
        <w:t xml:space="preserve">ambling and </w:t>
      </w:r>
      <w:r w:rsidR="004C2465" w:rsidRPr="000B5602">
        <w:rPr>
          <w:rFonts w:cstheme="minorHAnsi"/>
        </w:rPr>
        <w:t>D</w:t>
      </w:r>
      <w:r w:rsidRPr="000B5602">
        <w:rPr>
          <w:rFonts w:cstheme="minorHAnsi"/>
        </w:rPr>
        <w:t xml:space="preserve">rinking </w:t>
      </w:r>
      <w:r w:rsidR="004C2465" w:rsidRPr="000B5602">
        <w:rPr>
          <w:rFonts w:cstheme="minorHAnsi"/>
        </w:rPr>
        <w:t>A</w:t>
      </w:r>
      <w:r w:rsidRPr="000B5602">
        <w:rPr>
          <w:rFonts w:cstheme="minorHAnsi"/>
        </w:rPr>
        <w:t xml:space="preserve">mong Finnish </w:t>
      </w:r>
      <w:r w:rsidR="004C2465" w:rsidRPr="000B5602">
        <w:rPr>
          <w:rFonts w:cstheme="minorHAnsi"/>
        </w:rPr>
        <w:t>W</w:t>
      </w:r>
      <w:r w:rsidRPr="000B5602">
        <w:rPr>
          <w:rFonts w:cstheme="minorHAnsi"/>
        </w:rPr>
        <w:t>omen</w:t>
      </w:r>
      <w:r w:rsidR="004C2465">
        <w:rPr>
          <w:rFonts w:cstheme="minorHAnsi"/>
        </w:rPr>
        <w:t>’</w:t>
      </w:r>
      <w:r w:rsidRPr="00C81AA0">
        <w:rPr>
          <w:rFonts w:cstheme="minorHAnsi"/>
        </w:rPr>
        <w:t xml:space="preserve"> in </w:t>
      </w:r>
      <w:r w:rsidRPr="000B5602">
        <w:rPr>
          <w:rFonts w:cstheme="minorHAnsi"/>
          <w:i/>
          <w:iCs/>
        </w:rPr>
        <w:t>Nordic Studies on Alcohol and Drugs</w:t>
      </w:r>
      <w:r w:rsidRPr="00C81AA0">
        <w:rPr>
          <w:rFonts w:cstheme="minorHAnsi"/>
        </w:rPr>
        <w:t xml:space="preserve"> Vol. 33</w:t>
      </w:r>
      <w:r w:rsidR="004A7F81">
        <w:rPr>
          <w:rFonts w:cstheme="minorHAnsi"/>
        </w:rPr>
        <w:t>; pp.27-42</w:t>
      </w:r>
    </w:p>
    <w:p w14:paraId="2AD11D47" w14:textId="77777777" w:rsidR="00001EE3" w:rsidRDefault="00001EE3" w:rsidP="00001EE3">
      <w:pPr>
        <w:spacing w:after="0" w:line="240" w:lineRule="auto"/>
        <w:rPr>
          <w:rFonts w:cstheme="minorHAnsi"/>
        </w:rPr>
      </w:pPr>
    </w:p>
    <w:p w14:paraId="22DA60C2" w14:textId="7E05D578" w:rsidR="001E04CF" w:rsidRDefault="001E04CF" w:rsidP="00001EE3">
      <w:pPr>
        <w:pStyle w:val="NormalWeb"/>
        <w:spacing w:before="0" w:beforeAutospacing="0" w:after="0" w:afterAutospacing="0"/>
        <w:rPr>
          <w:rFonts w:asciiTheme="minorHAnsi" w:hAnsiTheme="minorHAnsi" w:cstheme="minorHAnsi"/>
          <w:color w:val="111111"/>
          <w:sz w:val="22"/>
          <w:szCs w:val="22"/>
        </w:rPr>
      </w:pPr>
      <w:r w:rsidRPr="00C81AA0">
        <w:rPr>
          <w:rFonts w:asciiTheme="minorHAnsi" w:hAnsiTheme="minorHAnsi" w:cstheme="minorHAnsi"/>
          <w:sz w:val="22"/>
          <w:szCs w:val="22"/>
        </w:rPr>
        <w:t xml:space="preserve">McCarthy, S., Thomas, S., Bellringer, M. &amp; Cassidy, R. (2019) </w:t>
      </w:r>
      <w:r w:rsidR="004A7F81">
        <w:rPr>
          <w:rFonts w:asciiTheme="minorHAnsi" w:hAnsiTheme="minorHAnsi" w:cstheme="minorHAnsi"/>
          <w:sz w:val="22"/>
          <w:szCs w:val="22"/>
        </w:rPr>
        <w:t>‘</w:t>
      </w:r>
      <w:r w:rsidRPr="000B5602">
        <w:rPr>
          <w:rFonts w:asciiTheme="minorHAnsi" w:hAnsiTheme="minorHAnsi" w:cstheme="minorHAnsi"/>
          <w:color w:val="111111"/>
          <w:sz w:val="22"/>
          <w:szCs w:val="22"/>
        </w:rPr>
        <w:t xml:space="preserve">Women and </w:t>
      </w:r>
      <w:r w:rsidR="004A7F81">
        <w:rPr>
          <w:rFonts w:asciiTheme="minorHAnsi" w:hAnsiTheme="minorHAnsi" w:cstheme="minorHAnsi"/>
          <w:color w:val="111111"/>
          <w:sz w:val="22"/>
          <w:szCs w:val="22"/>
        </w:rPr>
        <w:t>G</w:t>
      </w:r>
      <w:r w:rsidRPr="000B5602">
        <w:rPr>
          <w:rFonts w:asciiTheme="minorHAnsi" w:hAnsiTheme="minorHAnsi" w:cstheme="minorHAnsi"/>
          <w:color w:val="111111"/>
          <w:sz w:val="22"/>
          <w:szCs w:val="22"/>
        </w:rPr>
        <w:t>ambling-</w:t>
      </w:r>
      <w:r w:rsidR="004A7F81">
        <w:rPr>
          <w:rFonts w:asciiTheme="minorHAnsi" w:hAnsiTheme="minorHAnsi" w:cstheme="minorHAnsi"/>
          <w:color w:val="111111"/>
          <w:sz w:val="22"/>
          <w:szCs w:val="22"/>
        </w:rPr>
        <w:t>R</w:t>
      </w:r>
      <w:r w:rsidRPr="000B5602">
        <w:rPr>
          <w:rFonts w:asciiTheme="minorHAnsi" w:hAnsiTheme="minorHAnsi" w:cstheme="minorHAnsi"/>
          <w:color w:val="111111"/>
          <w:sz w:val="22"/>
          <w:szCs w:val="22"/>
        </w:rPr>
        <w:t xml:space="preserve">elated </w:t>
      </w:r>
      <w:r w:rsidR="004A7F81">
        <w:rPr>
          <w:rFonts w:asciiTheme="minorHAnsi" w:hAnsiTheme="minorHAnsi" w:cstheme="minorHAnsi"/>
          <w:color w:val="111111"/>
          <w:sz w:val="22"/>
          <w:szCs w:val="22"/>
        </w:rPr>
        <w:t>H</w:t>
      </w:r>
      <w:r w:rsidRPr="000B5602">
        <w:rPr>
          <w:rFonts w:asciiTheme="minorHAnsi" w:hAnsiTheme="minorHAnsi" w:cstheme="minorHAnsi"/>
          <w:color w:val="111111"/>
          <w:sz w:val="22"/>
          <w:szCs w:val="22"/>
        </w:rPr>
        <w:t xml:space="preserve">arm: </w:t>
      </w:r>
      <w:proofErr w:type="gramStart"/>
      <w:r w:rsidRPr="000B5602">
        <w:rPr>
          <w:rFonts w:asciiTheme="minorHAnsi" w:hAnsiTheme="minorHAnsi" w:cstheme="minorHAnsi"/>
          <w:color w:val="111111"/>
          <w:sz w:val="22"/>
          <w:szCs w:val="22"/>
        </w:rPr>
        <w:t>a</w:t>
      </w:r>
      <w:proofErr w:type="gramEnd"/>
      <w:r w:rsidRPr="000B5602">
        <w:rPr>
          <w:rFonts w:asciiTheme="minorHAnsi" w:hAnsiTheme="minorHAnsi" w:cstheme="minorHAnsi"/>
          <w:color w:val="111111"/>
          <w:sz w:val="22"/>
          <w:szCs w:val="22"/>
        </w:rPr>
        <w:t xml:space="preserve"> </w:t>
      </w:r>
      <w:r w:rsidR="004A7F81">
        <w:rPr>
          <w:rFonts w:asciiTheme="minorHAnsi" w:hAnsiTheme="minorHAnsi" w:cstheme="minorHAnsi"/>
          <w:color w:val="111111"/>
          <w:sz w:val="22"/>
          <w:szCs w:val="22"/>
        </w:rPr>
        <w:t>N</w:t>
      </w:r>
      <w:r w:rsidRPr="000B5602">
        <w:rPr>
          <w:rFonts w:asciiTheme="minorHAnsi" w:hAnsiTheme="minorHAnsi" w:cstheme="minorHAnsi"/>
          <w:color w:val="111111"/>
          <w:sz w:val="22"/>
          <w:szCs w:val="22"/>
        </w:rPr>
        <w:t xml:space="preserve">arrative </w:t>
      </w:r>
      <w:r w:rsidR="004A7F81">
        <w:rPr>
          <w:rFonts w:asciiTheme="minorHAnsi" w:hAnsiTheme="minorHAnsi" w:cstheme="minorHAnsi"/>
          <w:color w:val="111111"/>
          <w:sz w:val="22"/>
          <w:szCs w:val="22"/>
        </w:rPr>
        <w:t>L</w:t>
      </w:r>
      <w:r w:rsidRPr="000B5602">
        <w:rPr>
          <w:rFonts w:asciiTheme="minorHAnsi" w:hAnsiTheme="minorHAnsi" w:cstheme="minorHAnsi"/>
          <w:color w:val="111111"/>
          <w:sz w:val="22"/>
          <w:szCs w:val="22"/>
        </w:rPr>
        <w:t xml:space="preserve">iterature </w:t>
      </w:r>
      <w:r w:rsidR="004A7F81">
        <w:rPr>
          <w:rFonts w:asciiTheme="minorHAnsi" w:hAnsiTheme="minorHAnsi" w:cstheme="minorHAnsi"/>
          <w:color w:val="111111"/>
          <w:sz w:val="22"/>
          <w:szCs w:val="22"/>
        </w:rPr>
        <w:t>R</w:t>
      </w:r>
      <w:r w:rsidRPr="000B5602">
        <w:rPr>
          <w:rFonts w:asciiTheme="minorHAnsi" w:hAnsiTheme="minorHAnsi" w:cstheme="minorHAnsi"/>
          <w:color w:val="111111"/>
          <w:sz w:val="22"/>
          <w:szCs w:val="22"/>
        </w:rPr>
        <w:t xml:space="preserve">eview and </w:t>
      </w:r>
      <w:r w:rsidR="004A7F81">
        <w:rPr>
          <w:rFonts w:asciiTheme="minorHAnsi" w:hAnsiTheme="minorHAnsi" w:cstheme="minorHAnsi"/>
          <w:color w:val="111111"/>
          <w:sz w:val="22"/>
          <w:szCs w:val="22"/>
        </w:rPr>
        <w:t>I</w:t>
      </w:r>
      <w:r w:rsidRPr="000B5602">
        <w:rPr>
          <w:rFonts w:asciiTheme="minorHAnsi" w:hAnsiTheme="minorHAnsi" w:cstheme="minorHAnsi"/>
          <w:color w:val="111111"/>
          <w:sz w:val="22"/>
          <w:szCs w:val="22"/>
        </w:rPr>
        <w:t xml:space="preserve">mplications for </w:t>
      </w:r>
      <w:r w:rsidR="004A7F81">
        <w:rPr>
          <w:rFonts w:asciiTheme="minorHAnsi" w:hAnsiTheme="minorHAnsi" w:cstheme="minorHAnsi"/>
          <w:color w:val="111111"/>
          <w:sz w:val="22"/>
          <w:szCs w:val="22"/>
        </w:rPr>
        <w:t>R</w:t>
      </w:r>
      <w:r w:rsidRPr="000B5602">
        <w:rPr>
          <w:rFonts w:asciiTheme="minorHAnsi" w:hAnsiTheme="minorHAnsi" w:cstheme="minorHAnsi"/>
          <w:color w:val="111111"/>
          <w:sz w:val="22"/>
          <w:szCs w:val="22"/>
        </w:rPr>
        <w:t xml:space="preserve">esearch, </w:t>
      </w:r>
      <w:r w:rsidR="004A7F81">
        <w:rPr>
          <w:rFonts w:asciiTheme="minorHAnsi" w:hAnsiTheme="minorHAnsi" w:cstheme="minorHAnsi"/>
          <w:color w:val="111111"/>
          <w:sz w:val="22"/>
          <w:szCs w:val="22"/>
        </w:rPr>
        <w:t>P</w:t>
      </w:r>
      <w:r w:rsidRPr="000B5602">
        <w:rPr>
          <w:rFonts w:asciiTheme="minorHAnsi" w:hAnsiTheme="minorHAnsi" w:cstheme="minorHAnsi"/>
          <w:color w:val="111111"/>
          <w:sz w:val="22"/>
          <w:szCs w:val="22"/>
        </w:rPr>
        <w:t xml:space="preserve">olicy, and </w:t>
      </w:r>
      <w:r w:rsidR="004A7F81">
        <w:rPr>
          <w:rFonts w:asciiTheme="minorHAnsi" w:hAnsiTheme="minorHAnsi" w:cstheme="minorHAnsi"/>
          <w:color w:val="111111"/>
          <w:sz w:val="22"/>
          <w:szCs w:val="22"/>
        </w:rPr>
        <w:t>P</w:t>
      </w:r>
      <w:r w:rsidRPr="000B5602">
        <w:rPr>
          <w:rFonts w:asciiTheme="minorHAnsi" w:hAnsiTheme="minorHAnsi" w:cstheme="minorHAnsi"/>
          <w:color w:val="111111"/>
          <w:sz w:val="22"/>
          <w:szCs w:val="22"/>
        </w:rPr>
        <w:t>ractice</w:t>
      </w:r>
      <w:r w:rsidR="004A7F81">
        <w:rPr>
          <w:rFonts w:asciiTheme="minorHAnsi" w:hAnsiTheme="minorHAnsi" w:cstheme="minorHAnsi"/>
          <w:color w:val="111111"/>
          <w:sz w:val="22"/>
          <w:szCs w:val="22"/>
        </w:rPr>
        <w:t>’</w:t>
      </w:r>
      <w:r w:rsidRPr="00C81AA0">
        <w:rPr>
          <w:rFonts w:asciiTheme="minorHAnsi" w:hAnsiTheme="minorHAnsi" w:cstheme="minorHAnsi"/>
          <w:color w:val="111111"/>
          <w:sz w:val="22"/>
          <w:szCs w:val="22"/>
        </w:rPr>
        <w:t xml:space="preserve"> in </w:t>
      </w:r>
      <w:r w:rsidRPr="000B5602">
        <w:rPr>
          <w:rFonts w:asciiTheme="minorHAnsi" w:hAnsiTheme="minorHAnsi" w:cstheme="minorHAnsi"/>
          <w:i/>
          <w:iCs/>
          <w:color w:val="111111"/>
          <w:sz w:val="22"/>
          <w:szCs w:val="22"/>
        </w:rPr>
        <w:t>Harm Reduction Journal</w:t>
      </w:r>
      <w:r w:rsidRPr="00C81AA0">
        <w:rPr>
          <w:rFonts w:asciiTheme="minorHAnsi" w:hAnsiTheme="minorHAnsi" w:cstheme="minorHAnsi"/>
          <w:color w:val="111111"/>
          <w:sz w:val="22"/>
          <w:szCs w:val="22"/>
        </w:rPr>
        <w:t xml:space="preserve"> Vol 16:18 </w:t>
      </w:r>
      <w:hyperlink r:id="rId9" w:history="1">
        <w:r w:rsidR="00001EE3" w:rsidRPr="00C03965">
          <w:rPr>
            <w:rStyle w:val="Hyperlink"/>
            <w:rFonts w:asciiTheme="minorHAnsi" w:hAnsiTheme="minorHAnsi" w:cstheme="minorHAnsi"/>
            <w:sz w:val="22"/>
            <w:szCs w:val="22"/>
          </w:rPr>
          <w:t>https://doi.org/10.1186/s12954-019-0284-8</w:t>
        </w:r>
      </w:hyperlink>
      <w:r w:rsidRPr="00C81AA0">
        <w:rPr>
          <w:rFonts w:asciiTheme="minorHAnsi" w:hAnsiTheme="minorHAnsi" w:cstheme="minorHAnsi"/>
          <w:color w:val="111111"/>
          <w:sz w:val="22"/>
          <w:szCs w:val="22"/>
        </w:rPr>
        <w:t xml:space="preserve"> </w:t>
      </w:r>
    </w:p>
    <w:p w14:paraId="11A6741B" w14:textId="77777777" w:rsidR="00001EE3" w:rsidRPr="00C81AA0" w:rsidRDefault="00001EE3" w:rsidP="00001EE3">
      <w:pPr>
        <w:pStyle w:val="NormalWeb"/>
        <w:spacing w:before="0" w:beforeAutospacing="0" w:after="0" w:afterAutospacing="0"/>
        <w:rPr>
          <w:rFonts w:asciiTheme="minorHAnsi" w:hAnsiTheme="minorHAnsi" w:cstheme="minorHAnsi"/>
          <w:sz w:val="22"/>
          <w:szCs w:val="22"/>
        </w:rPr>
      </w:pPr>
    </w:p>
    <w:p w14:paraId="3648D32E" w14:textId="4520C2A4" w:rsidR="001E04CF" w:rsidRDefault="001E04CF" w:rsidP="00001EE3">
      <w:pPr>
        <w:shd w:val="clear" w:color="auto" w:fill="FFFFFF"/>
        <w:spacing w:after="0" w:line="240" w:lineRule="auto"/>
        <w:textAlignment w:val="baseline"/>
        <w:rPr>
          <w:rFonts w:eastAsia="Times New Roman" w:cstheme="minorHAnsi"/>
          <w:color w:val="201F1E"/>
          <w:lang w:eastAsia="en-GB"/>
        </w:rPr>
      </w:pPr>
      <w:r w:rsidRPr="00C81AA0">
        <w:rPr>
          <w:rFonts w:eastAsia="Times New Roman" w:cstheme="minorHAnsi"/>
          <w:color w:val="201F1E"/>
          <w:lang w:eastAsia="en-GB"/>
        </w:rPr>
        <w:t>McGowan, V.</w:t>
      </w:r>
      <w:r w:rsidR="004A7F81">
        <w:rPr>
          <w:rFonts w:eastAsia="Times New Roman" w:cstheme="minorHAnsi"/>
          <w:color w:val="201F1E"/>
          <w:lang w:eastAsia="en-GB"/>
        </w:rPr>
        <w:t xml:space="preserve"> </w:t>
      </w:r>
      <w:r w:rsidRPr="00C81AA0">
        <w:rPr>
          <w:rFonts w:eastAsia="Times New Roman" w:cstheme="minorHAnsi"/>
          <w:color w:val="201F1E"/>
          <w:lang w:eastAsia="en-GB"/>
        </w:rPr>
        <w:t xml:space="preserve">(2003) </w:t>
      </w:r>
      <w:r w:rsidR="004A7F81">
        <w:rPr>
          <w:rFonts w:eastAsia="Times New Roman" w:cstheme="minorHAnsi"/>
          <w:color w:val="201F1E"/>
          <w:lang w:eastAsia="en-GB"/>
        </w:rPr>
        <w:t>‘</w:t>
      </w:r>
      <w:r w:rsidRPr="000B5602">
        <w:rPr>
          <w:rFonts w:eastAsia="Times New Roman" w:cstheme="minorHAnsi"/>
          <w:color w:val="201F1E"/>
          <w:lang w:eastAsia="en-GB"/>
        </w:rPr>
        <w:t>Counter-Story, Resistance and Reconciliation in Online Narratives of Women in Recovery from Problem Gambling</w:t>
      </w:r>
      <w:r w:rsidR="004A7F81">
        <w:rPr>
          <w:rFonts w:eastAsia="Times New Roman" w:cstheme="minorHAnsi"/>
          <w:color w:val="201F1E"/>
          <w:lang w:eastAsia="en-GB"/>
        </w:rPr>
        <w:t>’</w:t>
      </w:r>
      <w:r w:rsidRPr="00C81AA0">
        <w:rPr>
          <w:rFonts w:eastAsia="Times New Roman" w:cstheme="minorHAnsi"/>
          <w:color w:val="201F1E"/>
          <w:lang w:eastAsia="en-GB"/>
        </w:rPr>
        <w:t xml:space="preserve"> in </w:t>
      </w:r>
      <w:r w:rsidRPr="000B5602">
        <w:rPr>
          <w:rFonts w:eastAsia="Times New Roman" w:cstheme="minorHAnsi"/>
          <w:i/>
          <w:iCs/>
          <w:color w:val="201F1E"/>
          <w:lang w:eastAsia="en-GB"/>
        </w:rPr>
        <w:t>International Gambling Studies</w:t>
      </w:r>
      <w:r w:rsidRPr="00C81AA0">
        <w:rPr>
          <w:rFonts w:eastAsia="Times New Roman" w:cstheme="minorHAnsi"/>
          <w:color w:val="201F1E"/>
          <w:lang w:eastAsia="en-GB"/>
        </w:rPr>
        <w:t>, Vol.3:2, pp.115–131</w:t>
      </w:r>
    </w:p>
    <w:p w14:paraId="6D82308E" w14:textId="77777777" w:rsidR="00001EE3" w:rsidRPr="006E0EDA" w:rsidRDefault="00001EE3" w:rsidP="00001EE3">
      <w:pPr>
        <w:shd w:val="clear" w:color="auto" w:fill="FFFFFF"/>
        <w:spacing w:after="0" w:line="240" w:lineRule="auto"/>
        <w:textAlignment w:val="baseline"/>
        <w:rPr>
          <w:rFonts w:eastAsia="Times New Roman" w:cstheme="minorHAnsi"/>
          <w:color w:val="201F1E"/>
          <w:lang w:eastAsia="en-GB"/>
        </w:rPr>
      </w:pPr>
    </w:p>
    <w:p w14:paraId="169AEA1F" w14:textId="2B10C551" w:rsidR="00406732" w:rsidRDefault="00406732" w:rsidP="00001EE3">
      <w:pPr>
        <w:pStyle w:val="NormalWeb"/>
        <w:spacing w:before="0" w:beforeAutospacing="0" w:after="0" w:afterAutospacing="0"/>
        <w:rPr>
          <w:rFonts w:asciiTheme="minorHAnsi" w:hAnsiTheme="minorHAnsi" w:cstheme="minorHAnsi"/>
          <w:sz w:val="22"/>
          <w:szCs w:val="22"/>
        </w:rPr>
      </w:pPr>
      <w:proofErr w:type="spellStart"/>
      <w:r w:rsidRPr="00C81AA0">
        <w:rPr>
          <w:rFonts w:asciiTheme="minorHAnsi" w:hAnsiTheme="minorHAnsi" w:cstheme="minorHAnsi"/>
          <w:sz w:val="22"/>
          <w:szCs w:val="22"/>
        </w:rPr>
        <w:t>Nuske</w:t>
      </w:r>
      <w:proofErr w:type="spellEnd"/>
      <w:r w:rsidRPr="00C81AA0">
        <w:rPr>
          <w:rFonts w:asciiTheme="minorHAnsi" w:hAnsiTheme="minorHAnsi" w:cstheme="minorHAnsi"/>
          <w:sz w:val="22"/>
          <w:szCs w:val="22"/>
        </w:rPr>
        <w:t xml:space="preserve">, E., Holdsworth, L. and Breen, H. (2016) </w:t>
      </w:r>
      <w:r w:rsidR="004A7F81">
        <w:rPr>
          <w:rFonts w:asciiTheme="minorHAnsi" w:hAnsiTheme="minorHAnsi" w:cstheme="minorHAnsi"/>
          <w:sz w:val="22"/>
          <w:szCs w:val="22"/>
        </w:rPr>
        <w:t>‘</w:t>
      </w:r>
      <w:r w:rsidRPr="000B5602">
        <w:rPr>
          <w:rFonts w:asciiTheme="minorHAnsi" w:hAnsiTheme="minorHAnsi" w:cstheme="minorHAnsi"/>
          <w:sz w:val="22"/>
          <w:szCs w:val="22"/>
        </w:rPr>
        <w:t xml:space="preserve">Significant </w:t>
      </w:r>
      <w:r w:rsidR="004A7F81">
        <w:rPr>
          <w:rFonts w:asciiTheme="minorHAnsi" w:hAnsiTheme="minorHAnsi" w:cstheme="minorHAnsi"/>
          <w:sz w:val="22"/>
          <w:szCs w:val="22"/>
        </w:rPr>
        <w:t>L</w:t>
      </w:r>
      <w:r w:rsidRPr="000B5602">
        <w:rPr>
          <w:rFonts w:asciiTheme="minorHAnsi" w:hAnsiTheme="minorHAnsi" w:cstheme="minorHAnsi"/>
          <w:sz w:val="22"/>
          <w:szCs w:val="22"/>
        </w:rPr>
        <w:t xml:space="preserve">ife </w:t>
      </w:r>
      <w:r w:rsidR="004A7F81">
        <w:rPr>
          <w:rFonts w:asciiTheme="minorHAnsi" w:hAnsiTheme="minorHAnsi" w:cstheme="minorHAnsi"/>
          <w:sz w:val="22"/>
          <w:szCs w:val="22"/>
        </w:rPr>
        <w:t>E</w:t>
      </w:r>
      <w:r w:rsidRPr="000B5602">
        <w:rPr>
          <w:rFonts w:asciiTheme="minorHAnsi" w:hAnsiTheme="minorHAnsi" w:cstheme="minorHAnsi"/>
          <w:sz w:val="22"/>
          <w:szCs w:val="22"/>
        </w:rPr>
        <w:t xml:space="preserve">vents and </w:t>
      </w:r>
      <w:r w:rsidR="004A7F81">
        <w:rPr>
          <w:rFonts w:asciiTheme="minorHAnsi" w:hAnsiTheme="minorHAnsi" w:cstheme="minorHAnsi"/>
          <w:sz w:val="22"/>
          <w:szCs w:val="22"/>
        </w:rPr>
        <w:t>S</w:t>
      </w:r>
      <w:r w:rsidRPr="000B5602">
        <w:rPr>
          <w:rFonts w:asciiTheme="minorHAnsi" w:hAnsiTheme="minorHAnsi" w:cstheme="minorHAnsi"/>
          <w:sz w:val="22"/>
          <w:szCs w:val="22"/>
        </w:rPr>
        <w:t xml:space="preserve">ocial </w:t>
      </w:r>
      <w:r w:rsidR="004A7F81">
        <w:rPr>
          <w:rFonts w:asciiTheme="minorHAnsi" w:hAnsiTheme="minorHAnsi" w:cstheme="minorHAnsi"/>
          <w:sz w:val="22"/>
          <w:szCs w:val="22"/>
        </w:rPr>
        <w:t>C</w:t>
      </w:r>
      <w:r w:rsidRPr="000B5602">
        <w:rPr>
          <w:rFonts w:asciiTheme="minorHAnsi" w:hAnsiTheme="minorHAnsi" w:cstheme="minorHAnsi"/>
          <w:sz w:val="22"/>
          <w:szCs w:val="22"/>
        </w:rPr>
        <w:t xml:space="preserve">onnectedness in Australian </w:t>
      </w:r>
      <w:r w:rsidR="004A7F81">
        <w:rPr>
          <w:rFonts w:asciiTheme="minorHAnsi" w:hAnsiTheme="minorHAnsi" w:cstheme="minorHAnsi"/>
          <w:sz w:val="22"/>
          <w:szCs w:val="22"/>
        </w:rPr>
        <w:t>W</w:t>
      </w:r>
      <w:r w:rsidRPr="000B5602">
        <w:rPr>
          <w:rFonts w:asciiTheme="minorHAnsi" w:hAnsiTheme="minorHAnsi" w:cstheme="minorHAnsi"/>
          <w:sz w:val="22"/>
          <w:szCs w:val="22"/>
        </w:rPr>
        <w:t xml:space="preserve">omen’s </w:t>
      </w:r>
      <w:r w:rsidR="004A7F81">
        <w:rPr>
          <w:rFonts w:asciiTheme="minorHAnsi" w:hAnsiTheme="minorHAnsi" w:cstheme="minorHAnsi"/>
          <w:sz w:val="22"/>
          <w:szCs w:val="22"/>
        </w:rPr>
        <w:t>G</w:t>
      </w:r>
      <w:r w:rsidRPr="000B5602">
        <w:rPr>
          <w:rFonts w:asciiTheme="minorHAnsi" w:hAnsiTheme="minorHAnsi" w:cstheme="minorHAnsi"/>
          <w:sz w:val="22"/>
          <w:szCs w:val="22"/>
        </w:rPr>
        <w:t xml:space="preserve">ambling </w:t>
      </w:r>
      <w:r w:rsidR="004A7F81">
        <w:rPr>
          <w:rFonts w:asciiTheme="minorHAnsi" w:hAnsiTheme="minorHAnsi" w:cstheme="minorHAnsi"/>
          <w:sz w:val="22"/>
          <w:szCs w:val="22"/>
        </w:rPr>
        <w:t>E</w:t>
      </w:r>
      <w:r w:rsidRPr="000B5602">
        <w:rPr>
          <w:rFonts w:asciiTheme="minorHAnsi" w:hAnsiTheme="minorHAnsi" w:cstheme="minorHAnsi"/>
          <w:sz w:val="22"/>
          <w:szCs w:val="22"/>
        </w:rPr>
        <w:t>xperiences</w:t>
      </w:r>
      <w:r w:rsidR="004A7F81">
        <w:rPr>
          <w:rFonts w:asciiTheme="minorHAnsi" w:hAnsiTheme="minorHAnsi" w:cstheme="minorHAnsi"/>
          <w:sz w:val="22"/>
          <w:szCs w:val="22"/>
        </w:rPr>
        <w:t>’</w:t>
      </w:r>
      <w:r w:rsidRPr="004A7F81">
        <w:rPr>
          <w:rFonts w:asciiTheme="minorHAnsi" w:hAnsiTheme="minorHAnsi" w:cstheme="minorHAnsi"/>
          <w:sz w:val="22"/>
          <w:szCs w:val="22"/>
        </w:rPr>
        <w:t xml:space="preserve"> </w:t>
      </w:r>
      <w:r w:rsidRPr="00C81AA0">
        <w:rPr>
          <w:rFonts w:asciiTheme="minorHAnsi" w:hAnsiTheme="minorHAnsi" w:cstheme="minorHAnsi"/>
          <w:sz w:val="22"/>
          <w:szCs w:val="22"/>
        </w:rPr>
        <w:t xml:space="preserve">in </w:t>
      </w:r>
      <w:r w:rsidRPr="000B5602">
        <w:rPr>
          <w:rFonts w:asciiTheme="minorHAnsi" w:hAnsiTheme="minorHAnsi" w:cstheme="minorHAnsi"/>
          <w:i/>
          <w:iCs/>
          <w:sz w:val="22"/>
          <w:szCs w:val="22"/>
        </w:rPr>
        <w:t>Nordic Studies on Alcohol and Drugs</w:t>
      </w:r>
      <w:r w:rsidRPr="00C81AA0">
        <w:rPr>
          <w:rFonts w:asciiTheme="minorHAnsi" w:hAnsiTheme="minorHAnsi" w:cstheme="minorHAnsi"/>
          <w:sz w:val="22"/>
          <w:szCs w:val="22"/>
        </w:rPr>
        <w:t xml:space="preserve"> Vol. 33: 1</w:t>
      </w:r>
      <w:r w:rsidR="004A7F81">
        <w:rPr>
          <w:rFonts w:asciiTheme="minorHAnsi" w:hAnsiTheme="minorHAnsi" w:cstheme="minorHAnsi"/>
          <w:sz w:val="22"/>
          <w:szCs w:val="22"/>
        </w:rPr>
        <w:t>; pp.7-25</w:t>
      </w:r>
    </w:p>
    <w:p w14:paraId="711388B4" w14:textId="77777777" w:rsidR="00001EE3" w:rsidRDefault="00001EE3" w:rsidP="00001EE3">
      <w:pPr>
        <w:pStyle w:val="NormalWeb"/>
        <w:spacing w:before="0" w:beforeAutospacing="0" w:after="0" w:afterAutospacing="0"/>
        <w:rPr>
          <w:rFonts w:asciiTheme="minorHAnsi" w:hAnsiTheme="minorHAnsi" w:cstheme="minorHAnsi"/>
          <w:sz w:val="22"/>
          <w:szCs w:val="22"/>
        </w:rPr>
      </w:pPr>
    </w:p>
    <w:p w14:paraId="2783E14E" w14:textId="07C98748" w:rsidR="001E04CF" w:rsidRDefault="001E04CF" w:rsidP="00001EE3">
      <w:pPr>
        <w:shd w:val="clear" w:color="auto" w:fill="FFFFFF"/>
        <w:spacing w:after="0" w:line="240" w:lineRule="auto"/>
        <w:textAlignment w:val="baseline"/>
        <w:rPr>
          <w:rFonts w:eastAsia="Times New Roman" w:cstheme="minorHAnsi"/>
          <w:color w:val="201F1E"/>
          <w:lang w:eastAsia="en-GB"/>
        </w:rPr>
      </w:pPr>
      <w:r w:rsidRPr="00C81AA0">
        <w:rPr>
          <w:rFonts w:eastAsia="Times New Roman" w:cstheme="minorHAnsi"/>
          <w:color w:val="201F1E"/>
          <w:lang w:eastAsia="en-GB"/>
        </w:rPr>
        <w:t xml:space="preserve">Oppenheim, M. (2021) </w:t>
      </w:r>
      <w:r w:rsidR="004A7F81">
        <w:rPr>
          <w:rFonts w:eastAsia="Times New Roman" w:cstheme="minorHAnsi"/>
          <w:color w:val="201F1E"/>
          <w:lang w:eastAsia="en-GB"/>
        </w:rPr>
        <w:t>‘</w:t>
      </w:r>
      <w:r w:rsidRPr="000B5602">
        <w:rPr>
          <w:rFonts w:eastAsia="Times New Roman" w:cstheme="minorHAnsi"/>
          <w:color w:val="201F1E"/>
          <w:lang w:eastAsia="en-GB"/>
        </w:rPr>
        <w:t>Gambling is an Escape: Pandemic Leads to Sharpest Ever Rise in Women Seeking Help for Addiction</w:t>
      </w:r>
      <w:r w:rsidR="004A7F81">
        <w:rPr>
          <w:rFonts w:eastAsia="Times New Roman" w:cstheme="minorHAnsi"/>
          <w:color w:val="201F1E"/>
          <w:lang w:eastAsia="en-GB"/>
        </w:rPr>
        <w:t>’</w:t>
      </w:r>
      <w:r w:rsidRPr="00C81AA0">
        <w:rPr>
          <w:rFonts w:eastAsia="Times New Roman" w:cstheme="minorHAnsi"/>
          <w:i/>
          <w:iCs/>
          <w:color w:val="201F1E"/>
          <w:lang w:eastAsia="en-GB"/>
        </w:rPr>
        <w:t xml:space="preserve"> </w:t>
      </w:r>
      <w:r w:rsidRPr="00C81AA0">
        <w:rPr>
          <w:rFonts w:eastAsia="Times New Roman" w:cstheme="minorHAnsi"/>
          <w:color w:val="201F1E"/>
          <w:lang w:eastAsia="en-GB"/>
        </w:rPr>
        <w:t xml:space="preserve">in </w:t>
      </w:r>
      <w:r w:rsidRPr="000B5602">
        <w:rPr>
          <w:rFonts w:eastAsia="Times New Roman" w:cstheme="minorHAnsi"/>
          <w:i/>
          <w:iCs/>
          <w:color w:val="201F1E"/>
          <w:lang w:eastAsia="en-GB"/>
        </w:rPr>
        <w:t>The Independent</w:t>
      </w:r>
      <w:r w:rsidRPr="00C81AA0">
        <w:rPr>
          <w:rFonts w:eastAsia="Times New Roman" w:cstheme="minorHAnsi"/>
          <w:color w:val="201F1E"/>
          <w:lang w:eastAsia="en-GB"/>
        </w:rPr>
        <w:t>, Saturday, 31 July 2021</w:t>
      </w:r>
    </w:p>
    <w:p w14:paraId="0F65CF5D" w14:textId="4FD0D2F7" w:rsidR="00001EE3" w:rsidRPr="00001EE3" w:rsidRDefault="00001EE3" w:rsidP="00001EE3">
      <w:pPr>
        <w:shd w:val="clear" w:color="auto" w:fill="FFFFFF"/>
        <w:spacing w:after="0" w:line="240" w:lineRule="auto"/>
        <w:textAlignment w:val="baseline"/>
        <w:rPr>
          <w:rFonts w:eastAsia="Times New Roman" w:cstheme="minorHAnsi"/>
          <w:color w:val="201F1E"/>
          <w:lang w:eastAsia="en-GB"/>
        </w:rPr>
      </w:pPr>
    </w:p>
    <w:p w14:paraId="65DF0B4A" w14:textId="77777777" w:rsidR="00001EE3" w:rsidRPr="00001EE3" w:rsidRDefault="00001EE3" w:rsidP="00001EE3">
      <w:pPr>
        <w:spacing w:after="0"/>
      </w:pPr>
      <w:r w:rsidRPr="00001EE3">
        <w:t xml:space="preserve">Reith, G. (1999). </w:t>
      </w:r>
      <w:r w:rsidRPr="00001EE3">
        <w:rPr>
          <w:i/>
          <w:iCs/>
        </w:rPr>
        <w:t>The Age of Chance: Gambling in Western Culture</w:t>
      </w:r>
      <w:r w:rsidRPr="00001EE3">
        <w:t>. London: Routledge.</w:t>
      </w:r>
    </w:p>
    <w:p w14:paraId="01E13AC1" w14:textId="77777777" w:rsidR="006E0EDA" w:rsidRPr="00C81AA0" w:rsidRDefault="006E0EDA" w:rsidP="00001EE3">
      <w:pPr>
        <w:shd w:val="clear" w:color="auto" w:fill="FFFFFF"/>
        <w:spacing w:after="0" w:line="240" w:lineRule="auto"/>
        <w:textAlignment w:val="baseline"/>
        <w:rPr>
          <w:rFonts w:eastAsia="Times New Roman" w:cstheme="minorHAnsi"/>
          <w:color w:val="201F1E"/>
          <w:lang w:eastAsia="en-GB"/>
        </w:rPr>
      </w:pPr>
    </w:p>
    <w:p w14:paraId="0C8A0F91" w14:textId="0F908785" w:rsidR="001E04CF" w:rsidRDefault="006E0EDA" w:rsidP="00001EE3">
      <w:pPr>
        <w:spacing w:after="0" w:line="240" w:lineRule="auto"/>
        <w:rPr>
          <w:rFonts w:cstheme="minorHAnsi"/>
        </w:rPr>
      </w:pPr>
      <w:r w:rsidRPr="00C81AA0">
        <w:rPr>
          <w:rFonts w:cstheme="minorHAnsi"/>
        </w:rPr>
        <w:t xml:space="preserve">Rodda, S., Hing, S. &amp; </w:t>
      </w:r>
      <w:proofErr w:type="spellStart"/>
      <w:r w:rsidRPr="00C81AA0">
        <w:rPr>
          <w:rFonts w:cstheme="minorHAnsi"/>
        </w:rPr>
        <w:t>Lubman</w:t>
      </w:r>
      <w:proofErr w:type="spellEnd"/>
      <w:r w:rsidRPr="00C81AA0">
        <w:rPr>
          <w:rFonts w:cstheme="minorHAnsi"/>
        </w:rPr>
        <w:t xml:space="preserve">, D. (2014) </w:t>
      </w:r>
      <w:r w:rsidR="0099223B">
        <w:rPr>
          <w:rFonts w:cstheme="minorHAnsi"/>
        </w:rPr>
        <w:t>‘</w:t>
      </w:r>
      <w:r w:rsidRPr="000B5602">
        <w:rPr>
          <w:rFonts w:cstheme="minorHAnsi"/>
        </w:rPr>
        <w:t xml:space="preserve">Improved </w:t>
      </w:r>
      <w:r w:rsidR="0099223B" w:rsidRPr="000B5602">
        <w:rPr>
          <w:rFonts w:cstheme="minorHAnsi"/>
        </w:rPr>
        <w:t>O</w:t>
      </w:r>
      <w:r w:rsidRPr="000B5602">
        <w:rPr>
          <w:rFonts w:cstheme="minorHAnsi"/>
        </w:rPr>
        <w:t xml:space="preserve">utcomes </w:t>
      </w:r>
      <w:r w:rsidR="0099223B" w:rsidRPr="000B5602">
        <w:rPr>
          <w:rFonts w:cstheme="minorHAnsi"/>
        </w:rPr>
        <w:t>F</w:t>
      </w:r>
      <w:r w:rsidRPr="000B5602">
        <w:rPr>
          <w:rFonts w:cstheme="minorHAnsi"/>
        </w:rPr>
        <w:t xml:space="preserve">ollowing </w:t>
      </w:r>
      <w:r w:rsidR="0099223B" w:rsidRPr="000B5602">
        <w:rPr>
          <w:rFonts w:cstheme="minorHAnsi"/>
        </w:rPr>
        <w:t>C</w:t>
      </w:r>
      <w:r w:rsidRPr="000B5602">
        <w:rPr>
          <w:rFonts w:cstheme="minorHAnsi"/>
        </w:rPr>
        <w:t xml:space="preserve">ontact with a </w:t>
      </w:r>
      <w:r w:rsidR="0099223B" w:rsidRPr="000B5602">
        <w:rPr>
          <w:rFonts w:cstheme="minorHAnsi"/>
        </w:rPr>
        <w:t>G</w:t>
      </w:r>
      <w:r w:rsidRPr="000B5602">
        <w:rPr>
          <w:rFonts w:cstheme="minorHAnsi"/>
        </w:rPr>
        <w:t xml:space="preserve">ambling </w:t>
      </w:r>
      <w:r w:rsidR="0099223B" w:rsidRPr="000B5602">
        <w:rPr>
          <w:rFonts w:cstheme="minorHAnsi"/>
        </w:rPr>
        <w:t>H</w:t>
      </w:r>
      <w:r w:rsidRPr="000B5602">
        <w:rPr>
          <w:rFonts w:cstheme="minorHAnsi"/>
        </w:rPr>
        <w:t xml:space="preserve">elpline: </w:t>
      </w:r>
      <w:proofErr w:type="gramStart"/>
      <w:r w:rsidRPr="000B5602">
        <w:rPr>
          <w:rFonts w:cstheme="minorHAnsi"/>
        </w:rPr>
        <w:t>the</w:t>
      </w:r>
      <w:proofErr w:type="gramEnd"/>
      <w:r w:rsidRPr="000B5602">
        <w:rPr>
          <w:rFonts w:cstheme="minorHAnsi"/>
        </w:rPr>
        <w:t xml:space="preserve"> </w:t>
      </w:r>
      <w:r w:rsidR="0099223B" w:rsidRPr="000B5602">
        <w:rPr>
          <w:rFonts w:cstheme="minorHAnsi"/>
        </w:rPr>
        <w:t>I</w:t>
      </w:r>
      <w:r w:rsidRPr="000B5602">
        <w:rPr>
          <w:rFonts w:cstheme="minorHAnsi"/>
        </w:rPr>
        <w:t xml:space="preserve">mpact of </w:t>
      </w:r>
      <w:r w:rsidR="0099223B" w:rsidRPr="000B5602">
        <w:rPr>
          <w:rFonts w:cstheme="minorHAnsi"/>
        </w:rPr>
        <w:t>G</w:t>
      </w:r>
      <w:r w:rsidRPr="000B5602">
        <w:rPr>
          <w:rFonts w:cstheme="minorHAnsi"/>
        </w:rPr>
        <w:t xml:space="preserve">ender on </w:t>
      </w:r>
      <w:r w:rsidR="0099223B" w:rsidRPr="000B5602">
        <w:rPr>
          <w:rFonts w:cstheme="minorHAnsi"/>
        </w:rPr>
        <w:t>B</w:t>
      </w:r>
      <w:r w:rsidRPr="000B5602">
        <w:rPr>
          <w:rFonts w:cstheme="minorHAnsi"/>
        </w:rPr>
        <w:t xml:space="preserve">arriers and </w:t>
      </w:r>
      <w:r w:rsidR="0099223B" w:rsidRPr="000B5602">
        <w:rPr>
          <w:rFonts w:cstheme="minorHAnsi"/>
        </w:rPr>
        <w:t>F</w:t>
      </w:r>
      <w:r w:rsidRPr="000B5602">
        <w:rPr>
          <w:rFonts w:cstheme="minorHAnsi"/>
        </w:rPr>
        <w:t>acilitators</w:t>
      </w:r>
      <w:r w:rsidR="0099223B">
        <w:rPr>
          <w:rFonts w:cstheme="minorHAnsi"/>
        </w:rPr>
        <w:t>’</w:t>
      </w:r>
      <w:r w:rsidRPr="00C81AA0">
        <w:rPr>
          <w:rFonts w:cstheme="minorHAnsi"/>
        </w:rPr>
        <w:t xml:space="preserve">, in </w:t>
      </w:r>
      <w:r w:rsidRPr="000B5602">
        <w:rPr>
          <w:rFonts w:cstheme="minorHAnsi"/>
          <w:i/>
          <w:iCs/>
        </w:rPr>
        <w:t>International Gambling Studies</w:t>
      </w:r>
      <w:r w:rsidRPr="00C81AA0">
        <w:rPr>
          <w:rFonts w:cstheme="minorHAnsi"/>
        </w:rPr>
        <w:t xml:space="preserve"> 14:2, pp.318-329</w:t>
      </w:r>
    </w:p>
    <w:p w14:paraId="4A6E73A1" w14:textId="77777777" w:rsidR="0099223B" w:rsidRDefault="0099223B" w:rsidP="00001EE3">
      <w:pPr>
        <w:spacing w:after="0" w:line="240" w:lineRule="auto"/>
        <w:rPr>
          <w:rFonts w:cstheme="minorHAnsi"/>
        </w:rPr>
      </w:pPr>
    </w:p>
    <w:p w14:paraId="32CB89A3" w14:textId="091F44A7" w:rsidR="001E04CF" w:rsidRDefault="001E04CF" w:rsidP="00001EE3">
      <w:pPr>
        <w:pStyle w:val="NormalWeb"/>
        <w:spacing w:before="0" w:beforeAutospacing="0" w:after="0" w:afterAutospacing="0"/>
        <w:rPr>
          <w:rFonts w:asciiTheme="minorHAnsi" w:hAnsiTheme="minorHAnsi" w:cstheme="minorHAnsi"/>
          <w:sz w:val="22"/>
          <w:szCs w:val="22"/>
          <w:lang w:val="en-US"/>
        </w:rPr>
      </w:pPr>
      <w:r w:rsidRPr="00C81AA0">
        <w:rPr>
          <w:rFonts w:asciiTheme="minorHAnsi" w:hAnsiTheme="minorHAnsi" w:cstheme="minorHAnsi"/>
          <w:sz w:val="22"/>
          <w:szCs w:val="22"/>
          <w:lang w:val="en-US"/>
        </w:rPr>
        <w:t>Scott, J. E. (2003)</w:t>
      </w:r>
      <w:r w:rsidR="0099223B">
        <w:rPr>
          <w:rFonts w:asciiTheme="minorHAnsi" w:hAnsiTheme="minorHAnsi" w:cstheme="minorHAnsi"/>
          <w:sz w:val="22"/>
          <w:szCs w:val="22"/>
          <w:lang w:val="en-US"/>
        </w:rPr>
        <w:t xml:space="preserve"> ‘</w:t>
      </w:r>
      <w:r w:rsidRPr="000B5602">
        <w:rPr>
          <w:rFonts w:asciiTheme="minorHAnsi" w:hAnsiTheme="minorHAnsi" w:cstheme="minorHAnsi"/>
          <w:sz w:val="22"/>
          <w:szCs w:val="22"/>
          <w:lang w:val="en-US"/>
        </w:rPr>
        <w:t>Coffee Shop Meets Casino: Cultural Responses to Casino Tourism in Northern Cypru</w:t>
      </w:r>
      <w:r w:rsidR="0099223B">
        <w:rPr>
          <w:rFonts w:asciiTheme="minorHAnsi" w:hAnsiTheme="minorHAnsi" w:cstheme="minorHAnsi"/>
          <w:sz w:val="22"/>
          <w:szCs w:val="22"/>
          <w:lang w:val="en-US"/>
        </w:rPr>
        <w:t>s’</w:t>
      </w:r>
      <w:r w:rsidRPr="00C81AA0">
        <w:rPr>
          <w:rFonts w:asciiTheme="minorHAnsi" w:hAnsiTheme="minorHAnsi" w:cstheme="minorHAnsi"/>
          <w:i/>
          <w:iCs/>
          <w:sz w:val="22"/>
          <w:szCs w:val="22"/>
          <w:lang w:val="en-US"/>
        </w:rPr>
        <w:t xml:space="preserve"> </w:t>
      </w:r>
      <w:proofErr w:type="gramStart"/>
      <w:r w:rsidRPr="00C81AA0">
        <w:rPr>
          <w:rFonts w:asciiTheme="minorHAnsi" w:hAnsiTheme="minorHAnsi" w:cstheme="minorHAnsi"/>
          <w:sz w:val="22"/>
          <w:szCs w:val="22"/>
          <w:lang w:val="en-US"/>
        </w:rPr>
        <w:t>In</w:t>
      </w:r>
      <w:proofErr w:type="gramEnd"/>
      <w:r w:rsidRPr="00C81AA0">
        <w:rPr>
          <w:rFonts w:asciiTheme="minorHAnsi" w:hAnsiTheme="minorHAnsi" w:cstheme="minorHAnsi"/>
          <w:sz w:val="22"/>
          <w:szCs w:val="22"/>
          <w:lang w:val="en-US"/>
        </w:rPr>
        <w:t xml:space="preserve"> </w:t>
      </w:r>
      <w:r w:rsidRPr="000B5602">
        <w:rPr>
          <w:rFonts w:asciiTheme="minorHAnsi" w:hAnsiTheme="minorHAnsi" w:cstheme="minorHAnsi"/>
          <w:i/>
          <w:iCs/>
          <w:sz w:val="22"/>
          <w:szCs w:val="22"/>
          <w:lang w:val="en-US"/>
        </w:rPr>
        <w:t>Journal of Sustainable Tourism</w:t>
      </w:r>
      <w:r w:rsidRPr="00C81AA0">
        <w:rPr>
          <w:rFonts w:asciiTheme="minorHAnsi" w:hAnsiTheme="minorHAnsi" w:cstheme="minorHAnsi"/>
          <w:sz w:val="22"/>
          <w:szCs w:val="22"/>
          <w:lang w:val="en-US"/>
        </w:rPr>
        <w:t>, Vol 11, pp.266-279.</w:t>
      </w:r>
    </w:p>
    <w:p w14:paraId="107FD6DF" w14:textId="746DC5F4" w:rsidR="00001EE3" w:rsidRDefault="00001EE3" w:rsidP="00001EE3">
      <w:pPr>
        <w:pStyle w:val="NormalWeb"/>
        <w:spacing w:before="0" w:beforeAutospacing="0" w:after="0" w:afterAutospacing="0"/>
        <w:rPr>
          <w:rFonts w:asciiTheme="minorHAnsi" w:hAnsiTheme="minorHAnsi" w:cstheme="minorHAnsi"/>
          <w:sz w:val="22"/>
          <w:szCs w:val="22"/>
        </w:rPr>
      </w:pPr>
    </w:p>
    <w:p w14:paraId="76224B08" w14:textId="43BEF593" w:rsidR="00473A58" w:rsidRPr="000B5602" w:rsidRDefault="00473A58" w:rsidP="000B5602">
      <w:pPr>
        <w:widowControl w:val="0"/>
        <w:autoSpaceDE w:val="0"/>
        <w:autoSpaceDN w:val="0"/>
        <w:adjustRightInd w:val="0"/>
        <w:spacing w:line="480" w:lineRule="auto"/>
        <w:ind w:left="720" w:hanging="720"/>
        <w:jc w:val="both"/>
        <w:rPr>
          <w:lang w:val="en-US"/>
        </w:rPr>
      </w:pPr>
      <w:proofErr w:type="spellStart"/>
      <w:r>
        <w:rPr>
          <w:lang w:val="en-US"/>
        </w:rPr>
        <w:t>Skeggs</w:t>
      </w:r>
      <w:proofErr w:type="spellEnd"/>
      <w:r>
        <w:rPr>
          <w:lang w:val="en-US"/>
        </w:rPr>
        <w:t>, B. (</w:t>
      </w:r>
      <w:r>
        <w:rPr>
          <w:lang w:val="en-US"/>
        </w:rPr>
        <w:t xml:space="preserve">1997). </w:t>
      </w:r>
      <w:r>
        <w:rPr>
          <w:i/>
          <w:iCs/>
          <w:lang w:val="en-US"/>
        </w:rPr>
        <w:t>Formations of Class and Gender</w:t>
      </w:r>
      <w:r>
        <w:rPr>
          <w:lang w:val="en-US"/>
        </w:rPr>
        <w:t>. London: Sage.</w:t>
      </w:r>
    </w:p>
    <w:p w14:paraId="1D5BB170" w14:textId="685CB46E" w:rsidR="001E04CF" w:rsidRPr="00C81AA0" w:rsidRDefault="001E04CF" w:rsidP="00001EE3">
      <w:pPr>
        <w:shd w:val="clear" w:color="auto" w:fill="FFFFFF"/>
        <w:spacing w:after="0" w:line="240" w:lineRule="auto"/>
        <w:textAlignment w:val="baseline"/>
        <w:rPr>
          <w:rFonts w:eastAsia="Times New Roman" w:cstheme="minorHAnsi"/>
          <w:color w:val="201F1E"/>
          <w:lang w:eastAsia="en-GB"/>
        </w:rPr>
      </w:pPr>
      <w:proofErr w:type="spellStart"/>
      <w:r w:rsidRPr="00C81AA0">
        <w:rPr>
          <w:rFonts w:eastAsia="Times New Roman" w:cstheme="minorHAnsi"/>
          <w:color w:val="201F1E"/>
          <w:lang w:eastAsia="en-GB"/>
        </w:rPr>
        <w:t>Volberg</w:t>
      </w:r>
      <w:proofErr w:type="spellEnd"/>
      <w:r w:rsidRPr="00C81AA0">
        <w:rPr>
          <w:rFonts w:eastAsia="Times New Roman" w:cstheme="minorHAnsi"/>
          <w:color w:val="201F1E"/>
          <w:lang w:eastAsia="en-GB"/>
        </w:rPr>
        <w:t xml:space="preserve">, R. (2003) </w:t>
      </w:r>
      <w:r w:rsidR="00C72930">
        <w:rPr>
          <w:rFonts w:eastAsia="Times New Roman" w:cstheme="minorHAnsi"/>
          <w:color w:val="201F1E"/>
          <w:lang w:eastAsia="en-GB"/>
        </w:rPr>
        <w:t>‘</w:t>
      </w:r>
      <w:r w:rsidRPr="000B5602">
        <w:rPr>
          <w:rFonts w:eastAsia="Times New Roman" w:cstheme="minorHAnsi"/>
          <w:color w:val="201F1E"/>
          <w:lang w:eastAsia="en-GB"/>
        </w:rPr>
        <w:t>Has there been a “</w:t>
      </w:r>
      <w:proofErr w:type="gramStart"/>
      <w:r w:rsidRPr="000B5602">
        <w:rPr>
          <w:rFonts w:eastAsia="Times New Roman" w:cstheme="minorHAnsi"/>
          <w:color w:val="201F1E"/>
          <w:lang w:eastAsia="en-GB"/>
        </w:rPr>
        <w:t>Feminization“ of</w:t>
      </w:r>
      <w:proofErr w:type="gramEnd"/>
      <w:r w:rsidRPr="000B5602">
        <w:rPr>
          <w:rFonts w:eastAsia="Times New Roman" w:cstheme="minorHAnsi"/>
          <w:color w:val="201F1E"/>
          <w:lang w:eastAsia="en-GB"/>
        </w:rPr>
        <w:t xml:space="preserve"> Gambling and Problem Gambling in the United States?</w:t>
      </w:r>
      <w:r w:rsidR="00C72930">
        <w:rPr>
          <w:rFonts w:eastAsia="Times New Roman" w:cstheme="minorHAnsi"/>
          <w:color w:val="201F1E"/>
          <w:lang w:eastAsia="en-GB"/>
        </w:rPr>
        <w:t>’</w:t>
      </w:r>
      <w:r w:rsidRPr="00C81AA0">
        <w:rPr>
          <w:rFonts w:eastAsia="Times New Roman" w:cstheme="minorHAnsi"/>
          <w:color w:val="201F1E"/>
          <w:lang w:eastAsia="en-GB"/>
        </w:rPr>
        <w:t xml:space="preserve"> in </w:t>
      </w:r>
      <w:r w:rsidRPr="000B5602">
        <w:rPr>
          <w:rFonts w:eastAsia="Times New Roman" w:cstheme="minorHAnsi"/>
          <w:i/>
          <w:iCs/>
          <w:color w:val="201F1E"/>
          <w:lang w:eastAsia="en-GB"/>
        </w:rPr>
        <w:t>Centre for Addiction and Mental Health</w:t>
      </w:r>
      <w:r w:rsidRPr="00C81AA0">
        <w:rPr>
          <w:rFonts w:eastAsia="Times New Roman" w:cstheme="minorHAnsi"/>
          <w:color w:val="201F1E"/>
          <w:lang w:eastAsia="en-GB"/>
        </w:rPr>
        <w:t xml:space="preserve"> Vol. 8 DOI:</w:t>
      </w:r>
      <w:r w:rsidR="00C72930">
        <w:rPr>
          <w:rFonts w:eastAsia="Times New Roman" w:cstheme="minorHAnsi"/>
          <w:color w:val="201F1E"/>
          <w:lang w:eastAsia="en-GB"/>
        </w:rPr>
        <w:t xml:space="preserve"> </w:t>
      </w:r>
      <w:r w:rsidRPr="00C81AA0">
        <w:rPr>
          <w:rFonts w:eastAsia="Times New Roman" w:cstheme="minorHAnsi"/>
          <w:color w:val="201F1E"/>
          <w:lang w:eastAsia="en-GB"/>
        </w:rPr>
        <w:t>https://doi.org/10.4309/jgi.2003.8.7</w:t>
      </w:r>
    </w:p>
    <w:p w14:paraId="61B2E5EF" w14:textId="77777777" w:rsidR="001E04CF" w:rsidRPr="00C81AA0" w:rsidRDefault="001E04CF" w:rsidP="00001EE3">
      <w:pPr>
        <w:shd w:val="clear" w:color="auto" w:fill="FFFFFF"/>
        <w:spacing w:after="0" w:line="240" w:lineRule="auto"/>
        <w:textAlignment w:val="baseline"/>
        <w:rPr>
          <w:rFonts w:eastAsia="Times New Roman" w:cstheme="minorHAnsi"/>
          <w:color w:val="201F1E"/>
          <w:lang w:eastAsia="en-GB"/>
        </w:rPr>
      </w:pPr>
    </w:p>
    <w:p w14:paraId="5EBA7947" w14:textId="0F997D6F" w:rsidR="001E04CF" w:rsidRDefault="001E04CF" w:rsidP="00001EE3">
      <w:pPr>
        <w:shd w:val="clear" w:color="auto" w:fill="FFFFFF"/>
        <w:spacing w:after="0" w:line="240" w:lineRule="auto"/>
        <w:textAlignment w:val="baseline"/>
        <w:rPr>
          <w:rFonts w:eastAsia="Times New Roman" w:cstheme="minorHAnsi"/>
          <w:color w:val="201F1E"/>
          <w:lang w:eastAsia="en-GB"/>
        </w:rPr>
      </w:pPr>
      <w:r w:rsidRPr="00C81AA0">
        <w:rPr>
          <w:rFonts w:eastAsia="Times New Roman" w:cstheme="minorHAnsi"/>
          <w:color w:val="201F1E"/>
          <w:lang w:eastAsia="en-GB"/>
        </w:rPr>
        <w:t>Wardle, H. &amp; Seabury, C.</w:t>
      </w:r>
      <w:r w:rsidR="00C72930">
        <w:rPr>
          <w:rFonts w:eastAsia="Times New Roman" w:cstheme="minorHAnsi"/>
          <w:color w:val="201F1E"/>
          <w:lang w:eastAsia="en-GB"/>
        </w:rPr>
        <w:t xml:space="preserve"> </w:t>
      </w:r>
      <w:r w:rsidRPr="00C81AA0">
        <w:rPr>
          <w:rFonts w:eastAsia="Times New Roman" w:cstheme="minorHAnsi"/>
          <w:color w:val="201F1E"/>
          <w:lang w:eastAsia="en-GB"/>
        </w:rPr>
        <w:t xml:space="preserve">(2012) </w:t>
      </w:r>
      <w:r w:rsidR="00C72930">
        <w:rPr>
          <w:rFonts w:eastAsia="Times New Roman" w:cstheme="minorHAnsi"/>
          <w:color w:val="201F1E"/>
          <w:lang w:eastAsia="en-GB"/>
        </w:rPr>
        <w:t>‘</w:t>
      </w:r>
      <w:r w:rsidRPr="000B5602">
        <w:rPr>
          <w:rFonts w:eastAsia="Times New Roman" w:cstheme="minorHAnsi"/>
          <w:color w:val="201F1E"/>
          <w:lang w:eastAsia="en-GB"/>
        </w:rPr>
        <w:t>Gambling Behaviour</w:t>
      </w:r>
      <w:r w:rsidR="00C72930">
        <w:rPr>
          <w:rFonts w:eastAsia="Times New Roman" w:cstheme="minorHAnsi"/>
          <w:color w:val="201F1E"/>
          <w:lang w:eastAsia="en-GB"/>
        </w:rPr>
        <w:t>’</w:t>
      </w:r>
      <w:r w:rsidRPr="00C81AA0">
        <w:rPr>
          <w:rFonts w:eastAsia="Times New Roman" w:cstheme="minorHAnsi"/>
          <w:color w:val="201F1E"/>
          <w:lang w:eastAsia="en-GB"/>
        </w:rPr>
        <w:t xml:space="preserve"> in </w:t>
      </w:r>
      <w:r w:rsidRPr="000B5602">
        <w:rPr>
          <w:rFonts w:eastAsia="Times New Roman" w:cstheme="minorHAnsi"/>
          <w:i/>
          <w:iCs/>
          <w:color w:val="201F1E"/>
          <w:lang w:eastAsia="en-GB"/>
        </w:rPr>
        <w:t xml:space="preserve">Health </w:t>
      </w:r>
      <w:r w:rsidR="00C72930" w:rsidRPr="000B5602">
        <w:rPr>
          <w:rFonts w:eastAsia="Times New Roman" w:cstheme="minorHAnsi"/>
          <w:i/>
          <w:iCs/>
          <w:color w:val="201F1E"/>
          <w:lang w:eastAsia="en-GB"/>
        </w:rPr>
        <w:t>S</w:t>
      </w:r>
      <w:r w:rsidRPr="000B5602">
        <w:rPr>
          <w:rFonts w:eastAsia="Times New Roman" w:cstheme="minorHAnsi"/>
          <w:i/>
          <w:iCs/>
          <w:color w:val="201F1E"/>
          <w:lang w:eastAsia="en-GB"/>
        </w:rPr>
        <w:t>urvey for England</w:t>
      </w:r>
      <w:r w:rsidRPr="00C81AA0">
        <w:rPr>
          <w:rFonts w:eastAsia="Times New Roman" w:cstheme="minorHAnsi"/>
          <w:color w:val="201F1E"/>
          <w:lang w:eastAsia="en-GB"/>
        </w:rPr>
        <w:t xml:space="preserve"> </w:t>
      </w:r>
      <w:r w:rsidR="00C72930">
        <w:rPr>
          <w:rFonts w:eastAsia="Times New Roman" w:cstheme="minorHAnsi"/>
          <w:color w:val="201F1E"/>
          <w:lang w:eastAsia="en-GB"/>
        </w:rPr>
        <w:t xml:space="preserve">London: </w:t>
      </w:r>
      <w:r w:rsidRPr="00C81AA0">
        <w:rPr>
          <w:rFonts w:eastAsia="Times New Roman" w:cstheme="minorHAnsi"/>
          <w:color w:val="201F1E"/>
          <w:lang w:eastAsia="en-GB"/>
        </w:rPr>
        <w:t>NHS</w:t>
      </w:r>
    </w:p>
    <w:p w14:paraId="54E1FFDD" w14:textId="77777777" w:rsidR="00001EE3" w:rsidRPr="001E04CF" w:rsidRDefault="00001EE3" w:rsidP="00001EE3">
      <w:pPr>
        <w:shd w:val="clear" w:color="auto" w:fill="FFFFFF"/>
        <w:spacing w:after="0" w:line="240" w:lineRule="auto"/>
        <w:textAlignment w:val="baseline"/>
        <w:rPr>
          <w:rFonts w:eastAsia="Times New Roman" w:cstheme="minorHAnsi"/>
          <w:color w:val="201F1E"/>
          <w:lang w:eastAsia="en-GB"/>
        </w:rPr>
      </w:pPr>
    </w:p>
    <w:p w14:paraId="006DFF31" w14:textId="0E6DB8BC" w:rsidR="007D2A91" w:rsidRDefault="00F06D6A" w:rsidP="00001EE3">
      <w:pPr>
        <w:pStyle w:val="NormalWeb"/>
        <w:spacing w:before="0" w:beforeAutospacing="0" w:after="0" w:afterAutospacing="0"/>
        <w:rPr>
          <w:rFonts w:asciiTheme="minorHAnsi" w:hAnsiTheme="minorHAnsi" w:cstheme="minorHAnsi"/>
          <w:i/>
          <w:iCs/>
          <w:sz w:val="22"/>
          <w:szCs w:val="22"/>
          <w:lang w:val="en-US"/>
        </w:rPr>
      </w:pPr>
      <w:r w:rsidRPr="00C81AA0">
        <w:rPr>
          <w:rFonts w:asciiTheme="minorHAnsi" w:hAnsiTheme="minorHAnsi" w:cstheme="minorHAnsi"/>
          <w:sz w:val="22"/>
          <w:szCs w:val="22"/>
          <w:lang w:val="en-US"/>
        </w:rPr>
        <w:t>White, J. (199</w:t>
      </w:r>
      <w:r w:rsidR="00C72930">
        <w:rPr>
          <w:rFonts w:asciiTheme="minorHAnsi" w:hAnsiTheme="minorHAnsi" w:cstheme="minorHAnsi"/>
          <w:sz w:val="22"/>
          <w:szCs w:val="22"/>
          <w:lang w:val="en-US"/>
        </w:rPr>
        <w:t>7) ‘</w:t>
      </w:r>
      <w:r w:rsidRPr="00C81AA0">
        <w:rPr>
          <w:rFonts w:asciiTheme="minorHAnsi" w:hAnsiTheme="minorHAnsi" w:cstheme="minorHAnsi"/>
          <w:sz w:val="22"/>
          <w:szCs w:val="22"/>
          <w:lang w:val="en-US"/>
        </w:rPr>
        <w:t>Gambling as Popular Culture: Are Women Becoming Addicted to the National Lottery?</w:t>
      </w:r>
      <w:r w:rsidR="00C72930">
        <w:rPr>
          <w:rFonts w:asciiTheme="minorHAnsi" w:hAnsiTheme="minorHAnsi" w:cstheme="minorHAnsi"/>
          <w:sz w:val="22"/>
          <w:szCs w:val="22"/>
          <w:lang w:val="en-US"/>
        </w:rPr>
        <w:t>’</w:t>
      </w:r>
      <w:r w:rsidRPr="00C81AA0">
        <w:rPr>
          <w:rFonts w:asciiTheme="minorHAnsi" w:hAnsiTheme="minorHAnsi" w:cstheme="minorHAnsi"/>
          <w:sz w:val="22"/>
          <w:szCs w:val="22"/>
          <w:lang w:val="en-US"/>
        </w:rPr>
        <w:t xml:space="preserve">, </w:t>
      </w:r>
      <w:r w:rsidRPr="00C81AA0">
        <w:rPr>
          <w:rFonts w:asciiTheme="minorHAnsi" w:hAnsiTheme="minorHAnsi" w:cstheme="minorHAnsi"/>
          <w:i/>
          <w:iCs/>
          <w:sz w:val="22"/>
          <w:szCs w:val="22"/>
          <w:lang w:val="en-US"/>
        </w:rPr>
        <w:t>10th International WSNA Conference</w:t>
      </w:r>
      <w:r w:rsidRPr="000B5602">
        <w:rPr>
          <w:rFonts w:asciiTheme="minorHAnsi" w:hAnsiTheme="minorHAnsi" w:cstheme="minorHAnsi"/>
          <w:sz w:val="22"/>
          <w:szCs w:val="22"/>
          <w:lang w:val="en-US"/>
        </w:rPr>
        <w:t>, March 1997</w:t>
      </w:r>
    </w:p>
    <w:p w14:paraId="4429DB46" w14:textId="77777777" w:rsidR="00352F22" w:rsidRDefault="00352F22" w:rsidP="00001EE3">
      <w:pPr>
        <w:pStyle w:val="NormalWeb"/>
        <w:spacing w:before="0" w:beforeAutospacing="0" w:after="0" w:afterAutospacing="0"/>
        <w:rPr>
          <w:rFonts w:asciiTheme="minorHAnsi" w:hAnsiTheme="minorHAnsi" w:cstheme="minorHAnsi"/>
          <w:i/>
          <w:iCs/>
          <w:sz w:val="22"/>
          <w:szCs w:val="22"/>
          <w:lang w:val="en-US"/>
        </w:rPr>
      </w:pPr>
    </w:p>
    <w:p w14:paraId="0A44C911" w14:textId="278DDAB2" w:rsidR="00352F22" w:rsidRDefault="00352F22" w:rsidP="00001EE3">
      <w:pPr>
        <w:pStyle w:val="NormalWeb"/>
        <w:spacing w:before="0" w:beforeAutospacing="0" w:after="0" w:afterAutospacing="0"/>
        <w:rPr>
          <w:rFonts w:asciiTheme="minorHAnsi" w:hAnsiTheme="minorHAnsi" w:cstheme="minorHAnsi"/>
          <w:i/>
          <w:iCs/>
          <w:sz w:val="22"/>
          <w:szCs w:val="22"/>
          <w:lang w:val="en-US"/>
        </w:rPr>
      </w:pPr>
      <w:r>
        <w:rPr>
          <w:lang w:val="en-US"/>
        </w:rPr>
        <w:lastRenderedPageBreak/>
        <w:t xml:space="preserve">Wimbush, &amp; M. Talbot (Eds.), </w:t>
      </w:r>
      <w:r>
        <w:rPr>
          <w:i/>
          <w:iCs/>
          <w:lang w:val="en-US"/>
        </w:rPr>
        <w:t>Relative Freedoms: Women and Leisure</w:t>
      </w:r>
      <w:r>
        <w:rPr>
          <w:lang w:val="en-US"/>
        </w:rPr>
        <w:t>. Milton Keynes: Open University Press.</w:t>
      </w:r>
    </w:p>
    <w:p w14:paraId="21ED0AA2" w14:textId="1DBD9F40" w:rsidR="00E74101" w:rsidRDefault="00E74101" w:rsidP="00001EE3">
      <w:pPr>
        <w:pStyle w:val="NormalWeb"/>
        <w:spacing w:before="0" w:beforeAutospacing="0" w:after="0" w:afterAutospacing="0"/>
        <w:rPr>
          <w:rFonts w:asciiTheme="minorHAnsi" w:hAnsiTheme="minorHAnsi" w:cstheme="minorHAnsi"/>
          <w:i/>
          <w:iCs/>
          <w:sz w:val="22"/>
          <w:szCs w:val="22"/>
          <w:lang w:val="en-US"/>
        </w:rPr>
      </w:pPr>
    </w:p>
    <w:p w14:paraId="0E932F26" w14:textId="3F847090" w:rsidR="00E74101" w:rsidRDefault="00E74101" w:rsidP="00001EE3">
      <w:pPr>
        <w:pStyle w:val="NormalWeb"/>
        <w:spacing w:before="0" w:beforeAutospacing="0" w:after="0" w:afterAutospacing="0"/>
        <w:rPr>
          <w:rFonts w:asciiTheme="minorHAnsi" w:hAnsiTheme="minorHAnsi" w:cstheme="minorHAnsi"/>
          <w:i/>
          <w:iCs/>
          <w:sz w:val="22"/>
          <w:szCs w:val="22"/>
          <w:lang w:val="en-US"/>
        </w:rPr>
      </w:pPr>
    </w:p>
    <w:p w14:paraId="56DF2126" w14:textId="77777777" w:rsidR="00E74101" w:rsidRPr="00E74101" w:rsidRDefault="00E74101" w:rsidP="00001EE3">
      <w:pPr>
        <w:pStyle w:val="NormalWeb"/>
        <w:spacing w:before="0" w:beforeAutospacing="0" w:after="0" w:afterAutospacing="0"/>
        <w:rPr>
          <w:rFonts w:asciiTheme="minorHAnsi" w:hAnsiTheme="minorHAnsi" w:cstheme="minorHAnsi"/>
          <w:sz w:val="22"/>
          <w:szCs w:val="22"/>
          <w:lang w:val="en-US"/>
        </w:rPr>
      </w:pPr>
    </w:p>
    <w:p w14:paraId="1166E475" w14:textId="77777777" w:rsidR="007D2A91" w:rsidRPr="00C81AA0" w:rsidRDefault="007D2A91" w:rsidP="00001EE3">
      <w:pPr>
        <w:shd w:val="clear" w:color="auto" w:fill="FFFFFF"/>
        <w:spacing w:after="0" w:line="240" w:lineRule="auto"/>
        <w:textAlignment w:val="baseline"/>
        <w:rPr>
          <w:rFonts w:eastAsia="Times New Roman" w:cstheme="minorHAnsi"/>
          <w:color w:val="201F1E"/>
          <w:lang w:eastAsia="en-GB"/>
        </w:rPr>
      </w:pPr>
    </w:p>
    <w:p w14:paraId="31685B30" w14:textId="625DC321" w:rsidR="007D2A91" w:rsidRPr="00E74101" w:rsidRDefault="00E74101" w:rsidP="00001EE3">
      <w:pPr>
        <w:shd w:val="clear" w:color="auto" w:fill="FFFFFF"/>
        <w:spacing w:after="0" w:line="240" w:lineRule="auto"/>
        <w:textAlignment w:val="baseline"/>
        <w:rPr>
          <w:rFonts w:eastAsia="Times New Roman" w:cstheme="minorHAnsi"/>
          <w:color w:val="201F1E"/>
          <w:highlight w:val="yellow"/>
          <w:lang w:eastAsia="en-GB"/>
        </w:rPr>
      </w:pPr>
      <w:r w:rsidRPr="00E74101">
        <w:rPr>
          <w:rFonts w:eastAsia="Times New Roman" w:cstheme="minorHAnsi"/>
          <w:color w:val="201F1E"/>
          <w:highlight w:val="yellow"/>
          <w:lang w:eastAsia="en-GB"/>
        </w:rPr>
        <w:t>Example:</w:t>
      </w:r>
    </w:p>
    <w:p w14:paraId="2F0BD77A" w14:textId="77777777" w:rsidR="00E74101" w:rsidRPr="00E74101" w:rsidRDefault="00E74101" w:rsidP="00E74101">
      <w:pPr>
        <w:numPr>
          <w:ilvl w:val="0"/>
          <w:numId w:val="3"/>
        </w:numPr>
        <w:spacing w:after="0" w:line="240" w:lineRule="auto"/>
        <w:rPr>
          <w:rFonts w:eastAsia="Times New Roman"/>
          <w:color w:val="FF0000"/>
          <w:highlight w:val="yellow"/>
        </w:rPr>
      </w:pPr>
      <w:r w:rsidRPr="00E74101">
        <w:rPr>
          <w:rFonts w:eastAsia="Times New Roman"/>
          <w:highlight w:val="yellow"/>
        </w:rPr>
        <w:t xml:space="preserve">Use of et al. when there are three or more authors, and full authorship listed in bibliography. </w:t>
      </w:r>
    </w:p>
    <w:p w14:paraId="74562FD2" w14:textId="77777777" w:rsidR="00E74101" w:rsidRPr="00E74101" w:rsidRDefault="00E74101" w:rsidP="00E74101">
      <w:pPr>
        <w:numPr>
          <w:ilvl w:val="0"/>
          <w:numId w:val="3"/>
        </w:numPr>
        <w:spacing w:after="0" w:line="240" w:lineRule="auto"/>
        <w:rPr>
          <w:rFonts w:eastAsia="Times New Roman"/>
          <w:highlight w:val="yellow"/>
        </w:rPr>
      </w:pPr>
      <w:r w:rsidRPr="00E74101">
        <w:rPr>
          <w:rFonts w:eastAsia="Times New Roman"/>
          <w:highlight w:val="yellow"/>
        </w:rPr>
        <w:t xml:space="preserve">Multiple references in alphabetical not date order – </w:t>
      </w:r>
      <w:proofErr w:type="spellStart"/>
      <w:r w:rsidRPr="00E74101">
        <w:rPr>
          <w:rFonts w:eastAsia="Times New Roman"/>
          <w:highlight w:val="yellow"/>
        </w:rPr>
        <w:t>eg</w:t>
      </w:r>
      <w:proofErr w:type="spellEnd"/>
      <w:r w:rsidRPr="00E74101">
        <w:rPr>
          <w:rFonts w:eastAsia="Times New Roman"/>
          <w:highlight w:val="yellow"/>
        </w:rPr>
        <w:t>: Brown, 2014; Jones, 2000; Smith, 1994.</w:t>
      </w:r>
    </w:p>
    <w:p w14:paraId="29757697" w14:textId="77777777" w:rsidR="00E74101" w:rsidRPr="00E74101" w:rsidRDefault="00E74101" w:rsidP="00E74101">
      <w:pPr>
        <w:numPr>
          <w:ilvl w:val="0"/>
          <w:numId w:val="3"/>
        </w:numPr>
        <w:spacing w:after="0" w:line="240" w:lineRule="auto"/>
        <w:rPr>
          <w:rFonts w:eastAsia="Times New Roman"/>
          <w:highlight w:val="yellow"/>
        </w:rPr>
      </w:pPr>
      <w:r w:rsidRPr="00E74101">
        <w:rPr>
          <w:rFonts w:eastAsia="Times New Roman"/>
          <w:highlight w:val="yellow"/>
        </w:rPr>
        <w:t>No use of ibid.</w:t>
      </w:r>
    </w:p>
    <w:p w14:paraId="1A533688" w14:textId="77777777" w:rsidR="00E74101" w:rsidRPr="00E74101" w:rsidRDefault="00E74101" w:rsidP="00E74101">
      <w:pPr>
        <w:ind w:left="360"/>
        <w:rPr>
          <w:b/>
          <w:bCs/>
          <w:sz w:val="24"/>
          <w:szCs w:val="24"/>
          <w:highlight w:val="yellow"/>
        </w:rPr>
      </w:pPr>
      <w:r w:rsidRPr="00E74101">
        <w:rPr>
          <w:b/>
          <w:bCs/>
          <w:sz w:val="24"/>
          <w:szCs w:val="24"/>
          <w:highlight w:val="yellow"/>
        </w:rPr>
        <w:t xml:space="preserve">In text Example </w:t>
      </w:r>
    </w:p>
    <w:p w14:paraId="055FB150" w14:textId="77777777" w:rsidR="00E74101" w:rsidRPr="00E74101" w:rsidRDefault="00E74101" w:rsidP="00E74101">
      <w:pPr>
        <w:rPr>
          <w:sz w:val="24"/>
          <w:szCs w:val="24"/>
          <w:highlight w:val="yellow"/>
        </w:rPr>
      </w:pPr>
      <w:r w:rsidRPr="00E74101">
        <w:rPr>
          <w:sz w:val="24"/>
          <w:szCs w:val="24"/>
          <w:highlight w:val="yellow"/>
        </w:rPr>
        <w:t xml:space="preserve">As Harrison puts it: `(Dwelling) names the inflection of space, the twisting and crisscrossing of interiority and exteriority from which both these horizons gain their sense’ (2007: 628).  </w:t>
      </w:r>
    </w:p>
    <w:p w14:paraId="4321FC7D" w14:textId="77777777" w:rsidR="00E74101" w:rsidRPr="00E74101" w:rsidRDefault="00E74101" w:rsidP="00E74101">
      <w:pPr>
        <w:pStyle w:val="ListParagraph"/>
        <w:rPr>
          <w:b/>
          <w:bCs/>
          <w:highlight w:val="yellow"/>
        </w:rPr>
      </w:pPr>
    </w:p>
    <w:p w14:paraId="09E02A9E" w14:textId="77777777" w:rsidR="00E74101" w:rsidRPr="00E74101" w:rsidRDefault="00E74101" w:rsidP="00E74101">
      <w:pPr>
        <w:ind w:left="360"/>
        <w:rPr>
          <w:b/>
          <w:bCs/>
          <w:highlight w:val="yellow"/>
        </w:rPr>
      </w:pPr>
      <w:r w:rsidRPr="00E74101">
        <w:rPr>
          <w:b/>
          <w:bCs/>
          <w:highlight w:val="yellow"/>
        </w:rPr>
        <w:t>Bibliography Example</w:t>
      </w:r>
    </w:p>
    <w:p w14:paraId="77CFB5C1" w14:textId="77777777" w:rsidR="00E74101" w:rsidRPr="00E74101" w:rsidRDefault="00E74101" w:rsidP="00E74101">
      <w:pPr>
        <w:spacing w:line="480" w:lineRule="auto"/>
        <w:ind w:left="360"/>
        <w:jc w:val="both"/>
        <w:rPr>
          <w:rStyle w:val="Hyperlink"/>
          <w:color w:val="auto"/>
          <w:sz w:val="24"/>
          <w:szCs w:val="24"/>
          <w:highlight w:val="yellow"/>
          <w:u w:val="none"/>
        </w:rPr>
      </w:pPr>
      <w:r w:rsidRPr="00E74101">
        <w:rPr>
          <w:rStyle w:val="Hyperlink"/>
          <w:sz w:val="24"/>
          <w:szCs w:val="24"/>
          <w:highlight w:val="yellow"/>
        </w:rPr>
        <w:t xml:space="preserve">Derrida, J. (2000[1997]) </w:t>
      </w:r>
      <w:r w:rsidRPr="00E74101">
        <w:rPr>
          <w:rStyle w:val="Hyperlink"/>
          <w:i/>
          <w:iCs/>
          <w:sz w:val="24"/>
          <w:szCs w:val="24"/>
          <w:highlight w:val="yellow"/>
        </w:rPr>
        <w:t>Of Hospitality</w:t>
      </w:r>
      <w:r w:rsidRPr="00E74101">
        <w:rPr>
          <w:rStyle w:val="Hyperlink"/>
          <w:sz w:val="24"/>
          <w:szCs w:val="24"/>
          <w:highlight w:val="yellow"/>
        </w:rPr>
        <w:t>. Translated by R. Bowlby. Stanford, CA: Stanford University Press.</w:t>
      </w:r>
    </w:p>
    <w:p w14:paraId="767C9C74" w14:textId="77777777" w:rsidR="00E74101" w:rsidRPr="00E74101" w:rsidRDefault="00E74101" w:rsidP="00E74101">
      <w:pPr>
        <w:spacing w:line="480" w:lineRule="auto"/>
        <w:ind w:left="360"/>
        <w:jc w:val="both"/>
        <w:rPr>
          <w:rStyle w:val="Hyperlink"/>
          <w:sz w:val="24"/>
          <w:szCs w:val="24"/>
          <w:highlight w:val="yellow"/>
        </w:rPr>
      </w:pPr>
      <w:r w:rsidRPr="00E74101">
        <w:rPr>
          <w:rStyle w:val="Hyperlink"/>
          <w:sz w:val="24"/>
          <w:szCs w:val="24"/>
          <w:highlight w:val="yellow"/>
        </w:rPr>
        <w:t xml:space="preserve">Harrison, P. (2007) `The space between us: opening remarks on the concept of dwelling’, </w:t>
      </w:r>
      <w:r w:rsidRPr="00E74101">
        <w:rPr>
          <w:rStyle w:val="Hyperlink"/>
          <w:i/>
          <w:iCs/>
          <w:sz w:val="24"/>
          <w:szCs w:val="24"/>
          <w:highlight w:val="yellow"/>
        </w:rPr>
        <w:t>Environment and Planning D: Society and Space</w:t>
      </w:r>
      <w:r w:rsidRPr="00E74101">
        <w:rPr>
          <w:rStyle w:val="Hyperlink"/>
          <w:sz w:val="24"/>
          <w:szCs w:val="24"/>
          <w:highlight w:val="yellow"/>
        </w:rPr>
        <w:t>, 25: 625-647.</w:t>
      </w:r>
    </w:p>
    <w:p w14:paraId="258B0B59" w14:textId="77777777" w:rsidR="00E74101" w:rsidRPr="00E74101" w:rsidRDefault="00E74101" w:rsidP="00E74101">
      <w:pPr>
        <w:spacing w:line="480" w:lineRule="auto"/>
        <w:ind w:left="360"/>
        <w:jc w:val="both"/>
        <w:rPr>
          <w:rStyle w:val="Hyperlink"/>
          <w:sz w:val="24"/>
          <w:szCs w:val="24"/>
          <w:highlight w:val="yellow"/>
        </w:rPr>
      </w:pPr>
      <w:r w:rsidRPr="00E74101">
        <w:rPr>
          <w:rStyle w:val="Hyperlink"/>
          <w:sz w:val="24"/>
          <w:szCs w:val="24"/>
          <w:highlight w:val="yellow"/>
        </w:rPr>
        <w:t xml:space="preserve">Heidegger, M. (1993[1951]) `Building, dwelling, thinking’, in D. Farrell Krell (ed) </w:t>
      </w:r>
      <w:r w:rsidRPr="00E74101">
        <w:rPr>
          <w:rStyle w:val="Hyperlink"/>
          <w:i/>
          <w:iCs/>
          <w:sz w:val="24"/>
          <w:szCs w:val="24"/>
          <w:highlight w:val="yellow"/>
        </w:rPr>
        <w:t>Basic Writings</w:t>
      </w:r>
      <w:r w:rsidRPr="00E74101">
        <w:rPr>
          <w:rStyle w:val="Hyperlink"/>
          <w:sz w:val="24"/>
          <w:szCs w:val="24"/>
          <w:highlight w:val="yellow"/>
        </w:rPr>
        <w:t>. Second Edition. London: Routledge: pp. 347-363.</w:t>
      </w:r>
    </w:p>
    <w:p w14:paraId="623F1CE3" w14:textId="77777777" w:rsidR="00E74101" w:rsidRPr="00E74101" w:rsidRDefault="00E74101" w:rsidP="00E74101">
      <w:pPr>
        <w:autoSpaceDE w:val="0"/>
        <w:autoSpaceDN w:val="0"/>
        <w:spacing w:line="480" w:lineRule="auto"/>
        <w:ind w:left="360"/>
        <w:jc w:val="both"/>
        <w:rPr>
          <w:highlight w:val="yellow"/>
        </w:rPr>
      </w:pPr>
      <w:r w:rsidRPr="00E74101">
        <w:rPr>
          <w:sz w:val="24"/>
          <w:szCs w:val="24"/>
          <w:highlight w:val="yellow"/>
        </w:rPr>
        <w:t xml:space="preserve">Levinas, E. (1969) </w:t>
      </w:r>
      <w:r w:rsidRPr="00E74101">
        <w:rPr>
          <w:i/>
          <w:iCs/>
          <w:sz w:val="24"/>
          <w:szCs w:val="24"/>
          <w:highlight w:val="yellow"/>
        </w:rPr>
        <w:t>Totality and Infinity: Essays on Exteriority</w:t>
      </w:r>
      <w:r w:rsidRPr="00E74101">
        <w:rPr>
          <w:sz w:val="24"/>
          <w:szCs w:val="24"/>
          <w:highlight w:val="yellow"/>
        </w:rPr>
        <w:t xml:space="preserve">. Translated by A. </w:t>
      </w:r>
      <w:proofErr w:type="spellStart"/>
      <w:r w:rsidRPr="00E74101">
        <w:rPr>
          <w:sz w:val="24"/>
          <w:szCs w:val="24"/>
          <w:highlight w:val="yellow"/>
        </w:rPr>
        <w:t>Lingis</w:t>
      </w:r>
      <w:proofErr w:type="spellEnd"/>
      <w:r w:rsidRPr="00E74101">
        <w:rPr>
          <w:sz w:val="24"/>
          <w:szCs w:val="24"/>
          <w:highlight w:val="yellow"/>
        </w:rPr>
        <w:t>. Kluwer: Dordrecht.</w:t>
      </w:r>
    </w:p>
    <w:p w14:paraId="2A441C37" w14:textId="77777777" w:rsidR="00E74101" w:rsidRDefault="00E74101" w:rsidP="00E74101">
      <w:pPr>
        <w:autoSpaceDE w:val="0"/>
        <w:autoSpaceDN w:val="0"/>
        <w:spacing w:line="480" w:lineRule="auto"/>
        <w:ind w:left="360"/>
        <w:jc w:val="both"/>
        <w:rPr>
          <w:sz w:val="24"/>
          <w:szCs w:val="24"/>
        </w:rPr>
      </w:pPr>
      <w:r w:rsidRPr="00E74101">
        <w:rPr>
          <w:sz w:val="24"/>
          <w:szCs w:val="24"/>
          <w:highlight w:val="yellow"/>
        </w:rPr>
        <w:t xml:space="preserve">McFarlane, C. (2011) `The city as assemblage: dwelling and urban space’, </w:t>
      </w:r>
      <w:r w:rsidRPr="00E74101">
        <w:rPr>
          <w:i/>
          <w:iCs/>
          <w:sz w:val="24"/>
          <w:szCs w:val="24"/>
          <w:highlight w:val="yellow"/>
        </w:rPr>
        <w:t>Environment and Planning D: Society and Space</w:t>
      </w:r>
      <w:r w:rsidRPr="00E74101">
        <w:rPr>
          <w:sz w:val="24"/>
          <w:szCs w:val="24"/>
          <w:highlight w:val="yellow"/>
        </w:rPr>
        <w:t>, 29: 649-71.</w:t>
      </w:r>
    </w:p>
    <w:p w14:paraId="11FB251A" w14:textId="77777777" w:rsidR="00E74101" w:rsidRDefault="00E74101" w:rsidP="00E74101">
      <w:pPr>
        <w:spacing w:line="480" w:lineRule="auto"/>
        <w:jc w:val="both"/>
        <w:rPr>
          <w:rStyle w:val="Hyperlink"/>
          <w:color w:val="auto"/>
          <w:u w:val="none"/>
        </w:rPr>
      </w:pPr>
    </w:p>
    <w:p w14:paraId="255F5022" w14:textId="77777777" w:rsidR="007D2A91" w:rsidRPr="00C81AA0" w:rsidRDefault="007D2A91" w:rsidP="00001EE3">
      <w:pPr>
        <w:shd w:val="clear" w:color="auto" w:fill="FFFFFF"/>
        <w:spacing w:after="0" w:line="240" w:lineRule="auto"/>
        <w:textAlignment w:val="baseline"/>
        <w:rPr>
          <w:rFonts w:eastAsia="Times New Roman" w:cstheme="minorHAnsi"/>
          <w:color w:val="201F1E"/>
          <w:lang w:eastAsia="en-GB"/>
        </w:rPr>
      </w:pPr>
    </w:p>
    <w:p w14:paraId="7BBC3966" w14:textId="77777777" w:rsidR="007D2A91" w:rsidRPr="00C81AA0" w:rsidRDefault="007D2A91" w:rsidP="00001EE3">
      <w:pPr>
        <w:shd w:val="clear" w:color="auto" w:fill="FFFFFF"/>
        <w:spacing w:after="0" w:line="240" w:lineRule="auto"/>
        <w:textAlignment w:val="baseline"/>
        <w:rPr>
          <w:rFonts w:eastAsia="Times New Roman" w:cstheme="minorHAnsi"/>
          <w:color w:val="201F1E"/>
          <w:lang w:eastAsia="en-GB"/>
        </w:rPr>
      </w:pPr>
    </w:p>
    <w:p w14:paraId="08DB1DB3" w14:textId="77777777" w:rsidR="007D2A91" w:rsidRPr="00C81AA0" w:rsidRDefault="007D2A91" w:rsidP="00001EE3">
      <w:pPr>
        <w:shd w:val="clear" w:color="auto" w:fill="FFFFFF"/>
        <w:spacing w:after="0" w:line="240" w:lineRule="auto"/>
        <w:textAlignment w:val="baseline"/>
        <w:rPr>
          <w:rFonts w:eastAsia="Times New Roman" w:cstheme="minorHAnsi"/>
          <w:color w:val="201F1E"/>
          <w:lang w:eastAsia="en-GB"/>
        </w:rPr>
      </w:pPr>
    </w:p>
    <w:p w14:paraId="2FEFAF43" w14:textId="77777777" w:rsidR="007D2A91" w:rsidRPr="00C81AA0" w:rsidRDefault="007D2A91" w:rsidP="00001EE3">
      <w:pPr>
        <w:shd w:val="clear" w:color="auto" w:fill="FFFFFF"/>
        <w:spacing w:after="0" w:line="240" w:lineRule="auto"/>
        <w:textAlignment w:val="baseline"/>
        <w:rPr>
          <w:rFonts w:eastAsia="Times New Roman" w:cstheme="minorHAnsi"/>
          <w:color w:val="201F1E"/>
          <w:lang w:eastAsia="en-GB"/>
        </w:rPr>
      </w:pPr>
    </w:p>
    <w:p w14:paraId="32CD59C3" w14:textId="77777777" w:rsidR="00D0403E" w:rsidRPr="00C81AA0" w:rsidRDefault="00D0403E" w:rsidP="00001EE3">
      <w:pPr>
        <w:spacing w:after="0" w:line="240" w:lineRule="auto"/>
        <w:textAlignment w:val="baseline"/>
        <w:rPr>
          <w:rFonts w:cstheme="minorHAnsi"/>
        </w:rPr>
      </w:pPr>
    </w:p>
    <w:p w14:paraId="5EF3137D" w14:textId="77777777" w:rsidR="001E04CF" w:rsidRPr="00C81AA0" w:rsidRDefault="001E04CF" w:rsidP="00001EE3">
      <w:pPr>
        <w:spacing w:after="0" w:line="240" w:lineRule="auto"/>
        <w:rPr>
          <w:rFonts w:cstheme="minorHAnsi"/>
        </w:rPr>
      </w:pPr>
    </w:p>
    <w:p w14:paraId="58CE46C3" w14:textId="19292E47" w:rsidR="00406732" w:rsidRPr="00406732" w:rsidRDefault="00406732" w:rsidP="00001EE3">
      <w:pPr>
        <w:spacing w:after="0" w:line="240" w:lineRule="auto"/>
        <w:jc w:val="both"/>
        <w:rPr>
          <w:rFonts w:cstheme="minorHAnsi"/>
          <w:b/>
          <w:bCs/>
        </w:rPr>
      </w:pPr>
    </w:p>
    <w:sectPr w:rsidR="00406732" w:rsidRPr="00406732">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140D" w14:textId="77777777" w:rsidR="00FB571A" w:rsidRDefault="00FB571A" w:rsidP="003F7715">
      <w:pPr>
        <w:spacing w:after="0" w:line="240" w:lineRule="auto"/>
      </w:pPr>
      <w:r>
        <w:separator/>
      </w:r>
    </w:p>
  </w:endnote>
  <w:endnote w:type="continuationSeparator" w:id="0">
    <w:p w14:paraId="49AFCF80" w14:textId="77777777" w:rsidR="00FB571A" w:rsidRDefault="00FB571A" w:rsidP="003F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2195360"/>
      <w:docPartObj>
        <w:docPartGallery w:val="Page Numbers (Bottom of Page)"/>
        <w:docPartUnique/>
      </w:docPartObj>
    </w:sdtPr>
    <w:sdtEndPr>
      <w:rPr>
        <w:rStyle w:val="PageNumber"/>
      </w:rPr>
    </w:sdtEndPr>
    <w:sdtContent>
      <w:p w14:paraId="1A914EE9" w14:textId="60AC445F" w:rsidR="00B32BCD" w:rsidRDefault="00B32BCD" w:rsidP="003A0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AA97E0" w14:textId="77777777" w:rsidR="00B32BCD" w:rsidRDefault="00B32BCD" w:rsidP="00B32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434464"/>
      <w:docPartObj>
        <w:docPartGallery w:val="Page Numbers (Bottom of Page)"/>
        <w:docPartUnique/>
      </w:docPartObj>
    </w:sdtPr>
    <w:sdtEndPr>
      <w:rPr>
        <w:rStyle w:val="PageNumber"/>
      </w:rPr>
    </w:sdtEndPr>
    <w:sdtContent>
      <w:p w14:paraId="4A2043FF" w14:textId="26577B5D" w:rsidR="00B32BCD" w:rsidRDefault="00B32BCD" w:rsidP="003A0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09A588" w14:textId="77777777" w:rsidR="00B32BCD" w:rsidRDefault="00B32BCD" w:rsidP="00B32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FAFC" w14:textId="77777777" w:rsidR="00FB571A" w:rsidRDefault="00FB571A" w:rsidP="003F7715">
      <w:pPr>
        <w:spacing w:after="0" w:line="240" w:lineRule="auto"/>
      </w:pPr>
      <w:r>
        <w:separator/>
      </w:r>
    </w:p>
  </w:footnote>
  <w:footnote w:type="continuationSeparator" w:id="0">
    <w:p w14:paraId="4C7C2F92" w14:textId="77777777" w:rsidR="00FB571A" w:rsidRDefault="00FB571A" w:rsidP="003F7715">
      <w:pPr>
        <w:spacing w:after="0" w:line="240" w:lineRule="auto"/>
      </w:pPr>
      <w:r>
        <w:continuationSeparator/>
      </w:r>
    </w:p>
  </w:footnote>
  <w:footnote w:id="1">
    <w:p w14:paraId="6438C324" w14:textId="2D5E2818" w:rsidR="005F40EF" w:rsidRPr="005F40EF" w:rsidRDefault="005F40EF">
      <w:pPr>
        <w:pStyle w:val="FootnoteText"/>
      </w:pPr>
      <w:r w:rsidRPr="005F40EF">
        <w:rPr>
          <w:rStyle w:val="FootnoteReference"/>
        </w:rPr>
        <w:footnoteRef/>
      </w:r>
      <w:r w:rsidRPr="005F40EF">
        <w:t xml:space="preserve"> The Gordon Moody Foundation is the UK’s leading charity providing support and treatment for gambling addiction https://gordonmoody.org.uk/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29F5"/>
    <w:multiLevelType w:val="multilevel"/>
    <w:tmpl w:val="CAB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E0A1F"/>
    <w:multiLevelType w:val="hybridMultilevel"/>
    <w:tmpl w:val="330A7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A164C5"/>
    <w:multiLevelType w:val="hybridMultilevel"/>
    <w:tmpl w:val="648CA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B2"/>
    <w:rsid w:val="00001EE3"/>
    <w:rsid w:val="000270FF"/>
    <w:rsid w:val="00035B01"/>
    <w:rsid w:val="00043A9B"/>
    <w:rsid w:val="00050752"/>
    <w:rsid w:val="00054D0D"/>
    <w:rsid w:val="00077252"/>
    <w:rsid w:val="00081CA8"/>
    <w:rsid w:val="0009101B"/>
    <w:rsid w:val="00095A48"/>
    <w:rsid w:val="000B5602"/>
    <w:rsid w:val="000F34BD"/>
    <w:rsid w:val="001114A0"/>
    <w:rsid w:val="00112B25"/>
    <w:rsid w:val="001323B8"/>
    <w:rsid w:val="0016170D"/>
    <w:rsid w:val="00173306"/>
    <w:rsid w:val="00177273"/>
    <w:rsid w:val="00190505"/>
    <w:rsid w:val="00192621"/>
    <w:rsid w:val="001A6D13"/>
    <w:rsid w:val="001D050C"/>
    <w:rsid w:val="001D7498"/>
    <w:rsid w:val="001E04CF"/>
    <w:rsid w:val="001E3CAD"/>
    <w:rsid w:val="00215B72"/>
    <w:rsid w:val="0023385A"/>
    <w:rsid w:val="00237637"/>
    <w:rsid w:val="00253F79"/>
    <w:rsid w:val="002574D8"/>
    <w:rsid w:val="002719A2"/>
    <w:rsid w:val="00281334"/>
    <w:rsid w:val="00286A79"/>
    <w:rsid w:val="002B3CA1"/>
    <w:rsid w:val="002B687E"/>
    <w:rsid w:val="002B7DBB"/>
    <w:rsid w:val="002C1993"/>
    <w:rsid w:val="002D16F9"/>
    <w:rsid w:val="002D18DD"/>
    <w:rsid w:val="002D2AE0"/>
    <w:rsid w:val="002E7665"/>
    <w:rsid w:val="002F5BB7"/>
    <w:rsid w:val="003151E1"/>
    <w:rsid w:val="00320D08"/>
    <w:rsid w:val="00324783"/>
    <w:rsid w:val="00325EFA"/>
    <w:rsid w:val="00336997"/>
    <w:rsid w:val="00352F22"/>
    <w:rsid w:val="00373D88"/>
    <w:rsid w:val="003A505C"/>
    <w:rsid w:val="003D5125"/>
    <w:rsid w:val="003E6E0C"/>
    <w:rsid w:val="003F064D"/>
    <w:rsid w:val="003F7715"/>
    <w:rsid w:val="00406732"/>
    <w:rsid w:val="00406A5C"/>
    <w:rsid w:val="00414C24"/>
    <w:rsid w:val="004267C2"/>
    <w:rsid w:val="00430059"/>
    <w:rsid w:val="00430826"/>
    <w:rsid w:val="004333EE"/>
    <w:rsid w:val="004418EC"/>
    <w:rsid w:val="0045143B"/>
    <w:rsid w:val="00454CCA"/>
    <w:rsid w:val="00457DFB"/>
    <w:rsid w:val="0046438F"/>
    <w:rsid w:val="00473A58"/>
    <w:rsid w:val="00492709"/>
    <w:rsid w:val="004976CD"/>
    <w:rsid w:val="004A0652"/>
    <w:rsid w:val="004A4873"/>
    <w:rsid w:val="004A7F81"/>
    <w:rsid w:val="004B24CD"/>
    <w:rsid w:val="004C2465"/>
    <w:rsid w:val="004D727C"/>
    <w:rsid w:val="00500EB8"/>
    <w:rsid w:val="00505E53"/>
    <w:rsid w:val="00512037"/>
    <w:rsid w:val="00521FB4"/>
    <w:rsid w:val="00584FD1"/>
    <w:rsid w:val="00586BEB"/>
    <w:rsid w:val="005A27F1"/>
    <w:rsid w:val="005A29AE"/>
    <w:rsid w:val="005C12C3"/>
    <w:rsid w:val="005D21C9"/>
    <w:rsid w:val="005D6827"/>
    <w:rsid w:val="005E48C2"/>
    <w:rsid w:val="005F29EF"/>
    <w:rsid w:val="005F40EF"/>
    <w:rsid w:val="00627663"/>
    <w:rsid w:val="00632920"/>
    <w:rsid w:val="0063480A"/>
    <w:rsid w:val="006502B2"/>
    <w:rsid w:val="006635E8"/>
    <w:rsid w:val="00675C8F"/>
    <w:rsid w:val="00686077"/>
    <w:rsid w:val="006A38F8"/>
    <w:rsid w:val="006B2B32"/>
    <w:rsid w:val="006B7CBB"/>
    <w:rsid w:val="006C5FCD"/>
    <w:rsid w:val="006D3950"/>
    <w:rsid w:val="006E0EDA"/>
    <w:rsid w:val="006E6924"/>
    <w:rsid w:val="00707B03"/>
    <w:rsid w:val="00717480"/>
    <w:rsid w:val="00720FF6"/>
    <w:rsid w:val="00721DE9"/>
    <w:rsid w:val="00722CDD"/>
    <w:rsid w:val="007312E9"/>
    <w:rsid w:val="00735524"/>
    <w:rsid w:val="00741552"/>
    <w:rsid w:val="007447F6"/>
    <w:rsid w:val="0075044F"/>
    <w:rsid w:val="00766DCD"/>
    <w:rsid w:val="0077154A"/>
    <w:rsid w:val="007828C5"/>
    <w:rsid w:val="007A68C2"/>
    <w:rsid w:val="007B52F8"/>
    <w:rsid w:val="007D2A91"/>
    <w:rsid w:val="007D5DF2"/>
    <w:rsid w:val="007E3157"/>
    <w:rsid w:val="007E56B4"/>
    <w:rsid w:val="007F4D1E"/>
    <w:rsid w:val="00802F09"/>
    <w:rsid w:val="00813640"/>
    <w:rsid w:val="00823D61"/>
    <w:rsid w:val="00853513"/>
    <w:rsid w:val="0088305A"/>
    <w:rsid w:val="00890AC4"/>
    <w:rsid w:val="00893CD3"/>
    <w:rsid w:val="00896060"/>
    <w:rsid w:val="0090000B"/>
    <w:rsid w:val="00927C44"/>
    <w:rsid w:val="00936294"/>
    <w:rsid w:val="00937311"/>
    <w:rsid w:val="00942285"/>
    <w:rsid w:val="00953713"/>
    <w:rsid w:val="00977075"/>
    <w:rsid w:val="00982812"/>
    <w:rsid w:val="0099223B"/>
    <w:rsid w:val="009A1E79"/>
    <w:rsid w:val="009A6B96"/>
    <w:rsid w:val="009A7839"/>
    <w:rsid w:val="009B4CB0"/>
    <w:rsid w:val="009C2EAE"/>
    <w:rsid w:val="009C30FB"/>
    <w:rsid w:val="009C5984"/>
    <w:rsid w:val="009E563A"/>
    <w:rsid w:val="009F61B2"/>
    <w:rsid w:val="00A050CD"/>
    <w:rsid w:val="00A20288"/>
    <w:rsid w:val="00A36289"/>
    <w:rsid w:val="00A43309"/>
    <w:rsid w:val="00A655AD"/>
    <w:rsid w:val="00A76B4B"/>
    <w:rsid w:val="00A95F79"/>
    <w:rsid w:val="00AC1E2D"/>
    <w:rsid w:val="00AC281E"/>
    <w:rsid w:val="00AD7524"/>
    <w:rsid w:val="00AE1966"/>
    <w:rsid w:val="00AE5997"/>
    <w:rsid w:val="00AF26EE"/>
    <w:rsid w:val="00AF43B2"/>
    <w:rsid w:val="00B019AF"/>
    <w:rsid w:val="00B20B02"/>
    <w:rsid w:val="00B32BCD"/>
    <w:rsid w:val="00B5456F"/>
    <w:rsid w:val="00B5747F"/>
    <w:rsid w:val="00B65638"/>
    <w:rsid w:val="00BA1215"/>
    <w:rsid w:val="00BF19CB"/>
    <w:rsid w:val="00C27DFC"/>
    <w:rsid w:val="00C33EB0"/>
    <w:rsid w:val="00C33FBD"/>
    <w:rsid w:val="00C341D4"/>
    <w:rsid w:val="00C34B27"/>
    <w:rsid w:val="00C72930"/>
    <w:rsid w:val="00C75A4B"/>
    <w:rsid w:val="00C8011E"/>
    <w:rsid w:val="00C81AA0"/>
    <w:rsid w:val="00C8580D"/>
    <w:rsid w:val="00CA4824"/>
    <w:rsid w:val="00CC43D8"/>
    <w:rsid w:val="00D0403E"/>
    <w:rsid w:val="00D11E45"/>
    <w:rsid w:val="00D26777"/>
    <w:rsid w:val="00D31671"/>
    <w:rsid w:val="00D321DD"/>
    <w:rsid w:val="00D324F1"/>
    <w:rsid w:val="00D746A9"/>
    <w:rsid w:val="00D933DF"/>
    <w:rsid w:val="00DA1BF4"/>
    <w:rsid w:val="00DA3415"/>
    <w:rsid w:val="00DA712A"/>
    <w:rsid w:val="00DA7489"/>
    <w:rsid w:val="00DD72D4"/>
    <w:rsid w:val="00E03A8B"/>
    <w:rsid w:val="00E066F2"/>
    <w:rsid w:val="00E06F22"/>
    <w:rsid w:val="00E071E0"/>
    <w:rsid w:val="00E27F23"/>
    <w:rsid w:val="00E31AD2"/>
    <w:rsid w:val="00E324A9"/>
    <w:rsid w:val="00E5049E"/>
    <w:rsid w:val="00E62413"/>
    <w:rsid w:val="00E74101"/>
    <w:rsid w:val="00E741A0"/>
    <w:rsid w:val="00E74F9E"/>
    <w:rsid w:val="00E81A9D"/>
    <w:rsid w:val="00EB2F52"/>
    <w:rsid w:val="00EB6807"/>
    <w:rsid w:val="00EF042C"/>
    <w:rsid w:val="00F01F55"/>
    <w:rsid w:val="00F06D6A"/>
    <w:rsid w:val="00F22DDF"/>
    <w:rsid w:val="00F37459"/>
    <w:rsid w:val="00F571C5"/>
    <w:rsid w:val="00F602AA"/>
    <w:rsid w:val="00F762E8"/>
    <w:rsid w:val="00FA5187"/>
    <w:rsid w:val="00FB571A"/>
    <w:rsid w:val="00FC0373"/>
    <w:rsid w:val="00FC188A"/>
    <w:rsid w:val="00FC3118"/>
    <w:rsid w:val="00FC51F0"/>
    <w:rsid w:val="00FF46AB"/>
    <w:rsid w:val="07077553"/>
    <w:rsid w:val="10A9D566"/>
    <w:rsid w:val="12BD5BB4"/>
    <w:rsid w:val="1EB7054E"/>
    <w:rsid w:val="3358708B"/>
    <w:rsid w:val="37AE04A3"/>
    <w:rsid w:val="394EA5F4"/>
    <w:rsid w:val="3ED10A59"/>
    <w:rsid w:val="442BCB8C"/>
    <w:rsid w:val="525A1D79"/>
    <w:rsid w:val="56C258C1"/>
    <w:rsid w:val="57852759"/>
    <w:rsid w:val="6C8A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E51C"/>
  <w15:chartTrackingRefBased/>
  <w15:docId w15:val="{FFD4A846-1C9C-485A-8058-DFCB60A7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5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0673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AD"/>
    <w:pPr>
      <w:ind w:left="720"/>
      <w:contextualSpacing/>
    </w:pPr>
  </w:style>
  <w:style w:type="character" w:customStyle="1" w:styleId="Heading1Char">
    <w:name w:val="Heading 1 Char"/>
    <w:basedOn w:val="DefaultParagraphFont"/>
    <w:link w:val="Heading1"/>
    <w:uiPriority w:val="9"/>
    <w:rsid w:val="00A655AD"/>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3F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715"/>
  </w:style>
  <w:style w:type="paragraph" w:styleId="Footer">
    <w:name w:val="footer"/>
    <w:basedOn w:val="Normal"/>
    <w:link w:val="FooterChar"/>
    <w:uiPriority w:val="99"/>
    <w:unhideWhenUsed/>
    <w:rsid w:val="003F7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715"/>
  </w:style>
  <w:style w:type="paragraph" w:styleId="NormalWeb">
    <w:name w:val="Normal (Web)"/>
    <w:basedOn w:val="Normal"/>
    <w:uiPriority w:val="99"/>
    <w:unhideWhenUsed/>
    <w:rsid w:val="00406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06732"/>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B32BCD"/>
  </w:style>
  <w:style w:type="paragraph" w:customStyle="1" w:styleId="dx-doi">
    <w:name w:val="dx-doi"/>
    <w:basedOn w:val="Normal"/>
    <w:rsid w:val="00132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23B8"/>
    <w:rPr>
      <w:color w:val="0000FF"/>
      <w:u w:val="single"/>
    </w:rPr>
  </w:style>
  <w:style w:type="character" w:styleId="UnresolvedMention">
    <w:name w:val="Unresolved Mention"/>
    <w:basedOn w:val="DefaultParagraphFont"/>
    <w:uiPriority w:val="99"/>
    <w:semiHidden/>
    <w:unhideWhenUsed/>
    <w:rsid w:val="00001EE3"/>
    <w:rPr>
      <w:color w:val="605E5C"/>
      <w:shd w:val="clear" w:color="auto" w:fill="E1DFDD"/>
    </w:rPr>
  </w:style>
  <w:style w:type="character" w:styleId="CommentReference">
    <w:name w:val="annotation reference"/>
    <w:basedOn w:val="DefaultParagraphFont"/>
    <w:uiPriority w:val="99"/>
    <w:semiHidden/>
    <w:unhideWhenUsed/>
    <w:rsid w:val="00E74101"/>
    <w:rPr>
      <w:sz w:val="16"/>
      <w:szCs w:val="16"/>
    </w:rPr>
  </w:style>
  <w:style w:type="paragraph" w:styleId="CommentText">
    <w:name w:val="annotation text"/>
    <w:basedOn w:val="Normal"/>
    <w:link w:val="CommentTextChar"/>
    <w:uiPriority w:val="99"/>
    <w:semiHidden/>
    <w:unhideWhenUsed/>
    <w:rsid w:val="00E74101"/>
    <w:pPr>
      <w:spacing w:line="240" w:lineRule="auto"/>
    </w:pPr>
    <w:rPr>
      <w:sz w:val="20"/>
      <w:szCs w:val="20"/>
    </w:rPr>
  </w:style>
  <w:style w:type="character" w:customStyle="1" w:styleId="CommentTextChar">
    <w:name w:val="Comment Text Char"/>
    <w:basedOn w:val="DefaultParagraphFont"/>
    <w:link w:val="CommentText"/>
    <w:uiPriority w:val="99"/>
    <w:semiHidden/>
    <w:rsid w:val="00E74101"/>
    <w:rPr>
      <w:sz w:val="20"/>
      <w:szCs w:val="20"/>
    </w:rPr>
  </w:style>
  <w:style w:type="paragraph" w:styleId="CommentSubject">
    <w:name w:val="annotation subject"/>
    <w:basedOn w:val="CommentText"/>
    <w:next w:val="CommentText"/>
    <w:link w:val="CommentSubjectChar"/>
    <w:uiPriority w:val="99"/>
    <w:semiHidden/>
    <w:unhideWhenUsed/>
    <w:rsid w:val="00E74101"/>
    <w:rPr>
      <w:b/>
      <w:bCs/>
    </w:rPr>
  </w:style>
  <w:style w:type="character" w:customStyle="1" w:styleId="CommentSubjectChar">
    <w:name w:val="Comment Subject Char"/>
    <w:basedOn w:val="CommentTextChar"/>
    <w:link w:val="CommentSubject"/>
    <w:uiPriority w:val="99"/>
    <w:semiHidden/>
    <w:rsid w:val="00E74101"/>
    <w:rPr>
      <w:b/>
      <w:bCs/>
      <w:sz w:val="20"/>
      <w:szCs w:val="20"/>
    </w:rPr>
  </w:style>
  <w:style w:type="paragraph" w:styleId="Revision">
    <w:name w:val="Revision"/>
    <w:hidden/>
    <w:uiPriority w:val="99"/>
    <w:semiHidden/>
    <w:rsid w:val="004A4873"/>
    <w:pPr>
      <w:spacing w:after="0" w:line="240" w:lineRule="auto"/>
    </w:pPr>
  </w:style>
  <w:style w:type="paragraph" w:styleId="FootnoteText">
    <w:name w:val="footnote text"/>
    <w:basedOn w:val="Normal"/>
    <w:link w:val="FootnoteTextChar"/>
    <w:uiPriority w:val="99"/>
    <w:semiHidden/>
    <w:unhideWhenUsed/>
    <w:rsid w:val="005F4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0EF"/>
    <w:rPr>
      <w:sz w:val="20"/>
      <w:szCs w:val="20"/>
    </w:rPr>
  </w:style>
  <w:style w:type="character" w:styleId="FootnoteReference">
    <w:name w:val="footnote reference"/>
    <w:basedOn w:val="DefaultParagraphFont"/>
    <w:uiPriority w:val="99"/>
    <w:semiHidden/>
    <w:unhideWhenUsed/>
    <w:rsid w:val="005F40EF"/>
    <w:rPr>
      <w:vertAlign w:val="superscript"/>
    </w:rPr>
  </w:style>
  <w:style w:type="character" w:styleId="Emphasis">
    <w:name w:val="Emphasis"/>
    <w:basedOn w:val="DefaultParagraphFont"/>
    <w:uiPriority w:val="20"/>
    <w:qFormat/>
    <w:rsid w:val="007F4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113">
      <w:bodyDiv w:val="1"/>
      <w:marLeft w:val="0"/>
      <w:marRight w:val="0"/>
      <w:marTop w:val="0"/>
      <w:marBottom w:val="0"/>
      <w:divBdr>
        <w:top w:val="none" w:sz="0" w:space="0" w:color="auto"/>
        <w:left w:val="none" w:sz="0" w:space="0" w:color="auto"/>
        <w:bottom w:val="none" w:sz="0" w:space="0" w:color="auto"/>
        <w:right w:val="none" w:sz="0" w:space="0" w:color="auto"/>
      </w:divBdr>
      <w:divsChild>
        <w:div w:id="1305425107">
          <w:marLeft w:val="0"/>
          <w:marRight w:val="0"/>
          <w:marTop w:val="0"/>
          <w:marBottom w:val="0"/>
          <w:divBdr>
            <w:top w:val="none" w:sz="0" w:space="0" w:color="auto"/>
            <w:left w:val="none" w:sz="0" w:space="0" w:color="auto"/>
            <w:bottom w:val="none" w:sz="0" w:space="0" w:color="auto"/>
            <w:right w:val="none" w:sz="0" w:space="0" w:color="auto"/>
          </w:divBdr>
        </w:div>
        <w:div w:id="236598220">
          <w:marLeft w:val="0"/>
          <w:marRight w:val="0"/>
          <w:marTop w:val="0"/>
          <w:marBottom w:val="0"/>
          <w:divBdr>
            <w:top w:val="none" w:sz="0" w:space="0" w:color="auto"/>
            <w:left w:val="none" w:sz="0" w:space="0" w:color="auto"/>
            <w:bottom w:val="none" w:sz="0" w:space="0" w:color="auto"/>
            <w:right w:val="none" w:sz="0" w:space="0" w:color="auto"/>
          </w:divBdr>
        </w:div>
        <w:div w:id="743071458">
          <w:marLeft w:val="0"/>
          <w:marRight w:val="0"/>
          <w:marTop w:val="0"/>
          <w:marBottom w:val="0"/>
          <w:divBdr>
            <w:top w:val="none" w:sz="0" w:space="0" w:color="auto"/>
            <w:left w:val="none" w:sz="0" w:space="0" w:color="auto"/>
            <w:bottom w:val="none" w:sz="0" w:space="0" w:color="auto"/>
            <w:right w:val="none" w:sz="0" w:space="0" w:color="auto"/>
          </w:divBdr>
        </w:div>
        <w:div w:id="468673420">
          <w:marLeft w:val="0"/>
          <w:marRight w:val="0"/>
          <w:marTop w:val="0"/>
          <w:marBottom w:val="0"/>
          <w:divBdr>
            <w:top w:val="none" w:sz="0" w:space="0" w:color="auto"/>
            <w:left w:val="none" w:sz="0" w:space="0" w:color="auto"/>
            <w:bottom w:val="none" w:sz="0" w:space="0" w:color="auto"/>
            <w:right w:val="none" w:sz="0" w:space="0" w:color="auto"/>
          </w:divBdr>
        </w:div>
        <w:div w:id="459955146">
          <w:marLeft w:val="0"/>
          <w:marRight w:val="0"/>
          <w:marTop w:val="0"/>
          <w:marBottom w:val="0"/>
          <w:divBdr>
            <w:top w:val="none" w:sz="0" w:space="0" w:color="auto"/>
            <w:left w:val="none" w:sz="0" w:space="0" w:color="auto"/>
            <w:bottom w:val="none" w:sz="0" w:space="0" w:color="auto"/>
            <w:right w:val="none" w:sz="0" w:space="0" w:color="auto"/>
          </w:divBdr>
        </w:div>
        <w:div w:id="86815">
          <w:marLeft w:val="0"/>
          <w:marRight w:val="0"/>
          <w:marTop w:val="0"/>
          <w:marBottom w:val="0"/>
          <w:divBdr>
            <w:top w:val="none" w:sz="0" w:space="0" w:color="auto"/>
            <w:left w:val="none" w:sz="0" w:space="0" w:color="auto"/>
            <w:bottom w:val="none" w:sz="0" w:space="0" w:color="auto"/>
            <w:right w:val="none" w:sz="0" w:space="0" w:color="auto"/>
          </w:divBdr>
        </w:div>
        <w:div w:id="1745494457">
          <w:marLeft w:val="0"/>
          <w:marRight w:val="0"/>
          <w:marTop w:val="0"/>
          <w:marBottom w:val="0"/>
          <w:divBdr>
            <w:top w:val="none" w:sz="0" w:space="0" w:color="auto"/>
            <w:left w:val="none" w:sz="0" w:space="0" w:color="auto"/>
            <w:bottom w:val="none" w:sz="0" w:space="0" w:color="auto"/>
            <w:right w:val="none" w:sz="0" w:space="0" w:color="auto"/>
          </w:divBdr>
        </w:div>
        <w:div w:id="990449276">
          <w:marLeft w:val="0"/>
          <w:marRight w:val="0"/>
          <w:marTop w:val="0"/>
          <w:marBottom w:val="0"/>
          <w:divBdr>
            <w:top w:val="none" w:sz="0" w:space="0" w:color="auto"/>
            <w:left w:val="none" w:sz="0" w:space="0" w:color="auto"/>
            <w:bottom w:val="none" w:sz="0" w:space="0" w:color="auto"/>
            <w:right w:val="none" w:sz="0" w:space="0" w:color="auto"/>
          </w:divBdr>
        </w:div>
        <w:div w:id="923883657">
          <w:marLeft w:val="0"/>
          <w:marRight w:val="0"/>
          <w:marTop w:val="0"/>
          <w:marBottom w:val="0"/>
          <w:divBdr>
            <w:top w:val="none" w:sz="0" w:space="0" w:color="auto"/>
            <w:left w:val="none" w:sz="0" w:space="0" w:color="auto"/>
            <w:bottom w:val="none" w:sz="0" w:space="0" w:color="auto"/>
            <w:right w:val="none" w:sz="0" w:space="0" w:color="auto"/>
          </w:divBdr>
        </w:div>
        <w:div w:id="642659470">
          <w:marLeft w:val="0"/>
          <w:marRight w:val="0"/>
          <w:marTop w:val="0"/>
          <w:marBottom w:val="0"/>
          <w:divBdr>
            <w:top w:val="none" w:sz="0" w:space="0" w:color="auto"/>
            <w:left w:val="none" w:sz="0" w:space="0" w:color="auto"/>
            <w:bottom w:val="none" w:sz="0" w:space="0" w:color="auto"/>
            <w:right w:val="none" w:sz="0" w:space="0" w:color="auto"/>
          </w:divBdr>
        </w:div>
        <w:div w:id="1323000342">
          <w:marLeft w:val="0"/>
          <w:marRight w:val="0"/>
          <w:marTop w:val="0"/>
          <w:marBottom w:val="0"/>
          <w:divBdr>
            <w:top w:val="none" w:sz="0" w:space="0" w:color="auto"/>
            <w:left w:val="none" w:sz="0" w:space="0" w:color="auto"/>
            <w:bottom w:val="none" w:sz="0" w:space="0" w:color="auto"/>
            <w:right w:val="none" w:sz="0" w:space="0" w:color="auto"/>
          </w:divBdr>
        </w:div>
        <w:div w:id="469596314">
          <w:marLeft w:val="0"/>
          <w:marRight w:val="0"/>
          <w:marTop w:val="0"/>
          <w:marBottom w:val="0"/>
          <w:divBdr>
            <w:top w:val="none" w:sz="0" w:space="0" w:color="auto"/>
            <w:left w:val="none" w:sz="0" w:space="0" w:color="auto"/>
            <w:bottom w:val="none" w:sz="0" w:space="0" w:color="auto"/>
            <w:right w:val="none" w:sz="0" w:space="0" w:color="auto"/>
          </w:divBdr>
        </w:div>
        <w:div w:id="1704987191">
          <w:marLeft w:val="0"/>
          <w:marRight w:val="0"/>
          <w:marTop w:val="0"/>
          <w:marBottom w:val="0"/>
          <w:divBdr>
            <w:top w:val="none" w:sz="0" w:space="0" w:color="auto"/>
            <w:left w:val="none" w:sz="0" w:space="0" w:color="auto"/>
            <w:bottom w:val="none" w:sz="0" w:space="0" w:color="auto"/>
            <w:right w:val="none" w:sz="0" w:space="0" w:color="auto"/>
          </w:divBdr>
        </w:div>
        <w:div w:id="1756972170">
          <w:marLeft w:val="0"/>
          <w:marRight w:val="0"/>
          <w:marTop w:val="0"/>
          <w:marBottom w:val="0"/>
          <w:divBdr>
            <w:top w:val="none" w:sz="0" w:space="0" w:color="auto"/>
            <w:left w:val="none" w:sz="0" w:space="0" w:color="auto"/>
            <w:bottom w:val="none" w:sz="0" w:space="0" w:color="auto"/>
            <w:right w:val="none" w:sz="0" w:space="0" w:color="auto"/>
          </w:divBdr>
        </w:div>
        <w:div w:id="59330905">
          <w:marLeft w:val="0"/>
          <w:marRight w:val="0"/>
          <w:marTop w:val="0"/>
          <w:marBottom w:val="0"/>
          <w:divBdr>
            <w:top w:val="none" w:sz="0" w:space="0" w:color="auto"/>
            <w:left w:val="none" w:sz="0" w:space="0" w:color="auto"/>
            <w:bottom w:val="none" w:sz="0" w:space="0" w:color="auto"/>
            <w:right w:val="none" w:sz="0" w:space="0" w:color="auto"/>
          </w:divBdr>
        </w:div>
        <w:div w:id="1880050101">
          <w:marLeft w:val="0"/>
          <w:marRight w:val="0"/>
          <w:marTop w:val="0"/>
          <w:marBottom w:val="0"/>
          <w:divBdr>
            <w:top w:val="none" w:sz="0" w:space="0" w:color="auto"/>
            <w:left w:val="none" w:sz="0" w:space="0" w:color="auto"/>
            <w:bottom w:val="none" w:sz="0" w:space="0" w:color="auto"/>
            <w:right w:val="none" w:sz="0" w:space="0" w:color="auto"/>
          </w:divBdr>
        </w:div>
        <w:div w:id="919410049">
          <w:marLeft w:val="0"/>
          <w:marRight w:val="0"/>
          <w:marTop w:val="0"/>
          <w:marBottom w:val="0"/>
          <w:divBdr>
            <w:top w:val="none" w:sz="0" w:space="0" w:color="auto"/>
            <w:left w:val="none" w:sz="0" w:space="0" w:color="auto"/>
            <w:bottom w:val="none" w:sz="0" w:space="0" w:color="auto"/>
            <w:right w:val="none" w:sz="0" w:space="0" w:color="auto"/>
          </w:divBdr>
        </w:div>
        <w:div w:id="388844033">
          <w:marLeft w:val="0"/>
          <w:marRight w:val="0"/>
          <w:marTop w:val="0"/>
          <w:marBottom w:val="0"/>
          <w:divBdr>
            <w:top w:val="none" w:sz="0" w:space="0" w:color="auto"/>
            <w:left w:val="none" w:sz="0" w:space="0" w:color="auto"/>
            <w:bottom w:val="none" w:sz="0" w:space="0" w:color="auto"/>
            <w:right w:val="none" w:sz="0" w:space="0" w:color="auto"/>
          </w:divBdr>
        </w:div>
        <w:div w:id="832449839">
          <w:marLeft w:val="0"/>
          <w:marRight w:val="0"/>
          <w:marTop w:val="0"/>
          <w:marBottom w:val="0"/>
          <w:divBdr>
            <w:top w:val="none" w:sz="0" w:space="0" w:color="auto"/>
            <w:left w:val="none" w:sz="0" w:space="0" w:color="auto"/>
            <w:bottom w:val="none" w:sz="0" w:space="0" w:color="auto"/>
            <w:right w:val="none" w:sz="0" w:space="0" w:color="auto"/>
          </w:divBdr>
        </w:div>
      </w:divsChild>
    </w:div>
    <w:div w:id="39134219">
      <w:bodyDiv w:val="1"/>
      <w:marLeft w:val="0"/>
      <w:marRight w:val="0"/>
      <w:marTop w:val="0"/>
      <w:marBottom w:val="0"/>
      <w:divBdr>
        <w:top w:val="none" w:sz="0" w:space="0" w:color="auto"/>
        <w:left w:val="none" w:sz="0" w:space="0" w:color="auto"/>
        <w:bottom w:val="none" w:sz="0" w:space="0" w:color="auto"/>
        <w:right w:val="none" w:sz="0" w:space="0" w:color="auto"/>
      </w:divBdr>
    </w:div>
    <w:div w:id="308246470">
      <w:bodyDiv w:val="1"/>
      <w:marLeft w:val="0"/>
      <w:marRight w:val="0"/>
      <w:marTop w:val="0"/>
      <w:marBottom w:val="0"/>
      <w:divBdr>
        <w:top w:val="none" w:sz="0" w:space="0" w:color="auto"/>
        <w:left w:val="none" w:sz="0" w:space="0" w:color="auto"/>
        <w:bottom w:val="none" w:sz="0" w:space="0" w:color="auto"/>
        <w:right w:val="none" w:sz="0" w:space="0" w:color="auto"/>
      </w:divBdr>
      <w:divsChild>
        <w:div w:id="1262489381">
          <w:marLeft w:val="0"/>
          <w:marRight w:val="0"/>
          <w:marTop w:val="0"/>
          <w:marBottom w:val="0"/>
          <w:divBdr>
            <w:top w:val="none" w:sz="0" w:space="0" w:color="auto"/>
            <w:left w:val="none" w:sz="0" w:space="0" w:color="auto"/>
            <w:bottom w:val="none" w:sz="0" w:space="0" w:color="auto"/>
            <w:right w:val="none" w:sz="0" w:space="0" w:color="auto"/>
          </w:divBdr>
          <w:divsChild>
            <w:div w:id="257907307">
              <w:marLeft w:val="0"/>
              <w:marRight w:val="0"/>
              <w:marTop w:val="0"/>
              <w:marBottom w:val="0"/>
              <w:divBdr>
                <w:top w:val="none" w:sz="0" w:space="0" w:color="auto"/>
                <w:left w:val="none" w:sz="0" w:space="0" w:color="auto"/>
                <w:bottom w:val="none" w:sz="0" w:space="0" w:color="auto"/>
                <w:right w:val="none" w:sz="0" w:space="0" w:color="auto"/>
              </w:divBdr>
              <w:divsChild>
                <w:div w:id="2251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68981">
      <w:bodyDiv w:val="1"/>
      <w:marLeft w:val="0"/>
      <w:marRight w:val="0"/>
      <w:marTop w:val="0"/>
      <w:marBottom w:val="0"/>
      <w:divBdr>
        <w:top w:val="none" w:sz="0" w:space="0" w:color="auto"/>
        <w:left w:val="none" w:sz="0" w:space="0" w:color="auto"/>
        <w:bottom w:val="none" w:sz="0" w:space="0" w:color="auto"/>
        <w:right w:val="none" w:sz="0" w:space="0" w:color="auto"/>
      </w:divBdr>
    </w:div>
    <w:div w:id="652872853">
      <w:bodyDiv w:val="1"/>
      <w:marLeft w:val="0"/>
      <w:marRight w:val="0"/>
      <w:marTop w:val="0"/>
      <w:marBottom w:val="0"/>
      <w:divBdr>
        <w:top w:val="none" w:sz="0" w:space="0" w:color="auto"/>
        <w:left w:val="none" w:sz="0" w:space="0" w:color="auto"/>
        <w:bottom w:val="none" w:sz="0" w:space="0" w:color="auto"/>
        <w:right w:val="none" w:sz="0" w:space="0" w:color="auto"/>
      </w:divBdr>
      <w:divsChild>
        <w:div w:id="1872454230">
          <w:marLeft w:val="0"/>
          <w:marRight w:val="0"/>
          <w:marTop w:val="0"/>
          <w:marBottom w:val="0"/>
          <w:divBdr>
            <w:top w:val="none" w:sz="0" w:space="0" w:color="auto"/>
            <w:left w:val="none" w:sz="0" w:space="0" w:color="auto"/>
            <w:bottom w:val="none" w:sz="0" w:space="0" w:color="auto"/>
            <w:right w:val="none" w:sz="0" w:space="0" w:color="auto"/>
          </w:divBdr>
          <w:divsChild>
            <w:div w:id="191192649">
              <w:marLeft w:val="0"/>
              <w:marRight w:val="0"/>
              <w:marTop w:val="0"/>
              <w:marBottom w:val="0"/>
              <w:divBdr>
                <w:top w:val="none" w:sz="0" w:space="0" w:color="auto"/>
                <w:left w:val="none" w:sz="0" w:space="0" w:color="auto"/>
                <w:bottom w:val="none" w:sz="0" w:space="0" w:color="auto"/>
                <w:right w:val="none" w:sz="0" w:space="0" w:color="auto"/>
              </w:divBdr>
            </w:div>
            <w:div w:id="911548957">
              <w:marLeft w:val="0"/>
              <w:marRight w:val="0"/>
              <w:marTop w:val="0"/>
              <w:marBottom w:val="0"/>
              <w:divBdr>
                <w:top w:val="none" w:sz="0" w:space="0" w:color="auto"/>
                <w:left w:val="none" w:sz="0" w:space="0" w:color="auto"/>
                <w:bottom w:val="none" w:sz="0" w:space="0" w:color="auto"/>
                <w:right w:val="none" w:sz="0" w:space="0" w:color="auto"/>
              </w:divBdr>
            </w:div>
            <w:div w:id="1067846086">
              <w:marLeft w:val="0"/>
              <w:marRight w:val="0"/>
              <w:marTop w:val="0"/>
              <w:marBottom w:val="0"/>
              <w:divBdr>
                <w:top w:val="none" w:sz="0" w:space="0" w:color="auto"/>
                <w:left w:val="none" w:sz="0" w:space="0" w:color="auto"/>
                <w:bottom w:val="none" w:sz="0" w:space="0" w:color="auto"/>
                <w:right w:val="none" w:sz="0" w:space="0" w:color="auto"/>
              </w:divBdr>
            </w:div>
            <w:div w:id="47002230">
              <w:marLeft w:val="0"/>
              <w:marRight w:val="0"/>
              <w:marTop w:val="0"/>
              <w:marBottom w:val="0"/>
              <w:divBdr>
                <w:top w:val="none" w:sz="0" w:space="0" w:color="auto"/>
                <w:left w:val="none" w:sz="0" w:space="0" w:color="auto"/>
                <w:bottom w:val="none" w:sz="0" w:space="0" w:color="auto"/>
                <w:right w:val="none" w:sz="0" w:space="0" w:color="auto"/>
              </w:divBdr>
            </w:div>
            <w:div w:id="1648707181">
              <w:marLeft w:val="0"/>
              <w:marRight w:val="0"/>
              <w:marTop w:val="0"/>
              <w:marBottom w:val="0"/>
              <w:divBdr>
                <w:top w:val="none" w:sz="0" w:space="0" w:color="auto"/>
                <w:left w:val="none" w:sz="0" w:space="0" w:color="auto"/>
                <w:bottom w:val="none" w:sz="0" w:space="0" w:color="auto"/>
                <w:right w:val="none" w:sz="0" w:space="0" w:color="auto"/>
              </w:divBdr>
            </w:div>
            <w:div w:id="1829980085">
              <w:marLeft w:val="0"/>
              <w:marRight w:val="0"/>
              <w:marTop w:val="0"/>
              <w:marBottom w:val="0"/>
              <w:divBdr>
                <w:top w:val="none" w:sz="0" w:space="0" w:color="auto"/>
                <w:left w:val="none" w:sz="0" w:space="0" w:color="auto"/>
                <w:bottom w:val="none" w:sz="0" w:space="0" w:color="auto"/>
                <w:right w:val="none" w:sz="0" w:space="0" w:color="auto"/>
              </w:divBdr>
            </w:div>
            <w:div w:id="93400465">
              <w:marLeft w:val="0"/>
              <w:marRight w:val="0"/>
              <w:marTop w:val="0"/>
              <w:marBottom w:val="0"/>
              <w:divBdr>
                <w:top w:val="none" w:sz="0" w:space="0" w:color="auto"/>
                <w:left w:val="none" w:sz="0" w:space="0" w:color="auto"/>
                <w:bottom w:val="none" w:sz="0" w:space="0" w:color="auto"/>
                <w:right w:val="none" w:sz="0" w:space="0" w:color="auto"/>
              </w:divBdr>
            </w:div>
            <w:div w:id="1003243904">
              <w:marLeft w:val="0"/>
              <w:marRight w:val="0"/>
              <w:marTop w:val="0"/>
              <w:marBottom w:val="0"/>
              <w:divBdr>
                <w:top w:val="none" w:sz="0" w:space="0" w:color="auto"/>
                <w:left w:val="none" w:sz="0" w:space="0" w:color="auto"/>
                <w:bottom w:val="none" w:sz="0" w:space="0" w:color="auto"/>
                <w:right w:val="none" w:sz="0" w:space="0" w:color="auto"/>
              </w:divBdr>
            </w:div>
            <w:div w:id="1248733878">
              <w:marLeft w:val="0"/>
              <w:marRight w:val="0"/>
              <w:marTop w:val="0"/>
              <w:marBottom w:val="0"/>
              <w:divBdr>
                <w:top w:val="none" w:sz="0" w:space="0" w:color="auto"/>
                <w:left w:val="none" w:sz="0" w:space="0" w:color="auto"/>
                <w:bottom w:val="none" w:sz="0" w:space="0" w:color="auto"/>
                <w:right w:val="none" w:sz="0" w:space="0" w:color="auto"/>
              </w:divBdr>
            </w:div>
            <w:div w:id="301692275">
              <w:marLeft w:val="0"/>
              <w:marRight w:val="0"/>
              <w:marTop w:val="0"/>
              <w:marBottom w:val="0"/>
              <w:divBdr>
                <w:top w:val="none" w:sz="0" w:space="0" w:color="auto"/>
                <w:left w:val="none" w:sz="0" w:space="0" w:color="auto"/>
                <w:bottom w:val="none" w:sz="0" w:space="0" w:color="auto"/>
                <w:right w:val="none" w:sz="0" w:space="0" w:color="auto"/>
              </w:divBdr>
            </w:div>
            <w:div w:id="1642537768">
              <w:marLeft w:val="0"/>
              <w:marRight w:val="0"/>
              <w:marTop w:val="0"/>
              <w:marBottom w:val="0"/>
              <w:divBdr>
                <w:top w:val="none" w:sz="0" w:space="0" w:color="auto"/>
                <w:left w:val="none" w:sz="0" w:space="0" w:color="auto"/>
                <w:bottom w:val="none" w:sz="0" w:space="0" w:color="auto"/>
                <w:right w:val="none" w:sz="0" w:space="0" w:color="auto"/>
              </w:divBdr>
            </w:div>
            <w:div w:id="1344287458">
              <w:marLeft w:val="0"/>
              <w:marRight w:val="0"/>
              <w:marTop w:val="0"/>
              <w:marBottom w:val="0"/>
              <w:divBdr>
                <w:top w:val="none" w:sz="0" w:space="0" w:color="auto"/>
                <w:left w:val="none" w:sz="0" w:space="0" w:color="auto"/>
                <w:bottom w:val="none" w:sz="0" w:space="0" w:color="auto"/>
                <w:right w:val="none" w:sz="0" w:space="0" w:color="auto"/>
              </w:divBdr>
            </w:div>
            <w:div w:id="409928194">
              <w:marLeft w:val="0"/>
              <w:marRight w:val="0"/>
              <w:marTop w:val="0"/>
              <w:marBottom w:val="0"/>
              <w:divBdr>
                <w:top w:val="none" w:sz="0" w:space="0" w:color="auto"/>
                <w:left w:val="none" w:sz="0" w:space="0" w:color="auto"/>
                <w:bottom w:val="none" w:sz="0" w:space="0" w:color="auto"/>
                <w:right w:val="none" w:sz="0" w:space="0" w:color="auto"/>
              </w:divBdr>
            </w:div>
            <w:div w:id="438378288">
              <w:marLeft w:val="0"/>
              <w:marRight w:val="0"/>
              <w:marTop w:val="0"/>
              <w:marBottom w:val="0"/>
              <w:divBdr>
                <w:top w:val="none" w:sz="0" w:space="0" w:color="auto"/>
                <w:left w:val="none" w:sz="0" w:space="0" w:color="auto"/>
                <w:bottom w:val="none" w:sz="0" w:space="0" w:color="auto"/>
                <w:right w:val="none" w:sz="0" w:space="0" w:color="auto"/>
              </w:divBdr>
            </w:div>
            <w:div w:id="285812909">
              <w:marLeft w:val="0"/>
              <w:marRight w:val="0"/>
              <w:marTop w:val="0"/>
              <w:marBottom w:val="0"/>
              <w:divBdr>
                <w:top w:val="none" w:sz="0" w:space="0" w:color="auto"/>
                <w:left w:val="none" w:sz="0" w:space="0" w:color="auto"/>
                <w:bottom w:val="none" w:sz="0" w:space="0" w:color="auto"/>
                <w:right w:val="none" w:sz="0" w:space="0" w:color="auto"/>
              </w:divBdr>
            </w:div>
            <w:div w:id="2116710123">
              <w:marLeft w:val="0"/>
              <w:marRight w:val="0"/>
              <w:marTop w:val="0"/>
              <w:marBottom w:val="0"/>
              <w:divBdr>
                <w:top w:val="none" w:sz="0" w:space="0" w:color="auto"/>
                <w:left w:val="none" w:sz="0" w:space="0" w:color="auto"/>
                <w:bottom w:val="none" w:sz="0" w:space="0" w:color="auto"/>
                <w:right w:val="none" w:sz="0" w:space="0" w:color="auto"/>
              </w:divBdr>
            </w:div>
            <w:div w:id="1301763300">
              <w:marLeft w:val="0"/>
              <w:marRight w:val="0"/>
              <w:marTop w:val="0"/>
              <w:marBottom w:val="0"/>
              <w:divBdr>
                <w:top w:val="none" w:sz="0" w:space="0" w:color="auto"/>
                <w:left w:val="none" w:sz="0" w:space="0" w:color="auto"/>
                <w:bottom w:val="none" w:sz="0" w:space="0" w:color="auto"/>
                <w:right w:val="none" w:sz="0" w:space="0" w:color="auto"/>
              </w:divBdr>
            </w:div>
            <w:div w:id="1035040978">
              <w:marLeft w:val="0"/>
              <w:marRight w:val="0"/>
              <w:marTop w:val="0"/>
              <w:marBottom w:val="0"/>
              <w:divBdr>
                <w:top w:val="none" w:sz="0" w:space="0" w:color="auto"/>
                <w:left w:val="none" w:sz="0" w:space="0" w:color="auto"/>
                <w:bottom w:val="none" w:sz="0" w:space="0" w:color="auto"/>
                <w:right w:val="none" w:sz="0" w:space="0" w:color="auto"/>
              </w:divBdr>
            </w:div>
            <w:div w:id="12113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1485">
      <w:bodyDiv w:val="1"/>
      <w:marLeft w:val="0"/>
      <w:marRight w:val="0"/>
      <w:marTop w:val="0"/>
      <w:marBottom w:val="0"/>
      <w:divBdr>
        <w:top w:val="none" w:sz="0" w:space="0" w:color="auto"/>
        <w:left w:val="none" w:sz="0" w:space="0" w:color="auto"/>
        <w:bottom w:val="none" w:sz="0" w:space="0" w:color="auto"/>
        <w:right w:val="none" w:sz="0" w:space="0" w:color="auto"/>
      </w:divBdr>
      <w:divsChild>
        <w:div w:id="1675302768">
          <w:marLeft w:val="0"/>
          <w:marRight w:val="0"/>
          <w:marTop w:val="0"/>
          <w:marBottom w:val="0"/>
          <w:divBdr>
            <w:top w:val="none" w:sz="0" w:space="0" w:color="auto"/>
            <w:left w:val="none" w:sz="0" w:space="0" w:color="auto"/>
            <w:bottom w:val="none" w:sz="0" w:space="0" w:color="auto"/>
            <w:right w:val="none" w:sz="0" w:space="0" w:color="auto"/>
          </w:divBdr>
          <w:divsChild>
            <w:div w:id="1910723229">
              <w:marLeft w:val="0"/>
              <w:marRight w:val="0"/>
              <w:marTop w:val="0"/>
              <w:marBottom w:val="0"/>
              <w:divBdr>
                <w:top w:val="none" w:sz="0" w:space="0" w:color="auto"/>
                <w:left w:val="none" w:sz="0" w:space="0" w:color="auto"/>
                <w:bottom w:val="none" w:sz="0" w:space="0" w:color="auto"/>
                <w:right w:val="none" w:sz="0" w:space="0" w:color="auto"/>
              </w:divBdr>
              <w:divsChild>
                <w:div w:id="10129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5325">
      <w:bodyDiv w:val="1"/>
      <w:marLeft w:val="0"/>
      <w:marRight w:val="0"/>
      <w:marTop w:val="0"/>
      <w:marBottom w:val="0"/>
      <w:divBdr>
        <w:top w:val="none" w:sz="0" w:space="0" w:color="auto"/>
        <w:left w:val="none" w:sz="0" w:space="0" w:color="auto"/>
        <w:bottom w:val="none" w:sz="0" w:space="0" w:color="auto"/>
        <w:right w:val="none" w:sz="0" w:space="0" w:color="auto"/>
      </w:divBdr>
      <w:divsChild>
        <w:div w:id="469396989">
          <w:marLeft w:val="0"/>
          <w:marRight w:val="0"/>
          <w:marTop w:val="0"/>
          <w:marBottom w:val="0"/>
          <w:divBdr>
            <w:top w:val="none" w:sz="0" w:space="0" w:color="auto"/>
            <w:left w:val="none" w:sz="0" w:space="0" w:color="auto"/>
            <w:bottom w:val="none" w:sz="0" w:space="0" w:color="auto"/>
            <w:right w:val="none" w:sz="0" w:space="0" w:color="auto"/>
          </w:divBdr>
          <w:divsChild>
            <w:div w:id="346643623">
              <w:marLeft w:val="0"/>
              <w:marRight w:val="0"/>
              <w:marTop w:val="0"/>
              <w:marBottom w:val="0"/>
              <w:divBdr>
                <w:top w:val="none" w:sz="0" w:space="0" w:color="auto"/>
                <w:left w:val="none" w:sz="0" w:space="0" w:color="auto"/>
                <w:bottom w:val="none" w:sz="0" w:space="0" w:color="auto"/>
                <w:right w:val="none" w:sz="0" w:space="0" w:color="auto"/>
              </w:divBdr>
              <w:divsChild>
                <w:div w:id="6462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1386">
      <w:bodyDiv w:val="1"/>
      <w:marLeft w:val="0"/>
      <w:marRight w:val="0"/>
      <w:marTop w:val="0"/>
      <w:marBottom w:val="0"/>
      <w:divBdr>
        <w:top w:val="none" w:sz="0" w:space="0" w:color="auto"/>
        <w:left w:val="none" w:sz="0" w:space="0" w:color="auto"/>
        <w:bottom w:val="none" w:sz="0" w:space="0" w:color="auto"/>
        <w:right w:val="none" w:sz="0" w:space="0" w:color="auto"/>
      </w:divBdr>
      <w:divsChild>
        <w:div w:id="1677070485">
          <w:marLeft w:val="0"/>
          <w:marRight w:val="0"/>
          <w:marTop w:val="0"/>
          <w:marBottom w:val="0"/>
          <w:divBdr>
            <w:top w:val="none" w:sz="0" w:space="0" w:color="auto"/>
            <w:left w:val="none" w:sz="0" w:space="0" w:color="auto"/>
            <w:bottom w:val="none" w:sz="0" w:space="0" w:color="auto"/>
            <w:right w:val="none" w:sz="0" w:space="0" w:color="auto"/>
          </w:divBdr>
        </w:div>
        <w:div w:id="1082871859">
          <w:marLeft w:val="0"/>
          <w:marRight w:val="0"/>
          <w:marTop w:val="0"/>
          <w:marBottom w:val="0"/>
          <w:divBdr>
            <w:top w:val="none" w:sz="0" w:space="0" w:color="auto"/>
            <w:left w:val="none" w:sz="0" w:space="0" w:color="auto"/>
            <w:bottom w:val="none" w:sz="0" w:space="0" w:color="auto"/>
            <w:right w:val="none" w:sz="0" w:space="0" w:color="auto"/>
          </w:divBdr>
        </w:div>
        <w:div w:id="1590190921">
          <w:marLeft w:val="0"/>
          <w:marRight w:val="0"/>
          <w:marTop w:val="0"/>
          <w:marBottom w:val="0"/>
          <w:divBdr>
            <w:top w:val="none" w:sz="0" w:space="0" w:color="auto"/>
            <w:left w:val="none" w:sz="0" w:space="0" w:color="auto"/>
            <w:bottom w:val="none" w:sz="0" w:space="0" w:color="auto"/>
            <w:right w:val="none" w:sz="0" w:space="0" w:color="auto"/>
          </w:divBdr>
        </w:div>
        <w:div w:id="392852141">
          <w:marLeft w:val="0"/>
          <w:marRight w:val="0"/>
          <w:marTop w:val="0"/>
          <w:marBottom w:val="0"/>
          <w:divBdr>
            <w:top w:val="none" w:sz="0" w:space="0" w:color="auto"/>
            <w:left w:val="none" w:sz="0" w:space="0" w:color="auto"/>
            <w:bottom w:val="none" w:sz="0" w:space="0" w:color="auto"/>
            <w:right w:val="none" w:sz="0" w:space="0" w:color="auto"/>
          </w:divBdr>
        </w:div>
        <w:div w:id="182866109">
          <w:marLeft w:val="0"/>
          <w:marRight w:val="0"/>
          <w:marTop w:val="0"/>
          <w:marBottom w:val="0"/>
          <w:divBdr>
            <w:top w:val="none" w:sz="0" w:space="0" w:color="auto"/>
            <w:left w:val="none" w:sz="0" w:space="0" w:color="auto"/>
            <w:bottom w:val="none" w:sz="0" w:space="0" w:color="auto"/>
            <w:right w:val="none" w:sz="0" w:space="0" w:color="auto"/>
          </w:divBdr>
        </w:div>
        <w:div w:id="2013871172">
          <w:marLeft w:val="0"/>
          <w:marRight w:val="0"/>
          <w:marTop w:val="0"/>
          <w:marBottom w:val="0"/>
          <w:divBdr>
            <w:top w:val="none" w:sz="0" w:space="0" w:color="auto"/>
            <w:left w:val="none" w:sz="0" w:space="0" w:color="auto"/>
            <w:bottom w:val="none" w:sz="0" w:space="0" w:color="auto"/>
            <w:right w:val="none" w:sz="0" w:space="0" w:color="auto"/>
          </w:divBdr>
        </w:div>
        <w:div w:id="367607022">
          <w:marLeft w:val="0"/>
          <w:marRight w:val="0"/>
          <w:marTop w:val="0"/>
          <w:marBottom w:val="0"/>
          <w:divBdr>
            <w:top w:val="none" w:sz="0" w:space="0" w:color="auto"/>
            <w:left w:val="none" w:sz="0" w:space="0" w:color="auto"/>
            <w:bottom w:val="none" w:sz="0" w:space="0" w:color="auto"/>
            <w:right w:val="none" w:sz="0" w:space="0" w:color="auto"/>
          </w:divBdr>
        </w:div>
        <w:div w:id="2140226240">
          <w:marLeft w:val="0"/>
          <w:marRight w:val="0"/>
          <w:marTop w:val="0"/>
          <w:marBottom w:val="0"/>
          <w:divBdr>
            <w:top w:val="none" w:sz="0" w:space="0" w:color="auto"/>
            <w:left w:val="none" w:sz="0" w:space="0" w:color="auto"/>
            <w:bottom w:val="none" w:sz="0" w:space="0" w:color="auto"/>
            <w:right w:val="none" w:sz="0" w:space="0" w:color="auto"/>
          </w:divBdr>
        </w:div>
        <w:div w:id="1848254379">
          <w:marLeft w:val="0"/>
          <w:marRight w:val="0"/>
          <w:marTop w:val="0"/>
          <w:marBottom w:val="0"/>
          <w:divBdr>
            <w:top w:val="none" w:sz="0" w:space="0" w:color="auto"/>
            <w:left w:val="none" w:sz="0" w:space="0" w:color="auto"/>
            <w:bottom w:val="none" w:sz="0" w:space="0" w:color="auto"/>
            <w:right w:val="none" w:sz="0" w:space="0" w:color="auto"/>
          </w:divBdr>
        </w:div>
        <w:div w:id="1681463829">
          <w:marLeft w:val="0"/>
          <w:marRight w:val="0"/>
          <w:marTop w:val="0"/>
          <w:marBottom w:val="0"/>
          <w:divBdr>
            <w:top w:val="none" w:sz="0" w:space="0" w:color="auto"/>
            <w:left w:val="none" w:sz="0" w:space="0" w:color="auto"/>
            <w:bottom w:val="none" w:sz="0" w:space="0" w:color="auto"/>
            <w:right w:val="none" w:sz="0" w:space="0" w:color="auto"/>
          </w:divBdr>
        </w:div>
        <w:div w:id="815145265">
          <w:marLeft w:val="0"/>
          <w:marRight w:val="0"/>
          <w:marTop w:val="0"/>
          <w:marBottom w:val="0"/>
          <w:divBdr>
            <w:top w:val="none" w:sz="0" w:space="0" w:color="auto"/>
            <w:left w:val="none" w:sz="0" w:space="0" w:color="auto"/>
            <w:bottom w:val="none" w:sz="0" w:space="0" w:color="auto"/>
            <w:right w:val="none" w:sz="0" w:space="0" w:color="auto"/>
          </w:divBdr>
        </w:div>
        <w:div w:id="2038961712">
          <w:marLeft w:val="0"/>
          <w:marRight w:val="0"/>
          <w:marTop w:val="0"/>
          <w:marBottom w:val="0"/>
          <w:divBdr>
            <w:top w:val="none" w:sz="0" w:space="0" w:color="auto"/>
            <w:left w:val="none" w:sz="0" w:space="0" w:color="auto"/>
            <w:bottom w:val="none" w:sz="0" w:space="0" w:color="auto"/>
            <w:right w:val="none" w:sz="0" w:space="0" w:color="auto"/>
          </w:divBdr>
        </w:div>
        <w:div w:id="891815742">
          <w:marLeft w:val="0"/>
          <w:marRight w:val="0"/>
          <w:marTop w:val="0"/>
          <w:marBottom w:val="0"/>
          <w:divBdr>
            <w:top w:val="none" w:sz="0" w:space="0" w:color="auto"/>
            <w:left w:val="none" w:sz="0" w:space="0" w:color="auto"/>
            <w:bottom w:val="none" w:sz="0" w:space="0" w:color="auto"/>
            <w:right w:val="none" w:sz="0" w:space="0" w:color="auto"/>
          </w:divBdr>
        </w:div>
        <w:div w:id="1415010004">
          <w:marLeft w:val="0"/>
          <w:marRight w:val="0"/>
          <w:marTop w:val="0"/>
          <w:marBottom w:val="0"/>
          <w:divBdr>
            <w:top w:val="none" w:sz="0" w:space="0" w:color="auto"/>
            <w:left w:val="none" w:sz="0" w:space="0" w:color="auto"/>
            <w:bottom w:val="none" w:sz="0" w:space="0" w:color="auto"/>
            <w:right w:val="none" w:sz="0" w:space="0" w:color="auto"/>
          </w:divBdr>
        </w:div>
        <w:div w:id="362638698">
          <w:marLeft w:val="0"/>
          <w:marRight w:val="0"/>
          <w:marTop w:val="0"/>
          <w:marBottom w:val="0"/>
          <w:divBdr>
            <w:top w:val="none" w:sz="0" w:space="0" w:color="auto"/>
            <w:left w:val="none" w:sz="0" w:space="0" w:color="auto"/>
            <w:bottom w:val="none" w:sz="0" w:space="0" w:color="auto"/>
            <w:right w:val="none" w:sz="0" w:space="0" w:color="auto"/>
          </w:divBdr>
        </w:div>
        <w:div w:id="547298855">
          <w:marLeft w:val="0"/>
          <w:marRight w:val="0"/>
          <w:marTop w:val="0"/>
          <w:marBottom w:val="0"/>
          <w:divBdr>
            <w:top w:val="none" w:sz="0" w:space="0" w:color="auto"/>
            <w:left w:val="none" w:sz="0" w:space="0" w:color="auto"/>
            <w:bottom w:val="none" w:sz="0" w:space="0" w:color="auto"/>
            <w:right w:val="none" w:sz="0" w:space="0" w:color="auto"/>
          </w:divBdr>
        </w:div>
        <w:div w:id="1502623917">
          <w:marLeft w:val="0"/>
          <w:marRight w:val="0"/>
          <w:marTop w:val="0"/>
          <w:marBottom w:val="0"/>
          <w:divBdr>
            <w:top w:val="none" w:sz="0" w:space="0" w:color="auto"/>
            <w:left w:val="none" w:sz="0" w:space="0" w:color="auto"/>
            <w:bottom w:val="none" w:sz="0" w:space="0" w:color="auto"/>
            <w:right w:val="none" w:sz="0" w:space="0" w:color="auto"/>
          </w:divBdr>
        </w:div>
        <w:div w:id="1445881067">
          <w:marLeft w:val="0"/>
          <w:marRight w:val="0"/>
          <w:marTop w:val="0"/>
          <w:marBottom w:val="0"/>
          <w:divBdr>
            <w:top w:val="none" w:sz="0" w:space="0" w:color="auto"/>
            <w:left w:val="none" w:sz="0" w:space="0" w:color="auto"/>
            <w:bottom w:val="none" w:sz="0" w:space="0" w:color="auto"/>
            <w:right w:val="none" w:sz="0" w:space="0" w:color="auto"/>
          </w:divBdr>
        </w:div>
        <w:div w:id="807092004">
          <w:marLeft w:val="0"/>
          <w:marRight w:val="0"/>
          <w:marTop w:val="0"/>
          <w:marBottom w:val="0"/>
          <w:divBdr>
            <w:top w:val="none" w:sz="0" w:space="0" w:color="auto"/>
            <w:left w:val="none" w:sz="0" w:space="0" w:color="auto"/>
            <w:bottom w:val="none" w:sz="0" w:space="0" w:color="auto"/>
            <w:right w:val="none" w:sz="0" w:space="0" w:color="auto"/>
          </w:divBdr>
        </w:div>
        <w:div w:id="1620066271">
          <w:marLeft w:val="0"/>
          <w:marRight w:val="0"/>
          <w:marTop w:val="0"/>
          <w:marBottom w:val="0"/>
          <w:divBdr>
            <w:top w:val="none" w:sz="0" w:space="0" w:color="auto"/>
            <w:left w:val="none" w:sz="0" w:space="0" w:color="auto"/>
            <w:bottom w:val="none" w:sz="0" w:space="0" w:color="auto"/>
            <w:right w:val="none" w:sz="0" w:space="0" w:color="auto"/>
          </w:divBdr>
        </w:div>
        <w:div w:id="1784760467">
          <w:marLeft w:val="0"/>
          <w:marRight w:val="0"/>
          <w:marTop w:val="0"/>
          <w:marBottom w:val="0"/>
          <w:divBdr>
            <w:top w:val="none" w:sz="0" w:space="0" w:color="auto"/>
            <w:left w:val="none" w:sz="0" w:space="0" w:color="auto"/>
            <w:bottom w:val="none" w:sz="0" w:space="0" w:color="auto"/>
            <w:right w:val="none" w:sz="0" w:space="0" w:color="auto"/>
          </w:divBdr>
        </w:div>
        <w:div w:id="1110667308">
          <w:marLeft w:val="0"/>
          <w:marRight w:val="0"/>
          <w:marTop w:val="0"/>
          <w:marBottom w:val="0"/>
          <w:divBdr>
            <w:top w:val="none" w:sz="0" w:space="0" w:color="auto"/>
            <w:left w:val="none" w:sz="0" w:space="0" w:color="auto"/>
            <w:bottom w:val="none" w:sz="0" w:space="0" w:color="auto"/>
            <w:right w:val="none" w:sz="0" w:space="0" w:color="auto"/>
          </w:divBdr>
        </w:div>
        <w:div w:id="1860780398">
          <w:marLeft w:val="0"/>
          <w:marRight w:val="0"/>
          <w:marTop w:val="0"/>
          <w:marBottom w:val="0"/>
          <w:divBdr>
            <w:top w:val="none" w:sz="0" w:space="0" w:color="auto"/>
            <w:left w:val="none" w:sz="0" w:space="0" w:color="auto"/>
            <w:bottom w:val="none" w:sz="0" w:space="0" w:color="auto"/>
            <w:right w:val="none" w:sz="0" w:space="0" w:color="auto"/>
          </w:divBdr>
        </w:div>
        <w:div w:id="1081558708">
          <w:marLeft w:val="0"/>
          <w:marRight w:val="0"/>
          <w:marTop w:val="0"/>
          <w:marBottom w:val="0"/>
          <w:divBdr>
            <w:top w:val="none" w:sz="0" w:space="0" w:color="auto"/>
            <w:left w:val="none" w:sz="0" w:space="0" w:color="auto"/>
            <w:bottom w:val="none" w:sz="0" w:space="0" w:color="auto"/>
            <w:right w:val="none" w:sz="0" w:space="0" w:color="auto"/>
          </w:divBdr>
        </w:div>
        <w:div w:id="1950964769">
          <w:marLeft w:val="0"/>
          <w:marRight w:val="0"/>
          <w:marTop w:val="0"/>
          <w:marBottom w:val="0"/>
          <w:divBdr>
            <w:top w:val="none" w:sz="0" w:space="0" w:color="auto"/>
            <w:left w:val="none" w:sz="0" w:space="0" w:color="auto"/>
            <w:bottom w:val="none" w:sz="0" w:space="0" w:color="auto"/>
            <w:right w:val="none" w:sz="0" w:space="0" w:color="auto"/>
          </w:divBdr>
        </w:div>
        <w:div w:id="1943876070">
          <w:marLeft w:val="0"/>
          <w:marRight w:val="0"/>
          <w:marTop w:val="0"/>
          <w:marBottom w:val="0"/>
          <w:divBdr>
            <w:top w:val="none" w:sz="0" w:space="0" w:color="auto"/>
            <w:left w:val="none" w:sz="0" w:space="0" w:color="auto"/>
            <w:bottom w:val="none" w:sz="0" w:space="0" w:color="auto"/>
            <w:right w:val="none" w:sz="0" w:space="0" w:color="auto"/>
          </w:divBdr>
        </w:div>
        <w:div w:id="1814250896">
          <w:marLeft w:val="0"/>
          <w:marRight w:val="0"/>
          <w:marTop w:val="0"/>
          <w:marBottom w:val="0"/>
          <w:divBdr>
            <w:top w:val="none" w:sz="0" w:space="0" w:color="auto"/>
            <w:left w:val="none" w:sz="0" w:space="0" w:color="auto"/>
            <w:bottom w:val="none" w:sz="0" w:space="0" w:color="auto"/>
            <w:right w:val="none" w:sz="0" w:space="0" w:color="auto"/>
          </w:divBdr>
        </w:div>
        <w:div w:id="1060202882">
          <w:marLeft w:val="0"/>
          <w:marRight w:val="0"/>
          <w:marTop w:val="0"/>
          <w:marBottom w:val="0"/>
          <w:divBdr>
            <w:top w:val="none" w:sz="0" w:space="0" w:color="auto"/>
            <w:left w:val="none" w:sz="0" w:space="0" w:color="auto"/>
            <w:bottom w:val="none" w:sz="0" w:space="0" w:color="auto"/>
            <w:right w:val="none" w:sz="0" w:space="0" w:color="auto"/>
          </w:divBdr>
        </w:div>
        <w:div w:id="1333680840">
          <w:marLeft w:val="0"/>
          <w:marRight w:val="0"/>
          <w:marTop w:val="0"/>
          <w:marBottom w:val="0"/>
          <w:divBdr>
            <w:top w:val="none" w:sz="0" w:space="0" w:color="auto"/>
            <w:left w:val="none" w:sz="0" w:space="0" w:color="auto"/>
            <w:bottom w:val="none" w:sz="0" w:space="0" w:color="auto"/>
            <w:right w:val="none" w:sz="0" w:space="0" w:color="auto"/>
          </w:divBdr>
        </w:div>
        <w:div w:id="1429697618">
          <w:marLeft w:val="0"/>
          <w:marRight w:val="0"/>
          <w:marTop w:val="0"/>
          <w:marBottom w:val="0"/>
          <w:divBdr>
            <w:top w:val="none" w:sz="0" w:space="0" w:color="auto"/>
            <w:left w:val="none" w:sz="0" w:space="0" w:color="auto"/>
            <w:bottom w:val="none" w:sz="0" w:space="0" w:color="auto"/>
            <w:right w:val="none" w:sz="0" w:space="0" w:color="auto"/>
          </w:divBdr>
        </w:div>
        <w:div w:id="334234556">
          <w:marLeft w:val="0"/>
          <w:marRight w:val="0"/>
          <w:marTop w:val="0"/>
          <w:marBottom w:val="0"/>
          <w:divBdr>
            <w:top w:val="none" w:sz="0" w:space="0" w:color="auto"/>
            <w:left w:val="none" w:sz="0" w:space="0" w:color="auto"/>
            <w:bottom w:val="none" w:sz="0" w:space="0" w:color="auto"/>
            <w:right w:val="none" w:sz="0" w:space="0" w:color="auto"/>
          </w:divBdr>
        </w:div>
        <w:div w:id="1323579297">
          <w:marLeft w:val="0"/>
          <w:marRight w:val="0"/>
          <w:marTop w:val="0"/>
          <w:marBottom w:val="0"/>
          <w:divBdr>
            <w:top w:val="none" w:sz="0" w:space="0" w:color="auto"/>
            <w:left w:val="none" w:sz="0" w:space="0" w:color="auto"/>
            <w:bottom w:val="none" w:sz="0" w:space="0" w:color="auto"/>
            <w:right w:val="none" w:sz="0" w:space="0" w:color="auto"/>
          </w:divBdr>
        </w:div>
        <w:div w:id="595091668">
          <w:marLeft w:val="0"/>
          <w:marRight w:val="0"/>
          <w:marTop w:val="0"/>
          <w:marBottom w:val="0"/>
          <w:divBdr>
            <w:top w:val="none" w:sz="0" w:space="0" w:color="auto"/>
            <w:left w:val="none" w:sz="0" w:space="0" w:color="auto"/>
            <w:bottom w:val="none" w:sz="0" w:space="0" w:color="auto"/>
            <w:right w:val="none" w:sz="0" w:space="0" w:color="auto"/>
          </w:divBdr>
        </w:div>
        <w:div w:id="1193153104">
          <w:marLeft w:val="0"/>
          <w:marRight w:val="0"/>
          <w:marTop w:val="0"/>
          <w:marBottom w:val="0"/>
          <w:divBdr>
            <w:top w:val="none" w:sz="0" w:space="0" w:color="auto"/>
            <w:left w:val="none" w:sz="0" w:space="0" w:color="auto"/>
            <w:bottom w:val="none" w:sz="0" w:space="0" w:color="auto"/>
            <w:right w:val="none" w:sz="0" w:space="0" w:color="auto"/>
          </w:divBdr>
        </w:div>
        <w:div w:id="588657793">
          <w:marLeft w:val="0"/>
          <w:marRight w:val="0"/>
          <w:marTop w:val="0"/>
          <w:marBottom w:val="0"/>
          <w:divBdr>
            <w:top w:val="none" w:sz="0" w:space="0" w:color="auto"/>
            <w:left w:val="none" w:sz="0" w:space="0" w:color="auto"/>
            <w:bottom w:val="none" w:sz="0" w:space="0" w:color="auto"/>
            <w:right w:val="none" w:sz="0" w:space="0" w:color="auto"/>
          </w:divBdr>
        </w:div>
        <w:div w:id="1056778969">
          <w:marLeft w:val="0"/>
          <w:marRight w:val="0"/>
          <w:marTop w:val="0"/>
          <w:marBottom w:val="0"/>
          <w:divBdr>
            <w:top w:val="none" w:sz="0" w:space="0" w:color="auto"/>
            <w:left w:val="none" w:sz="0" w:space="0" w:color="auto"/>
            <w:bottom w:val="none" w:sz="0" w:space="0" w:color="auto"/>
            <w:right w:val="none" w:sz="0" w:space="0" w:color="auto"/>
          </w:divBdr>
        </w:div>
        <w:div w:id="1455637573">
          <w:marLeft w:val="0"/>
          <w:marRight w:val="0"/>
          <w:marTop w:val="0"/>
          <w:marBottom w:val="0"/>
          <w:divBdr>
            <w:top w:val="none" w:sz="0" w:space="0" w:color="auto"/>
            <w:left w:val="none" w:sz="0" w:space="0" w:color="auto"/>
            <w:bottom w:val="none" w:sz="0" w:space="0" w:color="auto"/>
            <w:right w:val="none" w:sz="0" w:space="0" w:color="auto"/>
          </w:divBdr>
        </w:div>
      </w:divsChild>
    </w:div>
    <w:div w:id="920333713">
      <w:bodyDiv w:val="1"/>
      <w:marLeft w:val="0"/>
      <w:marRight w:val="0"/>
      <w:marTop w:val="0"/>
      <w:marBottom w:val="0"/>
      <w:divBdr>
        <w:top w:val="none" w:sz="0" w:space="0" w:color="auto"/>
        <w:left w:val="none" w:sz="0" w:space="0" w:color="auto"/>
        <w:bottom w:val="none" w:sz="0" w:space="0" w:color="auto"/>
        <w:right w:val="none" w:sz="0" w:space="0" w:color="auto"/>
      </w:divBdr>
      <w:divsChild>
        <w:div w:id="524755346">
          <w:marLeft w:val="0"/>
          <w:marRight w:val="0"/>
          <w:marTop w:val="0"/>
          <w:marBottom w:val="0"/>
          <w:divBdr>
            <w:top w:val="none" w:sz="0" w:space="0" w:color="auto"/>
            <w:left w:val="none" w:sz="0" w:space="0" w:color="auto"/>
            <w:bottom w:val="none" w:sz="0" w:space="0" w:color="auto"/>
            <w:right w:val="none" w:sz="0" w:space="0" w:color="auto"/>
          </w:divBdr>
        </w:div>
        <w:div w:id="1813861017">
          <w:marLeft w:val="0"/>
          <w:marRight w:val="0"/>
          <w:marTop w:val="0"/>
          <w:marBottom w:val="0"/>
          <w:divBdr>
            <w:top w:val="none" w:sz="0" w:space="0" w:color="auto"/>
            <w:left w:val="none" w:sz="0" w:space="0" w:color="auto"/>
            <w:bottom w:val="none" w:sz="0" w:space="0" w:color="auto"/>
            <w:right w:val="none" w:sz="0" w:space="0" w:color="auto"/>
          </w:divBdr>
        </w:div>
        <w:div w:id="1173376252">
          <w:marLeft w:val="0"/>
          <w:marRight w:val="0"/>
          <w:marTop w:val="0"/>
          <w:marBottom w:val="0"/>
          <w:divBdr>
            <w:top w:val="none" w:sz="0" w:space="0" w:color="auto"/>
            <w:left w:val="none" w:sz="0" w:space="0" w:color="auto"/>
            <w:bottom w:val="none" w:sz="0" w:space="0" w:color="auto"/>
            <w:right w:val="none" w:sz="0" w:space="0" w:color="auto"/>
          </w:divBdr>
        </w:div>
        <w:div w:id="1876235100">
          <w:marLeft w:val="0"/>
          <w:marRight w:val="0"/>
          <w:marTop w:val="0"/>
          <w:marBottom w:val="0"/>
          <w:divBdr>
            <w:top w:val="none" w:sz="0" w:space="0" w:color="auto"/>
            <w:left w:val="none" w:sz="0" w:space="0" w:color="auto"/>
            <w:bottom w:val="none" w:sz="0" w:space="0" w:color="auto"/>
            <w:right w:val="none" w:sz="0" w:space="0" w:color="auto"/>
          </w:divBdr>
        </w:div>
        <w:div w:id="1330326065">
          <w:marLeft w:val="0"/>
          <w:marRight w:val="0"/>
          <w:marTop w:val="0"/>
          <w:marBottom w:val="0"/>
          <w:divBdr>
            <w:top w:val="none" w:sz="0" w:space="0" w:color="auto"/>
            <w:left w:val="none" w:sz="0" w:space="0" w:color="auto"/>
            <w:bottom w:val="none" w:sz="0" w:space="0" w:color="auto"/>
            <w:right w:val="none" w:sz="0" w:space="0" w:color="auto"/>
          </w:divBdr>
        </w:div>
        <w:div w:id="1015036873">
          <w:marLeft w:val="0"/>
          <w:marRight w:val="0"/>
          <w:marTop w:val="0"/>
          <w:marBottom w:val="0"/>
          <w:divBdr>
            <w:top w:val="none" w:sz="0" w:space="0" w:color="auto"/>
            <w:left w:val="none" w:sz="0" w:space="0" w:color="auto"/>
            <w:bottom w:val="none" w:sz="0" w:space="0" w:color="auto"/>
            <w:right w:val="none" w:sz="0" w:space="0" w:color="auto"/>
          </w:divBdr>
        </w:div>
        <w:div w:id="781608525">
          <w:marLeft w:val="0"/>
          <w:marRight w:val="0"/>
          <w:marTop w:val="0"/>
          <w:marBottom w:val="0"/>
          <w:divBdr>
            <w:top w:val="none" w:sz="0" w:space="0" w:color="auto"/>
            <w:left w:val="none" w:sz="0" w:space="0" w:color="auto"/>
            <w:bottom w:val="none" w:sz="0" w:space="0" w:color="auto"/>
            <w:right w:val="none" w:sz="0" w:space="0" w:color="auto"/>
          </w:divBdr>
        </w:div>
        <w:div w:id="729619498">
          <w:marLeft w:val="0"/>
          <w:marRight w:val="0"/>
          <w:marTop w:val="0"/>
          <w:marBottom w:val="0"/>
          <w:divBdr>
            <w:top w:val="none" w:sz="0" w:space="0" w:color="auto"/>
            <w:left w:val="none" w:sz="0" w:space="0" w:color="auto"/>
            <w:bottom w:val="none" w:sz="0" w:space="0" w:color="auto"/>
            <w:right w:val="none" w:sz="0" w:space="0" w:color="auto"/>
          </w:divBdr>
        </w:div>
        <w:div w:id="28259449">
          <w:marLeft w:val="0"/>
          <w:marRight w:val="0"/>
          <w:marTop w:val="0"/>
          <w:marBottom w:val="0"/>
          <w:divBdr>
            <w:top w:val="none" w:sz="0" w:space="0" w:color="auto"/>
            <w:left w:val="none" w:sz="0" w:space="0" w:color="auto"/>
            <w:bottom w:val="none" w:sz="0" w:space="0" w:color="auto"/>
            <w:right w:val="none" w:sz="0" w:space="0" w:color="auto"/>
          </w:divBdr>
        </w:div>
        <w:div w:id="760218048">
          <w:marLeft w:val="0"/>
          <w:marRight w:val="0"/>
          <w:marTop w:val="0"/>
          <w:marBottom w:val="0"/>
          <w:divBdr>
            <w:top w:val="none" w:sz="0" w:space="0" w:color="auto"/>
            <w:left w:val="none" w:sz="0" w:space="0" w:color="auto"/>
            <w:bottom w:val="none" w:sz="0" w:space="0" w:color="auto"/>
            <w:right w:val="none" w:sz="0" w:space="0" w:color="auto"/>
          </w:divBdr>
        </w:div>
      </w:divsChild>
    </w:div>
    <w:div w:id="962542398">
      <w:bodyDiv w:val="1"/>
      <w:marLeft w:val="0"/>
      <w:marRight w:val="0"/>
      <w:marTop w:val="0"/>
      <w:marBottom w:val="0"/>
      <w:divBdr>
        <w:top w:val="none" w:sz="0" w:space="0" w:color="auto"/>
        <w:left w:val="none" w:sz="0" w:space="0" w:color="auto"/>
        <w:bottom w:val="none" w:sz="0" w:space="0" w:color="auto"/>
        <w:right w:val="none" w:sz="0" w:space="0" w:color="auto"/>
      </w:divBdr>
    </w:div>
    <w:div w:id="971517202">
      <w:bodyDiv w:val="1"/>
      <w:marLeft w:val="0"/>
      <w:marRight w:val="0"/>
      <w:marTop w:val="0"/>
      <w:marBottom w:val="0"/>
      <w:divBdr>
        <w:top w:val="none" w:sz="0" w:space="0" w:color="auto"/>
        <w:left w:val="none" w:sz="0" w:space="0" w:color="auto"/>
        <w:bottom w:val="none" w:sz="0" w:space="0" w:color="auto"/>
        <w:right w:val="none" w:sz="0" w:space="0" w:color="auto"/>
      </w:divBdr>
      <w:divsChild>
        <w:div w:id="1579514526">
          <w:marLeft w:val="0"/>
          <w:marRight w:val="0"/>
          <w:marTop w:val="0"/>
          <w:marBottom w:val="0"/>
          <w:divBdr>
            <w:top w:val="none" w:sz="0" w:space="0" w:color="auto"/>
            <w:left w:val="none" w:sz="0" w:space="0" w:color="auto"/>
            <w:bottom w:val="none" w:sz="0" w:space="0" w:color="auto"/>
            <w:right w:val="none" w:sz="0" w:space="0" w:color="auto"/>
          </w:divBdr>
          <w:divsChild>
            <w:div w:id="1711495597">
              <w:marLeft w:val="0"/>
              <w:marRight w:val="0"/>
              <w:marTop w:val="0"/>
              <w:marBottom w:val="0"/>
              <w:divBdr>
                <w:top w:val="none" w:sz="0" w:space="0" w:color="auto"/>
                <w:left w:val="none" w:sz="0" w:space="0" w:color="auto"/>
                <w:bottom w:val="none" w:sz="0" w:space="0" w:color="auto"/>
                <w:right w:val="none" w:sz="0" w:space="0" w:color="auto"/>
              </w:divBdr>
              <w:divsChild>
                <w:div w:id="1169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8471">
      <w:bodyDiv w:val="1"/>
      <w:marLeft w:val="0"/>
      <w:marRight w:val="0"/>
      <w:marTop w:val="0"/>
      <w:marBottom w:val="0"/>
      <w:divBdr>
        <w:top w:val="none" w:sz="0" w:space="0" w:color="auto"/>
        <w:left w:val="none" w:sz="0" w:space="0" w:color="auto"/>
        <w:bottom w:val="none" w:sz="0" w:space="0" w:color="auto"/>
        <w:right w:val="none" w:sz="0" w:space="0" w:color="auto"/>
      </w:divBdr>
      <w:divsChild>
        <w:div w:id="1069812122">
          <w:marLeft w:val="0"/>
          <w:marRight w:val="0"/>
          <w:marTop w:val="0"/>
          <w:marBottom w:val="0"/>
          <w:divBdr>
            <w:top w:val="none" w:sz="0" w:space="0" w:color="auto"/>
            <w:left w:val="none" w:sz="0" w:space="0" w:color="auto"/>
            <w:bottom w:val="none" w:sz="0" w:space="0" w:color="auto"/>
            <w:right w:val="none" w:sz="0" w:space="0" w:color="auto"/>
          </w:divBdr>
        </w:div>
        <w:div w:id="1537935318">
          <w:marLeft w:val="0"/>
          <w:marRight w:val="0"/>
          <w:marTop w:val="0"/>
          <w:marBottom w:val="0"/>
          <w:divBdr>
            <w:top w:val="none" w:sz="0" w:space="0" w:color="auto"/>
            <w:left w:val="none" w:sz="0" w:space="0" w:color="auto"/>
            <w:bottom w:val="none" w:sz="0" w:space="0" w:color="auto"/>
            <w:right w:val="none" w:sz="0" w:space="0" w:color="auto"/>
          </w:divBdr>
        </w:div>
        <w:div w:id="670523968">
          <w:marLeft w:val="0"/>
          <w:marRight w:val="0"/>
          <w:marTop w:val="0"/>
          <w:marBottom w:val="0"/>
          <w:divBdr>
            <w:top w:val="none" w:sz="0" w:space="0" w:color="auto"/>
            <w:left w:val="none" w:sz="0" w:space="0" w:color="auto"/>
            <w:bottom w:val="none" w:sz="0" w:space="0" w:color="auto"/>
            <w:right w:val="none" w:sz="0" w:space="0" w:color="auto"/>
          </w:divBdr>
        </w:div>
        <w:div w:id="1437750783">
          <w:marLeft w:val="0"/>
          <w:marRight w:val="0"/>
          <w:marTop w:val="0"/>
          <w:marBottom w:val="0"/>
          <w:divBdr>
            <w:top w:val="none" w:sz="0" w:space="0" w:color="auto"/>
            <w:left w:val="none" w:sz="0" w:space="0" w:color="auto"/>
            <w:bottom w:val="none" w:sz="0" w:space="0" w:color="auto"/>
            <w:right w:val="none" w:sz="0" w:space="0" w:color="auto"/>
          </w:divBdr>
        </w:div>
        <w:div w:id="1047872818">
          <w:marLeft w:val="0"/>
          <w:marRight w:val="0"/>
          <w:marTop w:val="0"/>
          <w:marBottom w:val="0"/>
          <w:divBdr>
            <w:top w:val="none" w:sz="0" w:space="0" w:color="auto"/>
            <w:left w:val="none" w:sz="0" w:space="0" w:color="auto"/>
            <w:bottom w:val="none" w:sz="0" w:space="0" w:color="auto"/>
            <w:right w:val="none" w:sz="0" w:space="0" w:color="auto"/>
          </w:divBdr>
        </w:div>
        <w:div w:id="994839901">
          <w:marLeft w:val="0"/>
          <w:marRight w:val="0"/>
          <w:marTop w:val="0"/>
          <w:marBottom w:val="0"/>
          <w:divBdr>
            <w:top w:val="none" w:sz="0" w:space="0" w:color="auto"/>
            <w:left w:val="none" w:sz="0" w:space="0" w:color="auto"/>
            <w:bottom w:val="none" w:sz="0" w:space="0" w:color="auto"/>
            <w:right w:val="none" w:sz="0" w:space="0" w:color="auto"/>
          </w:divBdr>
        </w:div>
        <w:div w:id="918636448">
          <w:marLeft w:val="0"/>
          <w:marRight w:val="0"/>
          <w:marTop w:val="0"/>
          <w:marBottom w:val="0"/>
          <w:divBdr>
            <w:top w:val="none" w:sz="0" w:space="0" w:color="auto"/>
            <w:left w:val="none" w:sz="0" w:space="0" w:color="auto"/>
            <w:bottom w:val="none" w:sz="0" w:space="0" w:color="auto"/>
            <w:right w:val="none" w:sz="0" w:space="0" w:color="auto"/>
          </w:divBdr>
        </w:div>
        <w:div w:id="1884251668">
          <w:marLeft w:val="0"/>
          <w:marRight w:val="0"/>
          <w:marTop w:val="0"/>
          <w:marBottom w:val="0"/>
          <w:divBdr>
            <w:top w:val="none" w:sz="0" w:space="0" w:color="auto"/>
            <w:left w:val="none" w:sz="0" w:space="0" w:color="auto"/>
            <w:bottom w:val="none" w:sz="0" w:space="0" w:color="auto"/>
            <w:right w:val="none" w:sz="0" w:space="0" w:color="auto"/>
          </w:divBdr>
        </w:div>
        <w:div w:id="630094354">
          <w:marLeft w:val="0"/>
          <w:marRight w:val="0"/>
          <w:marTop w:val="0"/>
          <w:marBottom w:val="0"/>
          <w:divBdr>
            <w:top w:val="none" w:sz="0" w:space="0" w:color="auto"/>
            <w:left w:val="none" w:sz="0" w:space="0" w:color="auto"/>
            <w:bottom w:val="none" w:sz="0" w:space="0" w:color="auto"/>
            <w:right w:val="none" w:sz="0" w:space="0" w:color="auto"/>
          </w:divBdr>
        </w:div>
        <w:div w:id="956251622">
          <w:marLeft w:val="0"/>
          <w:marRight w:val="0"/>
          <w:marTop w:val="0"/>
          <w:marBottom w:val="0"/>
          <w:divBdr>
            <w:top w:val="none" w:sz="0" w:space="0" w:color="auto"/>
            <w:left w:val="none" w:sz="0" w:space="0" w:color="auto"/>
            <w:bottom w:val="none" w:sz="0" w:space="0" w:color="auto"/>
            <w:right w:val="none" w:sz="0" w:space="0" w:color="auto"/>
          </w:divBdr>
        </w:div>
      </w:divsChild>
    </w:div>
    <w:div w:id="1083642051">
      <w:bodyDiv w:val="1"/>
      <w:marLeft w:val="0"/>
      <w:marRight w:val="0"/>
      <w:marTop w:val="0"/>
      <w:marBottom w:val="0"/>
      <w:divBdr>
        <w:top w:val="none" w:sz="0" w:space="0" w:color="auto"/>
        <w:left w:val="none" w:sz="0" w:space="0" w:color="auto"/>
        <w:bottom w:val="none" w:sz="0" w:space="0" w:color="auto"/>
        <w:right w:val="none" w:sz="0" w:space="0" w:color="auto"/>
      </w:divBdr>
      <w:divsChild>
        <w:div w:id="572132107">
          <w:marLeft w:val="0"/>
          <w:marRight w:val="0"/>
          <w:marTop w:val="0"/>
          <w:marBottom w:val="0"/>
          <w:divBdr>
            <w:top w:val="none" w:sz="0" w:space="0" w:color="auto"/>
            <w:left w:val="none" w:sz="0" w:space="0" w:color="auto"/>
            <w:bottom w:val="none" w:sz="0" w:space="0" w:color="auto"/>
            <w:right w:val="none" w:sz="0" w:space="0" w:color="auto"/>
          </w:divBdr>
          <w:divsChild>
            <w:div w:id="1172447081">
              <w:marLeft w:val="0"/>
              <w:marRight w:val="0"/>
              <w:marTop w:val="0"/>
              <w:marBottom w:val="0"/>
              <w:divBdr>
                <w:top w:val="none" w:sz="0" w:space="0" w:color="auto"/>
                <w:left w:val="none" w:sz="0" w:space="0" w:color="auto"/>
                <w:bottom w:val="none" w:sz="0" w:space="0" w:color="auto"/>
                <w:right w:val="none" w:sz="0" w:space="0" w:color="auto"/>
              </w:divBdr>
              <w:divsChild>
                <w:div w:id="1885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4385">
      <w:bodyDiv w:val="1"/>
      <w:marLeft w:val="0"/>
      <w:marRight w:val="0"/>
      <w:marTop w:val="0"/>
      <w:marBottom w:val="0"/>
      <w:divBdr>
        <w:top w:val="none" w:sz="0" w:space="0" w:color="auto"/>
        <w:left w:val="none" w:sz="0" w:space="0" w:color="auto"/>
        <w:bottom w:val="none" w:sz="0" w:space="0" w:color="auto"/>
        <w:right w:val="none" w:sz="0" w:space="0" w:color="auto"/>
      </w:divBdr>
      <w:divsChild>
        <w:div w:id="755371521">
          <w:marLeft w:val="0"/>
          <w:marRight w:val="0"/>
          <w:marTop w:val="0"/>
          <w:marBottom w:val="0"/>
          <w:divBdr>
            <w:top w:val="none" w:sz="0" w:space="0" w:color="auto"/>
            <w:left w:val="none" w:sz="0" w:space="0" w:color="auto"/>
            <w:bottom w:val="none" w:sz="0" w:space="0" w:color="auto"/>
            <w:right w:val="none" w:sz="0" w:space="0" w:color="auto"/>
          </w:divBdr>
          <w:divsChild>
            <w:div w:id="1216115584">
              <w:marLeft w:val="0"/>
              <w:marRight w:val="0"/>
              <w:marTop w:val="0"/>
              <w:marBottom w:val="0"/>
              <w:divBdr>
                <w:top w:val="none" w:sz="0" w:space="0" w:color="auto"/>
                <w:left w:val="none" w:sz="0" w:space="0" w:color="auto"/>
                <w:bottom w:val="none" w:sz="0" w:space="0" w:color="auto"/>
                <w:right w:val="none" w:sz="0" w:space="0" w:color="auto"/>
              </w:divBdr>
              <w:divsChild>
                <w:div w:id="17890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2481">
      <w:bodyDiv w:val="1"/>
      <w:marLeft w:val="0"/>
      <w:marRight w:val="0"/>
      <w:marTop w:val="0"/>
      <w:marBottom w:val="0"/>
      <w:divBdr>
        <w:top w:val="none" w:sz="0" w:space="0" w:color="auto"/>
        <w:left w:val="none" w:sz="0" w:space="0" w:color="auto"/>
        <w:bottom w:val="none" w:sz="0" w:space="0" w:color="auto"/>
        <w:right w:val="none" w:sz="0" w:space="0" w:color="auto"/>
      </w:divBdr>
    </w:div>
    <w:div w:id="1243874791">
      <w:bodyDiv w:val="1"/>
      <w:marLeft w:val="0"/>
      <w:marRight w:val="0"/>
      <w:marTop w:val="0"/>
      <w:marBottom w:val="0"/>
      <w:divBdr>
        <w:top w:val="none" w:sz="0" w:space="0" w:color="auto"/>
        <w:left w:val="none" w:sz="0" w:space="0" w:color="auto"/>
        <w:bottom w:val="none" w:sz="0" w:space="0" w:color="auto"/>
        <w:right w:val="none" w:sz="0" w:space="0" w:color="auto"/>
      </w:divBdr>
      <w:divsChild>
        <w:div w:id="1461804354">
          <w:marLeft w:val="0"/>
          <w:marRight w:val="0"/>
          <w:marTop w:val="0"/>
          <w:marBottom w:val="0"/>
          <w:divBdr>
            <w:top w:val="none" w:sz="0" w:space="0" w:color="auto"/>
            <w:left w:val="none" w:sz="0" w:space="0" w:color="auto"/>
            <w:bottom w:val="none" w:sz="0" w:space="0" w:color="auto"/>
            <w:right w:val="none" w:sz="0" w:space="0" w:color="auto"/>
          </w:divBdr>
          <w:divsChild>
            <w:div w:id="738215086">
              <w:marLeft w:val="0"/>
              <w:marRight w:val="0"/>
              <w:marTop w:val="0"/>
              <w:marBottom w:val="0"/>
              <w:divBdr>
                <w:top w:val="none" w:sz="0" w:space="0" w:color="auto"/>
                <w:left w:val="none" w:sz="0" w:space="0" w:color="auto"/>
                <w:bottom w:val="none" w:sz="0" w:space="0" w:color="auto"/>
                <w:right w:val="none" w:sz="0" w:space="0" w:color="auto"/>
              </w:divBdr>
              <w:divsChild>
                <w:div w:id="19498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9771">
      <w:bodyDiv w:val="1"/>
      <w:marLeft w:val="0"/>
      <w:marRight w:val="0"/>
      <w:marTop w:val="0"/>
      <w:marBottom w:val="0"/>
      <w:divBdr>
        <w:top w:val="none" w:sz="0" w:space="0" w:color="auto"/>
        <w:left w:val="none" w:sz="0" w:space="0" w:color="auto"/>
        <w:bottom w:val="none" w:sz="0" w:space="0" w:color="auto"/>
        <w:right w:val="none" w:sz="0" w:space="0" w:color="auto"/>
      </w:divBdr>
      <w:divsChild>
        <w:div w:id="337080870">
          <w:marLeft w:val="0"/>
          <w:marRight w:val="0"/>
          <w:marTop w:val="0"/>
          <w:marBottom w:val="0"/>
          <w:divBdr>
            <w:top w:val="none" w:sz="0" w:space="0" w:color="auto"/>
            <w:left w:val="none" w:sz="0" w:space="0" w:color="auto"/>
            <w:bottom w:val="none" w:sz="0" w:space="0" w:color="auto"/>
            <w:right w:val="none" w:sz="0" w:space="0" w:color="auto"/>
          </w:divBdr>
          <w:divsChild>
            <w:div w:id="526410566">
              <w:marLeft w:val="0"/>
              <w:marRight w:val="0"/>
              <w:marTop w:val="0"/>
              <w:marBottom w:val="0"/>
              <w:divBdr>
                <w:top w:val="none" w:sz="0" w:space="0" w:color="auto"/>
                <w:left w:val="none" w:sz="0" w:space="0" w:color="auto"/>
                <w:bottom w:val="none" w:sz="0" w:space="0" w:color="auto"/>
                <w:right w:val="none" w:sz="0" w:space="0" w:color="auto"/>
              </w:divBdr>
              <w:divsChild>
                <w:div w:id="18380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157">
      <w:bodyDiv w:val="1"/>
      <w:marLeft w:val="0"/>
      <w:marRight w:val="0"/>
      <w:marTop w:val="0"/>
      <w:marBottom w:val="0"/>
      <w:divBdr>
        <w:top w:val="none" w:sz="0" w:space="0" w:color="auto"/>
        <w:left w:val="none" w:sz="0" w:space="0" w:color="auto"/>
        <w:bottom w:val="none" w:sz="0" w:space="0" w:color="auto"/>
        <w:right w:val="none" w:sz="0" w:space="0" w:color="auto"/>
      </w:divBdr>
    </w:div>
    <w:div w:id="1453746816">
      <w:bodyDiv w:val="1"/>
      <w:marLeft w:val="0"/>
      <w:marRight w:val="0"/>
      <w:marTop w:val="0"/>
      <w:marBottom w:val="0"/>
      <w:divBdr>
        <w:top w:val="none" w:sz="0" w:space="0" w:color="auto"/>
        <w:left w:val="none" w:sz="0" w:space="0" w:color="auto"/>
        <w:bottom w:val="none" w:sz="0" w:space="0" w:color="auto"/>
        <w:right w:val="none" w:sz="0" w:space="0" w:color="auto"/>
      </w:divBdr>
      <w:divsChild>
        <w:div w:id="305210369">
          <w:marLeft w:val="0"/>
          <w:marRight w:val="0"/>
          <w:marTop w:val="0"/>
          <w:marBottom w:val="0"/>
          <w:divBdr>
            <w:top w:val="none" w:sz="0" w:space="0" w:color="auto"/>
            <w:left w:val="none" w:sz="0" w:space="0" w:color="auto"/>
            <w:bottom w:val="none" w:sz="0" w:space="0" w:color="auto"/>
            <w:right w:val="none" w:sz="0" w:space="0" w:color="auto"/>
          </w:divBdr>
          <w:divsChild>
            <w:div w:id="1304500359">
              <w:marLeft w:val="0"/>
              <w:marRight w:val="0"/>
              <w:marTop w:val="0"/>
              <w:marBottom w:val="0"/>
              <w:divBdr>
                <w:top w:val="none" w:sz="0" w:space="0" w:color="auto"/>
                <w:left w:val="none" w:sz="0" w:space="0" w:color="auto"/>
                <w:bottom w:val="none" w:sz="0" w:space="0" w:color="auto"/>
                <w:right w:val="none" w:sz="0" w:space="0" w:color="auto"/>
              </w:divBdr>
              <w:divsChild>
                <w:div w:id="3933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5826">
      <w:bodyDiv w:val="1"/>
      <w:marLeft w:val="0"/>
      <w:marRight w:val="0"/>
      <w:marTop w:val="0"/>
      <w:marBottom w:val="0"/>
      <w:divBdr>
        <w:top w:val="none" w:sz="0" w:space="0" w:color="auto"/>
        <w:left w:val="none" w:sz="0" w:space="0" w:color="auto"/>
        <w:bottom w:val="none" w:sz="0" w:space="0" w:color="auto"/>
        <w:right w:val="none" w:sz="0" w:space="0" w:color="auto"/>
      </w:divBdr>
      <w:divsChild>
        <w:div w:id="1598512777">
          <w:marLeft w:val="0"/>
          <w:marRight w:val="0"/>
          <w:marTop w:val="0"/>
          <w:marBottom w:val="0"/>
          <w:divBdr>
            <w:top w:val="none" w:sz="0" w:space="0" w:color="auto"/>
            <w:left w:val="none" w:sz="0" w:space="0" w:color="auto"/>
            <w:bottom w:val="none" w:sz="0" w:space="0" w:color="auto"/>
            <w:right w:val="none" w:sz="0" w:space="0" w:color="auto"/>
          </w:divBdr>
          <w:divsChild>
            <w:div w:id="197815756">
              <w:marLeft w:val="0"/>
              <w:marRight w:val="0"/>
              <w:marTop w:val="0"/>
              <w:marBottom w:val="0"/>
              <w:divBdr>
                <w:top w:val="none" w:sz="0" w:space="0" w:color="auto"/>
                <w:left w:val="none" w:sz="0" w:space="0" w:color="auto"/>
                <w:bottom w:val="none" w:sz="0" w:space="0" w:color="auto"/>
                <w:right w:val="none" w:sz="0" w:space="0" w:color="auto"/>
              </w:divBdr>
              <w:divsChild>
                <w:div w:id="3297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1581">
      <w:bodyDiv w:val="1"/>
      <w:marLeft w:val="0"/>
      <w:marRight w:val="0"/>
      <w:marTop w:val="0"/>
      <w:marBottom w:val="0"/>
      <w:divBdr>
        <w:top w:val="none" w:sz="0" w:space="0" w:color="auto"/>
        <w:left w:val="none" w:sz="0" w:space="0" w:color="auto"/>
        <w:bottom w:val="none" w:sz="0" w:space="0" w:color="auto"/>
        <w:right w:val="none" w:sz="0" w:space="0" w:color="auto"/>
      </w:divBdr>
      <w:divsChild>
        <w:div w:id="702679013">
          <w:marLeft w:val="0"/>
          <w:marRight w:val="0"/>
          <w:marTop w:val="0"/>
          <w:marBottom w:val="0"/>
          <w:divBdr>
            <w:top w:val="none" w:sz="0" w:space="0" w:color="auto"/>
            <w:left w:val="none" w:sz="0" w:space="0" w:color="auto"/>
            <w:bottom w:val="none" w:sz="0" w:space="0" w:color="auto"/>
            <w:right w:val="none" w:sz="0" w:space="0" w:color="auto"/>
          </w:divBdr>
          <w:divsChild>
            <w:div w:id="1427767600">
              <w:marLeft w:val="0"/>
              <w:marRight w:val="0"/>
              <w:marTop w:val="0"/>
              <w:marBottom w:val="0"/>
              <w:divBdr>
                <w:top w:val="none" w:sz="0" w:space="0" w:color="auto"/>
                <w:left w:val="none" w:sz="0" w:space="0" w:color="auto"/>
                <w:bottom w:val="none" w:sz="0" w:space="0" w:color="auto"/>
                <w:right w:val="none" w:sz="0" w:space="0" w:color="auto"/>
              </w:divBdr>
            </w:div>
            <w:div w:id="640237152">
              <w:marLeft w:val="0"/>
              <w:marRight w:val="0"/>
              <w:marTop w:val="0"/>
              <w:marBottom w:val="0"/>
              <w:divBdr>
                <w:top w:val="none" w:sz="0" w:space="0" w:color="auto"/>
                <w:left w:val="none" w:sz="0" w:space="0" w:color="auto"/>
                <w:bottom w:val="none" w:sz="0" w:space="0" w:color="auto"/>
                <w:right w:val="none" w:sz="0" w:space="0" w:color="auto"/>
              </w:divBdr>
            </w:div>
            <w:div w:id="134688655">
              <w:marLeft w:val="0"/>
              <w:marRight w:val="0"/>
              <w:marTop w:val="0"/>
              <w:marBottom w:val="0"/>
              <w:divBdr>
                <w:top w:val="none" w:sz="0" w:space="0" w:color="auto"/>
                <w:left w:val="none" w:sz="0" w:space="0" w:color="auto"/>
                <w:bottom w:val="none" w:sz="0" w:space="0" w:color="auto"/>
                <w:right w:val="none" w:sz="0" w:space="0" w:color="auto"/>
              </w:divBdr>
            </w:div>
            <w:div w:id="512912818">
              <w:marLeft w:val="0"/>
              <w:marRight w:val="0"/>
              <w:marTop w:val="0"/>
              <w:marBottom w:val="0"/>
              <w:divBdr>
                <w:top w:val="none" w:sz="0" w:space="0" w:color="auto"/>
                <w:left w:val="none" w:sz="0" w:space="0" w:color="auto"/>
                <w:bottom w:val="none" w:sz="0" w:space="0" w:color="auto"/>
                <w:right w:val="none" w:sz="0" w:space="0" w:color="auto"/>
              </w:divBdr>
            </w:div>
            <w:div w:id="1709984076">
              <w:marLeft w:val="0"/>
              <w:marRight w:val="0"/>
              <w:marTop w:val="0"/>
              <w:marBottom w:val="0"/>
              <w:divBdr>
                <w:top w:val="none" w:sz="0" w:space="0" w:color="auto"/>
                <w:left w:val="none" w:sz="0" w:space="0" w:color="auto"/>
                <w:bottom w:val="none" w:sz="0" w:space="0" w:color="auto"/>
                <w:right w:val="none" w:sz="0" w:space="0" w:color="auto"/>
              </w:divBdr>
            </w:div>
            <w:div w:id="25176733">
              <w:marLeft w:val="0"/>
              <w:marRight w:val="0"/>
              <w:marTop w:val="0"/>
              <w:marBottom w:val="0"/>
              <w:divBdr>
                <w:top w:val="none" w:sz="0" w:space="0" w:color="auto"/>
                <w:left w:val="none" w:sz="0" w:space="0" w:color="auto"/>
                <w:bottom w:val="none" w:sz="0" w:space="0" w:color="auto"/>
                <w:right w:val="none" w:sz="0" w:space="0" w:color="auto"/>
              </w:divBdr>
            </w:div>
            <w:div w:id="1377003931">
              <w:marLeft w:val="0"/>
              <w:marRight w:val="0"/>
              <w:marTop w:val="0"/>
              <w:marBottom w:val="0"/>
              <w:divBdr>
                <w:top w:val="none" w:sz="0" w:space="0" w:color="auto"/>
                <w:left w:val="none" w:sz="0" w:space="0" w:color="auto"/>
                <w:bottom w:val="none" w:sz="0" w:space="0" w:color="auto"/>
                <w:right w:val="none" w:sz="0" w:space="0" w:color="auto"/>
              </w:divBdr>
            </w:div>
            <w:div w:id="312873526">
              <w:marLeft w:val="0"/>
              <w:marRight w:val="0"/>
              <w:marTop w:val="0"/>
              <w:marBottom w:val="0"/>
              <w:divBdr>
                <w:top w:val="none" w:sz="0" w:space="0" w:color="auto"/>
                <w:left w:val="none" w:sz="0" w:space="0" w:color="auto"/>
                <w:bottom w:val="none" w:sz="0" w:space="0" w:color="auto"/>
                <w:right w:val="none" w:sz="0" w:space="0" w:color="auto"/>
              </w:divBdr>
            </w:div>
            <w:div w:id="644940484">
              <w:marLeft w:val="0"/>
              <w:marRight w:val="0"/>
              <w:marTop w:val="0"/>
              <w:marBottom w:val="0"/>
              <w:divBdr>
                <w:top w:val="none" w:sz="0" w:space="0" w:color="auto"/>
                <w:left w:val="none" w:sz="0" w:space="0" w:color="auto"/>
                <w:bottom w:val="none" w:sz="0" w:space="0" w:color="auto"/>
                <w:right w:val="none" w:sz="0" w:space="0" w:color="auto"/>
              </w:divBdr>
            </w:div>
            <w:div w:id="864903902">
              <w:marLeft w:val="0"/>
              <w:marRight w:val="0"/>
              <w:marTop w:val="0"/>
              <w:marBottom w:val="0"/>
              <w:divBdr>
                <w:top w:val="none" w:sz="0" w:space="0" w:color="auto"/>
                <w:left w:val="none" w:sz="0" w:space="0" w:color="auto"/>
                <w:bottom w:val="none" w:sz="0" w:space="0" w:color="auto"/>
                <w:right w:val="none" w:sz="0" w:space="0" w:color="auto"/>
              </w:divBdr>
            </w:div>
            <w:div w:id="2038920623">
              <w:marLeft w:val="0"/>
              <w:marRight w:val="0"/>
              <w:marTop w:val="0"/>
              <w:marBottom w:val="0"/>
              <w:divBdr>
                <w:top w:val="none" w:sz="0" w:space="0" w:color="auto"/>
                <w:left w:val="none" w:sz="0" w:space="0" w:color="auto"/>
                <w:bottom w:val="none" w:sz="0" w:space="0" w:color="auto"/>
                <w:right w:val="none" w:sz="0" w:space="0" w:color="auto"/>
              </w:divBdr>
            </w:div>
            <w:div w:id="1526940241">
              <w:marLeft w:val="0"/>
              <w:marRight w:val="0"/>
              <w:marTop w:val="0"/>
              <w:marBottom w:val="0"/>
              <w:divBdr>
                <w:top w:val="none" w:sz="0" w:space="0" w:color="auto"/>
                <w:left w:val="none" w:sz="0" w:space="0" w:color="auto"/>
                <w:bottom w:val="none" w:sz="0" w:space="0" w:color="auto"/>
                <w:right w:val="none" w:sz="0" w:space="0" w:color="auto"/>
              </w:divBdr>
            </w:div>
            <w:div w:id="814301134">
              <w:marLeft w:val="0"/>
              <w:marRight w:val="0"/>
              <w:marTop w:val="0"/>
              <w:marBottom w:val="0"/>
              <w:divBdr>
                <w:top w:val="none" w:sz="0" w:space="0" w:color="auto"/>
                <w:left w:val="none" w:sz="0" w:space="0" w:color="auto"/>
                <w:bottom w:val="none" w:sz="0" w:space="0" w:color="auto"/>
                <w:right w:val="none" w:sz="0" w:space="0" w:color="auto"/>
              </w:divBdr>
            </w:div>
            <w:div w:id="1341155103">
              <w:marLeft w:val="0"/>
              <w:marRight w:val="0"/>
              <w:marTop w:val="0"/>
              <w:marBottom w:val="0"/>
              <w:divBdr>
                <w:top w:val="none" w:sz="0" w:space="0" w:color="auto"/>
                <w:left w:val="none" w:sz="0" w:space="0" w:color="auto"/>
                <w:bottom w:val="none" w:sz="0" w:space="0" w:color="auto"/>
                <w:right w:val="none" w:sz="0" w:space="0" w:color="auto"/>
              </w:divBdr>
            </w:div>
            <w:div w:id="1137144698">
              <w:marLeft w:val="0"/>
              <w:marRight w:val="0"/>
              <w:marTop w:val="0"/>
              <w:marBottom w:val="0"/>
              <w:divBdr>
                <w:top w:val="none" w:sz="0" w:space="0" w:color="auto"/>
                <w:left w:val="none" w:sz="0" w:space="0" w:color="auto"/>
                <w:bottom w:val="none" w:sz="0" w:space="0" w:color="auto"/>
                <w:right w:val="none" w:sz="0" w:space="0" w:color="auto"/>
              </w:divBdr>
            </w:div>
            <w:div w:id="845098348">
              <w:marLeft w:val="0"/>
              <w:marRight w:val="0"/>
              <w:marTop w:val="0"/>
              <w:marBottom w:val="0"/>
              <w:divBdr>
                <w:top w:val="none" w:sz="0" w:space="0" w:color="auto"/>
                <w:left w:val="none" w:sz="0" w:space="0" w:color="auto"/>
                <w:bottom w:val="none" w:sz="0" w:space="0" w:color="auto"/>
                <w:right w:val="none" w:sz="0" w:space="0" w:color="auto"/>
              </w:divBdr>
            </w:div>
            <w:div w:id="705368023">
              <w:marLeft w:val="0"/>
              <w:marRight w:val="0"/>
              <w:marTop w:val="0"/>
              <w:marBottom w:val="0"/>
              <w:divBdr>
                <w:top w:val="none" w:sz="0" w:space="0" w:color="auto"/>
                <w:left w:val="none" w:sz="0" w:space="0" w:color="auto"/>
                <w:bottom w:val="none" w:sz="0" w:space="0" w:color="auto"/>
                <w:right w:val="none" w:sz="0" w:space="0" w:color="auto"/>
              </w:divBdr>
            </w:div>
            <w:div w:id="656032636">
              <w:marLeft w:val="0"/>
              <w:marRight w:val="0"/>
              <w:marTop w:val="0"/>
              <w:marBottom w:val="0"/>
              <w:divBdr>
                <w:top w:val="none" w:sz="0" w:space="0" w:color="auto"/>
                <w:left w:val="none" w:sz="0" w:space="0" w:color="auto"/>
                <w:bottom w:val="none" w:sz="0" w:space="0" w:color="auto"/>
                <w:right w:val="none" w:sz="0" w:space="0" w:color="auto"/>
              </w:divBdr>
            </w:div>
            <w:div w:id="165050276">
              <w:marLeft w:val="0"/>
              <w:marRight w:val="0"/>
              <w:marTop w:val="0"/>
              <w:marBottom w:val="0"/>
              <w:divBdr>
                <w:top w:val="none" w:sz="0" w:space="0" w:color="auto"/>
                <w:left w:val="none" w:sz="0" w:space="0" w:color="auto"/>
                <w:bottom w:val="none" w:sz="0" w:space="0" w:color="auto"/>
                <w:right w:val="none" w:sz="0" w:space="0" w:color="auto"/>
              </w:divBdr>
            </w:div>
            <w:div w:id="1805583808">
              <w:marLeft w:val="0"/>
              <w:marRight w:val="0"/>
              <w:marTop w:val="0"/>
              <w:marBottom w:val="0"/>
              <w:divBdr>
                <w:top w:val="none" w:sz="0" w:space="0" w:color="auto"/>
                <w:left w:val="none" w:sz="0" w:space="0" w:color="auto"/>
                <w:bottom w:val="none" w:sz="0" w:space="0" w:color="auto"/>
                <w:right w:val="none" w:sz="0" w:space="0" w:color="auto"/>
              </w:divBdr>
            </w:div>
            <w:div w:id="329480090">
              <w:marLeft w:val="0"/>
              <w:marRight w:val="0"/>
              <w:marTop w:val="0"/>
              <w:marBottom w:val="0"/>
              <w:divBdr>
                <w:top w:val="none" w:sz="0" w:space="0" w:color="auto"/>
                <w:left w:val="none" w:sz="0" w:space="0" w:color="auto"/>
                <w:bottom w:val="none" w:sz="0" w:space="0" w:color="auto"/>
                <w:right w:val="none" w:sz="0" w:space="0" w:color="auto"/>
              </w:divBdr>
            </w:div>
            <w:div w:id="2018727374">
              <w:marLeft w:val="0"/>
              <w:marRight w:val="0"/>
              <w:marTop w:val="0"/>
              <w:marBottom w:val="0"/>
              <w:divBdr>
                <w:top w:val="none" w:sz="0" w:space="0" w:color="auto"/>
                <w:left w:val="none" w:sz="0" w:space="0" w:color="auto"/>
                <w:bottom w:val="none" w:sz="0" w:space="0" w:color="auto"/>
                <w:right w:val="none" w:sz="0" w:space="0" w:color="auto"/>
              </w:divBdr>
            </w:div>
            <w:div w:id="1612125966">
              <w:marLeft w:val="0"/>
              <w:marRight w:val="0"/>
              <w:marTop w:val="0"/>
              <w:marBottom w:val="0"/>
              <w:divBdr>
                <w:top w:val="none" w:sz="0" w:space="0" w:color="auto"/>
                <w:left w:val="none" w:sz="0" w:space="0" w:color="auto"/>
                <w:bottom w:val="none" w:sz="0" w:space="0" w:color="auto"/>
                <w:right w:val="none" w:sz="0" w:space="0" w:color="auto"/>
              </w:divBdr>
            </w:div>
            <w:div w:id="2056002503">
              <w:marLeft w:val="0"/>
              <w:marRight w:val="0"/>
              <w:marTop w:val="0"/>
              <w:marBottom w:val="0"/>
              <w:divBdr>
                <w:top w:val="none" w:sz="0" w:space="0" w:color="auto"/>
                <w:left w:val="none" w:sz="0" w:space="0" w:color="auto"/>
                <w:bottom w:val="none" w:sz="0" w:space="0" w:color="auto"/>
                <w:right w:val="none" w:sz="0" w:space="0" w:color="auto"/>
              </w:divBdr>
            </w:div>
            <w:div w:id="691032447">
              <w:marLeft w:val="0"/>
              <w:marRight w:val="0"/>
              <w:marTop w:val="0"/>
              <w:marBottom w:val="0"/>
              <w:divBdr>
                <w:top w:val="none" w:sz="0" w:space="0" w:color="auto"/>
                <w:left w:val="none" w:sz="0" w:space="0" w:color="auto"/>
                <w:bottom w:val="none" w:sz="0" w:space="0" w:color="auto"/>
                <w:right w:val="none" w:sz="0" w:space="0" w:color="auto"/>
              </w:divBdr>
            </w:div>
            <w:div w:id="563640363">
              <w:marLeft w:val="0"/>
              <w:marRight w:val="0"/>
              <w:marTop w:val="0"/>
              <w:marBottom w:val="0"/>
              <w:divBdr>
                <w:top w:val="none" w:sz="0" w:space="0" w:color="auto"/>
                <w:left w:val="none" w:sz="0" w:space="0" w:color="auto"/>
                <w:bottom w:val="none" w:sz="0" w:space="0" w:color="auto"/>
                <w:right w:val="none" w:sz="0" w:space="0" w:color="auto"/>
              </w:divBdr>
            </w:div>
            <w:div w:id="748774170">
              <w:marLeft w:val="0"/>
              <w:marRight w:val="0"/>
              <w:marTop w:val="0"/>
              <w:marBottom w:val="0"/>
              <w:divBdr>
                <w:top w:val="none" w:sz="0" w:space="0" w:color="auto"/>
                <w:left w:val="none" w:sz="0" w:space="0" w:color="auto"/>
                <w:bottom w:val="none" w:sz="0" w:space="0" w:color="auto"/>
                <w:right w:val="none" w:sz="0" w:space="0" w:color="auto"/>
              </w:divBdr>
            </w:div>
            <w:div w:id="50856811">
              <w:marLeft w:val="0"/>
              <w:marRight w:val="0"/>
              <w:marTop w:val="0"/>
              <w:marBottom w:val="0"/>
              <w:divBdr>
                <w:top w:val="none" w:sz="0" w:space="0" w:color="auto"/>
                <w:left w:val="none" w:sz="0" w:space="0" w:color="auto"/>
                <w:bottom w:val="none" w:sz="0" w:space="0" w:color="auto"/>
                <w:right w:val="none" w:sz="0" w:space="0" w:color="auto"/>
              </w:divBdr>
            </w:div>
            <w:div w:id="990599211">
              <w:marLeft w:val="0"/>
              <w:marRight w:val="0"/>
              <w:marTop w:val="0"/>
              <w:marBottom w:val="0"/>
              <w:divBdr>
                <w:top w:val="none" w:sz="0" w:space="0" w:color="auto"/>
                <w:left w:val="none" w:sz="0" w:space="0" w:color="auto"/>
                <w:bottom w:val="none" w:sz="0" w:space="0" w:color="auto"/>
                <w:right w:val="none" w:sz="0" w:space="0" w:color="auto"/>
              </w:divBdr>
            </w:div>
            <w:div w:id="2075733198">
              <w:marLeft w:val="0"/>
              <w:marRight w:val="0"/>
              <w:marTop w:val="0"/>
              <w:marBottom w:val="0"/>
              <w:divBdr>
                <w:top w:val="none" w:sz="0" w:space="0" w:color="auto"/>
                <w:left w:val="none" w:sz="0" w:space="0" w:color="auto"/>
                <w:bottom w:val="none" w:sz="0" w:space="0" w:color="auto"/>
                <w:right w:val="none" w:sz="0" w:space="0" w:color="auto"/>
              </w:divBdr>
            </w:div>
            <w:div w:id="1816146140">
              <w:marLeft w:val="0"/>
              <w:marRight w:val="0"/>
              <w:marTop w:val="0"/>
              <w:marBottom w:val="0"/>
              <w:divBdr>
                <w:top w:val="none" w:sz="0" w:space="0" w:color="auto"/>
                <w:left w:val="none" w:sz="0" w:space="0" w:color="auto"/>
                <w:bottom w:val="none" w:sz="0" w:space="0" w:color="auto"/>
                <w:right w:val="none" w:sz="0" w:space="0" w:color="auto"/>
              </w:divBdr>
            </w:div>
            <w:div w:id="145629122">
              <w:marLeft w:val="0"/>
              <w:marRight w:val="0"/>
              <w:marTop w:val="0"/>
              <w:marBottom w:val="0"/>
              <w:divBdr>
                <w:top w:val="none" w:sz="0" w:space="0" w:color="auto"/>
                <w:left w:val="none" w:sz="0" w:space="0" w:color="auto"/>
                <w:bottom w:val="none" w:sz="0" w:space="0" w:color="auto"/>
                <w:right w:val="none" w:sz="0" w:space="0" w:color="auto"/>
              </w:divBdr>
            </w:div>
            <w:div w:id="15702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1428">
      <w:bodyDiv w:val="1"/>
      <w:marLeft w:val="0"/>
      <w:marRight w:val="0"/>
      <w:marTop w:val="0"/>
      <w:marBottom w:val="0"/>
      <w:divBdr>
        <w:top w:val="none" w:sz="0" w:space="0" w:color="auto"/>
        <w:left w:val="none" w:sz="0" w:space="0" w:color="auto"/>
        <w:bottom w:val="none" w:sz="0" w:space="0" w:color="auto"/>
        <w:right w:val="none" w:sz="0" w:space="0" w:color="auto"/>
      </w:divBdr>
      <w:divsChild>
        <w:div w:id="1561863140">
          <w:marLeft w:val="0"/>
          <w:marRight w:val="0"/>
          <w:marTop w:val="0"/>
          <w:marBottom w:val="0"/>
          <w:divBdr>
            <w:top w:val="none" w:sz="0" w:space="0" w:color="auto"/>
            <w:left w:val="none" w:sz="0" w:space="0" w:color="auto"/>
            <w:bottom w:val="none" w:sz="0" w:space="0" w:color="auto"/>
            <w:right w:val="none" w:sz="0" w:space="0" w:color="auto"/>
          </w:divBdr>
          <w:divsChild>
            <w:div w:id="680396136">
              <w:marLeft w:val="0"/>
              <w:marRight w:val="0"/>
              <w:marTop w:val="0"/>
              <w:marBottom w:val="0"/>
              <w:divBdr>
                <w:top w:val="none" w:sz="0" w:space="0" w:color="auto"/>
                <w:left w:val="none" w:sz="0" w:space="0" w:color="auto"/>
                <w:bottom w:val="none" w:sz="0" w:space="0" w:color="auto"/>
                <w:right w:val="none" w:sz="0" w:space="0" w:color="auto"/>
              </w:divBdr>
              <w:divsChild>
                <w:div w:id="142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103">
      <w:bodyDiv w:val="1"/>
      <w:marLeft w:val="0"/>
      <w:marRight w:val="0"/>
      <w:marTop w:val="0"/>
      <w:marBottom w:val="0"/>
      <w:divBdr>
        <w:top w:val="none" w:sz="0" w:space="0" w:color="auto"/>
        <w:left w:val="none" w:sz="0" w:space="0" w:color="auto"/>
        <w:bottom w:val="none" w:sz="0" w:space="0" w:color="auto"/>
        <w:right w:val="none" w:sz="0" w:space="0" w:color="auto"/>
      </w:divBdr>
      <w:divsChild>
        <w:div w:id="796918677">
          <w:marLeft w:val="0"/>
          <w:marRight w:val="0"/>
          <w:marTop w:val="0"/>
          <w:marBottom w:val="0"/>
          <w:divBdr>
            <w:top w:val="none" w:sz="0" w:space="0" w:color="auto"/>
            <w:left w:val="none" w:sz="0" w:space="0" w:color="auto"/>
            <w:bottom w:val="none" w:sz="0" w:space="0" w:color="auto"/>
            <w:right w:val="none" w:sz="0" w:space="0" w:color="auto"/>
          </w:divBdr>
          <w:divsChild>
            <w:div w:id="1335961844">
              <w:marLeft w:val="0"/>
              <w:marRight w:val="0"/>
              <w:marTop w:val="0"/>
              <w:marBottom w:val="0"/>
              <w:divBdr>
                <w:top w:val="none" w:sz="0" w:space="0" w:color="auto"/>
                <w:left w:val="none" w:sz="0" w:space="0" w:color="auto"/>
                <w:bottom w:val="none" w:sz="0" w:space="0" w:color="auto"/>
                <w:right w:val="none" w:sz="0" w:space="0" w:color="auto"/>
              </w:divBdr>
              <w:divsChild>
                <w:div w:id="789595750">
                  <w:marLeft w:val="0"/>
                  <w:marRight w:val="0"/>
                  <w:marTop w:val="0"/>
                  <w:marBottom w:val="0"/>
                  <w:divBdr>
                    <w:top w:val="none" w:sz="0" w:space="0" w:color="auto"/>
                    <w:left w:val="none" w:sz="0" w:space="0" w:color="auto"/>
                    <w:bottom w:val="none" w:sz="0" w:space="0" w:color="auto"/>
                    <w:right w:val="none" w:sz="0" w:space="0" w:color="auto"/>
                  </w:divBdr>
                  <w:divsChild>
                    <w:div w:id="848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88330">
      <w:bodyDiv w:val="1"/>
      <w:marLeft w:val="0"/>
      <w:marRight w:val="0"/>
      <w:marTop w:val="0"/>
      <w:marBottom w:val="0"/>
      <w:divBdr>
        <w:top w:val="none" w:sz="0" w:space="0" w:color="auto"/>
        <w:left w:val="none" w:sz="0" w:space="0" w:color="auto"/>
        <w:bottom w:val="none" w:sz="0" w:space="0" w:color="auto"/>
        <w:right w:val="none" w:sz="0" w:space="0" w:color="auto"/>
      </w:divBdr>
      <w:divsChild>
        <w:div w:id="1697585714">
          <w:marLeft w:val="0"/>
          <w:marRight w:val="0"/>
          <w:marTop w:val="0"/>
          <w:marBottom w:val="0"/>
          <w:divBdr>
            <w:top w:val="none" w:sz="0" w:space="0" w:color="auto"/>
            <w:left w:val="none" w:sz="0" w:space="0" w:color="auto"/>
            <w:bottom w:val="none" w:sz="0" w:space="0" w:color="auto"/>
            <w:right w:val="none" w:sz="0" w:space="0" w:color="auto"/>
          </w:divBdr>
        </w:div>
        <w:div w:id="2091732850">
          <w:marLeft w:val="0"/>
          <w:marRight w:val="0"/>
          <w:marTop w:val="0"/>
          <w:marBottom w:val="0"/>
          <w:divBdr>
            <w:top w:val="none" w:sz="0" w:space="0" w:color="auto"/>
            <w:left w:val="none" w:sz="0" w:space="0" w:color="auto"/>
            <w:bottom w:val="none" w:sz="0" w:space="0" w:color="auto"/>
            <w:right w:val="none" w:sz="0" w:space="0" w:color="auto"/>
          </w:divBdr>
        </w:div>
        <w:div w:id="1564679220">
          <w:marLeft w:val="0"/>
          <w:marRight w:val="0"/>
          <w:marTop w:val="0"/>
          <w:marBottom w:val="0"/>
          <w:divBdr>
            <w:top w:val="none" w:sz="0" w:space="0" w:color="auto"/>
            <w:left w:val="none" w:sz="0" w:space="0" w:color="auto"/>
            <w:bottom w:val="none" w:sz="0" w:space="0" w:color="auto"/>
            <w:right w:val="none" w:sz="0" w:space="0" w:color="auto"/>
          </w:divBdr>
        </w:div>
        <w:div w:id="257445033">
          <w:marLeft w:val="0"/>
          <w:marRight w:val="0"/>
          <w:marTop w:val="0"/>
          <w:marBottom w:val="0"/>
          <w:divBdr>
            <w:top w:val="none" w:sz="0" w:space="0" w:color="auto"/>
            <w:left w:val="none" w:sz="0" w:space="0" w:color="auto"/>
            <w:bottom w:val="none" w:sz="0" w:space="0" w:color="auto"/>
            <w:right w:val="none" w:sz="0" w:space="0" w:color="auto"/>
          </w:divBdr>
        </w:div>
        <w:div w:id="169489571">
          <w:marLeft w:val="0"/>
          <w:marRight w:val="0"/>
          <w:marTop w:val="0"/>
          <w:marBottom w:val="0"/>
          <w:divBdr>
            <w:top w:val="none" w:sz="0" w:space="0" w:color="auto"/>
            <w:left w:val="none" w:sz="0" w:space="0" w:color="auto"/>
            <w:bottom w:val="none" w:sz="0" w:space="0" w:color="auto"/>
            <w:right w:val="none" w:sz="0" w:space="0" w:color="auto"/>
          </w:divBdr>
        </w:div>
        <w:div w:id="1613169555">
          <w:marLeft w:val="0"/>
          <w:marRight w:val="0"/>
          <w:marTop w:val="0"/>
          <w:marBottom w:val="0"/>
          <w:divBdr>
            <w:top w:val="none" w:sz="0" w:space="0" w:color="auto"/>
            <w:left w:val="none" w:sz="0" w:space="0" w:color="auto"/>
            <w:bottom w:val="none" w:sz="0" w:space="0" w:color="auto"/>
            <w:right w:val="none" w:sz="0" w:space="0" w:color="auto"/>
          </w:divBdr>
        </w:div>
        <w:div w:id="641349415">
          <w:marLeft w:val="0"/>
          <w:marRight w:val="0"/>
          <w:marTop w:val="0"/>
          <w:marBottom w:val="0"/>
          <w:divBdr>
            <w:top w:val="none" w:sz="0" w:space="0" w:color="auto"/>
            <w:left w:val="none" w:sz="0" w:space="0" w:color="auto"/>
            <w:bottom w:val="none" w:sz="0" w:space="0" w:color="auto"/>
            <w:right w:val="none" w:sz="0" w:space="0" w:color="auto"/>
          </w:divBdr>
        </w:div>
        <w:div w:id="1949241841">
          <w:marLeft w:val="0"/>
          <w:marRight w:val="0"/>
          <w:marTop w:val="0"/>
          <w:marBottom w:val="0"/>
          <w:divBdr>
            <w:top w:val="none" w:sz="0" w:space="0" w:color="auto"/>
            <w:left w:val="none" w:sz="0" w:space="0" w:color="auto"/>
            <w:bottom w:val="none" w:sz="0" w:space="0" w:color="auto"/>
            <w:right w:val="none" w:sz="0" w:space="0" w:color="auto"/>
          </w:divBdr>
        </w:div>
        <w:div w:id="1728333280">
          <w:marLeft w:val="0"/>
          <w:marRight w:val="0"/>
          <w:marTop w:val="0"/>
          <w:marBottom w:val="0"/>
          <w:divBdr>
            <w:top w:val="none" w:sz="0" w:space="0" w:color="auto"/>
            <w:left w:val="none" w:sz="0" w:space="0" w:color="auto"/>
            <w:bottom w:val="none" w:sz="0" w:space="0" w:color="auto"/>
            <w:right w:val="none" w:sz="0" w:space="0" w:color="auto"/>
          </w:divBdr>
        </w:div>
        <w:div w:id="1079593596">
          <w:marLeft w:val="0"/>
          <w:marRight w:val="0"/>
          <w:marTop w:val="0"/>
          <w:marBottom w:val="0"/>
          <w:divBdr>
            <w:top w:val="none" w:sz="0" w:space="0" w:color="auto"/>
            <w:left w:val="none" w:sz="0" w:space="0" w:color="auto"/>
            <w:bottom w:val="none" w:sz="0" w:space="0" w:color="auto"/>
            <w:right w:val="none" w:sz="0" w:space="0" w:color="auto"/>
          </w:divBdr>
        </w:div>
        <w:div w:id="425268821">
          <w:marLeft w:val="0"/>
          <w:marRight w:val="0"/>
          <w:marTop w:val="0"/>
          <w:marBottom w:val="0"/>
          <w:divBdr>
            <w:top w:val="none" w:sz="0" w:space="0" w:color="auto"/>
            <w:left w:val="none" w:sz="0" w:space="0" w:color="auto"/>
            <w:bottom w:val="none" w:sz="0" w:space="0" w:color="auto"/>
            <w:right w:val="none" w:sz="0" w:space="0" w:color="auto"/>
          </w:divBdr>
        </w:div>
        <w:div w:id="1408117110">
          <w:marLeft w:val="0"/>
          <w:marRight w:val="0"/>
          <w:marTop w:val="0"/>
          <w:marBottom w:val="0"/>
          <w:divBdr>
            <w:top w:val="none" w:sz="0" w:space="0" w:color="auto"/>
            <w:left w:val="none" w:sz="0" w:space="0" w:color="auto"/>
            <w:bottom w:val="none" w:sz="0" w:space="0" w:color="auto"/>
            <w:right w:val="none" w:sz="0" w:space="0" w:color="auto"/>
          </w:divBdr>
        </w:div>
        <w:div w:id="677929498">
          <w:marLeft w:val="0"/>
          <w:marRight w:val="0"/>
          <w:marTop w:val="0"/>
          <w:marBottom w:val="0"/>
          <w:divBdr>
            <w:top w:val="none" w:sz="0" w:space="0" w:color="auto"/>
            <w:left w:val="none" w:sz="0" w:space="0" w:color="auto"/>
            <w:bottom w:val="none" w:sz="0" w:space="0" w:color="auto"/>
            <w:right w:val="none" w:sz="0" w:space="0" w:color="auto"/>
          </w:divBdr>
        </w:div>
        <w:div w:id="438263053">
          <w:marLeft w:val="0"/>
          <w:marRight w:val="0"/>
          <w:marTop w:val="0"/>
          <w:marBottom w:val="0"/>
          <w:divBdr>
            <w:top w:val="none" w:sz="0" w:space="0" w:color="auto"/>
            <w:left w:val="none" w:sz="0" w:space="0" w:color="auto"/>
            <w:bottom w:val="none" w:sz="0" w:space="0" w:color="auto"/>
            <w:right w:val="none" w:sz="0" w:space="0" w:color="auto"/>
          </w:divBdr>
        </w:div>
        <w:div w:id="1542984455">
          <w:marLeft w:val="0"/>
          <w:marRight w:val="0"/>
          <w:marTop w:val="0"/>
          <w:marBottom w:val="0"/>
          <w:divBdr>
            <w:top w:val="none" w:sz="0" w:space="0" w:color="auto"/>
            <w:left w:val="none" w:sz="0" w:space="0" w:color="auto"/>
            <w:bottom w:val="none" w:sz="0" w:space="0" w:color="auto"/>
            <w:right w:val="none" w:sz="0" w:space="0" w:color="auto"/>
          </w:divBdr>
        </w:div>
        <w:div w:id="58209281">
          <w:marLeft w:val="0"/>
          <w:marRight w:val="0"/>
          <w:marTop w:val="0"/>
          <w:marBottom w:val="0"/>
          <w:divBdr>
            <w:top w:val="none" w:sz="0" w:space="0" w:color="auto"/>
            <w:left w:val="none" w:sz="0" w:space="0" w:color="auto"/>
            <w:bottom w:val="none" w:sz="0" w:space="0" w:color="auto"/>
            <w:right w:val="none" w:sz="0" w:space="0" w:color="auto"/>
          </w:divBdr>
        </w:div>
        <w:div w:id="763695233">
          <w:marLeft w:val="0"/>
          <w:marRight w:val="0"/>
          <w:marTop w:val="0"/>
          <w:marBottom w:val="0"/>
          <w:divBdr>
            <w:top w:val="none" w:sz="0" w:space="0" w:color="auto"/>
            <w:left w:val="none" w:sz="0" w:space="0" w:color="auto"/>
            <w:bottom w:val="none" w:sz="0" w:space="0" w:color="auto"/>
            <w:right w:val="none" w:sz="0" w:space="0" w:color="auto"/>
          </w:divBdr>
        </w:div>
        <w:div w:id="1134567318">
          <w:marLeft w:val="0"/>
          <w:marRight w:val="0"/>
          <w:marTop w:val="0"/>
          <w:marBottom w:val="0"/>
          <w:divBdr>
            <w:top w:val="none" w:sz="0" w:space="0" w:color="auto"/>
            <w:left w:val="none" w:sz="0" w:space="0" w:color="auto"/>
            <w:bottom w:val="none" w:sz="0" w:space="0" w:color="auto"/>
            <w:right w:val="none" w:sz="0" w:space="0" w:color="auto"/>
          </w:divBdr>
        </w:div>
        <w:div w:id="1069964031">
          <w:marLeft w:val="0"/>
          <w:marRight w:val="0"/>
          <w:marTop w:val="0"/>
          <w:marBottom w:val="0"/>
          <w:divBdr>
            <w:top w:val="none" w:sz="0" w:space="0" w:color="auto"/>
            <w:left w:val="none" w:sz="0" w:space="0" w:color="auto"/>
            <w:bottom w:val="none" w:sz="0" w:space="0" w:color="auto"/>
            <w:right w:val="none" w:sz="0" w:space="0" w:color="auto"/>
          </w:divBdr>
        </w:div>
        <w:div w:id="347558537">
          <w:marLeft w:val="0"/>
          <w:marRight w:val="0"/>
          <w:marTop w:val="0"/>
          <w:marBottom w:val="0"/>
          <w:divBdr>
            <w:top w:val="none" w:sz="0" w:space="0" w:color="auto"/>
            <w:left w:val="none" w:sz="0" w:space="0" w:color="auto"/>
            <w:bottom w:val="none" w:sz="0" w:space="0" w:color="auto"/>
            <w:right w:val="none" w:sz="0" w:space="0" w:color="auto"/>
          </w:divBdr>
        </w:div>
        <w:div w:id="1783331970">
          <w:marLeft w:val="0"/>
          <w:marRight w:val="0"/>
          <w:marTop w:val="0"/>
          <w:marBottom w:val="0"/>
          <w:divBdr>
            <w:top w:val="none" w:sz="0" w:space="0" w:color="auto"/>
            <w:left w:val="none" w:sz="0" w:space="0" w:color="auto"/>
            <w:bottom w:val="none" w:sz="0" w:space="0" w:color="auto"/>
            <w:right w:val="none" w:sz="0" w:space="0" w:color="auto"/>
          </w:divBdr>
        </w:div>
        <w:div w:id="1085146469">
          <w:marLeft w:val="0"/>
          <w:marRight w:val="0"/>
          <w:marTop w:val="0"/>
          <w:marBottom w:val="0"/>
          <w:divBdr>
            <w:top w:val="none" w:sz="0" w:space="0" w:color="auto"/>
            <w:left w:val="none" w:sz="0" w:space="0" w:color="auto"/>
            <w:bottom w:val="none" w:sz="0" w:space="0" w:color="auto"/>
            <w:right w:val="none" w:sz="0" w:space="0" w:color="auto"/>
          </w:divBdr>
        </w:div>
        <w:div w:id="183520946">
          <w:marLeft w:val="0"/>
          <w:marRight w:val="0"/>
          <w:marTop w:val="0"/>
          <w:marBottom w:val="0"/>
          <w:divBdr>
            <w:top w:val="none" w:sz="0" w:space="0" w:color="auto"/>
            <w:left w:val="none" w:sz="0" w:space="0" w:color="auto"/>
            <w:bottom w:val="none" w:sz="0" w:space="0" w:color="auto"/>
            <w:right w:val="none" w:sz="0" w:space="0" w:color="auto"/>
          </w:divBdr>
        </w:div>
        <w:div w:id="766848946">
          <w:marLeft w:val="0"/>
          <w:marRight w:val="0"/>
          <w:marTop w:val="0"/>
          <w:marBottom w:val="0"/>
          <w:divBdr>
            <w:top w:val="none" w:sz="0" w:space="0" w:color="auto"/>
            <w:left w:val="none" w:sz="0" w:space="0" w:color="auto"/>
            <w:bottom w:val="none" w:sz="0" w:space="0" w:color="auto"/>
            <w:right w:val="none" w:sz="0" w:space="0" w:color="auto"/>
          </w:divBdr>
        </w:div>
        <w:div w:id="1366326722">
          <w:marLeft w:val="0"/>
          <w:marRight w:val="0"/>
          <w:marTop w:val="0"/>
          <w:marBottom w:val="0"/>
          <w:divBdr>
            <w:top w:val="none" w:sz="0" w:space="0" w:color="auto"/>
            <w:left w:val="none" w:sz="0" w:space="0" w:color="auto"/>
            <w:bottom w:val="none" w:sz="0" w:space="0" w:color="auto"/>
            <w:right w:val="none" w:sz="0" w:space="0" w:color="auto"/>
          </w:divBdr>
        </w:div>
        <w:div w:id="507448223">
          <w:marLeft w:val="0"/>
          <w:marRight w:val="0"/>
          <w:marTop w:val="0"/>
          <w:marBottom w:val="0"/>
          <w:divBdr>
            <w:top w:val="none" w:sz="0" w:space="0" w:color="auto"/>
            <w:left w:val="none" w:sz="0" w:space="0" w:color="auto"/>
            <w:bottom w:val="none" w:sz="0" w:space="0" w:color="auto"/>
            <w:right w:val="none" w:sz="0" w:space="0" w:color="auto"/>
          </w:divBdr>
        </w:div>
        <w:div w:id="1852717500">
          <w:marLeft w:val="0"/>
          <w:marRight w:val="0"/>
          <w:marTop w:val="0"/>
          <w:marBottom w:val="0"/>
          <w:divBdr>
            <w:top w:val="none" w:sz="0" w:space="0" w:color="auto"/>
            <w:left w:val="none" w:sz="0" w:space="0" w:color="auto"/>
            <w:bottom w:val="none" w:sz="0" w:space="0" w:color="auto"/>
            <w:right w:val="none" w:sz="0" w:space="0" w:color="auto"/>
          </w:divBdr>
        </w:div>
      </w:divsChild>
    </w:div>
    <w:div w:id="1837259376">
      <w:bodyDiv w:val="1"/>
      <w:marLeft w:val="0"/>
      <w:marRight w:val="0"/>
      <w:marTop w:val="0"/>
      <w:marBottom w:val="0"/>
      <w:divBdr>
        <w:top w:val="none" w:sz="0" w:space="0" w:color="auto"/>
        <w:left w:val="none" w:sz="0" w:space="0" w:color="auto"/>
        <w:bottom w:val="none" w:sz="0" w:space="0" w:color="auto"/>
        <w:right w:val="none" w:sz="0" w:space="0" w:color="auto"/>
      </w:divBdr>
      <w:divsChild>
        <w:div w:id="1371615145">
          <w:marLeft w:val="0"/>
          <w:marRight w:val="0"/>
          <w:marTop w:val="0"/>
          <w:marBottom w:val="0"/>
          <w:divBdr>
            <w:top w:val="none" w:sz="0" w:space="0" w:color="auto"/>
            <w:left w:val="none" w:sz="0" w:space="0" w:color="auto"/>
            <w:bottom w:val="none" w:sz="0" w:space="0" w:color="auto"/>
            <w:right w:val="none" w:sz="0" w:space="0" w:color="auto"/>
          </w:divBdr>
          <w:divsChild>
            <w:div w:id="262955053">
              <w:marLeft w:val="0"/>
              <w:marRight w:val="0"/>
              <w:marTop w:val="0"/>
              <w:marBottom w:val="0"/>
              <w:divBdr>
                <w:top w:val="none" w:sz="0" w:space="0" w:color="auto"/>
                <w:left w:val="none" w:sz="0" w:space="0" w:color="auto"/>
                <w:bottom w:val="none" w:sz="0" w:space="0" w:color="auto"/>
                <w:right w:val="none" w:sz="0" w:space="0" w:color="auto"/>
              </w:divBdr>
              <w:divsChild>
                <w:div w:id="17839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3568">
      <w:bodyDiv w:val="1"/>
      <w:marLeft w:val="0"/>
      <w:marRight w:val="0"/>
      <w:marTop w:val="0"/>
      <w:marBottom w:val="0"/>
      <w:divBdr>
        <w:top w:val="none" w:sz="0" w:space="0" w:color="auto"/>
        <w:left w:val="none" w:sz="0" w:space="0" w:color="auto"/>
        <w:bottom w:val="none" w:sz="0" w:space="0" w:color="auto"/>
        <w:right w:val="none" w:sz="0" w:space="0" w:color="auto"/>
      </w:divBdr>
    </w:div>
    <w:div w:id="1893688386">
      <w:bodyDiv w:val="1"/>
      <w:marLeft w:val="0"/>
      <w:marRight w:val="0"/>
      <w:marTop w:val="0"/>
      <w:marBottom w:val="0"/>
      <w:divBdr>
        <w:top w:val="none" w:sz="0" w:space="0" w:color="auto"/>
        <w:left w:val="none" w:sz="0" w:space="0" w:color="auto"/>
        <w:bottom w:val="none" w:sz="0" w:space="0" w:color="auto"/>
        <w:right w:val="none" w:sz="0" w:space="0" w:color="auto"/>
      </w:divBdr>
      <w:divsChild>
        <w:div w:id="731854047">
          <w:marLeft w:val="0"/>
          <w:marRight w:val="0"/>
          <w:marTop w:val="0"/>
          <w:marBottom w:val="0"/>
          <w:divBdr>
            <w:top w:val="none" w:sz="0" w:space="0" w:color="auto"/>
            <w:left w:val="none" w:sz="0" w:space="0" w:color="auto"/>
            <w:bottom w:val="none" w:sz="0" w:space="0" w:color="auto"/>
            <w:right w:val="none" w:sz="0" w:space="0" w:color="auto"/>
          </w:divBdr>
          <w:divsChild>
            <w:div w:id="2035114526">
              <w:marLeft w:val="0"/>
              <w:marRight w:val="0"/>
              <w:marTop w:val="0"/>
              <w:marBottom w:val="0"/>
              <w:divBdr>
                <w:top w:val="none" w:sz="0" w:space="0" w:color="auto"/>
                <w:left w:val="none" w:sz="0" w:space="0" w:color="auto"/>
                <w:bottom w:val="none" w:sz="0" w:space="0" w:color="auto"/>
                <w:right w:val="none" w:sz="0" w:space="0" w:color="auto"/>
              </w:divBdr>
              <w:divsChild>
                <w:div w:id="18556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2619">
      <w:bodyDiv w:val="1"/>
      <w:marLeft w:val="0"/>
      <w:marRight w:val="0"/>
      <w:marTop w:val="0"/>
      <w:marBottom w:val="0"/>
      <w:divBdr>
        <w:top w:val="none" w:sz="0" w:space="0" w:color="auto"/>
        <w:left w:val="none" w:sz="0" w:space="0" w:color="auto"/>
        <w:bottom w:val="none" w:sz="0" w:space="0" w:color="auto"/>
        <w:right w:val="none" w:sz="0" w:space="0" w:color="auto"/>
      </w:divBdr>
      <w:divsChild>
        <w:div w:id="23136411">
          <w:marLeft w:val="0"/>
          <w:marRight w:val="0"/>
          <w:marTop w:val="0"/>
          <w:marBottom w:val="0"/>
          <w:divBdr>
            <w:top w:val="none" w:sz="0" w:space="0" w:color="auto"/>
            <w:left w:val="none" w:sz="0" w:space="0" w:color="auto"/>
            <w:bottom w:val="none" w:sz="0" w:space="0" w:color="auto"/>
            <w:right w:val="none" w:sz="0" w:space="0" w:color="auto"/>
          </w:divBdr>
        </w:div>
        <w:div w:id="606540796">
          <w:marLeft w:val="0"/>
          <w:marRight w:val="0"/>
          <w:marTop w:val="0"/>
          <w:marBottom w:val="0"/>
          <w:divBdr>
            <w:top w:val="none" w:sz="0" w:space="0" w:color="auto"/>
            <w:left w:val="none" w:sz="0" w:space="0" w:color="auto"/>
            <w:bottom w:val="none" w:sz="0" w:space="0" w:color="auto"/>
            <w:right w:val="none" w:sz="0" w:space="0" w:color="auto"/>
          </w:divBdr>
        </w:div>
        <w:div w:id="801650967">
          <w:marLeft w:val="0"/>
          <w:marRight w:val="0"/>
          <w:marTop w:val="0"/>
          <w:marBottom w:val="0"/>
          <w:divBdr>
            <w:top w:val="none" w:sz="0" w:space="0" w:color="auto"/>
            <w:left w:val="none" w:sz="0" w:space="0" w:color="auto"/>
            <w:bottom w:val="none" w:sz="0" w:space="0" w:color="auto"/>
            <w:right w:val="none" w:sz="0" w:space="0" w:color="auto"/>
          </w:divBdr>
        </w:div>
        <w:div w:id="973874492">
          <w:marLeft w:val="0"/>
          <w:marRight w:val="0"/>
          <w:marTop w:val="0"/>
          <w:marBottom w:val="0"/>
          <w:divBdr>
            <w:top w:val="none" w:sz="0" w:space="0" w:color="auto"/>
            <w:left w:val="none" w:sz="0" w:space="0" w:color="auto"/>
            <w:bottom w:val="none" w:sz="0" w:space="0" w:color="auto"/>
            <w:right w:val="none" w:sz="0" w:space="0" w:color="auto"/>
          </w:divBdr>
        </w:div>
        <w:div w:id="58286282">
          <w:marLeft w:val="0"/>
          <w:marRight w:val="0"/>
          <w:marTop w:val="0"/>
          <w:marBottom w:val="0"/>
          <w:divBdr>
            <w:top w:val="none" w:sz="0" w:space="0" w:color="auto"/>
            <w:left w:val="none" w:sz="0" w:space="0" w:color="auto"/>
            <w:bottom w:val="none" w:sz="0" w:space="0" w:color="auto"/>
            <w:right w:val="none" w:sz="0" w:space="0" w:color="auto"/>
          </w:divBdr>
        </w:div>
        <w:div w:id="1314093664">
          <w:marLeft w:val="0"/>
          <w:marRight w:val="0"/>
          <w:marTop w:val="0"/>
          <w:marBottom w:val="0"/>
          <w:divBdr>
            <w:top w:val="none" w:sz="0" w:space="0" w:color="auto"/>
            <w:left w:val="none" w:sz="0" w:space="0" w:color="auto"/>
            <w:bottom w:val="none" w:sz="0" w:space="0" w:color="auto"/>
            <w:right w:val="none" w:sz="0" w:space="0" w:color="auto"/>
          </w:divBdr>
        </w:div>
        <w:div w:id="1399475090">
          <w:marLeft w:val="0"/>
          <w:marRight w:val="0"/>
          <w:marTop w:val="0"/>
          <w:marBottom w:val="0"/>
          <w:divBdr>
            <w:top w:val="none" w:sz="0" w:space="0" w:color="auto"/>
            <w:left w:val="none" w:sz="0" w:space="0" w:color="auto"/>
            <w:bottom w:val="none" w:sz="0" w:space="0" w:color="auto"/>
            <w:right w:val="none" w:sz="0" w:space="0" w:color="auto"/>
          </w:divBdr>
        </w:div>
        <w:div w:id="1341539503">
          <w:marLeft w:val="0"/>
          <w:marRight w:val="0"/>
          <w:marTop w:val="0"/>
          <w:marBottom w:val="0"/>
          <w:divBdr>
            <w:top w:val="none" w:sz="0" w:space="0" w:color="auto"/>
            <w:left w:val="none" w:sz="0" w:space="0" w:color="auto"/>
            <w:bottom w:val="none" w:sz="0" w:space="0" w:color="auto"/>
            <w:right w:val="none" w:sz="0" w:space="0" w:color="auto"/>
          </w:divBdr>
        </w:div>
        <w:div w:id="2039969282">
          <w:marLeft w:val="0"/>
          <w:marRight w:val="0"/>
          <w:marTop w:val="0"/>
          <w:marBottom w:val="0"/>
          <w:divBdr>
            <w:top w:val="none" w:sz="0" w:space="0" w:color="auto"/>
            <w:left w:val="none" w:sz="0" w:space="0" w:color="auto"/>
            <w:bottom w:val="none" w:sz="0" w:space="0" w:color="auto"/>
            <w:right w:val="none" w:sz="0" w:space="0" w:color="auto"/>
          </w:divBdr>
        </w:div>
        <w:div w:id="1643540094">
          <w:marLeft w:val="0"/>
          <w:marRight w:val="0"/>
          <w:marTop w:val="0"/>
          <w:marBottom w:val="0"/>
          <w:divBdr>
            <w:top w:val="none" w:sz="0" w:space="0" w:color="auto"/>
            <w:left w:val="none" w:sz="0" w:space="0" w:color="auto"/>
            <w:bottom w:val="none" w:sz="0" w:space="0" w:color="auto"/>
            <w:right w:val="none" w:sz="0" w:space="0" w:color="auto"/>
          </w:divBdr>
        </w:div>
        <w:div w:id="93745197">
          <w:marLeft w:val="0"/>
          <w:marRight w:val="0"/>
          <w:marTop w:val="0"/>
          <w:marBottom w:val="0"/>
          <w:divBdr>
            <w:top w:val="none" w:sz="0" w:space="0" w:color="auto"/>
            <w:left w:val="none" w:sz="0" w:space="0" w:color="auto"/>
            <w:bottom w:val="none" w:sz="0" w:space="0" w:color="auto"/>
            <w:right w:val="none" w:sz="0" w:space="0" w:color="auto"/>
          </w:divBdr>
        </w:div>
        <w:div w:id="704401595">
          <w:marLeft w:val="0"/>
          <w:marRight w:val="0"/>
          <w:marTop w:val="0"/>
          <w:marBottom w:val="0"/>
          <w:divBdr>
            <w:top w:val="none" w:sz="0" w:space="0" w:color="auto"/>
            <w:left w:val="none" w:sz="0" w:space="0" w:color="auto"/>
            <w:bottom w:val="none" w:sz="0" w:space="0" w:color="auto"/>
            <w:right w:val="none" w:sz="0" w:space="0" w:color="auto"/>
          </w:divBdr>
        </w:div>
        <w:div w:id="754014951">
          <w:marLeft w:val="0"/>
          <w:marRight w:val="0"/>
          <w:marTop w:val="0"/>
          <w:marBottom w:val="0"/>
          <w:divBdr>
            <w:top w:val="none" w:sz="0" w:space="0" w:color="auto"/>
            <w:left w:val="none" w:sz="0" w:space="0" w:color="auto"/>
            <w:bottom w:val="none" w:sz="0" w:space="0" w:color="auto"/>
            <w:right w:val="none" w:sz="0" w:space="0" w:color="auto"/>
          </w:divBdr>
        </w:div>
        <w:div w:id="1743018940">
          <w:marLeft w:val="0"/>
          <w:marRight w:val="0"/>
          <w:marTop w:val="0"/>
          <w:marBottom w:val="0"/>
          <w:divBdr>
            <w:top w:val="none" w:sz="0" w:space="0" w:color="auto"/>
            <w:left w:val="none" w:sz="0" w:space="0" w:color="auto"/>
            <w:bottom w:val="none" w:sz="0" w:space="0" w:color="auto"/>
            <w:right w:val="none" w:sz="0" w:space="0" w:color="auto"/>
          </w:divBdr>
        </w:div>
        <w:div w:id="1541356099">
          <w:marLeft w:val="0"/>
          <w:marRight w:val="0"/>
          <w:marTop w:val="0"/>
          <w:marBottom w:val="0"/>
          <w:divBdr>
            <w:top w:val="none" w:sz="0" w:space="0" w:color="auto"/>
            <w:left w:val="none" w:sz="0" w:space="0" w:color="auto"/>
            <w:bottom w:val="none" w:sz="0" w:space="0" w:color="auto"/>
            <w:right w:val="none" w:sz="0" w:space="0" w:color="auto"/>
          </w:divBdr>
        </w:div>
        <w:div w:id="611940784">
          <w:marLeft w:val="0"/>
          <w:marRight w:val="0"/>
          <w:marTop w:val="0"/>
          <w:marBottom w:val="0"/>
          <w:divBdr>
            <w:top w:val="none" w:sz="0" w:space="0" w:color="auto"/>
            <w:left w:val="none" w:sz="0" w:space="0" w:color="auto"/>
            <w:bottom w:val="none" w:sz="0" w:space="0" w:color="auto"/>
            <w:right w:val="none" w:sz="0" w:space="0" w:color="auto"/>
          </w:divBdr>
        </w:div>
        <w:div w:id="151533619">
          <w:marLeft w:val="0"/>
          <w:marRight w:val="0"/>
          <w:marTop w:val="0"/>
          <w:marBottom w:val="0"/>
          <w:divBdr>
            <w:top w:val="none" w:sz="0" w:space="0" w:color="auto"/>
            <w:left w:val="none" w:sz="0" w:space="0" w:color="auto"/>
            <w:bottom w:val="none" w:sz="0" w:space="0" w:color="auto"/>
            <w:right w:val="none" w:sz="0" w:space="0" w:color="auto"/>
          </w:divBdr>
        </w:div>
        <w:div w:id="528689784">
          <w:marLeft w:val="0"/>
          <w:marRight w:val="0"/>
          <w:marTop w:val="0"/>
          <w:marBottom w:val="0"/>
          <w:divBdr>
            <w:top w:val="none" w:sz="0" w:space="0" w:color="auto"/>
            <w:left w:val="none" w:sz="0" w:space="0" w:color="auto"/>
            <w:bottom w:val="none" w:sz="0" w:space="0" w:color="auto"/>
            <w:right w:val="none" w:sz="0" w:space="0" w:color="auto"/>
          </w:divBdr>
        </w:div>
        <w:div w:id="1689526854">
          <w:marLeft w:val="0"/>
          <w:marRight w:val="0"/>
          <w:marTop w:val="0"/>
          <w:marBottom w:val="0"/>
          <w:divBdr>
            <w:top w:val="none" w:sz="0" w:space="0" w:color="auto"/>
            <w:left w:val="none" w:sz="0" w:space="0" w:color="auto"/>
            <w:bottom w:val="none" w:sz="0" w:space="0" w:color="auto"/>
            <w:right w:val="none" w:sz="0" w:space="0" w:color="auto"/>
          </w:divBdr>
        </w:div>
        <w:div w:id="1752241013">
          <w:marLeft w:val="0"/>
          <w:marRight w:val="0"/>
          <w:marTop w:val="0"/>
          <w:marBottom w:val="0"/>
          <w:divBdr>
            <w:top w:val="none" w:sz="0" w:space="0" w:color="auto"/>
            <w:left w:val="none" w:sz="0" w:space="0" w:color="auto"/>
            <w:bottom w:val="none" w:sz="0" w:space="0" w:color="auto"/>
            <w:right w:val="none" w:sz="0" w:space="0" w:color="auto"/>
          </w:divBdr>
        </w:div>
        <w:div w:id="244921308">
          <w:marLeft w:val="0"/>
          <w:marRight w:val="0"/>
          <w:marTop w:val="0"/>
          <w:marBottom w:val="0"/>
          <w:divBdr>
            <w:top w:val="none" w:sz="0" w:space="0" w:color="auto"/>
            <w:left w:val="none" w:sz="0" w:space="0" w:color="auto"/>
            <w:bottom w:val="none" w:sz="0" w:space="0" w:color="auto"/>
            <w:right w:val="none" w:sz="0" w:space="0" w:color="auto"/>
          </w:divBdr>
        </w:div>
        <w:div w:id="196164373">
          <w:marLeft w:val="0"/>
          <w:marRight w:val="0"/>
          <w:marTop w:val="0"/>
          <w:marBottom w:val="0"/>
          <w:divBdr>
            <w:top w:val="none" w:sz="0" w:space="0" w:color="auto"/>
            <w:left w:val="none" w:sz="0" w:space="0" w:color="auto"/>
            <w:bottom w:val="none" w:sz="0" w:space="0" w:color="auto"/>
            <w:right w:val="none" w:sz="0" w:space="0" w:color="auto"/>
          </w:divBdr>
        </w:div>
        <w:div w:id="65453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797585.2021.19893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86/s12954-019-02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C010-D020-4E45-8D3D-14CEB63C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7492</Words>
  <Characters>42705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 Casey</dc:creator>
  <cp:keywords/>
  <dc:description/>
  <cp:lastModifiedBy>Emma Casey</cp:lastModifiedBy>
  <cp:revision>4</cp:revision>
  <dcterms:created xsi:type="dcterms:W3CDTF">2022-02-24T16:32:00Z</dcterms:created>
  <dcterms:modified xsi:type="dcterms:W3CDTF">2022-02-24T17:15:00Z</dcterms:modified>
</cp:coreProperties>
</file>