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D2CE2" w14:textId="5F3932BA" w:rsidR="004109C0" w:rsidRPr="002A4884" w:rsidRDefault="00CC469C" w:rsidP="004109C0">
      <w:pPr>
        <w:spacing w:after="0"/>
        <w:jc w:val="center"/>
        <w:rPr>
          <w:b/>
          <w:bCs/>
        </w:rPr>
      </w:pPr>
      <w:r w:rsidRPr="002A4884">
        <w:rPr>
          <w:b/>
          <w:bCs/>
        </w:rPr>
        <w:t xml:space="preserve">More </w:t>
      </w:r>
      <w:r w:rsidR="005665B0" w:rsidRPr="002A4884">
        <w:rPr>
          <w:b/>
          <w:bCs/>
        </w:rPr>
        <w:t xml:space="preserve">long-term care </w:t>
      </w:r>
      <w:r w:rsidRPr="002A4884">
        <w:rPr>
          <w:b/>
          <w:bCs/>
        </w:rPr>
        <w:t>for better health care and vice versa:</w:t>
      </w:r>
    </w:p>
    <w:p w14:paraId="1C51ED8B" w14:textId="3A795A9B" w:rsidR="00BE184C" w:rsidRPr="002A4884" w:rsidRDefault="00CC469C" w:rsidP="00BE184C">
      <w:pPr>
        <w:jc w:val="center"/>
        <w:rPr>
          <w:b/>
          <w:bCs/>
        </w:rPr>
      </w:pPr>
      <w:r w:rsidRPr="002A4884">
        <w:rPr>
          <w:b/>
          <w:bCs/>
        </w:rPr>
        <w:t>investigating the</w:t>
      </w:r>
      <w:r w:rsidR="00920192">
        <w:rPr>
          <w:b/>
          <w:bCs/>
        </w:rPr>
        <w:t xml:space="preserve"> mortality</w:t>
      </w:r>
      <w:r w:rsidRPr="002A4884">
        <w:rPr>
          <w:b/>
          <w:bCs/>
        </w:rPr>
        <w:t xml:space="preserve"> effects of </w:t>
      </w:r>
      <w:r w:rsidR="00183DD1" w:rsidRPr="002A4884">
        <w:rPr>
          <w:b/>
          <w:bCs/>
        </w:rPr>
        <w:t xml:space="preserve">interactions between </w:t>
      </w:r>
      <w:r w:rsidR="00FD08EB" w:rsidRPr="002A4884">
        <w:rPr>
          <w:b/>
          <w:bCs/>
        </w:rPr>
        <w:t xml:space="preserve">these </w:t>
      </w:r>
      <w:r w:rsidR="00D06577">
        <w:rPr>
          <w:b/>
          <w:bCs/>
        </w:rPr>
        <w:t xml:space="preserve">public </w:t>
      </w:r>
      <w:r w:rsidR="00920192">
        <w:rPr>
          <w:b/>
          <w:bCs/>
        </w:rPr>
        <w:t>sectors</w:t>
      </w:r>
    </w:p>
    <w:p w14:paraId="03BCA33F" w14:textId="530FF349" w:rsidR="00BE184C" w:rsidRDefault="00541AFE" w:rsidP="00BE184C">
      <w:pPr>
        <w:jc w:val="center"/>
        <w:rPr>
          <w:vertAlign w:val="superscript"/>
        </w:rPr>
      </w:pPr>
      <w:r>
        <w:t xml:space="preserve">Francesco </w:t>
      </w:r>
      <w:r w:rsidR="00214A7C">
        <w:t>Longo</w:t>
      </w:r>
      <w:r w:rsidR="00AA0070" w:rsidRPr="009131A0">
        <w:rPr>
          <w:vertAlign w:val="superscript"/>
        </w:rPr>
        <w:t>a</w:t>
      </w:r>
      <w:r w:rsidR="00AA0070">
        <w:rPr>
          <w:vertAlign w:val="superscript"/>
        </w:rPr>
        <w:t>,</w:t>
      </w:r>
      <w:r w:rsidR="00AA0070" w:rsidRPr="006D5A57">
        <w:t>*</w:t>
      </w:r>
      <w:r w:rsidR="00214A7C">
        <w:t xml:space="preserve">     </w:t>
      </w:r>
      <w:r>
        <w:t xml:space="preserve">Karl </w:t>
      </w:r>
      <w:r w:rsidR="00214A7C">
        <w:t>Claxton</w:t>
      </w:r>
      <w:r w:rsidR="00AA0070" w:rsidRPr="009131A0">
        <w:rPr>
          <w:vertAlign w:val="superscript"/>
        </w:rPr>
        <w:t>a,b</w:t>
      </w:r>
      <w:r w:rsidR="00214A7C">
        <w:t xml:space="preserve">     </w:t>
      </w:r>
      <w:r>
        <w:t xml:space="preserve">Stephen </w:t>
      </w:r>
      <w:r w:rsidR="00214A7C">
        <w:t>Martin</w:t>
      </w:r>
      <w:r w:rsidR="00AA0070" w:rsidRPr="009131A0">
        <w:rPr>
          <w:vertAlign w:val="superscript"/>
        </w:rPr>
        <w:t>b</w:t>
      </w:r>
      <w:r w:rsidR="00214A7C">
        <w:t xml:space="preserve">     </w:t>
      </w:r>
      <w:r>
        <w:t xml:space="preserve">James </w:t>
      </w:r>
      <w:r w:rsidR="00214A7C">
        <w:t>Lomas</w:t>
      </w:r>
      <w:r w:rsidR="00AA0070" w:rsidRPr="009131A0">
        <w:rPr>
          <w:vertAlign w:val="superscript"/>
        </w:rPr>
        <w:t>a</w:t>
      </w:r>
    </w:p>
    <w:p w14:paraId="45EFBBDD" w14:textId="77777777" w:rsidR="00AA0070" w:rsidRDefault="00AA0070" w:rsidP="00AA0070">
      <w:pPr>
        <w:spacing w:after="0"/>
        <w:jc w:val="left"/>
      </w:pPr>
      <w:r w:rsidRPr="006D5A57">
        <w:rPr>
          <w:vertAlign w:val="superscript"/>
        </w:rPr>
        <w:t>a</w:t>
      </w:r>
      <w:r>
        <w:t xml:space="preserve"> </w:t>
      </w:r>
      <w:r w:rsidRPr="006D5A57">
        <w:rPr>
          <w:i/>
          <w:iCs/>
        </w:rPr>
        <w:t>Centre for Health Economics, University of York, York, United Kingdom.</w:t>
      </w:r>
    </w:p>
    <w:p w14:paraId="1906E9AD" w14:textId="77777777" w:rsidR="00AA0070" w:rsidRDefault="00AA0070" w:rsidP="00AA0070">
      <w:pPr>
        <w:jc w:val="left"/>
      </w:pPr>
      <w:r w:rsidRPr="006D5A57">
        <w:rPr>
          <w:vertAlign w:val="superscript"/>
        </w:rPr>
        <w:t>b</w:t>
      </w:r>
      <w:r>
        <w:t xml:space="preserve"> </w:t>
      </w:r>
      <w:r w:rsidRPr="006D5A57">
        <w:rPr>
          <w:i/>
          <w:iCs/>
        </w:rPr>
        <w:t>Department of Economics and Related Studies, University of York, York, United Kingdom.</w:t>
      </w:r>
    </w:p>
    <w:p w14:paraId="393F43E7" w14:textId="77777777" w:rsidR="00AA0070" w:rsidRPr="00A02662" w:rsidRDefault="00AA0070" w:rsidP="00AA0070">
      <w:pPr>
        <w:spacing w:after="240"/>
        <w:jc w:val="left"/>
      </w:pPr>
      <w:r>
        <w:t>*</w:t>
      </w:r>
      <w:r w:rsidRPr="006D5A57">
        <w:t xml:space="preserve"> Correspondence to: </w:t>
      </w:r>
      <w:r>
        <w:t xml:space="preserve">Centre for Health economics, </w:t>
      </w:r>
      <w:r w:rsidRPr="006D5A57">
        <w:t>University of York, Heslington, York, YO10 5DD, UK. E</w:t>
      </w:r>
      <w:r>
        <w:t>-</w:t>
      </w:r>
      <w:r w:rsidRPr="006D5A57">
        <w:t>mail: francesco.longo@york.ac.uk</w:t>
      </w:r>
    </w:p>
    <w:p w14:paraId="25F5133C" w14:textId="77777777" w:rsidR="00AA0070" w:rsidRPr="002A4884" w:rsidRDefault="00AA0070" w:rsidP="00AA0070"/>
    <w:p w14:paraId="285501A6" w14:textId="170D2FB9" w:rsidR="00BE184C" w:rsidRPr="002A4884" w:rsidRDefault="00BE184C" w:rsidP="00BE184C">
      <w:pPr>
        <w:jc w:val="center"/>
        <w:rPr>
          <w:b/>
          <w:bCs/>
        </w:rPr>
      </w:pPr>
      <w:r w:rsidRPr="002A4884">
        <w:rPr>
          <w:b/>
          <w:bCs/>
        </w:rPr>
        <w:t>Abstract</w:t>
      </w:r>
    </w:p>
    <w:p w14:paraId="28A991E6" w14:textId="59880AFF" w:rsidR="00BE184C" w:rsidRDefault="00F1052C" w:rsidP="00F1052C">
      <w:r w:rsidRPr="00F1052C">
        <w:t>Public health care</w:t>
      </w:r>
      <w:r w:rsidR="00A46803">
        <w:t xml:space="preserve"> (HC)</w:t>
      </w:r>
      <w:r>
        <w:t xml:space="preserve"> and long-term care</w:t>
      </w:r>
      <w:r w:rsidR="00A46803">
        <w:t xml:space="preserve"> (LTC)</w:t>
      </w:r>
      <w:r>
        <w:t xml:space="preserve"> sectors </w:t>
      </w:r>
      <w:r w:rsidR="00DF6938" w:rsidRPr="002A4884">
        <w:t xml:space="preserve">co-exist across several </w:t>
      </w:r>
      <w:r>
        <w:t xml:space="preserve">countries in the </w:t>
      </w:r>
      <w:r w:rsidRPr="002A4884">
        <w:t>Organisation for Economic Co-operation and Development</w:t>
      </w:r>
      <w:r>
        <w:t xml:space="preserve">. Economic interactions between these two sectors </w:t>
      </w:r>
      <w:r w:rsidR="00AF63C1">
        <w:t xml:space="preserve">have been found to </w:t>
      </w:r>
      <w:r w:rsidR="008248A8">
        <w:t xml:space="preserve">occur even in the absence of formal </w:t>
      </w:r>
      <w:r w:rsidR="00B20A38">
        <w:t>integrated care a</w:t>
      </w:r>
      <w:r w:rsidR="008248A8">
        <w:t xml:space="preserve">rrangements. We investigate whether </w:t>
      </w:r>
      <w:r w:rsidR="00DF6938">
        <w:t xml:space="preserve">and how </w:t>
      </w:r>
      <w:r w:rsidR="008248A8">
        <w:t xml:space="preserve">interactions between </w:t>
      </w:r>
      <w:r w:rsidR="00A46803">
        <w:t xml:space="preserve">the HC and LTC </w:t>
      </w:r>
      <w:r w:rsidR="008248A8">
        <w:t>sector</w:t>
      </w:r>
      <w:r w:rsidR="00503960">
        <w:t>s</w:t>
      </w:r>
      <w:r w:rsidR="008248A8">
        <w:t xml:space="preserve"> impact mortality. We analyse data on English local authorities in 2014/15 and employ </w:t>
      </w:r>
      <w:r w:rsidR="0019703E">
        <w:t xml:space="preserve">a sequence of </w:t>
      </w:r>
      <w:r w:rsidR="00DF6938">
        <w:t xml:space="preserve">cross-sectional </w:t>
      </w:r>
      <w:r w:rsidR="008248A8">
        <w:t xml:space="preserve">econometric specifications based on instrumental variables to identify the effect </w:t>
      </w:r>
      <w:r w:rsidR="00675F72">
        <w:t xml:space="preserve">that </w:t>
      </w:r>
      <w:r w:rsidR="00A46803">
        <w:t xml:space="preserve">LTC </w:t>
      </w:r>
      <w:r w:rsidR="008248A8">
        <w:t xml:space="preserve">expenditure </w:t>
      </w:r>
      <w:r w:rsidR="00675F72">
        <w:t xml:space="preserve">has </w:t>
      </w:r>
      <w:r w:rsidR="008248A8">
        <w:t xml:space="preserve">on mortality through </w:t>
      </w:r>
      <w:r w:rsidR="00675F72">
        <w:t xml:space="preserve">its interactions with </w:t>
      </w:r>
      <w:r w:rsidR="00A46803">
        <w:t xml:space="preserve">HC </w:t>
      </w:r>
      <w:r w:rsidR="00675F72">
        <w:t xml:space="preserve">services, </w:t>
      </w:r>
      <w:r w:rsidR="008248A8">
        <w:t>and vice versa.</w:t>
      </w:r>
      <w:r w:rsidR="00230CFA">
        <w:t xml:space="preserve"> Our findings suggest </w:t>
      </w:r>
      <w:r w:rsidR="00DF6938">
        <w:t xml:space="preserve">that </w:t>
      </w:r>
      <w:r w:rsidR="00DF6938" w:rsidRPr="00DF6938">
        <w:t xml:space="preserve">any effect </w:t>
      </w:r>
      <w:r w:rsidR="00DF6938">
        <w:t xml:space="preserve">of </w:t>
      </w:r>
      <w:r w:rsidR="00A46803">
        <w:t xml:space="preserve">LTC </w:t>
      </w:r>
      <w:r w:rsidR="00DF6938">
        <w:t xml:space="preserve">expenditure on mortality is likely to </w:t>
      </w:r>
      <w:r w:rsidR="00DF6938" w:rsidRPr="00DF6938">
        <w:t>run through the HC sector</w:t>
      </w:r>
      <w:r w:rsidR="00DF6938">
        <w:t xml:space="preserve"> by allowing the latter to </w:t>
      </w:r>
      <w:r w:rsidR="00523AC9">
        <w:t xml:space="preserve">reallocate resources from less to more </w:t>
      </w:r>
      <w:r w:rsidR="00DF6938">
        <w:t>effective</w:t>
      </w:r>
      <w:r w:rsidR="00523AC9">
        <w:t xml:space="preserve"> services</w:t>
      </w:r>
      <w:r w:rsidR="00DF6938">
        <w:t xml:space="preserve">. </w:t>
      </w:r>
      <w:r w:rsidR="00CD7DCF">
        <w:t xml:space="preserve">An increase in </w:t>
      </w:r>
      <w:r w:rsidR="00CD7DCF" w:rsidRPr="002A4884">
        <w:t>LTC expenditure per user by 10%</w:t>
      </w:r>
      <w:r w:rsidR="00CD7DCF">
        <w:t xml:space="preserve"> </w:t>
      </w:r>
      <w:r w:rsidR="00A46803">
        <w:t>can indirectly save</w:t>
      </w:r>
      <w:r w:rsidR="00FD4E84">
        <w:t>, on average,</w:t>
      </w:r>
      <w:r w:rsidR="00A46803">
        <w:t xml:space="preserve"> about </w:t>
      </w:r>
      <w:r w:rsidR="00A46803" w:rsidRPr="002A4884">
        <w:t>3 lives per million individuals</w:t>
      </w:r>
      <w:r w:rsidR="00A46803">
        <w:t xml:space="preserve">. </w:t>
      </w:r>
      <w:r w:rsidR="00DF6938" w:rsidRPr="002A4884">
        <w:t xml:space="preserve">In addition, </w:t>
      </w:r>
      <w:r w:rsidR="00A7528F">
        <w:t xml:space="preserve">on top of the known </w:t>
      </w:r>
      <w:r w:rsidR="00BE57FB">
        <w:t xml:space="preserve">HC </w:t>
      </w:r>
      <w:r w:rsidR="00A7528F">
        <w:t xml:space="preserve">direct mortality effects, </w:t>
      </w:r>
      <w:r w:rsidR="00DF6938">
        <w:t xml:space="preserve">we find that </w:t>
      </w:r>
      <w:r w:rsidR="00BE57FB">
        <w:t>investing an extra £42m in the HC sector</w:t>
      </w:r>
      <w:r w:rsidR="00523AC9">
        <w:t xml:space="preserve"> </w:t>
      </w:r>
      <w:r w:rsidR="00523AC9" w:rsidRPr="00523AC9">
        <w:t xml:space="preserve">– equivalent to a 10% increase in HC </w:t>
      </w:r>
      <w:r w:rsidR="00523AC9">
        <w:t xml:space="preserve">expenditure per capita </w:t>
      </w:r>
      <w:r w:rsidR="00523AC9" w:rsidRPr="00523AC9">
        <w:t>for the average local authority –</w:t>
      </w:r>
      <w:r w:rsidR="00BE57FB">
        <w:t xml:space="preserve"> can decrease the use of LTC services </w:t>
      </w:r>
      <w:r w:rsidR="0019703E">
        <w:t>producing</w:t>
      </w:r>
      <w:r w:rsidR="00BE57FB">
        <w:t xml:space="preserve"> around £7.8m of savings. These can generate mortality effects if invested in services </w:t>
      </w:r>
      <w:r w:rsidR="0019703E">
        <w:t xml:space="preserve">having an </w:t>
      </w:r>
      <w:r w:rsidR="00BE57FB">
        <w:t>impact</w:t>
      </w:r>
      <w:r w:rsidR="0019703E">
        <w:t xml:space="preserve"> on </w:t>
      </w:r>
      <w:r w:rsidR="00BE57FB">
        <w:t>mortality</w:t>
      </w:r>
      <w:r w:rsidR="00FD2709">
        <w:t>.</w:t>
      </w:r>
    </w:p>
    <w:p w14:paraId="1ECA417C" w14:textId="1772F905" w:rsidR="000D600E" w:rsidRPr="002A4884" w:rsidRDefault="000D600E" w:rsidP="00BE184C">
      <w:r w:rsidRPr="002A4884">
        <w:t xml:space="preserve">Key words: </w:t>
      </w:r>
      <w:r w:rsidR="008952DD">
        <w:t>marginal productivity,</w:t>
      </w:r>
      <w:r w:rsidR="00F1133C">
        <w:t xml:space="preserve"> mortality,</w:t>
      </w:r>
      <w:r w:rsidR="00CE09E0">
        <w:t xml:space="preserve"> expenditure,</w:t>
      </w:r>
      <w:r w:rsidR="008952DD">
        <w:t xml:space="preserve"> interactions, long-term care, health care</w:t>
      </w:r>
    </w:p>
    <w:p w14:paraId="5CFDEBC9" w14:textId="02A5D2B9" w:rsidR="000D600E" w:rsidRPr="002A4884" w:rsidRDefault="000D600E" w:rsidP="00BE184C">
      <w:r w:rsidRPr="002A4884">
        <w:t xml:space="preserve">JEL </w:t>
      </w:r>
      <w:r w:rsidR="00F1133C">
        <w:rPr>
          <w:bCs/>
        </w:rPr>
        <w:t>classification</w:t>
      </w:r>
      <w:r w:rsidRPr="002A4884">
        <w:t xml:space="preserve">: </w:t>
      </w:r>
      <w:r w:rsidR="00F1133C">
        <w:t xml:space="preserve">H51, H53, </w:t>
      </w:r>
      <w:r w:rsidR="002F0DBD">
        <w:t xml:space="preserve">I18, </w:t>
      </w:r>
      <w:r w:rsidR="00F1133C">
        <w:t>I38</w:t>
      </w:r>
    </w:p>
    <w:p w14:paraId="5C87D977" w14:textId="327D4802" w:rsidR="00BE184C" w:rsidRPr="002A4884" w:rsidRDefault="00BE184C" w:rsidP="00BE184C">
      <w:r w:rsidRPr="002A4884">
        <w:t>Abstract word</w:t>
      </w:r>
      <w:r w:rsidR="005069D7" w:rsidRPr="002A4884">
        <w:t xml:space="preserve"> count</w:t>
      </w:r>
      <w:r w:rsidRPr="002A4884">
        <w:t>:</w:t>
      </w:r>
      <w:r w:rsidR="005069D7" w:rsidRPr="002A4884">
        <w:t xml:space="preserve"> </w:t>
      </w:r>
      <w:r w:rsidR="009E25BF">
        <w:t>210</w:t>
      </w:r>
    </w:p>
    <w:p w14:paraId="2F874A59" w14:textId="2DB20CA8" w:rsidR="00BE184C" w:rsidRPr="002A4884" w:rsidRDefault="005069D7" w:rsidP="00BE184C">
      <w:r w:rsidRPr="002A4884">
        <w:t>W</w:t>
      </w:r>
      <w:r w:rsidR="00BE184C" w:rsidRPr="002A4884">
        <w:t>ord</w:t>
      </w:r>
      <w:r w:rsidRPr="002A4884">
        <w:t xml:space="preserve"> count</w:t>
      </w:r>
      <w:r w:rsidR="00BE184C" w:rsidRPr="002A4884">
        <w:t>:</w:t>
      </w:r>
      <w:r w:rsidRPr="002A4884">
        <w:t xml:space="preserve"> </w:t>
      </w:r>
      <w:r w:rsidR="009E25BF">
        <w:t>10</w:t>
      </w:r>
      <w:r w:rsidR="008F1794">
        <w:t>,</w:t>
      </w:r>
      <w:r w:rsidR="009E25BF">
        <w:t>38</w:t>
      </w:r>
      <w:bookmarkStart w:id="0" w:name="_GoBack"/>
      <w:bookmarkEnd w:id="0"/>
      <w:r w:rsidR="004E177A">
        <w:t>7</w:t>
      </w:r>
    </w:p>
    <w:p w14:paraId="1D0DF4D0" w14:textId="4F8AD674" w:rsidR="00A441CD" w:rsidRPr="002A4884" w:rsidRDefault="00111873" w:rsidP="00C72A0E">
      <w:pPr>
        <w:pStyle w:val="Heading1"/>
      </w:pPr>
      <w:bookmarkStart w:id="1" w:name="_Ref116042596"/>
      <w:r w:rsidRPr="002A4884">
        <w:t>Introduction</w:t>
      </w:r>
      <w:bookmarkEnd w:id="1"/>
    </w:p>
    <w:p w14:paraId="79E5D4D4" w14:textId="49CE7A16" w:rsidR="00BA1D6E" w:rsidRPr="002A4884" w:rsidRDefault="003A2208" w:rsidP="00442E47">
      <w:r w:rsidRPr="002A4884">
        <w:t xml:space="preserve">Public </w:t>
      </w:r>
      <w:r w:rsidR="00627BFF" w:rsidRPr="002A4884">
        <w:t xml:space="preserve">health care (HC) and </w:t>
      </w:r>
      <w:r w:rsidRPr="002A4884">
        <w:t xml:space="preserve">long-term care (LTC) systems </w:t>
      </w:r>
      <w:r w:rsidR="00627BFF" w:rsidRPr="002A4884">
        <w:t xml:space="preserve">co-exist </w:t>
      </w:r>
      <w:r w:rsidRPr="002A4884">
        <w:t xml:space="preserve">across </w:t>
      </w:r>
      <w:r w:rsidR="00627BFF" w:rsidRPr="002A4884">
        <w:t xml:space="preserve">several </w:t>
      </w:r>
      <w:r w:rsidR="00224CC4" w:rsidRPr="002A4884">
        <w:t xml:space="preserve">countries within the </w:t>
      </w:r>
      <w:r w:rsidRPr="002A4884">
        <w:t>Organisation for Economic Co-operation and Development (OECD)</w:t>
      </w:r>
      <w:r w:rsidR="00627BFF" w:rsidRPr="002A4884">
        <w:t xml:space="preserve">. </w:t>
      </w:r>
      <w:r w:rsidR="007C73A7" w:rsidRPr="002A4884">
        <w:t>In these countries, p</w:t>
      </w:r>
      <w:r w:rsidR="00627BFF" w:rsidRPr="002A4884">
        <w:t xml:space="preserve">ublic </w:t>
      </w:r>
      <w:r w:rsidR="00B94D41" w:rsidRPr="002A4884">
        <w:t xml:space="preserve">HC and LTC </w:t>
      </w:r>
      <w:r w:rsidR="00171FD7" w:rsidRPr="002A4884">
        <w:t xml:space="preserve">expenditure (simply HC and LTC expenditure from now on) </w:t>
      </w:r>
      <w:r w:rsidR="00627BFF" w:rsidRPr="002A4884">
        <w:t xml:space="preserve">is </w:t>
      </w:r>
      <w:r w:rsidR="007C73A7" w:rsidRPr="002A4884">
        <w:t>substantial</w:t>
      </w:r>
      <w:r w:rsidR="00154D97">
        <w:t xml:space="preserve"> </w:t>
      </w:r>
      <w:r w:rsidR="00154D97">
        <w:fldChar w:fldCharType="begin"/>
      </w:r>
      <w:r w:rsidR="00157743">
        <w:instrText xml:space="preserve"> ADDIN EN.CITE &lt;EndNote&gt;&lt;Cite&gt;&lt;Author&gt;Barczyk&lt;/Author&gt;&lt;Year&gt;2019&lt;/Year&gt;&lt;RecNum&gt;560&lt;/RecNum&gt;&lt;DisplayText&gt;(French and Kelly, 2016, Barczyk and Kredler, 2019)&lt;/DisplayText&gt;&lt;record&gt;&lt;rec-number&gt;560&lt;/rec-number&gt;&lt;foreign-keys&gt;&lt;key app="EN" db-id="r920as25hw5rrve2fa8psvr8e0dxvzxa200s" timestamp="1645628909" guid="b6ffdaaa-ce64-491e-be4b-44dc25484aa7"&gt;560&lt;/key&gt;&lt;/foreign-keys&gt;&lt;ref-type name="Journal Article"&gt;17&lt;/ref-type&gt;&lt;contributors&gt;&lt;authors&gt;&lt;author&gt;Barczyk, Daniel&lt;/author&gt;&lt;author&gt;Kredler, Matthias&lt;/author&gt;&lt;/authors&gt;&lt;/contributors&gt;&lt;titles&gt;&lt;title&gt;Long‐Term Care Across Europe and the United States: The Role of Informal and Formal Care&lt;/title&gt;&lt;secondary-title&gt;Fiscal Studies&lt;/secondary-title&gt;&lt;/titles&gt;&lt;periodical&gt;&lt;full-title&gt;Fiscal Studies&lt;/full-title&gt;&lt;/periodical&gt;&lt;pages&gt;329-373&lt;/pages&gt;&lt;volume&gt;40&lt;/volume&gt;&lt;number&gt;3&lt;/number&gt;&lt;dates&gt;&lt;year&gt;2019&lt;/year&gt;&lt;/dates&gt;&lt;isbn&gt;0143-5671&lt;/isbn&gt;&lt;urls&gt;&lt;/urls&gt;&lt;/record&gt;&lt;/Cite&gt;&lt;Cite&gt;&lt;Author&gt;French&lt;/Author&gt;&lt;Year&gt;2016&lt;/Year&gt;&lt;RecNum&gt;561&lt;/RecNum&gt;&lt;record&gt;&lt;rec-number&gt;561&lt;/rec-number&gt;&lt;foreign-keys&gt;&lt;key app="EN" db-id="r920as25hw5rrve2fa8psvr8e0dxvzxa200s" timestamp="1645629181" guid="38bd4d07-cd16-4409-821e-d66205f5e0a6"&gt;561&lt;/key&gt;&lt;/foreign-keys&gt;&lt;ref-type name="Journal Article"&gt;17&lt;/ref-type&gt;&lt;contributors&gt;&lt;authors&gt;&lt;author&gt;French, Eric&lt;/author&gt;&lt;author&gt;Kelly, Elaine&lt;/author&gt;&lt;/authors&gt;&lt;/contributors&gt;&lt;titles&gt;&lt;title&gt;Medical spending around the developed world&lt;/title&gt;&lt;secondary-title&gt;Fiscal Studies&lt;/secondary-title&gt;&lt;/titles&gt;&lt;periodical&gt;&lt;full-title&gt;Fiscal Studies&lt;/full-title&gt;&lt;/periodical&gt;&lt;pages&gt;327-344&lt;/pages&gt;&lt;volume&gt;37&lt;/volume&gt;&lt;number&gt;3-4&lt;/number&gt;&lt;dates&gt;&lt;year&gt;2016&lt;/year&gt;&lt;/dates&gt;&lt;isbn&gt;0143-5671&lt;/isbn&gt;&lt;urls&gt;&lt;/urls&gt;&lt;/record&gt;&lt;/Cite&gt;&lt;/EndNote&gt;</w:instrText>
      </w:r>
      <w:r w:rsidR="00154D97">
        <w:fldChar w:fldCharType="separate"/>
      </w:r>
      <w:r w:rsidR="00154D97">
        <w:rPr>
          <w:noProof/>
        </w:rPr>
        <w:t>(French and Kelly, 2016, Barczyk and Kredler, 2019)</w:t>
      </w:r>
      <w:r w:rsidR="00154D97">
        <w:fldChar w:fldCharType="end"/>
      </w:r>
      <w:r w:rsidR="00171FD7" w:rsidRPr="002A4884">
        <w:t>.</w:t>
      </w:r>
      <w:r w:rsidR="00B94D41" w:rsidRPr="002A4884">
        <w:t xml:space="preserve"> </w:t>
      </w:r>
      <w:r w:rsidR="00171FD7" w:rsidRPr="002A4884">
        <w:t>W</w:t>
      </w:r>
      <w:r w:rsidR="00EE1256" w:rsidRPr="002A4884">
        <w:t xml:space="preserve">ith </w:t>
      </w:r>
      <w:r w:rsidR="00F8037D" w:rsidRPr="002A4884">
        <w:t xml:space="preserve">increasing funding constraints and </w:t>
      </w:r>
      <w:r w:rsidR="00EE1256" w:rsidRPr="002A4884">
        <w:t>a rapidly aging population,</w:t>
      </w:r>
      <w:r w:rsidR="00F52AB3" w:rsidRPr="002A4884">
        <w:t xml:space="preserve"> </w:t>
      </w:r>
      <w:r w:rsidR="00EE1256" w:rsidRPr="002A4884">
        <w:t xml:space="preserve">the </w:t>
      </w:r>
      <w:r w:rsidR="00627BFF" w:rsidRPr="002A4884">
        <w:t xml:space="preserve">policy </w:t>
      </w:r>
      <w:r w:rsidR="00EE1256" w:rsidRPr="002A4884">
        <w:t xml:space="preserve">question of </w:t>
      </w:r>
      <w:r w:rsidR="00627BFF" w:rsidRPr="002A4884">
        <w:t xml:space="preserve">whether </w:t>
      </w:r>
      <w:r w:rsidR="007C73A7" w:rsidRPr="002A4884">
        <w:t>the</w:t>
      </w:r>
      <w:r w:rsidR="00B94D41" w:rsidRPr="002A4884">
        <w:t xml:space="preserve">se systems </w:t>
      </w:r>
      <w:r w:rsidR="007C73A7" w:rsidRPr="002A4884">
        <w:t xml:space="preserve">are </w:t>
      </w:r>
      <w:r w:rsidR="00B94D41" w:rsidRPr="002A4884">
        <w:t xml:space="preserve">financially </w:t>
      </w:r>
      <w:r w:rsidR="007C73A7" w:rsidRPr="002A4884">
        <w:t xml:space="preserve">sustainable </w:t>
      </w:r>
      <w:r w:rsidR="00EE1256" w:rsidRPr="002A4884">
        <w:t xml:space="preserve">is even more crucial </w:t>
      </w:r>
      <w:r w:rsidR="00B94D41" w:rsidRPr="002A4884">
        <w:fldChar w:fldCharType="begin"/>
      </w:r>
      <w:r w:rsidR="00E5182F">
        <w:instrText xml:space="preserve"> ADDIN EN.CITE &lt;EndNote&gt;&lt;Cite&gt;&lt;Author&gt;OECD&lt;/Author&gt;&lt;Year&gt;2020&lt;/Year&gt;&lt;RecNum&gt;110&lt;/RecNum&gt;&lt;DisplayText&gt;(OECD, 2020)&lt;/DisplayText&gt;&lt;record&gt;&lt;rec-number&gt;110&lt;/rec-number&gt;&lt;foreign-keys&gt;&lt;key app="EN" db-id="r920as25hw5rrve2fa8psvr8e0dxvzxa200s" timestamp="1607688634" guid="1162d847-308d-4991-a574-dcc136c5540b"&gt;110&lt;/key&gt;&lt;/foreign-keys&gt;&lt;ref-type name="Report"&gt;27&lt;/ref-type&gt;&lt;contributors&gt;&lt;authors&gt;&lt;author&gt;OECD,&lt;/author&gt;&lt;/authors&gt;&lt;/contributors&gt;&lt;titles&gt;&lt;title&gt;Long-term Care and Health Care Insurance in OECD and Other Countries&lt;/title&gt;&lt;/titles&gt;&lt;dates&gt;&lt;year&gt;2020&lt;/year&gt;&lt;/dates&gt;&lt;pub-location&gt;Paris&lt;/pub-location&gt;&lt;publisher&gt;OECD Publishing&lt;/publisher&gt;&lt;urls&gt;&lt;/urls&gt;&lt;/record&gt;&lt;/Cite&gt;&lt;/EndNote&gt;</w:instrText>
      </w:r>
      <w:r w:rsidR="00B94D41" w:rsidRPr="002A4884">
        <w:fldChar w:fldCharType="separate"/>
      </w:r>
      <w:r w:rsidR="00B94D41" w:rsidRPr="002A4884">
        <w:rPr>
          <w:noProof/>
        </w:rPr>
        <w:t>(OECD, 2020)</w:t>
      </w:r>
      <w:r w:rsidR="00B94D41" w:rsidRPr="002A4884">
        <w:fldChar w:fldCharType="end"/>
      </w:r>
      <w:r w:rsidR="007C73A7" w:rsidRPr="002A4884">
        <w:t xml:space="preserve">. </w:t>
      </w:r>
      <w:r w:rsidR="00723D51" w:rsidRPr="002A4884">
        <w:t xml:space="preserve">Responses to these challenges </w:t>
      </w:r>
      <w:r w:rsidR="00755E1A" w:rsidRPr="002A4884">
        <w:t xml:space="preserve">in </w:t>
      </w:r>
      <w:r w:rsidR="00B47EFE" w:rsidRPr="002A4884">
        <w:t xml:space="preserve">the HC sector </w:t>
      </w:r>
      <w:r w:rsidR="00723D51" w:rsidRPr="002A4884">
        <w:t xml:space="preserve">varied across </w:t>
      </w:r>
      <w:r w:rsidR="003618DA" w:rsidRPr="002A4884">
        <w:t xml:space="preserve">countries </w:t>
      </w:r>
      <w:r w:rsidR="003E1218" w:rsidRPr="002A4884">
        <w:t>with s</w:t>
      </w:r>
      <w:r w:rsidR="00723D51" w:rsidRPr="002A4884">
        <w:t>ome countries allowing HC expenditure to increase and others implementing cost containment measures</w:t>
      </w:r>
      <w:r w:rsidR="003E1218" w:rsidRPr="002A4884">
        <w:t xml:space="preserve"> </w:t>
      </w:r>
      <w:r w:rsidR="00723D51" w:rsidRPr="002A4884">
        <w:fldChar w:fldCharType="begin"/>
      </w:r>
      <w:r w:rsidR="00F472F8">
        <w:instrText xml:space="preserve"> ADDIN EN.CITE &lt;EndNote&gt;&lt;Cite&gt;&lt;Author&gt;Reeves&lt;/Author&gt;&lt;Year&gt;2014&lt;/Year&gt;&lt;RecNum&gt;137&lt;/RecNum&gt;&lt;DisplayText&gt;(Reeves et al., 2014)&lt;/DisplayText&gt;&lt;record&gt;&lt;rec-number&gt;137&lt;/rec-number&gt;&lt;foreign-keys&gt;&lt;key app="EN" db-id="r920as25hw5rrve2fa8psvr8e0dxvzxa200s" timestamp="1607688634" guid="ce5e488a-9dd3-491d-9e5d-4f9453556452"&gt;137&lt;/key&gt;&lt;/foreign-keys&gt;&lt;ref-type name="Journal Article"&gt;17&lt;/ref-type&gt;&lt;contributors&gt;&lt;authors&gt;&lt;author&gt;Reeves, Aaron&lt;/author&gt;&lt;author&gt;McKee, Martin&lt;/author&gt;&lt;author&gt;Basu, Sanjay&lt;/author&gt;&lt;author&gt;Stuckler, David&lt;/author&gt;&lt;/authors&gt;&lt;/contributors&gt;&lt;titles&gt;&lt;title&gt;The political economy of austerity and healthcare: Cross-national analysis of expenditure changes in 27 European nations 1995–2011&lt;/title&gt;&lt;secondary-title&gt;Health policy&lt;/secondary-title&gt;&lt;/titles&gt;&lt;periodical&gt;&lt;full-title&gt;Health policy&lt;/full-title&gt;&lt;/periodical&gt;&lt;pages&gt;1-8&lt;/pages&gt;&lt;volume&gt;115&lt;/volume&gt;&lt;number&gt;1&lt;/number&gt;&lt;dates&gt;&lt;year&gt;2014&lt;/year&gt;&lt;/dates&gt;&lt;isbn&gt;0168-8510&lt;/isbn&gt;&lt;urls&gt;&lt;/urls&gt;&lt;/record&gt;&lt;/Cite&gt;&lt;/EndNote&gt;</w:instrText>
      </w:r>
      <w:r w:rsidR="00723D51" w:rsidRPr="002A4884">
        <w:fldChar w:fldCharType="separate"/>
      </w:r>
      <w:r w:rsidR="00723D51" w:rsidRPr="002A4884">
        <w:rPr>
          <w:noProof/>
        </w:rPr>
        <w:t>(Reeves et al., 2014)</w:t>
      </w:r>
      <w:r w:rsidR="00723D51" w:rsidRPr="002A4884">
        <w:fldChar w:fldCharType="end"/>
      </w:r>
      <w:r w:rsidR="00723D51" w:rsidRPr="002A4884">
        <w:t xml:space="preserve">. </w:t>
      </w:r>
      <w:r w:rsidR="007C1771">
        <w:t>However</w:t>
      </w:r>
      <w:r w:rsidR="00B47EFE" w:rsidRPr="002A4884">
        <w:t>, t</w:t>
      </w:r>
      <w:r w:rsidR="0010414C" w:rsidRPr="002A4884">
        <w:t xml:space="preserve">he response </w:t>
      </w:r>
      <w:r w:rsidR="00755E1A" w:rsidRPr="002A4884">
        <w:t xml:space="preserve">in </w:t>
      </w:r>
      <w:r w:rsidR="0010414C" w:rsidRPr="002A4884">
        <w:t xml:space="preserve">the LTC sector </w:t>
      </w:r>
      <w:r w:rsidR="00755E1A" w:rsidRPr="002A4884">
        <w:t xml:space="preserve">of </w:t>
      </w:r>
      <w:r w:rsidR="00B47EFE" w:rsidRPr="002A4884">
        <w:t xml:space="preserve">several countries </w:t>
      </w:r>
      <w:r w:rsidR="0010414C" w:rsidRPr="002A4884">
        <w:t xml:space="preserve">was </w:t>
      </w:r>
      <w:r w:rsidR="007C1771">
        <w:t xml:space="preserve">less varied: </w:t>
      </w:r>
      <w:r w:rsidR="0010414C" w:rsidRPr="002A4884">
        <w:t xml:space="preserve">to reduce amount of user services and financial remuneration to LTC providers </w:t>
      </w:r>
      <w:r w:rsidR="0010414C" w:rsidRPr="002A4884">
        <w:fldChar w:fldCharType="begin"/>
      </w:r>
      <w:r w:rsidR="00F472F8">
        <w:instrText xml:space="preserve"> ADDIN EN.CITE &lt;EndNote&gt;&lt;Cite&gt;&lt;Author&gt;Joshua&lt;/Author&gt;&lt;Year&gt;2017&lt;/Year&gt;&lt;RecNum&gt;51&lt;/RecNum&gt;&lt;DisplayText&gt;(Joshua, 2017)&lt;/DisplayText&gt;&lt;record&gt;&lt;rec-number&gt;51&lt;/rec-number&gt;&lt;foreign-keys&gt;&lt;key app="EN" db-id="r920as25hw5rrve2fa8psvr8e0dxvzxa200s" timestamp="1571666078" guid="e0f133e3-6c63-4822-8ca0-b3b3ae285dc4"&gt;51&lt;/key&gt;&lt;/foreign-keys&gt;&lt;ref-type name="Report"&gt;27&lt;/ref-type&gt;&lt;contributors&gt;&lt;authors&gt;&lt;author&gt;Joshua, Laurie&lt;/author&gt;&lt;/authors&gt;&lt;/contributors&gt;&lt;titles&gt;&lt;title&gt;Aging and Long Term Care Systems: A Review of Finance and Governance Arrangements in Europe, North America and Asia-Pacific&lt;/title&gt;&lt;/titles&gt;&lt;dates&gt;&lt;year&gt;2017&lt;/year&gt;&lt;/dates&gt;&lt;pub-location&gt;Discussion Paper. Vol.  1705. Washington, DC&lt;/pub-location&gt;&lt;publisher&gt;The World Bank&lt;/publisher&gt;&lt;urls&gt;&lt;/urls&gt;&lt;/record&gt;&lt;/Cite&gt;&lt;/EndNote&gt;</w:instrText>
      </w:r>
      <w:r w:rsidR="0010414C" w:rsidRPr="002A4884">
        <w:fldChar w:fldCharType="separate"/>
      </w:r>
      <w:r w:rsidR="0010414C" w:rsidRPr="002A4884">
        <w:rPr>
          <w:noProof/>
        </w:rPr>
        <w:t>(Joshua, 2017)</w:t>
      </w:r>
      <w:r w:rsidR="0010414C" w:rsidRPr="002A4884">
        <w:fldChar w:fldCharType="end"/>
      </w:r>
      <w:r w:rsidR="0010414C" w:rsidRPr="002A4884">
        <w:t>.</w:t>
      </w:r>
      <w:r w:rsidR="003618DA" w:rsidRPr="002A4884">
        <w:t xml:space="preserve"> For example, in the UK</w:t>
      </w:r>
      <w:r w:rsidR="00220FA6" w:rsidRPr="002A4884">
        <w:t xml:space="preserve"> </w:t>
      </w:r>
      <w:r w:rsidR="00220FA6" w:rsidRPr="002A4884">
        <w:lastRenderedPageBreak/>
        <w:t>between 2010 and 2014</w:t>
      </w:r>
      <w:r w:rsidR="003618DA" w:rsidRPr="002A4884">
        <w:t xml:space="preserve">, </w:t>
      </w:r>
      <w:r w:rsidR="002D74FC" w:rsidRPr="002A4884">
        <w:t xml:space="preserve">the annual growth of HC expenditure in real terms </w:t>
      </w:r>
      <w:r w:rsidR="00755E1A" w:rsidRPr="002A4884">
        <w:t xml:space="preserve">was still positive and equal to </w:t>
      </w:r>
      <w:r w:rsidR="002D74FC" w:rsidRPr="002A4884">
        <w:t>1.3%</w:t>
      </w:r>
      <w:r w:rsidR="00755E1A" w:rsidRPr="002A4884">
        <w:t xml:space="preserve">, although it decreased compared to </w:t>
      </w:r>
      <w:r w:rsidR="0010414C" w:rsidRPr="002A4884">
        <w:t>a historical annual growth of 4%</w:t>
      </w:r>
      <w:r w:rsidR="00325033" w:rsidRPr="002A4884">
        <w:t xml:space="preserve"> </w:t>
      </w:r>
      <w:r w:rsidR="00325033" w:rsidRPr="002A4884">
        <w:fldChar w:fldCharType="begin"/>
      </w:r>
      <w:r w:rsidR="00F472F8">
        <w:instrText xml:space="preserve"> ADDIN EN.CITE &lt;EndNote&gt;&lt;Cite&gt;&lt;Author&gt;NHS England&lt;/Author&gt;&lt;Year&gt;2014&lt;/Year&gt;&lt;RecNum&gt;138&lt;/RecNum&gt;&lt;DisplayText&gt;(NHS England, 2014b)&lt;/DisplayText&gt;&lt;record&gt;&lt;rec-number&gt;138&lt;/rec-number&gt;&lt;foreign-keys&gt;&lt;key app="EN" db-id="r920as25hw5rrve2fa8psvr8e0dxvzxa200s" timestamp="1607688634" guid="0d5f1a86-cb8d-4e4d-9b14-249e54ece6da"&gt;138&lt;/key&gt;&lt;/foreign-keys&gt;&lt;ref-type name="Journal Article"&gt;17&lt;/ref-type&gt;&lt;contributors&gt;&lt;authors&gt;&lt;author&gt;NHS England,&lt;/author&gt;&lt;/authors&gt;&lt;/contributors&gt;&lt;titles&gt;&lt;title&gt;Five year forward view&lt;/title&gt;&lt;secondary-title&gt;Five Year Forward View&lt;/secondary-title&gt;&lt;/titles&gt;&lt;periodical&gt;&lt;full-title&gt;Five Year Forward View&lt;/full-title&gt;&lt;/periodical&gt;&lt;dates&gt;&lt;year&gt;2014&lt;/year&gt;&lt;/dates&gt;&lt;urls&gt;&lt;/urls&gt;&lt;/record&gt;&lt;/Cite&gt;&lt;/EndNote&gt;</w:instrText>
      </w:r>
      <w:r w:rsidR="00325033" w:rsidRPr="002A4884">
        <w:fldChar w:fldCharType="separate"/>
      </w:r>
      <w:r w:rsidR="00325033" w:rsidRPr="002A4884">
        <w:rPr>
          <w:noProof/>
        </w:rPr>
        <w:t>(NHS England, 2014b)</w:t>
      </w:r>
      <w:r w:rsidR="00325033" w:rsidRPr="002A4884">
        <w:fldChar w:fldCharType="end"/>
      </w:r>
      <w:r w:rsidR="0010414C" w:rsidRPr="002A4884">
        <w:t>.</w:t>
      </w:r>
      <w:r w:rsidR="002D74FC" w:rsidRPr="002A4884">
        <w:t xml:space="preserve"> </w:t>
      </w:r>
      <w:r w:rsidR="00220FA6" w:rsidRPr="002A4884">
        <w:t>In</w:t>
      </w:r>
      <w:r w:rsidR="00325033" w:rsidRPr="002A4884">
        <w:t xml:space="preserve"> the same period, h</w:t>
      </w:r>
      <w:r w:rsidR="0010414C" w:rsidRPr="002A4884">
        <w:t xml:space="preserve">owever, </w:t>
      </w:r>
      <w:r w:rsidR="00325033" w:rsidRPr="002A4884">
        <w:t xml:space="preserve">LTC expenditure decreased </w:t>
      </w:r>
      <w:r w:rsidR="00220FA6" w:rsidRPr="002A4884">
        <w:t xml:space="preserve">in real terms </w:t>
      </w:r>
      <w:r w:rsidR="00325033" w:rsidRPr="002A4884">
        <w:t xml:space="preserve">by 1.2% </w:t>
      </w:r>
      <w:r w:rsidR="00220FA6" w:rsidRPr="002A4884">
        <w:t>whereas</w:t>
      </w:r>
      <w:r w:rsidR="00325033" w:rsidRPr="002A4884">
        <w:t xml:space="preserve"> it increas</w:t>
      </w:r>
      <w:r w:rsidR="00755E1A" w:rsidRPr="002A4884">
        <w:t xml:space="preserve">ed </w:t>
      </w:r>
      <w:r w:rsidR="00325033" w:rsidRPr="002A4884">
        <w:t>on average</w:t>
      </w:r>
      <w:r w:rsidR="0064790E" w:rsidRPr="002A4884">
        <w:t xml:space="preserve"> every year </w:t>
      </w:r>
      <w:r w:rsidR="00325033" w:rsidRPr="002A4884">
        <w:t xml:space="preserve">by 3.2% in the previous decade </w:t>
      </w:r>
      <w:r w:rsidR="00325033" w:rsidRPr="002A4884">
        <w:fldChar w:fldCharType="begin"/>
      </w:r>
      <w:r w:rsidR="00F472F8">
        <w:instrText xml:space="preserve"> ADDIN EN.CITE &lt;EndNote&gt;&lt;Cite&gt;&lt;Author&gt;Watkins&lt;/Author&gt;&lt;Year&gt;2017&lt;/Year&gt;&lt;RecNum&gt;68&lt;/RecNum&gt;&lt;DisplayText&gt;(Watkins et al., 2017)&lt;/DisplayText&gt;&lt;record&gt;&lt;rec-number&gt;68&lt;/rec-number&gt;&lt;foreign-keys&gt;&lt;key app="EN" db-id="r920as25hw5rrve2fa8psvr8e0dxvzxa200s" timestamp="1572286170" guid="5ddea705-2d75-44dd-b958-e61e3cc34402"&gt;68&lt;/key&gt;&lt;/foreign-keys&gt;&lt;ref-type name="Journal Article"&gt;17&lt;/ref-type&gt;&lt;contributors&gt;&lt;authors&gt;&lt;author&gt;Watkins, Johnathan&lt;/author&gt;&lt;author&gt;Wulaningsih, Wahyu&lt;/author&gt;&lt;author&gt;Da Zhou, Charlie&lt;/author&gt;&lt;author&gt;Marshall, Dominic C&lt;/author&gt;&lt;author&gt;Sylianteng, Guia DC&lt;/author&gt;&lt;author&gt;Rosa, Phyllis G Dela&lt;/author&gt;&lt;author&gt;Miguel, Viveka A&lt;/author&gt;&lt;author&gt;Raine, Rosalind&lt;/author&gt;&lt;author&gt;King, Lawrence P&lt;/author&gt;&lt;author&gt;Maruthappu, Mahiben&lt;/author&gt;&lt;/authors&gt;&lt;/contributors&gt;&lt;titles&gt;&lt;title&gt;Effects of health and social care spending constraints on mortality in England: a time trend analysis&lt;/title&gt;&lt;secondary-title&gt;BMJ open&lt;/secondary-title&gt;&lt;/titles&gt;&lt;periodical&gt;&lt;full-title&gt;BMJ open&lt;/full-title&gt;&lt;/periodical&gt;&lt;pages&gt;e017722&lt;/pages&gt;&lt;volume&gt;7&lt;/volume&gt;&lt;number&gt;11&lt;/number&gt;&lt;dates&gt;&lt;year&gt;2017&lt;/year&gt;&lt;/dates&gt;&lt;isbn&gt;2044-6055&lt;/isbn&gt;&lt;urls&gt;&lt;/urls&gt;&lt;/record&gt;&lt;/Cite&gt;&lt;/EndNote&gt;</w:instrText>
      </w:r>
      <w:r w:rsidR="00325033" w:rsidRPr="002A4884">
        <w:fldChar w:fldCharType="separate"/>
      </w:r>
      <w:r w:rsidR="00325033" w:rsidRPr="002A4884">
        <w:rPr>
          <w:noProof/>
        </w:rPr>
        <w:t>(Watkins et al., 2017)</w:t>
      </w:r>
      <w:r w:rsidR="00325033" w:rsidRPr="002A4884">
        <w:fldChar w:fldCharType="end"/>
      </w:r>
      <w:r w:rsidR="00325033" w:rsidRPr="002A4884">
        <w:t>.</w:t>
      </w:r>
      <w:r w:rsidR="00BD1400">
        <w:t xml:space="preserve"> </w:t>
      </w:r>
      <w:r w:rsidR="00FA6D25">
        <w:t>I</w:t>
      </w:r>
      <w:r w:rsidR="00BD1400">
        <w:t xml:space="preserve">t is unclear whether </w:t>
      </w:r>
      <w:r w:rsidR="00FA6D25">
        <w:t xml:space="preserve">and how </w:t>
      </w:r>
      <w:r w:rsidR="00BD1400">
        <w:t xml:space="preserve">the greater focus on </w:t>
      </w:r>
      <w:r w:rsidR="00AA1EDA" w:rsidRPr="002A4884">
        <w:t xml:space="preserve">savings </w:t>
      </w:r>
      <w:r w:rsidR="003A2714">
        <w:t xml:space="preserve">in the LTC sector </w:t>
      </w:r>
      <w:r w:rsidR="00BD1400">
        <w:t>impact</w:t>
      </w:r>
      <w:r w:rsidR="00FA6D25">
        <w:t>ed</w:t>
      </w:r>
      <w:r w:rsidR="00BD1400">
        <w:t xml:space="preserve"> </w:t>
      </w:r>
      <w:r w:rsidR="007656CD">
        <w:t xml:space="preserve">outcomes </w:t>
      </w:r>
      <w:r w:rsidR="00F24724">
        <w:t xml:space="preserve">relevant to </w:t>
      </w:r>
      <w:r w:rsidR="00BD1400">
        <w:t xml:space="preserve">the HC sector because of the </w:t>
      </w:r>
      <w:r w:rsidR="00DC3CC2" w:rsidRPr="002A4884">
        <w:t xml:space="preserve">interactions </w:t>
      </w:r>
      <w:r w:rsidR="0064790E" w:rsidRPr="002A4884">
        <w:t xml:space="preserve">between </w:t>
      </w:r>
      <w:r w:rsidR="003A2714">
        <w:t xml:space="preserve">these two </w:t>
      </w:r>
      <w:r w:rsidR="00F22FD6">
        <w:t>sectors</w:t>
      </w:r>
      <w:r w:rsidR="00DC3CC2" w:rsidRPr="002A4884">
        <w:t>.</w:t>
      </w:r>
      <w:r w:rsidR="00D809E3">
        <w:t xml:space="preserve"> </w:t>
      </w:r>
      <w:r w:rsidR="00236C1B">
        <w:t>Therefore,</w:t>
      </w:r>
      <w:r w:rsidR="002E41D6">
        <w:t xml:space="preserve"> </w:t>
      </w:r>
      <w:r w:rsidR="00396F6C">
        <w:t xml:space="preserve">evidence </w:t>
      </w:r>
      <w:r w:rsidR="002B4D46">
        <w:t>on</w:t>
      </w:r>
      <w:r w:rsidR="00396F6C">
        <w:t xml:space="preserve"> </w:t>
      </w:r>
      <w:r w:rsidR="00236C1B">
        <w:t>these interactions</w:t>
      </w:r>
      <w:r w:rsidR="00D809E3">
        <w:t xml:space="preserve"> </w:t>
      </w:r>
      <w:r w:rsidR="00236C1B">
        <w:t xml:space="preserve">is </w:t>
      </w:r>
      <w:r w:rsidR="00D809E3">
        <w:t xml:space="preserve">of key policy relevance as it contributes to </w:t>
      </w:r>
      <w:r w:rsidR="00396F6C">
        <w:t xml:space="preserve">understanding </w:t>
      </w:r>
      <w:r w:rsidR="00D809E3">
        <w:t xml:space="preserve">the value of public resources </w:t>
      </w:r>
      <w:r w:rsidR="00396F6C">
        <w:t>and how they might be best allocated between these sectors</w:t>
      </w:r>
      <w:r w:rsidR="00D809E3">
        <w:t>.</w:t>
      </w:r>
    </w:p>
    <w:p w14:paraId="726CEEA4" w14:textId="314C616E" w:rsidR="007320B4" w:rsidRPr="002A4884" w:rsidRDefault="00AA1EDA" w:rsidP="00442E47">
      <w:r w:rsidRPr="002A4884">
        <w:t xml:space="preserve">The </w:t>
      </w:r>
      <w:r w:rsidR="00BB3CF3" w:rsidRPr="002A4884">
        <w:t xml:space="preserve">importance </w:t>
      </w:r>
      <w:r w:rsidRPr="002A4884">
        <w:t xml:space="preserve">of </w:t>
      </w:r>
      <w:r w:rsidR="004C7756" w:rsidRPr="002A4884">
        <w:t>i</w:t>
      </w:r>
      <w:r w:rsidR="009C0E53" w:rsidRPr="002A4884">
        <w:t>nteractions between HC and LTC ha</w:t>
      </w:r>
      <w:r w:rsidR="00BB3CF3" w:rsidRPr="002A4884">
        <w:t xml:space="preserve">s </w:t>
      </w:r>
      <w:r w:rsidR="000A7256" w:rsidRPr="002A4884">
        <w:t xml:space="preserve">now </w:t>
      </w:r>
      <w:r w:rsidR="009C5039" w:rsidRPr="002A4884">
        <w:t xml:space="preserve">been recognised to the point that </w:t>
      </w:r>
      <w:r w:rsidR="009C0E53" w:rsidRPr="002A4884">
        <w:t xml:space="preserve">some countries are </w:t>
      </w:r>
      <w:r w:rsidR="00A046D4" w:rsidRPr="002A4884">
        <w:t xml:space="preserve">moving towards </w:t>
      </w:r>
      <w:r w:rsidR="00FD4DA6" w:rsidRPr="002A4884">
        <w:t>financial</w:t>
      </w:r>
      <w:r w:rsidR="00554109" w:rsidRPr="002A4884">
        <w:t xml:space="preserve">ly and operationally </w:t>
      </w:r>
      <w:r w:rsidR="00FD4DA6" w:rsidRPr="002A4884">
        <w:t>integrat</w:t>
      </w:r>
      <w:r w:rsidR="00554109" w:rsidRPr="002A4884">
        <w:t xml:space="preserve">ed </w:t>
      </w:r>
      <w:r w:rsidR="00BA1D6E" w:rsidRPr="002A4884">
        <w:t xml:space="preserve">HC and LTC </w:t>
      </w:r>
      <w:r w:rsidR="00A046D4" w:rsidRPr="002A4884">
        <w:t>system</w:t>
      </w:r>
      <w:r w:rsidR="00170A4D" w:rsidRPr="002A4884">
        <w:t>s</w:t>
      </w:r>
      <w:r w:rsidR="00A046D4" w:rsidRPr="002A4884">
        <w:t xml:space="preserve"> </w:t>
      </w:r>
      <w:r w:rsidR="00554109" w:rsidRPr="002A4884">
        <w:fldChar w:fldCharType="begin"/>
      </w:r>
      <w:r w:rsidR="00F472F8">
        <w:instrText xml:space="preserve"> ADDIN EN.CITE &lt;EndNote&gt;&lt;Cite&gt;&lt;Author&gt;Baxter&lt;/Author&gt;&lt;Year&gt;2018&lt;/Year&gt;&lt;RecNum&gt;113&lt;/RecNum&gt;&lt;DisplayText&gt;(Mason et al., 2015, Baxter et al., 2018)&lt;/DisplayText&gt;&lt;record&gt;&lt;rec-number&gt;113&lt;/rec-number&gt;&lt;foreign-keys&gt;&lt;key app="EN" db-id="r920as25hw5rrve2fa8psvr8e0dxvzxa200s" timestamp="1607688634" guid="c8ab070f-254b-4977-bb45-87525e2add95"&gt;113&lt;/key&gt;&lt;/foreign-keys&gt;&lt;ref-type name="Journal Article"&gt;17&lt;/ref-type&gt;&lt;contributors&gt;&lt;authors&gt;&lt;author&gt;Baxter, Susan&lt;/author&gt;&lt;author&gt;Johnson, Maxine&lt;/author&gt;&lt;author&gt;Chambers, Duncan&lt;/author&gt;&lt;author&gt;Sutton, Anthea&lt;/author&gt;&lt;author&gt;Goyder, Elizabeth&lt;/author&gt;&lt;author&gt;Booth, Andrew&lt;/author&gt;&lt;/authors&gt;&lt;/contributors&gt;&lt;titles&gt;&lt;title&gt;The effects of integrated care: a systematic review of UK and international evidence&lt;/title&gt;&lt;secondary-title&gt;BMC health services research&lt;/secondary-title&gt;&lt;/titles&gt;&lt;periodical&gt;&lt;full-title&gt;BMC health services research&lt;/full-title&gt;&lt;/periodical&gt;&lt;pages&gt;1-13&lt;/pages&gt;&lt;volume&gt;18&lt;/volume&gt;&lt;number&gt;1&lt;/number&gt;&lt;dates&gt;&lt;year&gt;2018&lt;/year&gt;&lt;/dates&gt;&lt;isbn&gt;1472-6963&lt;/isbn&gt;&lt;urls&gt;&lt;/urls&gt;&lt;/record&gt;&lt;/Cite&gt;&lt;Cite&gt;&lt;Author&gt;Mason&lt;/Author&gt;&lt;Year&gt;2015&lt;/Year&gt;&lt;RecNum&gt;114&lt;/RecNum&gt;&lt;record&gt;&lt;rec-number&gt;114&lt;/rec-number&gt;&lt;foreign-keys&gt;&lt;key app="EN" db-id="r920as25hw5rrve2fa8psvr8e0dxvzxa200s" timestamp="1607688634" guid="7ca6497a-e348-41ff-8fd7-c5d1237db47c"&gt;114&lt;/key&gt;&lt;/foreign-keys&gt;&lt;ref-type name="Journal Article"&gt;17&lt;/ref-type&gt;&lt;contributors&gt;&lt;authors&gt;&lt;author&gt;Mason, Anne&lt;/author&gt;&lt;author&gt;Goddard, Maria&lt;/author&gt;&lt;author&gt;Weatherly, Helen&lt;/author&gt;&lt;author&gt;Chalkley, Martin&lt;/author&gt;&lt;/authors&gt;&lt;/contributors&gt;&lt;titles&gt;&lt;title&gt;Integrating funds for health and social care: an evidence review&lt;/title&gt;&lt;secondary-title&gt;Journal of health services research &amp;amp; policy&lt;/secondary-title&gt;&lt;/titles&gt;&lt;periodical&gt;&lt;full-title&gt;Journal of health services research &amp;amp; policy&lt;/full-title&gt;&lt;/periodical&gt;&lt;pages&gt;177-188&lt;/pages&gt;&lt;volume&gt;20&lt;/volume&gt;&lt;number&gt;3&lt;/number&gt;&lt;dates&gt;&lt;year&gt;2015&lt;/year&gt;&lt;/dates&gt;&lt;isbn&gt;1355-8196&lt;/isbn&gt;&lt;urls&gt;&lt;/urls&gt;&lt;/record&gt;&lt;/Cite&gt;&lt;/EndNote&gt;</w:instrText>
      </w:r>
      <w:r w:rsidR="00554109" w:rsidRPr="002A4884">
        <w:fldChar w:fldCharType="separate"/>
      </w:r>
      <w:r w:rsidR="00554109" w:rsidRPr="002A4884">
        <w:rPr>
          <w:noProof/>
        </w:rPr>
        <w:t>(Mason et al., 2015, Baxter et al., 2018)</w:t>
      </w:r>
      <w:r w:rsidR="00554109" w:rsidRPr="002A4884">
        <w:fldChar w:fldCharType="end"/>
      </w:r>
      <w:r w:rsidR="009C0E53" w:rsidRPr="002A4884">
        <w:t xml:space="preserve">. Interactions exist for reasons relating to both </w:t>
      </w:r>
      <w:r w:rsidR="00F5267A">
        <w:t xml:space="preserve">the </w:t>
      </w:r>
      <w:r w:rsidR="009C0E53" w:rsidRPr="002A4884">
        <w:t xml:space="preserve">demand </w:t>
      </w:r>
      <w:r w:rsidR="00F5267A">
        <w:t xml:space="preserve">for </w:t>
      </w:r>
      <w:r w:rsidR="009C0E53" w:rsidRPr="002A4884">
        <w:t xml:space="preserve">and supply of these services. </w:t>
      </w:r>
      <w:r w:rsidR="003F5B4F">
        <w:t>F</w:t>
      </w:r>
      <w:r w:rsidR="00554109" w:rsidRPr="002A4884">
        <w:t xml:space="preserve">or example, </w:t>
      </w:r>
      <w:r w:rsidR="00170A4D" w:rsidRPr="002A4884">
        <w:t xml:space="preserve">LTC users </w:t>
      </w:r>
      <w:r w:rsidR="00C94B33" w:rsidRPr="002A4884">
        <w:t xml:space="preserve">who receive support to better cope with their long-term conditions may </w:t>
      </w:r>
      <w:r w:rsidR="003F5B4F">
        <w:t xml:space="preserve">demand </w:t>
      </w:r>
      <w:r w:rsidR="00C94B33" w:rsidRPr="002A4884">
        <w:t xml:space="preserve">less </w:t>
      </w:r>
      <w:r w:rsidR="00170A4D" w:rsidRPr="002A4884">
        <w:t>HC services</w:t>
      </w:r>
      <w:r w:rsidR="00C94B33" w:rsidRPr="002A4884">
        <w:t>.</w:t>
      </w:r>
      <w:r w:rsidR="00170A4D" w:rsidRPr="002A4884">
        <w:t xml:space="preserve"> Similarly, </w:t>
      </w:r>
      <w:r w:rsidR="00C94B33" w:rsidRPr="002A4884">
        <w:t xml:space="preserve">HC </w:t>
      </w:r>
      <w:r w:rsidR="00170A4D" w:rsidRPr="002A4884">
        <w:t>patients receiving interventions which improve their mobility</w:t>
      </w:r>
      <w:r w:rsidR="00554109" w:rsidRPr="002A4884">
        <w:t>,</w:t>
      </w:r>
      <w:r w:rsidR="00170A4D" w:rsidRPr="002A4884">
        <w:t xml:space="preserve"> such as hip replacement</w:t>
      </w:r>
      <w:r w:rsidR="00554109" w:rsidRPr="002A4884">
        <w:t>,</w:t>
      </w:r>
      <w:r w:rsidR="00170A4D" w:rsidRPr="002A4884">
        <w:t xml:space="preserve"> may demand less LTC support </w:t>
      </w:r>
      <w:r w:rsidR="00230720" w:rsidRPr="002A4884">
        <w:fldChar w:fldCharType="begin"/>
      </w:r>
      <w:r w:rsidR="00F472F8">
        <w:instrText xml:space="preserve"> ADDIN EN.CITE &lt;EndNote&gt;&lt;Cite&gt;&lt;Author&gt;Johri&lt;/Author&gt;&lt;Year&gt;2003&lt;/Year&gt;&lt;RecNum&gt;118&lt;/RecNum&gt;&lt;DisplayText&gt;(Johri et al., 2003, Wanless et al., 2006)&lt;/DisplayText&gt;&lt;record&gt;&lt;rec-number&gt;118&lt;/rec-number&gt;&lt;foreign-keys&gt;&lt;key app="EN" db-id="r920as25hw5rrve2fa8psvr8e0dxvzxa200s" timestamp="1607688634" guid="52dd9ba5-5341-4b96-958a-b1cf64a8648d"&gt;118&lt;/key&gt;&lt;/foreign-keys&gt;&lt;ref-type name="Journal Article"&gt;17&lt;/ref-type&gt;&lt;contributors&gt;&lt;authors&gt;&lt;author&gt;Johri, Mira&lt;/author&gt;&lt;author&gt;Beland, Francois&lt;/author&gt;&lt;author&gt;Bergman, Howard&lt;/author&gt;&lt;/authors&gt;&lt;/contributors&gt;&lt;titles&gt;&lt;title&gt;International experiments in integrated care for the elderly: a synthesis of the evidence&lt;/title&gt;&lt;secondary-title&gt;International journal of geriatric psychiatry&lt;/secondary-title&gt;&lt;/titles&gt;&lt;periodical&gt;&lt;full-title&gt;International journal of geriatric psychiatry&lt;/full-title&gt;&lt;/periodical&gt;&lt;pages&gt;222-235&lt;/pages&gt;&lt;volume&gt;18&lt;/volume&gt;&lt;number&gt;3&lt;/number&gt;&lt;dates&gt;&lt;year&gt;2003&lt;/year&gt;&lt;/dates&gt;&lt;isbn&gt;0885-6230&lt;/isbn&gt;&lt;urls&gt;&lt;/urls&gt;&lt;/record&gt;&lt;/Cite&gt;&lt;Cite&gt;&lt;Author&gt;Wanless&lt;/Author&gt;&lt;Year&gt;2006&lt;/Year&gt;&lt;RecNum&gt;117&lt;/RecNum&gt;&lt;record&gt;&lt;rec-number&gt;117&lt;/rec-number&gt;&lt;foreign-keys&gt;&lt;key app="EN" db-id="r920as25hw5rrve2fa8psvr8e0dxvzxa200s" timestamp="1607688634" guid="74135c8b-4243-43da-ac8b-68b6ac5fc4f3"&gt;117&lt;/key&gt;&lt;/foreign-keys&gt;&lt;ref-type name="Book"&gt;6&lt;/ref-type&gt;&lt;contributors&gt;&lt;authors&gt;&lt;author&gt;Wanless, Derek&lt;/author&gt;&lt;author&gt;Forder, Julien&lt;/author&gt;&lt;author&gt;Fernández, José-Luis&lt;/author&gt;&lt;author&gt;Poole, Teresa&lt;/author&gt;&lt;author&gt;Beesley, Lucinda&lt;/author&gt;&lt;author&gt;Henwood, Melanie&lt;/author&gt;&lt;author&gt;Moscone, Francesco&lt;/author&gt;&lt;/authors&gt;&lt;/contributors&gt;&lt;titles&gt;&lt;title&gt;Wanless social care review: securing good care for older people, taking a long-term view&lt;/title&gt;&lt;/titles&gt;&lt;dates&gt;&lt;year&gt;2006&lt;/year&gt;&lt;/dates&gt;&lt;publisher&gt;King&amp;apos;s Fund&lt;/publisher&gt;&lt;isbn&gt;1857175441&lt;/isbn&gt;&lt;urls&gt;&lt;/urls&gt;&lt;/record&gt;&lt;/Cite&gt;&lt;/EndNote&gt;</w:instrText>
      </w:r>
      <w:r w:rsidR="00230720" w:rsidRPr="002A4884">
        <w:fldChar w:fldCharType="separate"/>
      </w:r>
      <w:r w:rsidR="00230720" w:rsidRPr="002A4884">
        <w:rPr>
          <w:noProof/>
        </w:rPr>
        <w:t>(Johri et al., 2003, Wanless et al., 2006)</w:t>
      </w:r>
      <w:r w:rsidR="00230720" w:rsidRPr="002A4884">
        <w:fldChar w:fldCharType="end"/>
      </w:r>
      <w:r w:rsidR="00170A4D" w:rsidRPr="002A4884">
        <w:t xml:space="preserve">. </w:t>
      </w:r>
      <w:r w:rsidR="003F5B4F">
        <w:t xml:space="preserve">On </w:t>
      </w:r>
      <w:r w:rsidR="00170A4D" w:rsidRPr="002A4884">
        <w:t>the supply side</w:t>
      </w:r>
      <w:r w:rsidR="007D3D84" w:rsidRPr="002A4884">
        <w:t xml:space="preserve">, </w:t>
      </w:r>
      <w:r w:rsidR="00170A4D" w:rsidRPr="002A4884">
        <w:t xml:space="preserve">hospitals </w:t>
      </w:r>
      <w:r w:rsidR="008F26DA" w:rsidRPr="002A4884">
        <w:t>may be a</w:t>
      </w:r>
      <w:r w:rsidR="003F5B4F">
        <w:t>ble</w:t>
      </w:r>
      <w:r w:rsidR="008F26DA" w:rsidRPr="002A4884">
        <w:t xml:space="preserve"> </w:t>
      </w:r>
      <w:r w:rsidR="00170A4D" w:rsidRPr="002A4884">
        <w:t xml:space="preserve">to discharge patients more </w:t>
      </w:r>
      <w:r w:rsidR="008F26DA" w:rsidRPr="002A4884">
        <w:t xml:space="preserve">quickly if </w:t>
      </w:r>
      <w:r w:rsidR="00FD00D8" w:rsidRPr="002A4884">
        <w:t xml:space="preserve">these </w:t>
      </w:r>
      <w:r w:rsidR="008F26DA" w:rsidRPr="002A4884">
        <w:t xml:space="preserve">can be referred to LTC services </w:t>
      </w:r>
      <w:r w:rsidR="003B11CA" w:rsidRPr="002A4884">
        <w:fldChar w:fldCharType="begin"/>
      </w:r>
      <w:r w:rsidR="00F472F8">
        <w:instrText xml:space="preserve"> ADDIN EN.CITE &lt;EndNote&gt;&lt;Cite&gt;&lt;Author&gt;Vetter&lt;/Author&gt;&lt;Year&gt;2003&lt;/Year&gt;&lt;RecNum&gt;115&lt;/RecNum&gt;&lt;DisplayText&gt;(Victor et al., 2000, Vetter, 2003)&lt;/DisplayText&gt;&lt;record&gt;&lt;rec-number&gt;115&lt;/rec-number&gt;&lt;foreign-keys&gt;&lt;key app="EN" db-id="r920as25hw5rrve2fa8psvr8e0dxvzxa200s" timestamp="1607688634" guid="1b4b7b44-29b8-4102-98ff-d6c0e3b0f642"&gt;115&lt;/key&gt;&lt;/foreign-keys&gt;&lt;ref-type name="Journal Article"&gt;17&lt;/ref-type&gt;&lt;contributors&gt;&lt;authors&gt;&lt;author&gt;Vetter, Norman&lt;/author&gt;&lt;/authors&gt;&lt;/contributors&gt;&lt;titles&gt;&lt;title&gt;Inappropriately delayed discharge from hospital: What do we know?&lt;/title&gt;&lt;secondary-title&gt;Bmj&lt;/secondary-title&gt;&lt;/titles&gt;&lt;periodical&gt;&lt;full-title&gt;Bmj&lt;/full-title&gt;&lt;/periodical&gt;&lt;pages&gt;927-928&lt;/pages&gt;&lt;volume&gt;326&lt;/volume&gt;&lt;number&gt;7395&lt;/number&gt;&lt;dates&gt;&lt;year&gt;2003&lt;/year&gt;&lt;/dates&gt;&lt;isbn&gt;0959-8138&lt;/isbn&gt;&lt;urls&gt;&lt;/urls&gt;&lt;/record&gt;&lt;/Cite&gt;&lt;Cite&gt;&lt;Author&gt;Victor&lt;/Author&gt;&lt;Year&gt;2000&lt;/Year&gt;&lt;RecNum&gt;116&lt;/RecNum&gt;&lt;record&gt;&lt;rec-number&gt;116&lt;/rec-number&gt;&lt;foreign-keys&gt;&lt;key app="EN" db-id="r920as25hw5rrve2fa8psvr8e0dxvzxa200s" timestamp="1607688634" guid="bf486a65-3a3f-4de7-a576-8294938d0757"&gt;116&lt;/key&gt;&lt;/foreign-keys&gt;&lt;ref-type name="Journal Article"&gt;17&lt;/ref-type&gt;&lt;contributors&gt;&lt;authors&gt;&lt;author&gt;Victor, Christina R&lt;/author&gt;&lt;author&gt;Healy, Judith&lt;/author&gt;&lt;author&gt;Thomas, Anna&lt;/author&gt;&lt;author&gt;Seargeant, John&lt;/author&gt;&lt;/authors&gt;&lt;/contributors&gt;&lt;titles&gt;&lt;title&gt;Older patients and delayed discharge from hospital&lt;/title&gt;&lt;secondary-title&gt;Health &amp;amp; social care in the community&lt;/secondary-title&gt;&lt;/titles&gt;&lt;periodical&gt;&lt;full-title&gt;Health &amp;amp; social care in the community&lt;/full-title&gt;&lt;/periodical&gt;&lt;pages&gt;443-452&lt;/pages&gt;&lt;volume&gt;8&lt;/volume&gt;&lt;number&gt;6&lt;/number&gt;&lt;dates&gt;&lt;year&gt;2000&lt;/year&gt;&lt;/dates&gt;&lt;isbn&gt;0966-0410&lt;/isbn&gt;&lt;urls&gt;&lt;/urls&gt;&lt;/record&gt;&lt;/Cite&gt;&lt;/EndNote&gt;</w:instrText>
      </w:r>
      <w:r w:rsidR="003B11CA" w:rsidRPr="002A4884">
        <w:fldChar w:fldCharType="separate"/>
      </w:r>
      <w:r w:rsidR="003B11CA" w:rsidRPr="002A4884">
        <w:rPr>
          <w:noProof/>
        </w:rPr>
        <w:t>(Victor et al., 2000, Vetter, 2003)</w:t>
      </w:r>
      <w:r w:rsidR="003B11CA" w:rsidRPr="002A4884">
        <w:fldChar w:fldCharType="end"/>
      </w:r>
      <w:r w:rsidR="008F26DA" w:rsidRPr="002A4884">
        <w:t>.</w:t>
      </w:r>
    </w:p>
    <w:p w14:paraId="6525191B" w14:textId="695CB260" w:rsidR="009F7A42" w:rsidRPr="002A4884" w:rsidRDefault="00D07BF3" w:rsidP="00CF0E8C">
      <w:r w:rsidRPr="002A4884">
        <w:t xml:space="preserve">The </w:t>
      </w:r>
      <w:r w:rsidR="00DE1097" w:rsidRPr="002A4884">
        <w:t xml:space="preserve">economic </w:t>
      </w:r>
      <w:r w:rsidRPr="002A4884">
        <w:t>literature on the interaction</w:t>
      </w:r>
      <w:r w:rsidR="00B85460" w:rsidRPr="002A4884">
        <w:t>s</w:t>
      </w:r>
      <w:r w:rsidRPr="002A4884">
        <w:t xml:space="preserve"> between HC and LTC is growing</w:t>
      </w:r>
      <w:r w:rsidR="00182F39">
        <w:t xml:space="preserve"> and has</w:t>
      </w:r>
      <w:r w:rsidR="00E74FBB" w:rsidRPr="002A4884">
        <w:t xml:space="preserve"> focuse</w:t>
      </w:r>
      <w:r w:rsidR="00182F39">
        <w:t>d</w:t>
      </w:r>
      <w:r w:rsidR="00E74FBB" w:rsidRPr="002A4884">
        <w:t xml:space="preserve"> on </w:t>
      </w:r>
      <w:r w:rsidR="00F82377" w:rsidRPr="002A4884">
        <w:t>the effect of LTC services on hospital outcomes and the substitution between HC and LTC services</w:t>
      </w:r>
      <w:r w:rsidRPr="002A4884">
        <w:t>.</w:t>
      </w:r>
      <w:r w:rsidR="00582E9E" w:rsidRPr="002A4884">
        <w:t xml:space="preserve"> </w:t>
      </w:r>
      <w:r w:rsidR="00582E9E" w:rsidRPr="002A4884">
        <w:fldChar w:fldCharType="begin"/>
      </w:r>
      <w:r w:rsidR="00F472F8">
        <w:instrText xml:space="preserve"> ADDIN EN.CITE &lt;EndNote&gt;&lt;Cite AuthorYear="1"&gt;&lt;Author&gt;Fernandez&lt;/Author&gt;&lt;Year&gt;2008&lt;/Year&gt;&lt;RecNum&gt;60&lt;/RecNum&gt;&lt;DisplayText&gt;Fernandez and Forder (2008)&lt;/DisplayText&gt;&lt;record&gt;&lt;rec-number&gt;60&lt;/rec-number&gt;&lt;foreign-keys&gt;&lt;key app="EN" db-id="r920as25hw5rrve2fa8psvr8e0dxvzxa200s" timestamp="1572273625" guid="01647422-559a-41e0-8522-7e99fe83cae0"&gt;60&lt;/key&gt;&lt;/foreign-keys&gt;&lt;ref-type name="Journal Article"&gt;17&lt;/ref-type&gt;&lt;contributors&gt;&lt;authors&gt;&lt;author&gt;Fernandez, Jose-Luis&lt;/author&gt;&lt;author&gt;Forder, Julien&lt;/author&gt;&lt;/authors&gt;&lt;/contributors&gt;&lt;titles&gt;&lt;title&gt;Consequences of local variations in social care on the performance of the acute health care sector&lt;/title&gt;&lt;secondary-title&gt;Applied Economics&lt;/secondary-title&gt;&lt;/titles&gt;&lt;periodical&gt;&lt;full-title&gt;Applied Economics&lt;/full-title&gt;&lt;/periodical&gt;&lt;pages&gt;1503-1518&lt;/pages&gt;&lt;volume&gt;40&lt;/volume&gt;&lt;number&gt;12&lt;/number&gt;&lt;dates&gt;&lt;year&gt;2008&lt;/year&gt;&lt;/dates&gt;&lt;isbn&gt;0003-6846&lt;/isbn&gt;&lt;urls&gt;&lt;/urls&gt;&lt;/record&gt;&lt;/Cite&gt;&lt;/EndNote&gt;</w:instrText>
      </w:r>
      <w:r w:rsidR="00582E9E" w:rsidRPr="002A4884">
        <w:fldChar w:fldCharType="separate"/>
      </w:r>
      <w:r w:rsidR="00582E9E" w:rsidRPr="002A4884">
        <w:rPr>
          <w:noProof/>
        </w:rPr>
        <w:t>Fernandez and Forder (2008)</w:t>
      </w:r>
      <w:r w:rsidR="00582E9E" w:rsidRPr="002A4884">
        <w:fldChar w:fldCharType="end"/>
      </w:r>
      <w:r w:rsidR="004D3499" w:rsidRPr="002A4884">
        <w:t xml:space="preserve"> </w:t>
      </w:r>
      <w:r w:rsidR="00582E9E" w:rsidRPr="002A4884">
        <w:t xml:space="preserve">investigate </w:t>
      </w:r>
      <w:r w:rsidR="004D3499" w:rsidRPr="002A4884">
        <w:t xml:space="preserve">whether </w:t>
      </w:r>
      <w:r w:rsidR="00582E9E" w:rsidRPr="002A4884">
        <w:t>LTC services</w:t>
      </w:r>
      <w:r w:rsidR="002D6A83" w:rsidRPr="002A4884">
        <w:t xml:space="preserve"> for individuals over 65 </w:t>
      </w:r>
      <w:r w:rsidR="00D053BC" w:rsidRPr="002A4884">
        <w:t xml:space="preserve">in England </w:t>
      </w:r>
      <w:r w:rsidR="004D3499" w:rsidRPr="002A4884">
        <w:t xml:space="preserve">impact </w:t>
      </w:r>
      <w:r w:rsidR="00582E9E" w:rsidRPr="002A4884">
        <w:t xml:space="preserve">hospital performance </w:t>
      </w:r>
      <w:r w:rsidR="004D3499" w:rsidRPr="002A4884">
        <w:t xml:space="preserve">measured through </w:t>
      </w:r>
      <w:r w:rsidR="00582E9E" w:rsidRPr="002A4884">
        <w:t xml:space="preserve">discharges, emergency readmissions, </w:t>
      </w:r>
      <w:r w:rsidR="00C46FAB" w:rsidRPr="002A4884">
        <w:t>average length of stay</w:t>
      </w:r>
      <w:r w:rsidR="009C5039" w:rsidRPr="002A4884">
        <w:t xml:space="preserve"> (LOS)</w:t>
      </w:r>
      <w:r w:rsidR="00C46FAB" w:rsidRPr="002A4884">
        <w:t xml:space="preserve"> </w:t>
      </w:r>
      <w:r w:rsidR="00582E9E" w:rsidRPr="002A4884">
        <w:t>and</w:t>
      </w:r>
      <w:r w:rsidR="00C46FAB" w:rsidRPr="002A4884">
        <w:t xml:space="preserve"> delayed discharges</w:t>
      </w:r>
      <w:r w:rsidR="004D3499" w:rsidRPr="002A4884">
        <w:t>.</w:t>
      </w:r>
      <w:r w:rsidR="00C46FAB" w:rsidRPr="002A4884">
        <w:t xml:space="preserve"> </w:t>
      </w:r>
      <w:r w:rsidR="006866A3" w:rsidRPr="002A4884">
        <w:t xml:space="preserve">They </w:t>
      </w:r>
      <w:r w:rsidR="006204D9" w:rsidRPr="002A4884">
        <w:t>employ a</w:t>
      </w:r>
      <w:r w:rsidR="00DE1097" w:rsidRPr="002A4884">
        <w:t xml:space="preserve"> pooled cross-sectional </w:t>
      </w:r>
      <w:r w:rsidR="004E031B" w:rsidRPr="002A4884">
        <w:t xml:space="preserve">instrumental variable (IV) </w:t>
      </w:r>
      <w:r w:rsidR="006204D9" w:rsidRPr="002A4884">
        <w:t xml:space="preserve">approach </w:t>
      </w:r>
      <w:r w:rsidR="004E031B" w:rsidRPr="002A4884">
        <w:t xml:space="preserve">and </w:t>
      </w:r>
      <w:r w:rsidR="006866A3" w:rsidRPr="002A4884">
        <w:t xml:space="preserve">find consistent evidence that more </w:t>
      </w:r>
      <w:r w:rsidR="00DE1097" w:rsidRPr="002A4884">
        <w:t xml:space="preserve">LTC </w:t>
      </w:r>
      <w:r w:rsidR="006866A3" w:rsidRPr="002A4884">
        <w:t xml:space="preserve">services improve hospital performance. </w:t>
      </w:r>
      <w:r w:rsidR="00CF0E8C" w:rsidRPr="002A4884">
        <w:t xml:space="preserve">Other studies examine the effect of care home supply, measured through the number of beds, on hospital delayed discharges in England using panel data methods. Findings from these studies suggest that more care home beds reduce </w:t>
      </w:r>
      <w:r w:rsidR="00A47360" w:rsidRPr="002A4884">
        <w:t xml:space="preserve">average </w:t>
      </w:r>
      <w:r w:rsidR="00CF0E8C" w:rsidRPr="002A4884">
        <w:t xml:space="preserve">delayed discharges </w:t>
      </w:r>
      <w:r w:rsidR="00A47360" w:rsidRPr="002A4884">
        <w:t>across</w:t>
      </w:r>
      <w:r w:rsidR="00C30BAC">
        <w:t xml:space="preserve"> local authorities</w:t>
      </w:r>
      <w:r w:rsidR="00A47360" w:rsidRPr="002A4884">
        <w:t xml:space="preserve"> </w:t>
      </w:r>
      <w:r w:rsidR="00C30BAC">
        <w:t>(</w:t>
      </w:r>
      <w:r w:rsidR="00CF0E8C" w:rsidRPr="002A4884">
        <w:t>LA</w:t>
      </w:r>
      <w:r w:rsidR="00A47360" w:rsidRPr="002A4884">
        <w:t>s</w:t>
      </w:r>
      <w:r w:rsidR="00C30BAC">
        <w:t>)</w:t>
      </w:r>
      <w:r w:rsidR="00CF0E8C" w:rsidRPr="002A4884">
        <w:t xml:space="preserve"> </w:t>
      </w:r>
      <w:r w:rsidR="006D6CAB">
        <w:fldChar w:fldCharType="begin">
          <w:fldData xml:space="preserve">PEVuZE5vdGU+PENpdGU+PEF1dGhvcj5HYXVnaGFuPC9BdXRob3I+PFllYXI+MjAxNTwvWWVhcj48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</w:fldData>
        </w:fldChar>
      </w:r>
      <w:r w:rsidR="006D6CAB">
        <w:instrText xml:space="preserve"> ADDIN EN.CITE </w:instrText>
      </w:r>
      <w:r w:rsidR="006D6CAB">
        <w:fldChar w:fldCharType="begin">
          <w:fldData xml:space="preserve">PEVuZE5vdGU+PENpdGU+PEF1dGhvcj5HYXVnaGFuPC9BdXRob3I+PFllYXI+MjAxNTwvWWVhcj48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</w:fldData>
        </w:fldChar>
      </w:r>
      <w:r w:rsidR="006D6CAB">
        <w:instrText xml:space="preserve"> ADDIN EN.CITE.DATA </w:instrText>
      </w:r>
      <w:r w:rsidR="006D6CAB">
        <w:fldChar w:fldCharType="end"/>
      </w:r>
      <w:r w:rsidR="006D6CAB">
        <w:fldChar w:fldCharType="separate"/>
      </w:r>
      <w:r w:rsidR="006D6CAB">
        <w:rPr>
          <w:noProof/>
        </w:rPr>
        <w:t>(Gaughan et al., 2015, Gaughan et al., 2017b)</w:t>
      </w:r>
      <w:r w:rsidR="006D6CAB">
        <w:fldChar w:fldCharType="end"/>
      </w:r>
      <w:r w:rsidR="005142D9">
        <w:t xml:space="preserve">. </w:t>
      </w:r>
      <w:r w:rsidR="00796796">
        <w:t>T</w:t>
      </w:r>
      <w:r w:rsidR="005142D9">
        <w:t xml:space="preserve">hey also </w:t>
      </w:r>
      <w:r w:rsidR="00182F39">
        <w:t>find a</w:t>
      </w:r>
      <w:r w:rsidR="00A47360" w:rsidRPr="002A4884">
        <w:t xml:space="preserve"> reduc</w:t>
      </w:r>
      <w:r w:rsidR="005142D9">
        <w:t xml:space="preserve">tion in </w:t>
      </w:r>
      <w:r w:rsidR="00A47360" w:rsidRPr="002A4884">
        <w:t xml:space="preserve">delayed discharge </w:t>
      </w:r>
      <w:r w:rsidR="00182F39">
        <w:t>for</w:t>
      </w:r>
      <w:r w:rsidR="00CF0E8C" w:rsidRPr="002A4884">
        <w:t xml:space="preserve"> hip fracture </w:t>
      </w:r>
      <w:r w:rsidR="00A47360" w:rsidRPr="002A4884">
        <w:t xml:space="preserve">patients </w:t>
      </w:r>
      <w:r w:rsidR="00CF0E8C" w:rsidRPr="002A4884">
        <w:t xml:space="preserve">but not </w:t>
      </w:r>
      <w:r w:rsidR="00182F39">
        <w:t>for</w:t>
      </w:r>
      <w:r w:rsidR="00A47360" w:rsidRPr="002A4884">
        <w:t xml:space="preserve"> </w:t>
      </w:r>
      <w:r w:rsidR="00CF0E8C" w:rsidRPr="002A4884">
        <w:t xml:space="preserve">stroke patients </w:t>
      </w:r>
      <w:r w:rsidR="00CF0E8C" w:rsidRPr="002A4884">
        <w:fldChar w:fldCharType="begin"/>
      </w:r>
      <w:r w:rsidR="006D6CAB">
        <w:instrText xml:space="preserve"> ADDIN EN.CITE &lt;EndNote&gt;&lt;Cite&gt;&lt;Author&gt;Gaughan&lt;/Author&gt;&lt;Year&gt;2017&lt;/Year&gt;&lt;RecNum&gt;104&lt;/RecNum&gt;&lt;DisplayText&gt;(Gaughan et al., 2017a)&lt;/DisplayText&gt;&lt;record&gt;&lt;rec-number&gt;104&lt;/rec-number&gt;&lt;foreign-keys&gt;&lt;key app="EN" db-id="r920as25hw5rrve2fa8psvr8e0dxvzxa200s" timestamp="1607688634" guid="1c9dd417-6c5d-4de2-a03a-03eb2843b230"&gt;104&lt;/key&gt;&lt;/foreign-keys&gt;&lt;ref-type name="Journal Article"&gt;17&lt;/ref-type&gt;&lt;contributors&gt;&lt;authors&gt;&lt;author&gt;Gaughan, James&lt;/author&gt;&lt;author&gt;Gravelle, Hugh&lt;/author&gt;&lt;author&gt;Santos, Rita&lt;/author&gt;&lt;author&gt;Siciliani, Luigi&lt;/author&gt;&lt;/authors&gt;&lt;/contributors&gt;&lt;titles&gt;&lt;title&gt;Long-term care provision, hospital bed blocking, and discharge destination for hip fracture and stroke patients&lt;/title&gt;&lt;secondary-title&gt;International journal of health economics and management&lt;/secondary-title&gt;&lt;/titles&gt;&lt;periodical&gt;&lt;full-title&gt;International journal of health economics and management&lt;/full-title&gt;&lt;/periodical&gt;&lt;pages&gt;311-331&lt;/pages&gt;&lt;volume&gt;17&lt;/volume&gt;&lt;number&gt;3&lt;/number&gt;&lt;dates&gt;&lt;year&gt;2017&lt;/year&gt;&lt;/dates&gt;&lt;isbn&gt;2199-9023&lt;/isbn&gt;&lt;urls&gt;&lt;/urls&gt;&lt;/record&gt;&lt;/Cite&gt;&lt;/EndNote&gt;</w:instrText>
      </w:r>
      <w:r w:rsidR="00CF0E8C" w:rsidRPr="002A4884">
        <w:fldChar w:fldCharType="separate"/>
      </w:r>
      <w:r w:rsidR="006D6CAB">
        <w:rPr>
          <w:noProof/>
        </w:rPr>
        <w:t>(Gaughan et al., 2017a)</w:t>
      </w:r>
      <w:r w:rsidR="00CF0E8C" w:rsidRPr="002A4884">
        <w:fldChar w:fldCharType="end"/>
      </w:r>
      <w:r w:rsidR="00CF0E8C" w:rsidRPr="002A4884">
        <w:t>.</w:t>
      </w:r>
    </w:p>
    <w:p w14:paraId="618DB61B" w14:textId="24340DFA" w:rsidR="00475F08" w:rsidRPr="002A4884" w:rsidRDefault="007C1771" w:rsidP="00CF0E8C">
      <w:r>
        <w:t>S</w:t>
      </w:r>
      <w:r w:rsidR="0097157E">
        <w:t>ome studies explore the s</w:t>
      </w:r>
      <w:r w:rsidR="00CF0E8C" w:rsidRPr="002A4884">
        <w:t>ubstitution between HC and LTC services</w:t>
      </w:r>
      <w:r w:rsidR="0097157E">
        <w:t xml:space="preserve"> </w:t>
      </w:r>
      <w:r w:rsidR="00AB3D1A">
        <w:t xml:space="preserve">and </w:t>
      </w:r>
      <w:r w:rsidR="0097157E">
        <w:t>show mixed results.</w:t>
      </w:r>
      <w:r w:rsidR="00CF0E8C" w:rsidRPr="002A4884">
        <w:t xml:space="preserve"> </w:t>
      </w:r>
      <w:r w:rsidR="003C110E" w:rsidRPr="002A4884">
        <w:fldChar w:fldCharType="begin"/>
      </w:r>
      <w:r w:rsidR="00F472F8">
        <w:instrText xml:space="preserve"> ADDIN EN.CITE &lt;EndNote&gt;&lt;Cite AuthorYear="1"&gt;&lt;Author&gt;Forder&lt;/Author&gt;&lt;Year&gt;2009&lt;/Year&gt;&lt;RecNum&gt;57&lt;/RecNum&gt;&lt;DisplayText&gt;Forder (2009)&lt;/DisplayText&gt;&lt;record&gt;&lt;rec-number&gt;57&lt;/rec-number&gt;&lt;foreign-keys&gt;&lt;key app="EN" db-id="r920as25hw5rrve2fa8psvr8e0dxvzxa200s" timestamp="1572273535" guid="82cfcdef-a875-4c19-a058-1923dd6bc80c"&gt;57&lt;/key&gt;&lt;/foreign-keys&gt;&lt;ref-type name="Journal Article"&gt;17&lt;/ref-type&gt;&lt;contributors&gt;&lt;authors&gt;&lt;author&gt;Forder, Julien&lt;/author&gt;&lt;/authors&gt;&lt;/contributors&gt;&lt;titles&gt;&lt;title&gt;Long‐term care and hospital utilisation by older people: an analysis of substitution rates&lt;/title&gt;&lt;secondary-title&gt;Health Economics&lt;/secondary-title&gt;&lt;/titles&gt;&lt;periodical&gt;&lt;full-title&gt;Health economics&lt;/full-title&gt;&lt;/periodical&gt;&lt;pages&gt;1322-1338&lt;/pages&gt;&lt;volume&gt;18&lt;/volume&gt;&lt;number&gt;11&lt;/number&gt;&lt;dates&gt;&lt;year&gt;2009&lt;/year&gt;&lt;/dates&gt;&lt;isbn&gt;1057-9230&lt;/isbn&gt;&lt;urls&gt;&lt;/urls&gt;&lt;/record&gt;&lt;/Cite&gt;&lt;/EndNote&gt;</w:instrText>
      </w:r>
      <w:r w:rsidR="003C110E" w:rsidRPr="002A4884">
        <w:fldChar w:fldCharType="separate"/>
      </w:r>
      <w:r w:rsidR="003C110E" w:rsidRPr="002A4884">
        <w:rPr>
          <w:noProof/>
        </w:rPr>
        <w:t>Forder (2009)</w:t>
      </w:r>
      <w:r w:rsidR="003C110E" w:rsidRPr="002A4884">
        <w:fldChar w:fldCharType="end"/>
      </w:r>
      <w:r w:rsidR="003C110E" w:rsidRPr="002A4884">
        <w:t xml:space="preserve"> explores </w:t>
      </w:r>
      <w:r w:rsidR="00CF0E8C" w:rsidRPr="002A4884">
        <w:t xml:space="preserve">whether </w:t>
      </w:r>
      <w:r w:rsidR="003C110E" w:rsidRPr="002A4884">
        <w:t xml:space="preserve">care homes </w:t>
      </w:r>
      <w:r w:rsidR="00CF0E8C" w:rsidRPr="002A4884">
        <w:t xml:space="preserve">substitute </w:t>
      </w:r>
      <w:r w:rsidR="003C110E" w:rsidRPr="002A4884">
        <w:t>hospital</w:t>
      </w:r>
      <w:r w:rsidR="00CF0E8C" w:rsidRPr="002A4884">
        <w:t xml:space="preserve"> </w:t>
      </w:r>
      <w:r w:rsidR="003C110E" w:rsidRPr="002A4884">
        <w:t>s</w:t>
      </w:r>
      <w:r w:rsidR="00CF0E8C" w:rsidRPr="002A4884">
        <w:t>ervices</w:t>
      </w:r>
      <w:r w:rsidR="003C110E" w:rsidRPr="002A4884">
        <w:t xml:space="preserve"> </w:t>
      </w:r>
      <w:r w:rsidR="00722432" w:rsidRPr="002A4884">
        <w:t xml:space="preserve">for individuals </w:t>
      </w:r>
      <w:r w:rsidR="00A26D44" w:rsidRPr="002A4884">
        <w:t>over</w:t>
      </w:r>
      <w:r w:rsidR="00722432" w:rsidRPr="002A4884">
        <w:t xml:space="preserve"> 65 </w:t>
      </w:r>
      <w:r w:rsidR="00D053BC" w:rsidRPr="002A4884">
        <w:t xml:space="preserve">in England </w:t>
      </w:r>
      <w:r w:rsidR="003C110E" w:rsidRPr="002A4884">
        <w:t xml:space="preserve">using panel </w:t>
      </w:r>
      <w:r w:rsidR="00DE1097" w:rsidRPr="002A4884">
        <w:t xml:space="preserve">data </w:t>
      </w:r>
      <w:r w:rsidR="003C110E" w:rsidRPr="002A4884">
        <w:t>IV models.</w:t>
      </w:r>
      <w:r w:rsidR="00722432" w:rsidRPr="002A4884">
        <w:t xml:space="preserve"> The author finds that increasing care home expenditure by £1 reduces hospital expenditure by </w:t>
      </w:r>
      <w:r w:rsidR="006204D9" w:rsidRPr="002A4884">
        <w:t>£0.</w:t>
      </w:r>
      <w:r w:rsidR="00722432" w:rsidRPr="002A4884">
        <w:t>35</w:t>
      </w:r>
      <w:r w:rsidR="006204D9" w:rsidRPr="002A4884">
        <w:t>,</w:t>
      </w:r>
      <w:r w:rsidR="00722432" w:rsidRPr="002A4884">
        <w:t xml:space="preserve"> and</w:t>
      </w:r>
      <w:r w:rsidR="006204D9" w:rsidRPr="002A4884">
        <w:t xml:space="preserve"> an effect of identical magnitude exists in the opposite direction</w:t>
      </w:r>
      <w:r w:rsidR="00722432" w:rsidRPr="002A4884">
        <w:t>.</w:t>
      </w:r>
      <w:r w:rsidR="002D6A83" w:rsidRPr="002A4884">
        <w:t xml:space="preserve"> </w:t>
      </w:r>
      <w:r w:rsidR="00B85460" w:rsidRPr="002A4884">
        <w:t xml:space="preserve">Similarly, </w:t>
      </w:r>
      <w:r w:rsidR="00B85460" w:rsidRPr="002A4884">
        <w:fldChar w:fldCharType="begin"/>
      </w:r>
      <w:r w:rsidR="00F472F8">
        <w:instrText xml:space="preserve"> ADDIN EN.CITE &lt;EndNote&gt;&lt;Cite AuthorYear="1"&gt;&lt;Author&gt;Forder&lt;/Author&gt;&lt;Year&gt;2019&lt;/Year&gt;&lt;RecNum&gt;58&lt;/RecNum&gt;&lt;DisplayText&gt;Forder et al. (2019)&lt;/DisplayText&gt;&lt;record&gt;&lt;rec-number&gt;58&lt;/rec-number&gt;&lt;foreign-keys&gt;&lt;key app="EN" db-id="r920as25hw5rrve2fa8psvr8e0dxvzxa200s" timestamp="1572273553" guid="e0270155-cd72-4ed3-9ef6-9b60a1d5bf89"&gt;58&lt;/key&gt;&lt;/foreign-keys&gt;&lt;ref-type name="Journal Article"&gt;17&lt;/ref-type&gt;&lt;contributors&gt;&lt;authors&gt;&lt;author&gt;Forder, Julien&lt;/author&gt;&lt;author&gt;Gousia, Katerina&lt;/author&gt;&lt;author&gt;Saloniki, Eirini-Christina&lt;/author&gt;&lt;/authors&gt;&lt;/contributors&gt;&lt;titles&gt;&lt;title&gt;The impact of long-term care on primary care doctor consultations for people over 75 years&lt;/title&gt;&lt;secondary-title&gt;The European Journal of Health Economics&lt;/secondary-title&gt;&lt;/titles&gt;&lt;periodical&gt;&lt;full-title&gt;The European Journal of Health Economics&lt;/full-title&gt;&lt;/periodical&gt;&lt;pages&gt;375-387&lt;/pages&gt;&lt;volume&gt;20&lt;/volume&gt;&lt;number&gt;3&lt;/number&gt;&lt;dates&gt;&lt;year&gt;2019&lt;/year&gt;&lt;/dates&gt;&lt;isbn&gt;1618-7598&lt;/isbn&gt;&lt;urls&gt;&lt;/urls&gt;&lt;/record&gt;&lt;/Cite&gt;&lt;/EndNote&gt;</w:instrText>
      </w:r>
      <w:r w:rsidR="00B85460" w:rsidRPr="002A4884">
        <w:fldChar w:fldCharType="separate"/>
      </w:r>
      <w:r w:rsidR="00B85460" w:rsidRPr="002A4884">
        <w:rPr>
          <w:noProof/>
        </w:rPr>
        <w:t>Forder et al. (2019)</w:t>
      </w:r>
      <w:r w:rsidR="00B85460" w:rsidRPr="002A4884">
        <w:fldChar w:fldCharType="end"/>
      </w:r>
      <w:r w:rsidR="00B85460" w:rsidRPr="002A4884">
        <w:t xml:space="preserve"> investigate whether</w:t>
      </w:r>
      <w:r w:rsidR="0027087F" w:rsidRPr="002A4884">
        <w:t xml:space="preserve"> the use of</w:t>
      </w:r>
      <w:r w:rsidR="00B85460" w:rsidRPr="002A4884">
        <w:t xml:space="preserve"> home care substitute</w:t>
      </w:r>
      <w:r w:rsidR="0027087F" w:rsidRPr="002A4884">
        <w:t>s</w:t>
      </w:r>
      <w:r w:rsidR="00B85460" w:rsidRPr="002A4884">
        <w:t xml:space="preserve"> general practitioners visits in England using panel data IV models, and they find statistical support </w:t>
      </w:r>
      <w:r w:rsidR="0027087F" w:rsidRPr="002A4884">
        <w:t>for</w:t>
      </w:r>
      <w:r w:rsidR="00B85460" w:rsidRPr="002A4884">
        <w:t xml:space="preserve"> </w:t>
      </w:r>
      <w:r w:rsidR="0027087F" w:rsidRPr="002A4884">
        <w:t>th</w:t>
      </w:r>
      <w:r w:rsidR="00DE1097" w:rsidRPr="002A4884">
        <w:t xml:space="preserve">is </w:t>
      </w:r>
      <w:r w:rsidR="00B85460" w:rsidRPr="002A4884">
        <w:t xml:space="preserve">substitution effect. </w:t>
      </w:r>
      <w:r w:rsidR="00BD745A" w:rsidRPr="002A4884">
        <w:t xml:space="preserve">In addition, </w:t>
      </w:r>
      <w:r w:rsidR="00BB51E7">
        <w:fldChar w:fldCharType="begin"/>
      </w:r>
      <w:r w:rsidR="00157743">
        <w:instrText xml:space="preserve"> ADDIN EN.CITE &lt;EndNote&gt;&lt;Cite AuthorYear="1"&gt;&lt;Author&gt;Crawford&lt;/Author&gt;&lt;Year&gt;2021&lt;/Year&gt;&lt;RecNum&gt;580&lt;/RecNum&gt;&lt;DisplayText&gt;Crawford et al. (2021)&lt;/DisplayText&gt;&lt;record&gt;&lt;rec-number&gt;580&lt;/rec-number&gt;&lt;foreign-keys&gt;&lt;key app="EN" db-id="r920as25hw5rrve2fa8psvr8e0dxvzxa200s" timestamp="1665488115" guid="2b7465b9-3d3a-4bb4-85e0-2f79e5d0450e"&gt;580&lt;/key&gt;&lt;/foreign-keys&gt;&lt;ref-type name="Journal Article"&gt;17&lt;/ref-type&gt;&lt;contributors&gt;&lt;authors&gt;&lt;author&gt;Crawford, Rowena&lt;/author&gt;&lt;author&gt;Stoye, George&lt;/author&gt;&lt;author&gt;Zaranko, Ben&lt;/author&gt;&lt;/authors&gt;&lt;/contributors&gt;&lt;titles&gt;&lt;title&gt;Long-term care spending and hospital use among the older population in England&lt;/title&gt;&lt;secondary-title&gt;Journal of Health Economics&lt;/secondary-title&gt;&lt;/titles&gt;&lt;periodical&gt;&lt;full-title&gt;Journal of health economics&lt;/full-title&gt;&lt;/periodical&gt;&lt;pages&gt;102477&lt;/pages&gt;&lt;volume&gt;78&lt;/volume&gt;&lt;dates&gt;&lt;year&gt;2021&lt;/year&gt;&lt;/dates&gt;&lt;isbn&gt;0167-6296&lt;/isbn&gt;&lt;urls&gt;&lt;/urls&gt;&lt;/record&gt;&lt;/Cite&gt;&lt;/EndNote&gt;</w:instrText>
      </w:r>
      <w:r w:rsidR="00BB51E7">
        <w:fldChar w:fldCharType="separate"/>
      </w:r>
      <w:r w:rsidR="00BB51E7">
        <w:rPr>
          <w:noProof/>
        </w:rPr>
        <w:t>Crawford et al. (2021)</w:t>
      </w:r>
      <w:r w:rsidR="00BB51E7">
        <w:fldChar w:fldCharType="end"/>
      </w:r>
      <w:r w:rsidR="00BB51E7" w:rsidRPr="00BB51E7">
        <w:t xml:space="preserve"> </w:t>
      </w:r>
      <w:r w:rsidR="00ED1694" w:rsidRPr="002A4884">
        <w:t xml:space="preserve">investigate the impact of cuts to LTC expenditure </w:t>
      </w:r>
      <w:r w:rsidR="00FC69CB" w:rsidRPr="002A4884">
        <w:t>for people over 65 on emergency</w:t>
      </w:r>
      <w:r w:rsidR="00495E7B" w:rsidRPr="002A4884">
        <w:t xml:space="preserve"> care</w:t>
      </w:r>
      <w:r w:rsidR="00FC69CB" w:rsidRPr="002A4884">
        <w:t xml:space="preserve"> services</w:t>
      </w:r>
      <w:r w:rsidR="00D053BC" w:rsidRPr="002A4884">
        <w:t xml:space="preserve"> in England</w:t>
      </w:r>
      <w:r w:rsidR="00D5790B" w:rsidRPr="002A4884">
        <w:t xml:space="preserve"> by employing </w:t>
      </w:r>
      <w:r w:rsidR="0009474E" w:rsidRPr="002A4884">
        <w:t xml:space="preserve">a </w:t>
      </w:r>
      <w:r w:rsidR="00D5790B" w:rsidRPr="002A4884">
        <w:t xml:space="preserve">panel data IV approach. </w:t>
      </w:r>
      <w:r w:rsidR="00FC69CB" w:rsidRPr="002A4884">
        <w:t xml:space="preserve">The authors find that reducing LTC expenditure increases </w:t>
      </w:r>
      <w:r w:rsidR="003D5801">
        <w:t xml:space="preserve">visits to accident and </w:t>
      </w:r>
      <w:r w:rsidR="00FC69CB" w:rsidRPr="002A4884">
        <w:t xml:space="preserve">emergency </w:t>
      </w:r>
      <w:r w:rsidR="003D5801">
        <w:t>departments</w:t>
      </w:r>
      <w:r w:rsidR="00FC69CB" w:rsidRPr="002A4884">
        <w:t xml:space="preserve">. Similar findings are suggested by </w:t>
      </w:r>
      <w:r w:rsidR="00FC69CB" w:rsidRPr="002A4884">
        <w:fldChar w:fldCharType="begin"/>
      </w:r>
      <w:r w:rsidR="00F472F8">
        <w:instrText xml:space="preserve"> ADDIN EN.CITE &lt;EndNote&gt;&lt;Cite AuthorYear="1"&gt;&lt;Author&gt;Walsh&lt;/Author&gt;&lt;Year&gt;2020&lt;/Year&gt;&lt;RecNum&gt;108&lt;/RecNum&gt;&lt;DisplayText&gt;Walsh et al. (2020)&lt;/DisplayText&gt;&lt;record&gt;&lt;rec-number&gt;108&lt;/rec-number&gt;&lt;foreign-keys&gt;&lt;key app="EN" db-id="r920as25hw5rrve2fa8psvr8e0dxvzxa200s" timestamp="1607688634" guid="a524e902-4913-44aa-88ea-60b8745b9f41"&gt;108&lt;/key&gt;&lt;/foreign-keys&gt;&lt;ref-type name="Journal Article"&gt;17&lt;/ref-type&gt;&lt;contributors&gt;&lt;authors&gt;&lt;author&gt;Walsh, Brendan&lt;/author&gt;&lt;author&gt;Lyons, Seán&lt;/author&gt;&lt;author&gt;Smith, Samantha&lt;/author&gt;&lt;author&gt;Wren, Maev‐Ann&lt;/author&gt;&lt;author&gt;Eighan, James&lt;/author&gt;&lt;author&gt;Morgenroth, Edgar&lt;/author&gt;&lt;/authors&gt;&lt;/contributors&gt;&lt;titles&gt;&lt;title&gt;Does formal home care reduce inpatient length of stay?&lt;/title&gt;&lt;secondary-title&gt;Health Economics&lt;/secondary-title&gt;&lt;/titles&gt;&lt;periodical&gt;&lt;full-title&gt;Health economics&lt;/full-title&gt;&lt;/periodical&gt;&lt;dates&gt;&lt;year&gt;2020&lt;/year&gt;&lt;/dates&gt;&lt;isbn&gt;1057-9230&lt;/isbn&gt;&lt;urls&gt;&lt;/urls&gt;&lt;/record&gt;&lt;/Cite&gt;&lt;/EndNote&gt;</w:instrText>
      </w:r>
      <w:r w:rsidR="00FC69CB" w:rsidRPr="002A4884">
        <w:fldChar w:fldCharType="separate"/>
      </w:r>
      <w:r w:rsidR="00FC69CB" w:rsidRPr="002A4884">
        <w:rPr>
          <w:noProof/>
        </w:rPr>
        <w:t>Walsh et al. (2020)</w:t>
      </w:r>
      <w:r w:rsidR="00FC69CB" w:rsidRPr="002A4884">
        <w:fldChar w:fldCharType="end"/>
      </w:r>
      <w:r w:rsidR="00FC69CB" w:rsidRPr="002A4884">
        <w:t xml:space="preserve"> who investigate whether home care supply has any effect on emergency inpatient </w:t>
      </w:r>
      <w:r w:rsidR="00DE1097" w:rsidRPr="002A4884">
        <w:t>LOS</w:t>
      </w:r>
      <w:r w:rsidR="00FC69CB" w:rsidRPr="002A4884">
        <w:t xml:space="preserve"> </w:t>
      </w:r>
      <w:r w:rsidR="007860B6" w:rsidRPr="002A4884">
        <w:t xml:space="preserve">in Ireland </w:t>
      </w:r>
      <w:r w:rsidR="00FC69CB" w:rsidRPr="002A4884">
        <w:t xml:space="preserve">by employing </w:t>
      </w:r>
      <w:r w:rsidR="007860B6" w:rsidRPr="002A4884">
        <w:t>panel data models</w:t>
      </w:r>
      <w:r w:rsidR="00FC69CB" w:rsidRPr="002A4884">
        <w:t>.</w:t>
      </w:r>
      <w:r w:rsidR="005456E1" w:rsidRPr="002A4884">
        <w:t xml:space="preserve"> In</w:t>
      </w:r>
      <w:r w:rsidR="00894826">
        <w:t xml:space="preserve"> contrast</w:t>
      </w:r>
      <w:r w:rsidR="005456E1" w:rsidRPr="002A4884">
        <w:t>,</w:t>
      </w:r>
      <w:r w:rsidR="005A2FBE">
        <w:t xml:space="preserve"> using other variables </w:t>
      </w:r>
      <w:r w:rsidR="0010022F">
        <w:t xml:space="preserve">for </w:t>
      </w:r>
      <w:r w:rsidR="005A2FBE">
        <w:t>emergency care services,</w:t>
      </w:r>
      <w:r w:rsidR="00AC1724" w:rsidRPr="002A4884">
        <w:t xml:space="preserve"> </w:t>
      </w:r>
      <w:r w:rsidR="00AC1724" w:rsidRPr="002A4884">
        <w:fldChar w:fldCharType="begin"/>
      </w:r>
      <w:r w:rsidR="00F472F8">
        <w:instrText xml:space="preserve"> ADDIN EN.CITE &lt;EndNote&gt;&lt;Cite AuthorYear="1"&gt;&lt;Author&gt;Seamer&lt;/Author&gt;&lt;Year&gt;2019&lt;/Year&gt;&lt;RecNum&gt;72&lt;/RecNum&gt;&lt;DisplayText&gt;Seamer et al. (2019)&lt;/DisplayText&gt;&lt;record&gt;&lt;rec-number&gt;72&lt;/rec-number&gt;&lt;foreign-keys&gt;&lt;key app="EN" db-id="r920as25hw5rrve2fa8psvr8e0dxvzxa200s" timestamp="1572356917" guid="40df8324-4833-4f66-b4b1-a7455fd2584e"&gt;72&lt;/key&gt;&lt;/foreign-keys&gt;&lt;ref-type name="Journal Article"&gt;17&lt;/ref-type&gt;&lt;contributors&gt;&lt;authors&gt;&lt;author&gt;Seamer, Paul&lt;/author&gt;&lt;author&gt;Brake, Simon&lt;/author&gt;&lt;author&gt;Moore, Patrick&lt;/author&gt;&lt;author&gt;Mohammed, Mohammed A&lt;/author&gt;&lt;author&gt;Wyatt, Steven&lt;/author&gt;&lt;/authors&gt;&lt;/contributors&gt;&lt;titles&gt;&lt;title&gt;Did government spending cuts to social care for older people lead to an increase in emergency hospital admissions? An ecological study, England 2005–2016&lt;/title&gt;&lt;secondary-title&gt;BMJ open&lt;/secondary-title&gt;&lt;/titles&gt;&lt;periodical&gt;&lt;full-title&gt;BMJ open&lt;/full-title&gt;&lt;/periodical&gt;&lt;pages&gt;e024577&lt;/pages&gt;&lt;volume&gt;9&lt;/volume&gt;&lt;number&gt;4&lt;/number&gt;&lt;dates&gt;&lt;year&gt;2019&lt;/year&gt;&lt;/dates&gt;&lt;isbn&gt;2044-6055&lt;/isbn&gt;&lt;urls&gt;&lt;/urls&gt;&lt;/record&gt;&lt;/Cite&gt;&lt;/EndNote&gt;</w:instrText>
      </w:r>
      <w:r w:rsidR="00AC1724" w:rsidRPr="002A4884">
        <w:fldChar w:fldCharType="separate"/>
      </w:r>
      <w:r w:rsidR="00AC1724" w:rsidRPr="002A4884">
        <w:rPr>
          <w:noProof/>
        </w:rPr>
        <w:t>Seamer et al. (2019)</w:t>
      </w:r>
      <w:r w:rsidR="00AC1724" w:rsidRPr="002A4884">
        <w:fldChar w:fldCharType="end"/>
      </w:r>
      <w:r w:rsidR="00AC1724" w:rsidRPr="002A4884">
        <w:t xml:space="preserve"> find no relationship between public LTC expenditure and emergency hospital admissions for elderly people in England using panel data analysis.</w:t>
      </w:r>
      <w:r w:rsidR="00A77899" w:rsidRPr="002A4884">
        <w:t xml:space="preserve"> </w:t>
      </w:r>
      <w:r w:rsidR="005456E1" w:rsidRPr="002A4884">
        <w:fldChar w:fldCharType="begin"/>
      </w:r>
      <w:r w:rsidR="00F472F8">
        <w:instrText xml:space="preserve"> ADDIN EN.CITE &lt;EndNote&gt;&lt;Cite AuthorYear="1"&gt;&lt;Author&gt;Liu&lt;/Author&gt;&lt;Year&gt;2020&lt;/Year&gt;&lt;RecNum&gt;109&lt;/RecNum&gt;&lt;DisplayText&gt;Liu et al. (2020)&lt;/DisplayText&gt;&lt;record&gt;&lt;rec-number&gt;109&lt;/rec-number&gt;&lt;foreign-keys&gt;&lt;key app="EN" db-id="r920as25hw5rrve2fa8psvr8e0dxvzxa200s" timestamp="1607688634" guid="fcfe16d7-0f68-430a-83d4-b898c278e26d"&gt;109&lt;/key&gt;&lt;/foreign-keys&gt;&lt;ref-type name="Journal Article"&gt;17&lt;/ref-type&gt;&lt;contributors&gt;&lt;authors&gt;&lt;author&gt;Liu, Dan&lt;/author&gt;&lt;author&gt;Pace, Maria Lucia&lt;/author&gt;&lt;author&gt;Goddard, Maria&lt;/author&gt;&lt;author&gt;Jacobs, Rowena&lt;/author&gt;&lt;author&gt;Wittenberg, Raphael&lt;/author&gt;&lt;author&gt;Mason, Anne&lt;/author&gt;&lt;/authors&gt;&lt;/contributors&gt;&lt;titles&gt;&lt;title&gt;Investigating the relationship between social care supply and healthcare utilization by older people in England&lt;/title&gt;&lt;secondary-title&gt;Health Economics&lt;/secondary-title&gt;&lt;/titles&gt;&lt;periodical&gt;&lt;full-title&gt;Health economics&lt;/full-title&gt;&lt;/periodical&gt;&lt;dates&gt;&lt;year&gt;2020&lt;/year&gt;&lt;/dates&gt;&lt;isbn&gt;1057-9230&lt;/isbn&gt;&lt;urls&gt;&lt;/urls&gt;&lt;/record&gt;&lt;/Cite&gt;&lt;/EndNote&gt;</w:instrText>
      </w:r>
      <w:r w:rsidR="005456E1" w:rsidRPr="002A4884">
        <w:fldChar w:fldCharType="separate"/>
      </w:r>
      <w:r w:rsidR="005456E1" w:rsidRPr="002A4884">
        <w:rPr>
          <w:noProof/>
        </w:rPr>
        <w:t>Liu et al. (2020)</w:t>
      </w:r>
      <w:r w:rsidR="005456E1" w:rsidRPr="002A4884">
        <w:fldChar w:fldCharType="end"/>
      </w:r>
      <w:r w:rsidR="005456E1" w:rsidRPr="002A4884">
        <w:t xml:space="preserve"> </w:t>
      </w:r>
      <w:r w:rsidR="00632B02" w:rsidRPr="002A4884">
        <w:t xml:space="preserve">also </w:t>
      </w:r>
      <w:r w:rsidR="00AC1724" w:rsidRPr="002A4884">
        <w:t xml:space="preserve">find no relationship between </w:t>
      </w:r>
      <w:r w:rsidR="005456E1" w:rsidRPr="002A4884">
        <w:t xml:space="preserve">LTC </w:t>
      </w:r>
      <w:r w:rsidR="005456E1" w:rsidRPr="002A4884">
        <w:lastRenderedPageBreak/>
        <w:t xml:space="preserve">supply, </w:t>
      </w:r>
      <w:r w:rsidR="00A77899" w:rsidRPr="002A4884">
        <w:t xml:space="preserve">captured by </w:t>
      </w:r>
      <w:r w:rsidR="005456E1" w:rsidRPr="002A4884">
        <w:t>expenditure</w:t>
      </w:r>
      <w:r w:rsidR="009C5039" w:rsidRPr="002A4884">
        <w:t xml:space="preserve"> per capita</w:t>
      </w:r>
      <w:r w:rsidR="005456E1" w:rsidRPr="002A4884">
        <w:t xml:space="preserve"> </w:t>
      </w:r>
      <w:r w:rsidR="00A77899" w:rsidRPr="002A4884">
        <w:t>and</w:t>
      </w:r>
      <w:r w:rsidR="005456E1" w:rsidRPr="002A4884">
        <w:t xml:space="preserve"> staffing levels,</w:t>
      </w:r>
      <w:r w:rsidR="009C5039" w:rsidRPr="002A4884">
        <w:t xml:space="preserve"> </w:t>
      </w:r>
      <w:r w:rsidR="00AC1724" w:rsidRPr="002A4884">
        <w:t xml:space="preserve">and </w:t>
      </w:r>
      <w:r w:rsidR="009C5039" w:rsidRPr="002A4884">
        <w:t xml:space="preserve">emergency admissions </w:t>
      </w:r>
      <w:r w:rsidR="00AC1724" w:rsidRPr="002A4884">
        <w:t xml:space="preserve">for </w:t>
      </w:r>
      <w:r w:rsidR="00A77899" w:rsidRPr="002A4884">
        <w:t>elderly people</w:t>
      </w:r>
      <w:r w:rsidR="00AC1724" w:rsidRPr="002A4884">
        <w:t xml:space="preserve"> in England using panel data IV models</w:t>
      </w:r>
      <w:r w:rsidR="009C5039" w:rsidRPr="002A4884">
        <w:t>.</w:t>
      </w:r>
    </w:p>
    <w:p w14:paraId="172F29EE" w14:textId="5CD36396" w:rsidR="00754F3F" w:rsidRPr="002A4884" w:rsidRDefault="003C2C1C" w:rsidP="00442E47">
      <w:r w:rsidRPr="002A4884">
        <w:t>Th</w:t>
      </w:r>
      <w:r w:rsidR="008E1F02" w:rsidRPr="002A4884">
        <w:t xml:space="preserve">is </w:t>
      </w:r>
      <w:r w:rsidRPr="002A4884">
        <w:t xml:space="preserve">literature, however, fails to </w:t>
      </w:r>
      <w:r w:rsidR="001C5C85" w:rsidRPr="002A4884">
        <w:t>directly address</w:t>
      </w:r>
      <w:r w:rsidRPr="002A4884">
        <w:t xml:space="preserve"> the question of whether and how these interactions between HC and LTC system impact </w:t>
      </w:r>
      <w:r w:rsidR="00E042CF" w:rsidRPr="002A4884">
        <w:t xml:space="preserve">key </w:t>
      </w:r>
      <w:r w:rsidR="00927CFA" w:rsidRPr="002A4884">
        <w:t xml:space="preserve">health </w:t>
      </w:r>
      <w:r w:rsidR="00E042CF" w:rsidRPr="002A4884">
        <w:t xml:space="preserve">outcomes such as </w:t>
      </w:r>
      <w:r w:rsidR="00E50F5C" w:rsidRPr="002A4884">
        <w:t>mortality</w:t>
      </w:r>
      <w:r w:rsidRPr="002A4884">
        <w:t>.</w:t>
      </w:r>
      <w:r w:rsidR="00171959" w:rsidRPr="002A4884">
        <w:t xml:space="preserve"> In addition, the literature investigating the effect of HC and LTC expenditure on mortality </w:t>
      </w:r>
      <w:r w:rsidR="00E07DA1">
        <w:t xml:space="preserve">in a number of countries </w:t>
      </w:r>
      <w:r w:rsidR="00AB4C74">
        <w:t>has not taken</w:t>
      </w:r>
      <w:r w:rsidR="00171959" w:rsidRPr="002A4884">
        <w:t xml:space="preserve"> these interactions into account </w:t>
      </w:r>
      <w:r w:rsidR="00171959" w:rsidRPr="002A4884">
        <w:fldChar w:fldCharType="begin">
          <w:fldData xml:space="preserve">PEVuZE5vdGU+PENpdGU+PEF1dGhvcj5CaGFsb3RyYTwvQXV0aG9yPjxZZWFyPjIwMDc8L1llYXI+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=
</w:fldData>
        </w:fldChar>
      </w:r>
      <w:r w:rsidR="00157743">
        <w:instrText xml:space="preserve"> ADDIN EN.CITE </w:instrText>
      </w:r>
      <w:r w:rsidR="00157743">
        <w:fldChar w:fldCharType="begin">
          <w:fldData xml:space="preserve">PEVuZE5vdGU+PENpdGU+PEF1dGhvcj5CaGFsb3RyYTwvQXV0aG9yPjxZZWFyPjIwMDc8L1llYXI+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=
</w:fldData>
        </w:fldChar>
      </w:r>
      <w:r w:rsidR="00157743">
        <w:instrText xml:space="preserve"> ADDIN EN.CITE.DATA </w:instrText>
      </w:r>
      <w:r w:rsidR="00157743">
        <w:fldChar w:fldCharType="end"/>
      </w:r>
      <w:r w:rsidR="00171959" w:rsidRPr="002A4884">
        <w:fldChar w:fldCharType="separate"/>
      </w:r>
      <w:r w:rsidR="00EA2F63">
        <w:rPr>
          <w:noProof/>
        </w:rPr>
        <w:t>(Bhalotra, 2007, Watkins et al., 2017, Claxton et al., 2018, Vallejo‐Torres et al., 2018, Siverskog and Henriksson, 2019, Martin et al., 2021b)</w:t>
      </w:r>
      <w:r w:rsidR="00171959" w:rsidRPr="002A4884">
        <w:fldChar w:fldCharType="end"/>
      </w:r>
      <w:r w:rsidR="00171959" w:rsidRPr="002A4884">
        <w:t xml:space="preserve">. </w:t>
      </w:r>
      <w:r w:rsidRPr="002A4884">
        <w:t xml:space="preserve">This study </w:t>
      </w:r>
      <w:r w:rsidR="00171959" w:rsidRPr="002A4884">
        <w:t>attempts to bridge these two strands of literature</w:t>
      </w:r>
      <w:r w:rsidRPr="002A4884">
        <w:t xml:space="preserve"> by investigating whether</w:t>
      </w:r>
      <w:r w:rsidR="006A0D90" w:rsidRPr="002A4884">
        <w:t>, how</w:t>
      </w:r>
      <w:r w:rsidRPr="002A4884">
        <w:t xml:space="preserve"> </w:t>
      </w:r>
      <w:r w:rsidR="00754F3F" w:rsidRPr="002A4884">
        <w:t xml:space="preserve">and to what extent </w:t>
      </w:r>
      <w:r w:rsidRPr="002A4884">
        <w:t xml:space="preserve">interactions between HC and LTC </w:t>
      </w:r>
      <w:r w:rsidR="004A79C0" w:rsidRPr="002A4884">
        <w:t xml:space="preserve">expenditure </w:t>
      </w:r>
      <w:r w:rsidR="004313D4" w:rsidRPr="002A4884">
        <w:t>impact</w:t>
      </w:r>
      <w:r w:rsidRPr="002A4884">
        <w:t xml:space="preserve"> mortality.</w:t>
      </w:r>
      <w:r w:rsidR="008E1F02" w:rsidRPr="002A4884">
        <w:t xml:space="preserve"> </w:t>
      </w:r>
      <w:r w:rsidR="00D075D4">
        <w:t xml:space="preserve">Although LTC primarily aims to improve wellbeing </w:t>
      </w:r>
      <w:r w:rsidR="00D075D4">
        <w:fldChar w:fldCharType="begin"/>
      </w:r>
      <w:r w:rsidR="00D075D4">
        <w:instrText xml:space="preserve"> ADDIN EN.CITE &lt;EndNote&gt;&lt;Cite&gt;&lt;Author&gt;Fernandez&lt;/Author&gt;&lt;Year&gt;2011&lt;/Year&gt;&lt;RecNum&gt;94&lt;/RecNum&gt;&lt;DisplayText&gt;(Fernandez et al., 2011)&lt;/DisplayText&gt;&lt;record&gt;&lt;rec-number&gt;94&lt;/rec-number&gt;&lt;foreign-keys&gt;&lt;key app="EN" db-id="r920as25hw5rrve2fa8psvr8e0dxvzxa200s" timestamp="1594221033" guid="0fcd62ae-6869-4451-99ab-164120907a51"&gt;94&lt;/key&gt;&lt;/foreign-keys&gt;&lt;ref-type name="Book Section"&gt;5&lt;/ref-type&gt;&lt;contributors&gt;&lt;authors&gt;&lt;author&gt;Fernandez, Jose-Luis&lt;/author&gt;&lt;author&gt;Forder, Julien&lt;/author&gt;&lt;author&gt;Knapp, Martin&lt;/author&gt;&lt;/authors&gt;&lt;/contributors&gt;&lt;titles&gt;&lt;title&gt;Long-term care&lt;/title&gt;&lt;secondary-title&gt;The Oxford handbook of health economics&lt;/secondary-title&gt;&lt;/titles&gt;&lt;dates&gt;&lt;year&gt;2011&lt;/year&gt;&lt;/dates&gt;&lt;urls&gt;&lt;/urls&gt;&lt;/record&gt;&lt;/Cite&gt;&lt;/EndNote&gt;</w:instrText>
      </w:r>
      <w:r w:rsidR="00D075D4">
        <w:fldChar w:fldCharType="separate"/>
      </w:r>
      <w:r w:rsidR="00D075D4">
        <w:rPr>
          <w:noProof/>
        </w:rPr>
        <w:t>(Fernandez et al., 2011)</w:t>
      </w:r>
      <w:r w:rsidR="00D075D4">
        <w:fldChar w:fldCharType="end"/>
      </w:r>
      <w:r w:rsidR="00D075D4">
        <w:t>, w</w:t>
      </w:r>
      <w:r w:rsidR="004A79C0" w:rsidRPr="002A4884">
        <w:t xml:space="preserve">e </w:t>
      </w:r>
      <w:r w:rsidR="00503C05" w:rsidRPr="002A4884">
        <w:t>argue</w:t>
      </w:r>
      <w:r w:rsidR="0005728B" w:rsidRPr="002A4884">
        <w:t xml:space="preserve"> </w:t>
      </w:r>
      <w:r w:rsidR="008E1F02" w:rsidRPr="002A4884">
        <w:t xml:space="preserve">that </w:t>
      </w:r>
      <w:r w:rsidR="004313D4" w:rsidRPr="002A4884">
        <w:t xml:space="preserve">LTC </w:t>
      </w:r>
      <w:r w:rsidR="004A79C0" w:rsidRPr="002A4884">
        <w:t xml:space="preserve">services may have a </w:t>
      </w:r>
      <w:r w:rsidR="004A79C0" w:rsidRPr="002A4884">
        <w:rPr>
          <w:i/>
        </w:rPr>
        <w:t>direct</w:t>
      </w:r>
      <w:r w:rsidR="004A79C0" w:rsidRPr="002A4884">
        <w:t xml:space="preserve"> </w:t>
      </w:r>
      <w:r w:rsidR="007C34E5">
        <w:t xml:space="preserve">mortality </w:t>
      </w:r>
      <w:r w:rsidR="004A79C0" w:rsidRPr="002A4884">
        <w:t xml:space="preserve">effect, i.e. the effect </w:t>
      </w:r>
      <w:r w:rsidR="005142D9">
        <w:t xml:space="preserve">of the LTC services provided </w:t>
      </w:r>
      <w:r w:rsidR="004A79C0" w:rsidRPr="002A4884">
        <w:t xml:space="preserve">regardless of the </w:t>
      </w:r>
      <w:r w:rsidR="004313D4" w:rsidRPr="002A4884">
        <w:t>HC</w:t>
      </w:r>
      <w:r w:rsidR="004A79C0" w:rsidRPr="002A4884">
        <w:t xml:space="preserve"> sector</w:t>
      </w:r>
      <w:r w:rsidR="00D075D4">
        <w:t xml:space="preserve"> (e.g. by preventing fatal falls in the elderly)</w:t>
      </w:r>
      <w:r w:rsidR="006D647B">
        <w:t>.</w:t>
      </w:r>
      <w:r w:rsidR="005142D9">
        <w:t xml:space="preserve"> However,</w:t>
      </w:r>
      <w:r w:rsidR="004A79C0" w:rsidRPr="002A4884">
        <w:t xml:space="preserve"> an </w:t>
      </w:r>
      <w:r w:rsidR="004A79C0" w:rsidRPr="002A4884">
        <w:rPr>
          <w:i/>
        </w:rPr>
        <w:t>indirect</w:t>
      </w:r>
      <w:r w:rsidR="004A79C0" w:rsidRPr="002A4884">
        <w:t xml:space="preserve"> </w:t>
      </w:r>
      <w:r w:rsidR="007C34E5">
        <w:t xml:space="preserve">mortality </w:t>
      </w:r>
      <w:r w:rsidR="004A79C0" w:rsidRPr="002A4884">
        <w:t xml:space="preserve">effect </w:t>
      </w:r>
      <w:r w:rsidR="006D647B">
        <w:t xml:space="preserve">may </w:t>
      </w:r>
      <w:r w:rsidR="005142D9">
        <w:t xml:space="preserve">also </w:t>
      </w:r>
      <w:r w:rsidR="006D647B">
        <w:t xml:space="preserve">exist </w:t>
      </w:r>
      <w:r w:rsidR="004A79C0" w:rsidRPr="002A4884">
        <w:t xml:space="preserve">through interactions </w:t>
      </w:r>
      <w:r w:rsidR="006D647B">
        <w:t>between the LTC and</w:t>
      </w:r>
      <w:r w:rsidR="004A79C0" w:rsidRPr="002A4884">
        <w:t xml:space="preserve"> </w:t>
      </w:r>
      <w:r w:rsidR="004313D4" w:rsidRPr="002A4884">
        <w:t>H</w:t>
      </w:r>
      <w:r w:rsidR="004A79C0" w:rsidRPr="002A4884">
        <w:t>C sector.</w:t>
      </w:r>
      <w:r w:rsidR="004313D4" w:rsidRPr="002A4884">
        <w:t xml:space="preserve"> </w:t>
      </w:r>
      <w:r w:rsidR="008E43D6" w:rsidRPr="002A4884">
        <w:t>For example</w:t>
      </w:r>
      <w:r w:rsidR="004313D4" w:rsidRPr="002A4884">
        <w:t xml:space="preserve">, LTC </w:t>
      </w:r>
      <w:r w:rsidR="0005728B" w:rsidRPr="002A4884">
        <w:t xml:space="preserve">will have </w:t>
      </w:r>
      <w:r w:rsidR="008E43D6" w:rsidRPr="002A4884">
        <w:t xml:space="preserve">a beneficial indirect </w:t>
      </w:r>
      <w:r w:rsidR="007C34E5">
        <w:t xml:space="preserve">mortality </w:t>
      </w:r>
      <w:r w:rsidR="008E43D6" w:rsidRPr="002A4884">
        <w:t xml:space="preserve">effect </w:t>
      </w:r>
      <w:r w:rsidR="0005728B" w:rsidRPr="002A4884">
        <w:t xml:space="preserve">if it </w:t>
      </w:r>
      <w:r w:rsidR="00503C05" w:rsidRPr="002A4884">
        <w:t xml:space="preserve">allows the HC sector to discharge patients more quickly and to use the resulting freed resources </w:t>
      </w:r>
      <w:r w:rsidR="005142D9">
        <w:t>to provide</w:t>
      </w:r>
      <w:r w:rsidR="00503C05" w:rsidRPr="002A4884">
        <w:t xml:space="preserve"> </w:t>
      </w:r>
      <w:r w:rsidR="004313D4" w:rsidRPr="002A4884">
        <w:t xml:space="preserve">more effective services. </w:t>
      </w:r>
      <w:r w:rsidR="004A79C0" w:rsidRPr="002A4884">
        <w:t>Similarly,</w:t>
      </w:r>
      <w:r w:rsidR="00814F24" w:rsidRPr="002A4884">
        <w:t xml:space="preserve"> </w:t>
      </w:r>
      <w:r w:rsidR="004313D4" w:rsidRPr="002A4884">
        <w:t>HC</w:t>
      </w:r>
      <w:r w:rsidR="008E1F02" w:rsidRPr="002A4884">
        <w:t xml:space="preserve"> services may impact mortality directly and</w:t>
      </w:r>
      <w:r w:rsidR="00256276" w:rsidRPr="002A4884">
        <w:t>, in principle,</w:t>
      </w:r>
      <w:r w:rsidR="008E1F02" w:rsidRPr="002A4884">
        <w:t xml:space="preserve"> indirectly</w:t>
      </w:r>
      <w:r w:rsidR="00E50F5C" w:rsidRPr="002A4884">
        <w:t xml:space="preserve"> </w:t>
      </w:r>
      <w:r w:rsidR="00E042CF" w:rsidRPr="002A4884">
        <w:t xml:space="preserve">through interactions with the </w:t>
      </w:r>
      <w:r w:rsidR="004313D4" w:rsidRPr="002A4884">
        <w:t>LT</w:t>
      </w:r>
      <w:r w:rsidR="00E042CF" w:rsidRPr="002A4884">
        <w:t xml:space="preserve">C </w:t>
      </w:r>
      <w:r w:rsidR="004A79C0" w:rsidRPr="002A4884">
        <w:t>sector</w:t>
      </w:r>
      <w:r w:rsidR="00E042CF" w:rsidRPr="002A4884">
        <w:t xml:space="preserve">. </w:t>
      </w:r>
      <w:r w:rsidR="00C27B9E" w:rsidRPr="002A4884">
        <w:t xml:space="preserve">The investigation of </w:t>
      </w:r>
      <w:r w:rsidR="00767A32" w:rsidRPr="002A4884">
        <w:t>direct and indirect</w:t>
      </w:r>
      <w:r w:rsidR="007C34E5">
        <w:t xml:space="preserve"> mortality</w:t>
      </w:r>
      <w:r w:rsidR="00767A32" w:rsidRPr="002A4884">
        <w:t xml:space="preserve"> effects </w:t>
      </w:r>
      <w:r w:rsidR="00C27B9E" w:rsidRPr="002A4884">
        <w:t xml:space="preserve">in both HC and LTC </w:t>
      </w:r>
      <w:r w:rsidR="00767A32" w:rsidRPr="002A4884">
        <w:t>may have important policy implication</w:t>
      </w:r>
      <w:r w:rsidR="00503C05" w:rsidRPr="002A4884">
        <w:t>s</w:t>
      </w:r>
      <w:r w:rsidR="00767A32" w:rsidRPr="002A4884">
        <w:t xml:space="preserve">. It </w:t>
      </w:r>
      <w:r w:rsidR="007962F9" w:rsidRPr="002A4884">
        <w:t xml:space="preserve">may inform decision makers about whether and how changes in, for example, </w:t>
      </w:r>
      <w:r w:rsidR="00FC4499" w:rsidRPr="002A4884">
        <w:t xml:space="preserve">the LTC budget </w:t>
      </w:r>
      <w:r w:rsidR="007962F9" w:rsidRPr="002A4884">
        <w:t xml:space="preserve">may impact </w:t>
      </w:r>
      <w:r w:rsidR="00FC4499" w:rsidRPr="002A4884">
        <w:t xml:space="preserve">the HC system and, </w:t>
      </w:r>
      <w:r w:rsidR="00503C05" w:rsidRPr="002A4884">
        <w:t>through this</w:t>
      </w:r>
      <w:r w:rsidR="00FC4499" w:rsidRPr="002A4884">
        <w:t xml:space="preserve">, health. It may </w:t>
      </w:r>
      <w:r w:rsidR="00BE1BFA">
        <w:t xml:space="preserve">also </w:t>
      </w:r>
      <w:r w:rsidR="00FC4499" w:rsidRPr="002A4884">
        <w:t>inform the potential effects of reallocating resources across budgets as well as the potential effect of pooling budgets.</w:t>
      </w:r>
    </w:p>
    <w:p w14:paraId="2582A86B" w14:textId="43CC6CA0" w:rsidR="00F945AA" w:rsidRPr="002A4884" w:rsidRDefault="00754F3F" w:rsidP="0049355F">
      <w:r w:rsidRPr="002A4884">
        <w:t xml:space="preserve">We </w:t>
      </w:r>
      <w:r w:rsidR="00144E9B" w:rsidRPr="002A4884">
        <w:t xml:space="preserve">explore </w:t>
      </w:r>
      <w:r w:rsidR="00CE1AA0">
        <w:t xml:space="preserve">possible </w:t>
      </w:r>
      <w:r w:rsidR="00C14AB3" w:rsidRPr="002A4884">
        <w:t xml:space="preserve">direct and </w:t>
      </w:r>
      <w:r w:rsidR="00144E9B" w:rsidRPr="002A4884">
        <w:t>indirect</w:t>
      </w:r>
      <w:r w:rsidR="002F305C">
        <w:t xml:space="preserve"> mortality</w:t>
      </w:r>
      <w:r w:rsidR="00144E9B" w:rsidRPr="002A4884">
        <w:t xml:space="preserve"> effect</w:t>
      </w:r>
      <w:r w:rsidR="00C14AB3" w:rsidRPr="002A4884">
        <w:t>s</w:t>
      </w:r>
      <w:r w:rsidR="00144E9B" w:rsidRPr="002A4884">
        <w:t xml:space="preserve"> </w:t>
      </w:r>
      <w:r w:rsidRPr="002A4884">
        <w:t xml:space="preserve">by </w:t>
      </w:r>
      <w:r w:rsidR="009870B0" w:rsidRPr="002A4884">
        <w:t>estimat</w:t>
      </w:r>
      <w:r w:rsidRPr="002A4884">
        <w:t xml:space="preserve">ing </w:t>
      </w:r>
      <w:r w:rsidR="00E07DA1">
        <w:t>a sequence of</w:t>
      </w:r>
      <w:r w:rsidR="00B61121" w:rsidRPr="002A4884">
        <w:t xml:space="preserve"> econometric specifications </w:t>
      </w:r>
      <w:r w:rsidR="00A44D42" w:rsidRPr="002A4884">
        <w:t xml:space="preserve">using </w:t>
      </w:r>
      <w:r w:rsidR="009870B0" w:rsidRPr="002A4884">
        <w:t xml:space="preserve">English </w:t>
      </w:r>
      <w:r w:rsidR="00A44D42" w:rsidRPr="002A4884">
        <w:t xml:space="preserve">LA data in 2014/15. </w:t>
      </w:r>
      <w:r w:rsidR="009870B0" w:rsidRPr="002A4884">
        <w:t>F</w:t>
      </w:r>
      <w:r w:rsidR="00C14AB3" w:rsidRPr="002A4884">
        <w:t xml:space="preserve">ollowing the literature on the mortality effects </w:t>
      </w:r>
      <w:r w:rsidR="00C14AB3" w:rsidRPr="002A4884">
        <w:fldChar w:fldCharType="begin"/>
      </w:r>
      <w:r w:rsidR="00157743">
        <w:instrText xml:space="preserve"> ADDIN EN.CITE &lt;EndNote&gt;&lt;Cite&gt;&lt;Author&gt;Claxton&lt;/Author&gt;&lt;Year&gt;2018&lt;/Year&gt;&lt;RecNum&gt;38&lt;/RecNum&gt;&lt;Prefix&gt;e.g. &lt;/Prefix&gt;&lt;DisplayText&gt;(e.g. Claxton et al., 2018, Martin et al., 2021b)&lt;/DisplayText&gt;&lt;record&gt;&lt;rec-number&gt;38&lt;/rec-number&gt;&lt;foreign-keys&gt;&lt;key app="EN" db-id="r920as25hw5rrve2fa8psvr8e0dxvzxa200s" timestamp="1570712599" guid="1c6c951c-0735-4933-a83c-fb4be973a42d"&gt;38&lt;/key&gt;&lt;/foreign-keys&gt;&lt;ref-type name="Journal Article"&gt;17&lt;/ref-type&gt;&lt;contributors&gt;&lt;authors&gt;&lt;author&gt;Claxton, Karl&lt;/author&gt;&lt;author&gt;Lomas, James&lt;/author&gt;&lt;author&gt;Martin, Stephen&lt;/author&gt;&lt;/authors&gt;&lt;/contributors&gt;&lt;titles&gt;&lt;title&gt;The impact of NHS expenditure on health outcomes in England: Alternative approaches to identification in all‐cause and disease specific models of mortality&lt;/title&gt;&lt;secondary-title&gt;Health economics&lt;/secondary-title&gt;&lt;/titles&gt;&lt;periodical&gt;&lt;full-title&gt;Health economics&lt;/full-title&gt;&lt;/periodical&gt;&lt;pages&gt;1017-1023&lt;/pages&gt;&lt;volume&gt;27&lt;/volume&gt;&lt;number&gt;6&lt;/number&gt;&lt;dates&gt;&lt;year&gt;2018&lt;/year&gt;&lt;/dates&gt;&lt;isbn&gt;1057-9230&lt;/isbn&gt;&lt;urls&gt;&lt;/urls&gt;&lt;/record&gt;&lt;/Cite&gt;&lt;Cite&gt;&lt;Author&gt;Martin&lt;/Author&gt;&lt;Year&gt;2021&lt;/Year&gt;&lt;RecNum&gt;556&lt;/RecNum&gt;&lt;record&gt;&lt;rec-number&gt;556&lt;/rec-number&gt;&lt;foreign-keys&gt;&lt;key app="EN" db-id="r920as25hw5rrve2fa8psvr8e0dxvzxa200s" timestamp="1633693088" guid="9cf50314-f5a2-47a5-ab20-bc676814f0bb"&gt;556&lt;/key&gt;&lt;/foreign-keys&gt;&lt;ref-type name="Journal Article"&gt;17&lt;/ref-type&gt;&lt;contributors&gt;&lt;authors&gt;&lt;author&gt;Martin, Stephen&lt;/author&gt;&lt;author&gt;Longo, Francesco&lt;/author&gt;&lt;author&gt;Lomas, James&lt;/author&gt;&lt;author&gt;Claxton, Karl Philip&lt;/author&gt;&lt;/authors&gt;&lt;/contributors&gt;&lt;titles&gt;&lt;title&gt;The causal impact of social care, public health and healthcare expenditure on mortality in England: cross-sectional evidence for 2013/14&lt;/title&gt;&lt;secondary-title&gt;BMJ Open&lt;/secondary-title&gt;&lt;/titles&gt;&lt;periodical&gt;&lt;full-title&gt;BMJ open&lt;/full-title&gt;&lt;/periodical&gt;&lt;dates&gt;&lt;year&gt;2021&lt;/year&gt;&lt;/dates&gt;&lt;isbn&gt;2044-6055&lt;/isbn&gt;&lt;urls&gt;&lt;/urls&gt;&lt;/record&gt;&lt;/Cite&gt;&lt;/EndNote&gt;</w:instrText>
      </w:r>
      <w:r w:rsidR="00C14AB3" w:rsidRPr="002A4884">
        <w:fldChar w:fldCharType="separate"/>
      </w:r>
      <w:r w:rsidR="00EA2F63">
        <w:rPr>
          <w:noProof/>
        </w:rPr>
        <w:t>(e.g. Claxton et al., 2018, Martin et al., 2021b)</w:t>
      </w:r>
      <w:r w:rsidR="00C14AB3" w:rsidRPr="002A4884">
        <w:fldChar w:fldCharType="end"/>
      </w:r>
      <w:r w:rsidR="00C14AB3" w:rsidRPr="002A4884">
        <w:t xml:space="preserve">, </w:t>
      </w:r>
      <w:r w:rsidR="009870B0" w:rsidRPr="002A4884">
        <w:t xml:space="preserve">we </w:t>
      </w:r>
      <w:r w:rsidR="00C14AB3" w:rsidRPr="002A4884">
        <w:t>estimate the</w:t>
      </w:r>
      <w:r w:rsidR="00F472F8">
        <w:t xml:space="preserve"> mortality elasticity of</w:t>
      </w:r>
      <w:r w:rsidR="00C14AB3" w:rsidRPr="002A4884">
        <w:t xml:space="preserve"> HC and LTC expenditure. </w:t>
      </w:r>
      <w:r w:rsidR="007D5FAF" w:rsidRPr="002A4884">
        <w:t xml:space="preserve">These </w:t>
      </w:r>
      <w:r w:rsidR="007D5FAF">
        <w:t xml:space="preserve">sources of </w:t>
      </w:r>
      <w:r w:rsidR="00D84537">
        <w:t>expenditure</w:t>
      </w:r>
      <w:r w:rsidR="007D5FAF">
        <w:t xml:space="preserve"> </w:t>
      </w:r>
      <w:r w:rsidR="007D5FAF" w:rsidRPr="002A4884">
        <w:t>are likely to be endogenous because</w:t>
      </w:r>
      <w:r w:rsidR="00CE1AA0">
        <w:t xml:space="preserve"> they may</w:t>
      </w:r>
      <w:r w:rsidR="00157743">
        <w:t xml:space="preserve"> </w:t>
      </w:r>
      <w:r w:rsidR="00CE1AA0">
        <w:t>be</w:t>
      </w:r>
      <w:r w:rsidR="007D5FAF" w:rsidRPr="002A4884">
        <w:t xml:space="preserve"> correlated with unobserved factors</w:t>
      </w:r>
      <w:r w:rsidR="007D5FAF">
        <w:t xml:space="preserve"> having an impact on mortality</w:t>
      </w:r>
      <w:r w:rsidR="007D5FAF" w:rsidRPr="002A4884">
        <w:t>, such as unobserved health and care needs. In addition, endogeneity may arise from simultaneity between expenditure and mortality since, for example, higher mortality may determine more investments in HC and LTC</w:t>
      </w:r>
      <w:r w:rsidR="007D5FAF">
        <w:t xml:space="preserve"> </w:t>
      </w:r>
      <w:r w:rsidR="007D5FAF">
        <w:fldChar w:fldCharType="begin"/>
      </w:r>
      <w:r w:rsidR="00157743">
        <w:instrText xml:space="preserve"> ADDIN EN.CITE &lt;EndNote&gt;&lt;Cite&gt;&lt;Author&gt;Aragon&lt;/Author&gt;&lt;Year&gt;2016&lt;/Year&gt;&lt;RecNum&gt;562&lt;/RecNum&gt;&lt;Prefix&gt;e.g. &lt;/Prefix&gt;&lt;DisplayText&gt;(e.g. Aragon et al., 2016)&lt;/DisplayText&gt;&lt;record&gt;&lt;rec-number&gt;562&lt;/rec-number&gt;&lt;foreign-keys&gt;&lt;key app="EN" db-id="r920as25hw5rrve2fa8psvr8e0dxvzxa200s" timestamp="1645629577" guid="1c56c80f-7315-447c-8073-0ca35ca1cba3"&gt;562&lt;/key&gt;&lt;/foreign-keys&gt;&lt;ref-type name="Journal Article"&gt;17&lt;/ref-type&gt;&lt;contributors&gt;&lt;authors&gt;&lt;author&gt;Aragon, Maria Jose&lt;/author&gt;&lt;author&gt;Chalkley, Martin&lt;/author&gt;&lt;author&gt;Rice, Nigel&lt;/author&gt;&lt;/authors&gt;&lt;/contributors&gt;&lt;titles&gt;&lt;title&gt;Medical spending and hospital inpatient care in England: an analysis over time&lt;/title&gt;&lt;secondary-title&gt;Fiscal Studies&lt;/secondary-title&gt;&lt;/titles&gt;&lt;periodical&gt;&lt;full-title&gt;Fiscal Studies&lt;/full-title&gt;&lt;/periodical&gt;&lt;pages&gt;405-432&lt;/pages&gt;&lt;volume&gt;37&lt;/volume&gt;&lt;number&gt;3-4&lt;/number&gt;&lt;dates&gt;&lt;year&gt;2016&lt;/year&gt;&lt;/dates&gt;&lt;isbn&gt;0143-5671&lt;/isbn&gt;&lt;urls&gt;&lt;/urls&gt;&lt;/record&gt;&lt;/Cite&gt;&lt;/EndNote&gt;</w:instrText>
      </w:r>
      <w:r w:rsidR="007D5FAF">
        <w:fldChar w:fldCharType="separate"/>
      </w:r>
      <w:r w:rsidR="007D5FAF">
        <w:rPr>
          <w:noProof/>
        </w:rPr>
        <w:t>(e.g. Aragon et al., 2016)</w:t>
      </w:r>
      <w:r w:rsidR="007D5FAF">
        <w:fldChar w:fldCharType="end"/>
      </w:r>
      <w:r w:rsidR="007D5FAF" w:rsidRPr="002A4884">
        <w:t>. To address endogeneity</w:t>
      </w:r>
      <w:r w:rsidR="007254C3">
        <w:t xml:space="preserve"> in HC and LTC expenditure</w:t>
      </w:r>
      <w:r w:rsidR="007D5FAF" w:rsidRPr="002A4884">
        <w:t xml:space="preserve">, we </w:t>
      </w:r>
      <w:r w:rsidR="007254C3">
        <w:t>follow the approach introduced</w:t>
      </w:r>
      <w:r w:rsidR="007254C3" w:rsidRPr="00D84537">
        <w:t xml:space="preserve"> </w:t>
      </w:r>
      <w:r w:rsidR="007254C3" w:rsidRPr="002A4884">
        <w:t xml:space="preserve">by </w:t>
      </w:r>
      <w:r w:rsidR="007254C3" w:rsidRPr="002A4884">
        <w:fldChar w:fldCharType="begin"/>
      </w:r>
      <w:r w:rsidR="007254C3">
        <w:instrText xml:space="preserve"> ADDIN EN.CITE &lt;EndNote&gt;&lt;Cite AuthorYear="1"&gt;&lt;Author&gt;Andrews&lt;/Author&gt;&lt;Year&gt;2017&lt;/Year&gt;&lt;RecNum&gt;39&lt;/RecNum&gt;&lt;DisplayText&gt;Andrews et al. (2017)&lt;/DisplayText&gt;&lt;record&gt;&lt;rec-number&gt;39&lt;/rec-number&gt;&lt;foreign-keys&gt;&lt;key app="EN" db-id="r920as25hw5rrve2fa8psvr8e0dxvzxa200s" timestamp="1570712608" guid="4cb1937b-4f5a-4b16-8642-ad0cdf3a148a"&gt;39&lt;/key&gt;&lt;/foreign-keys&gt;&lt;ref-type name="Journal Article"&gt;17&lt;/ref-type&gt;&lt;contributors&gt;&lt;authors&gt;&lt;author&gt;Andrews, Martyn&lt;/author&gt;&lt;author&gt;Elamin, Obbey&lt;/author&gt;&lt;author&gt;Hall, Alastair R&lt;/author&gt;&lt;author&gt;Kyriakoulis, Kostas&lt;/author&gt;&lt;author&gt;Sutton, Matthew&lt;/author&gt;&lt;/authors&gt;&lt;/contributors&gt;&lt;titles&gt;&lt;title&gt;Inference in the presence of redundant moment conditions and the impact of government health expenditure on health outcomes in England&lt;/title&gt;&lt;secondary-title&gt;Econometric Reviews&lt;/secondary-title&gt;&lt;/titles&gt;&lt;periodical&gt;&lt;full-title&gt;Econometric Reviews&lt;/full-title&gt;&lt;/periodical&gt;&lt;pages&gt;23-41&lt;/pages&gt;&lt;volume&gt;36&lt;/volume&gt;&lt;number&gt;1-3&lt;/number&gt;&lt;dates&gt;&lt;year&gt;2017&lt;/year&gt;&lt;/dates&gt;&lt;isbn&gt;0747-4938&lt;/isbn&gt;&lt;urls&gt;&lt;/urls&gt;&lt;/record&gt;&lt;/Cite&gt;&lt;/EndNote&gt;</w:instrText>
      </w:r>
      <w:r w:rsidR="007254C3" w:rsidRPr="002A4884">
        <w:fldChar w:fldCharType="separate"/>
      </w:r>
      <w:r w:rsidR="007254C3" w:rsidRPr="002A4884">
        <w:rPr>
          <w:noProof/>
        </w:rPr>
        <w:t>Andrews et al. (2017)</w:t>
      </w:r>
      <w:r w:rsidR="007254C3" w:rsidRPr="002A4884">
        <w:fldChar w:fldCharType="end"/>
      </w:r>
      <w:r w:rsidR="007254C3" w:rsidRPr="002A4884">
        <w:t xml:space="preserve"> and </w:t>
      </w:r>
      <w:r w:rsidR="007254C3" w:rsidRPr="002A4884">
        <w:fldChar w:fldCharType="begin"/>
      </w:r>
      <w:r w:rsidR="007254C3">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7254C3" w:rsidRPr="002A4884">
        <w:fldChar w:fldCharType="separate"/>
      </w:r>
      <w:r w:rsidR="007254C3">
        <w:rPr>
          <w:noProof/>
        </w:rPr>
        <w:t>Longo et al. (2021)</w:t>
      </w:r>
      <w:r w:rsidR="007254C3" w:rsidRPr="002A4884">
        <w:fldChar w:fldCharType="end"/>
      </w:r>
      <w:r w:rsidR="007254C3">
        <w:t>, respectively.</w:t>
      </w:r>
      <w:r w:rsidR="00606B3E">
        <w:t xml:space="preserve"> </w:t>
      </w:r>
      <w:r w:rsidR="007254C3" w:rsidRPr="002A4884">
        <w:t>Both approaches suggest the selection of instruments among variables which determine the level of HC and LTC funding and which can be argued to be exogenous conditional on need and socio-economic variables.</w:t>
      </w:r>
      <w:r w:rsidR="007254C3">
        <w:t xml:space="preserve"> </w:t>
      </w:r>
      <w:r w:rsidR="00BE1BFA">
        <w:t>T</w:t>
      </w:r>
      <w:r w:rsidR="00C14AB3" w:rsidRPr="002A4884">
        <w:t>h</w:t>
      </w:r>
      <w:r w:rsidR="000B7D41">
        <w:t>is</w:t>
      </w:r>
      <w:r w:rsidR="00C14AB3" w:rsidRPr="002A4884">
        <w:t xml:space="preserve"> </w:t>
      </w:r>
      <w:r w:rsidR="000B7D41">
        <w:t xml:space="preserve">identification strategy </w:t>
      </w:r>
      <w:r w:rsidR="00C14AB3" w:rsidRPr="002A4884">
        <w:t>estimate</w:t>
      </w:r>
      <w:r w:rsidR="000B7D41">
        <w:t>s</w:t>
      </w:r>
      <w:r w:rsidR="00C14AB3" w:rsidRPr="002A4884">
        <w:t xml:space="preserve"> </w:t>
      </w:r>
      <w:r w:rsidR="00BE1BFA">
        <w:t xml:space="preserve">a </w:t>
      </w:r>
      <w:r w:rsidR="00C14AB3" w:rsidRPr="002A4884">
        <w:t>mortality effect</w:t>
      </w:r>
      <w:r w:rsidR="000B7D41">
        <w:t xml:space="preserve"> that</w:t>
      </w:r>
      <w:r w:rsidR="00C14AB3" w:rsidRPr="002A4884">
        <w:t xml:space="preserve"> potentially capture</w:t>
      </w:r>
      <w:r w:rsidR="00BE1BFA">
        <w:t>s</w:t>
      </w:r>
      <w:r w:rsidR="00C14AB3" w:rsidRPr="002A4884">
        <w:t xml:space="preserve"> both </w:t>
      </w:r>
      <w:r w:rsidR="00BE1BFA">
        <w:t xml:space="preserve">the </w:t>
      </w:r>
      <w:r w:rsidR="00C14AB3" w:rsidRPr="002A4884">
        <w:t xml:space="preserve">direct and </w:t>
      </w:r>
      <w:r w:rsidR="00BE1BFA">
        <w:t xml:space="preserve">any </w:t>
      </w:r>
      <w:r w:rsidR="00C14AB3" w:rsidRPr="002A4884">
        <w:t xml:space="preserve">indirect </w:t>
      </w:r>
      <w:r w:rsidR="00D976B4">
        <w:t xml:space="preserve">mortality </w:t>
      </w:r>
      <w:r w:rsidR="00C14AB3" w:rsidRPr="002A4884">
        <w:t>effect</w:t>
      </w:r>
      <w:r w:rsidR="00BE1BFA">
        <w:t xml:space="preserve"> that may exist</w:t>
      </w:r>
      <w:r w:rsidR="00C14AB3" w:rsidRPr="002A4884">
        <w:t xml:space="preserve">. </w:t>
      </w:r>
      <w:r w:rsidR="005D4FA7">
        <w:t>Therefore</w:t>
      </w:r>
      <w:r w:rsidR="00C14AB3" w:rsidRPr="002A4884">
        <w:t xml:space="preserve">, we </w:t>
      </w:r>
      <w:r w:rsidR="005A68E6" w:rsidRPr="002A4884">
        <w:t>test</w:t>
      </w:r>
      <w:r w:rsidR="00DE6968" w:rsidRPr="002A4884">
        <w:t xml:space="preserve"> whether</w:t>
      </w:r>
      <w:r w:rsidR="005A68E6" w:rsidRPr="002A4884">
        <w:t xml:space="preserve"> indirect </w:t>
      </w:r>
      <w:r w:rsidR="00D976B4">
        <w:t xml:space="preserve">mortality </w:t>
      </w:r>
      <w:r w:rsidR="005A68E6" w:rsidRPr="002A4884">
        <w:t xml:space="preserve">effects </w:t>
      </w:r>
      <w:r w:rsidR="00DE6968" w:rsidRPr="002A4884">
        <w:t xml:space="preserve">exist </w:t>
      </w:r>
      <w:r w:rsidR="005A68E6" w:rsidRPr="002A4884">
        <w:t xml:space="preserve">via </w:t>
      </w:r>
      <w:r w:rsidR="00F75856" w:rsidRPr="002A4884">
        <w:t>a</w:t>
      </w:r>
      <w:r w:rsidR="008D52EC" w:rsidRPr="002A4884">
        <w:t>n IV</w:t>
      </w:r>
      <w:r w:rsidR="00F75856" w:rsidRPr="002A4884">
        <w:t xml:space="preserve"> regression </w:t>
      </w:r>
      <w:r w:rsidR="00DE6968" w:rsidRPr="002A4884">
        <w:t xml:space="preserve">where mortality is the dependent variable and </w:t>
      </w:r>
      <w:r w:rsidR="00CF1849" w:rsidRPr="002A4884">
        <w:t xml:space="preserve">HC </w:t>
      </w:r>
      <w:r w:rsidR="00DE6968" w:rsidRPr="002A4884">
        <w:t xml:space="preserve">expenditure, </w:t>
      </w:r>
      <w:r w:rsidR="00CF1849" w:rsidRPr="002A4884">
        <w:t>LTC expenditure and their interaction</w:t>
      </w:r>
      <w:r w:rsidR="00F75856" w:rsidRPr="002A4884">
        <w:t xml:space="preserve"> </w:t>
      </w:r>
      <w:r w:rsidR="00DE6968" w:rsidRPr="002A4884">
        <w:t xml:space="preserve">are </w:t>
      </w:r>
      <w:r w:rsidR="00F75856" w:rsidRPr="002A4884">
        <w:t>key independent variables</w:t>
      </w:r>
      <w:r w:rsidR="00CF1849" w:rsidRPr="002A4884">
        <w:t xml:space="preserve">. </w:t>
      </w:r>
      <w:r w:rsidR="00E07DA1">
        <w:t xml:space="preserve">Although this approach can establish </w:t>
      </w:r>
      <w:r w:rsidR="00B922F5" w:rsidRPr="002A4884">
        <w:t xml:space="preserve">the existence of indirect </w:t>
      </w:r>
      <w:r w:rsidR="009E47D1">
        <w:t xml:space="preserve">mortality </w:t>
      </w:r>
      <w:r w:rsidR="00B922F5" w:rsidRPr="002A4884">
        <w:t xml:space="preserve">effects, </w:t>
      </w:r>
      <w:r w:rsidR="00E07DA1">
        <w:t xml:space="preserve">it </w:t>
      </w:r>
      <w:r w:rsidR="00F75856" w:rsidRPr="002A4884">
        <w:t xml:space="preserve">is unable to </w:t>
      </w:r>
      <w:r w:rsidR="00B30806">
        <w:t xml:space="preserve">disentangle </w:t>
      </w:r>
      <w:r w:rsidR="009A22C4">
        <w:t xml:space="preserve">direct and </w:t>
      </w:r>
      <w:r w:rsidR="008D52EC" w:rsidRPr="002A4884">
        <w:t xml:space="preserve">indirect </w:t>
      </w:r>
      <w:r w:rsidR="00D976B4">
        <w:t xml:space="preserve">mortality </w:t>
      </w:r>
      <w:r w:rsidR="008D52EC" w:rsidRPr="002A4884">
        <w:t>effects</w:t>
      </w:r>
      <w:r w:rsidR="00F75856" w:rsidRPr="002A4884">
        <w:t xml:space="preserve">. </w:t>
      </w:r>
      <w:r w:rsidR="00124838">
        <w:t xml:space="preserve">To identify the </w:t>
      </w:r>
      <w:r w:rsidR="001C23E8">
        <w:t xml:space="preserve">magnitude of </w:t>
      </w:r>
      <w:r w:rsidR="002F007C">
        <w:t xml:space="preserve">direct and </w:t>
      </w:r>
      <w:r w:rsidR="00124838">
        <w:t>indirect mortality effect</w:t>
      </w:r>
      <w:r w:rsidR="001C23E8">
        <w:t>s</w:t>
      </w:r>
      <w:r w:rsidR="00124838">
        <w:t>,</w:t>
      </w:r>
      <w:r w:rsidR="0051625F">
        <w:t xml:space="preserve"> </w:t>
      </w:r>
      <w:r w:rsidR="00DF4C54">
        <w:t>w</w:t>
      </w:r>
      <w:r w:rsidR="009E091A">
        <w:t>e use</w:t>
      </w:r>
      <w:r w:rsidR="001C23E8">
        <w:t xml:space="preserve"> a </w:t>
      </w:r>
      <w:r w:rsidR="001C23E8" w:rsidRPr="001C23E8">
        <w:t xml:space="preserve">series of IV regressions </w:t>
      </w:r>
      <w:r w:rsidR="009E091A">
        <w:t>to</w:t>
      </w:r>
      <w:r w:rsidR="000D6328">
        <w:t xml:space="preserve"> </w:t>
      </w:r>
      <w:r w:rsidR="008D52EC" w:rsidRPr="002A4884">
        <w:t xml:space="preserve">explore whether </w:t>
      </w:r>
      <w:r w:rsidR="0056181B" w:rsidRPr="002A4884">
        <w:t xml:space="preserve">LTC </w:t>
      </w:r>
      <w:r w:rsidR="00F91DB5" w:rsidRPr="002A4884">
        <w:t>(</w:t>
      </w:r>
      <w:r w:rsidR="0056181B" w:rsidRPr="002A4884">
        <w:t>HC</w:t>
      </w:r>
      <w:r w:rsidR="00F91DB5" w:rsidRPr="002A4884">
        <w:t>)</w:t>
      </w:r>
      <w:r w:rsidR="0056181B" w:rsidRPr="002A4884">
        <w:t xml:space="preserve"> expenditure impact</w:t>
      </w:r>
      <w:r w:rsidR="005F72FF">
        <w:t>s</w:t>
      </w:r>
      <w:r w:rsidR="0056181B" w:rsidRPr="002A4884">
        <w:t xml:space="preserve"> </w:t>
      </w:r>
      <w:r w:rsidR="0051625F">
        <w:t xml:space="preserve">level and composition of HC (LTC) </w:t>
      </w:r>
      <w:r w:rsidR="008D52EC" w:rsidRPr="002A4884">
        <w:t>expenditure</w:t>
      </w:r>
      <w:r w:rsidR="0051625F">
        <w:t xml:space="preserve">, </w:t>
      </w:r>
      <w:r w:rsidR="00DF4C54">
        <w:t xml:space="preserve">which are </w:t>
      </w:r>
      <w:r w:rsidR="0051625F">
        <w:t>two possible channels for the indirect effec</w:t>
      </w:r>
      <w:r w:rsidR="000B42FC">
        <w:t>t</w:t>
      </w:r>
      <w:r w:rsidR="0051625F">
        <w:t xml:space="preserve">. Changes in the composition are </w:t>
      </w:r>
      <w:r w:rsidR="006C502A">
        <w:t xml:space="preserve">evaluated </w:t>
      </w:r>
      <w:r w:rsidR="0051625F">
        <w:t xml:space="preserve">by analysing the impact of LTC (HC) expenditure on expenditure for </w:t>
      </w:r>
      <w:r w:rsidR="008D52EC" w:rsidRPr="002A4884">
        <w:t xml:space="preserve">HC </w:t>
      </w:r>
      <w:r w:rsidR="00F91DB5" w:rsidRPr="002A4884">
        <w:t>(</w:t>
      </w:r>
      <w:r w:rsidR="008D52EC" w:rsidRPr="002A4884">
        <w:t>LTC</w:t>
      </w:r>
      <w:r w:rsidR="00F91DB5" w:rsidRPr="002A4884">
        <w:t>)</w:t>
      </w:r>
      <w:r w:rsidR="008D52EC" w:rsidRPr="002A4884">
        <w:t xml:space="preserve"> sub-sectors (e.g. elective care for HC</w:t>
      </w:r>
      <w:r w:rsidR="007F0D4B" w:rsidRPr="002A4884">
        <w:t>,</w:t>
      </w:r>
      <w:r w:rsidR="008D52EC" w:rsidRPr="002A4884">
        <w:t xml:space="preserve"> community care for LTC)</w:t>
      </w:r>
      <w:r w:rsidR="00F91DB5" w:rsidRPr="002A4884">
        <w:t xml:space="preserve">. </w:t>
      </w:r>
      <w:r w:rsidR="001C23E8">
        <w:t>W</w:t>
      </w:r>
      <w:r w:rsidR="00082D6E" w:rsidRPr="002A4884">
        <w:t xml:space="preserve">e </w:t>
      </w:r>
      <w:r w:rsidR="001C23E8">
        <w:t xml:space="preserve">then </w:t>
      </w:r>
      <w:r w:rsidR="00082D6E" w:rsidRPr="002A4884">
        <w:t>estimate a</w:t>
      </w:r>
      <w:r w:rsidR="00DE6968" w:rsidRPr="002A4884">
        <w:t>n</w:t>
      </w:r>
      <w:r w:rsidR="00082D6E" w:rsidRPr="002A4884">
        <w:t xml:space="preserve"> IV regression </w:t>
      </w:r>
      <w:r w:rsidR="00F91DB5" w:rsidRPr="002A4884">
        <w:t xml:space="preserve">which controls for the possible change in the </w:t>
      </w:r>
      <w:r w:rsidR="000B42FC">
        <w:t xml:space="preserve">level and </w:t>
      </w:r>
      <w:r w:rsidR="00F91DB5" w:rsidRPr="002A4884">
        <w:t>composition of expenditure in the other sector</w:t>
      </w:r>
      <w:r w:rsidR="00124838">
        <w:t>. This allows us</w:t>
      </w:r>
      <w:r w:rsidR="00F91DB5" w:rsidRPr="002A4884">
        <w:t xml:space="preserve"> to </w:t>
      </w:r>
      <w:r w:rsidR="00124838">
        <w:t xml:space="preserve">identify </w:t>
      </w:r>
      <w:r w:rsidR="006E1238">
        <w:t xml:space="preserve">the </w:t>
      </w:r>
      <w:r w:rsidR="00F91DB5" w:rsidRPr="002A4884">
        <w:t xml:space="preserve">indirect </w:t>
      </w:r>
      <w:r w:rsidR="00D976B4">
        <w:t xml:space="preserve">mortality </w:t>
      </w:r>
      <w:r w:rsidR="007F0D4B" w:rsidRPr="002A4884">
        <w:lastRenderedPageBreak/>
        <w:t>effect</w:t>
      </w:r>
      <w:r w:rsidR="00124838">
        <w:t xml:space="preserve"> </w:t>
      </w:r>
      <w:r w:rsidR="00D13C13">
        <w:t>of</w:t>
      </w:r>
      <w:r w:rsidR="00124838">
        <w:t xml:space="preserve"> each sector</w:t>
      </w:r>
      <w:r w:rsidR="00D13C13">
        <w:t xml:space="preserve"> </w:t>
      </w:r>
      <w:r w:rsidR="005F72FF">
        <w:t xml:space="preserve">that runs through </w:t>
      </w:r>
      <w:r w:rsidR="000B42FC">
        <w:t>these two possible channels</w:t>
      </w:r>
      <w:r w:rsidR="00F91DB5" w:rsidRPr="002A4884">
        <w:t>.</w:t>
      </w:r>
    </w:p>
    <w:p w14:paraId="4035573C" w14:textId="5FEAE15D" w:rsidR="0049355F" w:rsidRPr="002A4884" w:rsidRDefault="008F2C36" w:rsidP="0049355F">
      <w:r w:rsidRPr="008F2C36">
        <w:t>This study is structured as follow</w:t>
      </w:r>
      <w:r w:rsidR="00E07DA1">
        <w:t>s</w:t>
      </w:r>
      <w:r w:rsidR="006939C3">
        <w:t>. The next two S</w:t>
      </w:r>
      <w:r w:rsidRPr="008F2C36">
        <w:t xml:space="preserve">ections </w:t>
      </w:r>
      <w:r w:rsidR="00146044">
        <w:t>summarise</w:t>
      </w:r>
      <w:r w:rsidRPr="008F2C36">
        <w:t xml:space="preserve"> the institutional (</w:t>
      </w:r>
      <w:r w:rsidRPr="008F2C36">
        <w:fldChar w:fldCharType="begin"/>
      </w:r>
      <w:r w:rsidRPr="008F2C36">
        <w:instrText xml:space="preserve"> REF _Ref61441467 \r \h </w:instrText>
      </w:r>
      <w:r>
        <w:instrText xml:space="preserve"> \* MERGEFORMAT </w:instrText>
      </w:r>
      <w:r w:rsidRPr="008F2C36">
        <w:fldChar w:fldCharType="separate"/>
      </w:r>
      <w:r w:rsidR="007C7B62">
        <w:t>1.1</w:t>
      </w:r>
      <w:r w:rsidRPr="008F2C36">
        <w:fldChar w:fldCharType="end"/>
      </w:r>
      <w:r w:rsidRPr="008F2C36">
        <w:t xml:space="preserve">) and </w:t>
      </w:r>
      <w:r w:rsidR="00322055">
        <w:t>theoretical</w:t>
      </w:r>
      <w:r w:rsidR="00322055" w:rsidRPr="008F2C36">
        <w:t xml:space="preserve"> </w:t>
      </w:r>
      <w:r w:rsidRPr="008F2C36">
        <w:t>framework (</w:t>
      </w:r>
      <w:r w:rsidRPr="008F2C36">
        <w:fldChar w:fldCharType="begin"/>
      </w:r>
      <w:r w:rsidRPr="008F2C36">
        <w:instrText xml:space="preserve"> REF _Ref61441293 \r \h </w:instrText>
      </w:r>
      <w:r>
        <w:instrText xml:space="preserve"> \* MERGEFORMAT </w:instrText>
      </w:r>
      <w:r w:rsidRPr="008F2C36">
        <w:fldChar w:fldCharType="separate"/>
      </w:r>
      <w:r w:rsidR="007C7B62">
        <w:t>1.2</w:t>
      </w:r>
      <w:r w:rsidRPr="008F2C36">
        <w:fldChar w:fldCharType="end"/>
      </w:r>
      <w:r w:rsidRPr="008F2C36">
        <w:t>)</w:t>
      </w:r>
      <w:r w:rsidR="00E07DA1">
        <w:t>,</w:t>
      </w:r>
      <w:r w:rsidRPr="008F2C36">
        <w:t xml:space="preserve"> defining direct and indirect </w:t>
      </w:r>
      <w:r w:rsidR="00C77CC5">
        <w:t xml:space="preserve">mortality </w:t>
      </w:r>
      <w:r w:rsidRPr="008F2C36">
        <w:t xml:space="preserve">effects. Section </w:t>
      </w:r>
      <w:r w:rsidRPr="008F2C36">
        <w:fldChar w:fldCharType="begin"/>
      </w:r>
      <w:r w:rsidRPr="008F2C36">
        <w:instrText xml:space="preserve"> REF _Ref61875794 \r \h </w:instrText>
      </w:r>
      <w:r>
        <w:instrText xml:space="preserve"> \* MERGEFORMAT </w:instrText>
      </w:r>
      <w:r w:rsidRPr="008F2C36">
        <w:fldChar w:fldCharType="separate"/>
      </w:r>
      <w:r w:rsidR="007C7B62">
        <w:t>2</w:t>
      </w:r>
      <w:r w:rsidRPr="008F2C36">
        <w:fldChar w:fldCharType="end"/>
      </w:r>
      <w:r w:rsidRPr="008F2C36">
        <w:t xml:space="preserve"> illustrates the methods, Section </w:t>
      </w:r>
      <w:r w:rsidRPr="008F2C36">
        <w:fldChar w:fldCharType="begin"/>
      </w:r>
      <w:r w:rsidRPr="008F2C36">
        <w:instrText xml:space="preserve"> REF _Ref61875815 \r \h </w:instrText>
      </w:r>
      <w:r>
        <w:instrText xml:space="preserve"> \* MERGEFORMAT </w:instrText>
      </w:r>
      <w:r w:rsidRPr="008F2C36">
        <w:fldChar w:fldCharType="separate"/>
      </w:r>
      <w:r w:rsidR="007C7B62">
        <w:t>3</w:t>
      </w:r>
      <w:r w:rsidRPr="008F2C36">
        <w:fldChar w:fldCharType="end"/>
      </w:r>
      <w:r w:rsidRPr="008F2C36">
        <w:t xml:space="preserve"> describes the data and Section </w:t>
      </w:r>
      <w:r w:rsidRPr="008F2C36">
        <w:fldChar w:fldCharType="begin"/>
      </w:r>
      <w:r w:rsidRPr="008F2C36">
        <w:instrText xml:space="preserve"> REF _Ref61875832 \r \h </w:instrText>
      </w:r>
      <w:r>
        <w:instrText xml:space="preserve"> \* MERGEFORMAT </w:instrText>
      </w:r>
      <w:r w:rsidRPr="008F2C36">
        <w:fldChar w:fldCharType="separate"/>
      </w:r>
      <w:r w:rsidR="007C7B62">
        <w:t>4</w:t>
      </w:r>
      <w:r w:rsidRPr="008F2C36">
        <w:fldChar w:fldCharType="end"/>
      </w:r>
      <w:r w:rsidRPr="008F2C36">
        <w:t xml:space="preserve"> provide</w:t>
      </w:r>
      <w:r w:rsidR="00CE2299">
        <w:t>s</w:t>
      </w:r>
      <w:r w:rsidRPr="008F2C36">
        <w:t xml:space="preserve"> the results. Finally, Section </w:t>
      </w:r>
      <w:r w:rsidRPr="008F2C36">
        <w:fldChar w:fldCharType="begin"/>
      </w:r>
      <w:r w:rsidRPr="008F2C36">
        <w:instrText xml:space="preserve"> REF _Ref61875833 \r \h </w:instrText>
      </w:r>
      <w:r>
        <w:instrText xml:space="preserve"> \* MERGEFORMAT </w:instrText>
      </w:r>
      <w:r w:rsidRPr="008F2C36">
        <w:fldChar w:fldCharType="separate"/>
      </w:r>
      <w:r w:rsidR="007C7B62">
        <w:t>5</w:t>
      </w:r>
      <w:r w:rsidRPr="008F2C36">
        <w:fldChar w:fldCharType="end"/>
      </w:r>
      <w:r w:rsidRPr="008F2C36">
        <w:t xml:space="preserve"> discusses the results and conclude</w:t>
      </w:r>
      <w:r w:rsidR="00FF0D9F">
        <w:t>s</w:t>
      </w:r>
      <w:r w:rsidRPr="008F2C36">
        <w:t>.</w:t>
      </w:r>
    </w:p>
    <w:p w14:paraId="766E39B2" w14:textId="6AD4724E" w:rsidR="00733962" w:rsidRPr="002A4884" w:rsidRDefault="00733962" w:rsidP="00C72A0E">
      <w:pPr>
        <w:pStyle w:val="Heading2"/>
      </w:pPr>
      <w:bookmarkStart w:id="2" w:name="_Ref61441467"/>
      <w:r w:rsidRPr="002A4884">
        <w:t>Institutional framework</w:t>
      </w:r>
      <w:bookmarkEnd w:id="2"/>
    </w:p>
    <w:p w14:paraId="5EF7010A" w14:textId="38D07A20" w:rsidR="00CB6488" w:rsidRPr="002A4884" w:rsidRDefault="00CB6488" w:rsidP="00CB6488">
      <w:r w:rsidRPr="002A4884">
        <w:t>The English National Health Service (NHS) provides services which are universal, tax financed, and</w:t>
      </w:r>
      <w:r w:rsidR="00CE5526">
        <w:t xml:space="preserve">, mostly, </w:t>
      </w:r>
      <w:r w:rsidRPr="002A4884">
        <w:t>free at the point of</w:t>
      </w:r>
      <w:r w:rsidR="00EB4DF4" w:rsidRPr="002A4884">
        <w:t xml:space="preserve"> delivery</w:t>
      </w:r>
      <w:r w:rsidRPr="002A4884">
        <w:t>. The Department of Health</w:t>
      </w:r>
      <w:r w:rsidR="00AB4C74">
        <w:t xml:space="preserve"> and Social Care</w:t>
      </w:r>
      <w:r w:rsidRPr="002A4884">
        <w:t xml:space="preserve"> </w:t>
      </w:r>
      <w:r w:rsidR="003432A9" w:rsidRPr="002A4884">
        <w:t>(DH</w:t>
      </w:r>
      <w:r w:rsidR="00AB4C74">
        <w:t>SC</w:t>
      </w:r>
      <w:r w:rsidR="003432A9" w:rsidRPr="002A4884">
        <w:t xml:space="preserve">) </w:t>
      </w:r>
      <w:r w:rsidR="00EB4DF4" w:rsidRPr="002A4884">
        <w:t>assign</w:t>
      </w:r>
      <w:r w:rsidR="00744224">
        <w:t>ed</w:t>
      </w:r>
      <w:r w:rsidR="00EB4DF4" w:rsidRPr="002A4884">
        <w:t xml:space="preserve"> an annual fixed budget to each of the 212 </w:t>
      </w:r>
      <w:r w:rsidR="00B62625" w:rsidRPr="002A4884">
        <w:t>health</w:t>
      </w:r>
      <w:r w:rsidR="00EB4DF4" w:rsidRPr="002A4884">
        <w:t xml:space="preserve"> authorities, called clinical commissioning groups (CCGs), and </w:t>
      </w:r>
      <w:r w:rsidR="00CE5526">
        <w:t xml:space="preserve">most of </w:t>
      </w:r>
      <w:r w:rsidR="00EB4DF4" w:rsidRPr="002A4884">
        <w:t xml:space="preserve">this </w:t>
      </w:r>
      <w:r w:rsidR="0063410A" w:rsidRPr="002A4884">
        <w:t xml:space="preserve">budget </w:t>
      </w:r>
      <w:r w:rsidR="00744224">
        <w:t xml:space="preserve">was </w:t>
      </w:r>
      <w:r w:rsidR="00EB4DF4" w:rsidRPr="002A4884">
        <w:t xml:space="preserve">used to purchase </w:t>
      </w:r>
      <w:r w:rsidR="00CE5526">
        <w:t xml:space="preserve">pharmaceuticals and </w:t>
      </w:r>
      <w:r w:rsidR="00EB4DF4" w:rsidRPr="002A4884">
        <w:t xml:space="preserve">secondary HC services from HC providers. Primary HC, commissioning of specialised services and public health </w:t>
      </w:r>
      <w:r w:rsidR="00CC1CCB">
        <w:t xml:space="preserve">were </w:t>
      </w:r>
      <w:r w:rsidR="00EB4DF4" w:rsidRPr="002A4884">
        <w:t>instead managed</w:t>
      </w:r>
      <w:r w:rsidR="00AA57FF">
        <w:t xml:space="preserve"> more centrally</w:t>
      </w:r>
      <w:r w:rsidR="00EB4DF4" w:rsidRPr="002A4884">
        <w:t xml:space="preserve">. </w:t>
      </w:r>
      <w:r w:rsidR="0063410A" w:rsidRPr="002A4884">
        <w:t xml:space="preserve">Distribution of funding across CCGs </w:t>
      </w:r>
      <w:r w:rsidR="00DF7DF4">
        <w:t>was</w:t>
      </w:r>
      <w:r w:rsidR="00DF7DF4" w:rsidRPr="002A4884">
        <w:t xml:space="preserve"> </w:t>
      </w:r>
      <w:r w:rsidR="0063410A" w:rsidRPr="002A4884">
        <w:t>determined through a funding formula which include</w:t>
      </w:r>
      <w:r w:rsidR="00DF7DF4">
        <w:t>d</w:t>
      </w:r>
      <w:r w:rsidR="0063410A" w:rsidRPr="002A4884">
        <w:t xml:space="preserve"> a constant </w:t>
      </w:r>
      <w:r w:rsidR="002D38F6" w:rsidRPr="002A4884">
        <w:t>amount per capita</w:t>
      </w:r>
      <w:r w:rsidR="0063410A" w:rsidRPr="002A4884">
        <w:t xml:space="preserve"> and some </w:t>
      </w:r>
      <w:r w:rsidR="00E108EA" w:rsidRPr="002A4884">
        <w:t xml:space="preserve">top-ups </w:t>
      </w:r>
      <w:r w:rsidR="0063410A" w:rsidRPr="002A4884">
        <w:t>tak</w:t>
      </w:r>
      <w:r w:rsidR="00DF7DF4">
        <w:t>ing</w:t>
      </w:r>
      <w:r w:rsidR="0063410A" w:rsidRPr="002A4884">
        <w:t xml:space="preserve"> account of local needs. These factors adjust</w:t>
      </w:r>
      <w:r w:rsidR="00DF7DF4">
        <w:t>ed</w:t>
      </w:r>
      <w:r w:rsidR="0063410A" w:rsidRPr="002A4884">
        <w:t xml:space="preserve"> for age</w:t>
      </w:r>
      <w:r w:rsidR="005B7059">
        <w:t xml:space="preserve"> through the age-cost index</w:t>
      </w:r>
      <w:r w:rsidR="0063410A" w:rsidRPr="002A4884">
        <w:t>, needs</w:t>
      </w:r>
      <w:r w:rsidR="005B7059">
        <w:t xml:space="preserve"> through a variable capturing past mortality</w:t>
      </w:r>
      <w:r w:rsidR="0063410A" w:rsidRPr="002A4884">
        <w:t>, input prices</w:t>
      </w:r>
      <w:r w:rsidR="005B7059">
        <w:t xml:space="preserve"> through the market forces factor (MFF) index,</w:t>
      </w:r>
      <w:r w:rsidR="0063410A" w:rsidRPr="002A4884">
        <w:t xml:space="preserve"> and </w:t>
      </w:r>
      <w:r w:rsidR="003432A9" w:rsidRPr="002A4884">
        <w:t xml:space="preserve">the distance from </w:t>
      </w:r>
      <w:r w:rsidR="0063410A" w:rsidRPr="002A4884">
        <w:t>target (DFT) index.</w:t>
      </w:r>
      <w:r w:rsidR="003432A9" w:rsidRPr="002A4884">
        <w:t xml:space="preserve"> The DFT index smooth</w:t>
      </w:r>
      <w:r w:rsidR="00DF7DF4">
        <w:t>ed</w:t>
      </w:r>
      <w:r w:rsidR="003432A9" w:rsidRPr="002A4884">
        <w:t xml:space="preserve"> large and sudden changes to CCG budgets over time when DH</w:t>
      </w:r>
      <w:r w:rsidR="00DF7DF4">
        <w:t>SC</w:t>
      </w:r>
      <w:r w:rsidR="003432A9" w:rsidRPr="002A4884">
        <w:t xml:space="preserve"> update</w:t>
      </w:r>
      <w:r w:rsidR="00DF7DF4">
        <w:t>d</w:t>
      </w:r>
      <w:r w:rsidR="003432A9" w:rsidRPr="002A4884">
        <w:t xml:space="preserve"> the funding formula to reflect new circumstances of the local populations</w:t>
      </w:r>
      <w:r w:rsidR="0075111A" w:rsidRPr="002A4884">
        <w:t xml:space="preserve"> </w:t>
      </w:r>
      <w:r w:rsidR="0075111A" w:rsidRPr="002A4884">
        <w:fldChar w:fldCharType="begin"/>
      </w:r>
      <w:r w:rsidR="00F472F8">
        <w:instrText xml:space="preserve"> ADDIN EN.CITE &lt;EndNote&gt;&lt;Cite&gt;&lt;Author&gt;NHS England&lt;/Author&gt;&lt;Year&gt;2014&lt;/Year&gt;&lt;RecNum&gt;126&lt;/RecNum&gt;&lt;DisplayText&gt;(NHS England, 2014c)&lt;/DisplayText&gt;&lt;record&gt;&lt;rec-number&gt;126&lt;/rec-number&gt;&lt;foreign-keys&gt;&lt;key app="EN" db-id="r920as25hw5rrve2fa8psvr8e0dxvzxa200s" timestamp="1607688634" guid="07c89923-3ad3-43b4-8558-09ed43af2cf8"&gt;126&lt;/key&gt;&lt;/foreign-keys&gt;&lt;ref-type name="Generic"&gt;13&lt;/ref-type&gt;&lt;contributors&gt;&lt;authors&gt;&lt;author&gt;NHS England,&lt;/author&gt;&lt;/authors&gt;&lt;/contributors&gt;&lt;titles&gt;&lt;title&gt;Technical Guide to the formulae for 2014–15 and 2015–16 revenue allocations to Clinical Commissioning Groups and Area Teams&lt;/title&gt;&lt;/titles&gt;&lt;dates&gt;&lt;year&gt;2014&lt;/year&gt;&lt;/dates&gt;&lt;publisher&gt;London. Link: https://webarchive.nationalarchives.gov.uk/20160605060941/https://www.england.nhs.uk/wp-content/uploads/2014/03/tech-guide-rev-allocs.pdf. Access date: 20/11/2020&lt;/publisher&gt;&lt;urls&gt;&lt;/urls&gt;&lt;/record&gt;&lt;/Cite&gt;&lt;/EndNote&gt;</w:instrText>
      </w:r>
      <w:r w:rsidR="0075111A" w:rsidRPr="002A4884">
        <w:fldChar w:fldCharType="separate"/>
      </w:r>
      <w:r w:rsidR="00325033" w:rsidRPr="002A4884">
        <w:rPr>
          <w:noProof/>
        </w:rPr>
        <w:t>(NHS England, 2014c)</w:t>
      </w:r>
      <w:r w:rsidR="0075111A" w:rsidRPr="002A4884">
        <w:fldChar w:fldCharType="end"/>
      </w:r>
      <w:r w:rsidR="003432A9" w:rsidRPr="002A4884">
        <w:t>.</w:t>
      </w:r>
      <w:r w:rsidR="00303B18" w:rsidRPr="002A4884">
        <w:t xml:space="preserve"> Funding </w:t>
      </w:r>
      <w:r w:rsidR="00DF7DF4">
        <w:t>wa</w:t>
      </w:r>
      <w:r w:rsidR="00303B18" w:rsidRPr="002A4884">
        <w:t>s finally allocated by CCGs across disease areas</w:t>
      </w:r>
      <w:r w:rsidR="00EA1708" w:rsidRPr="002A4884">
        <w:t xml:space="preserve"> within their local</w:t>
      </w:r>
      <w:r w:rsidR="001D16AB" w:rsidRPr="002A4884">
        <w:t>ity</w:t>
      </w:r>
      <w:r w:rsidR="00303B18" w:rsidRPr="002A4884">
        <w:t>.</w:t>
      </w:r>
    </w:p>
    <w:p w14:paraId="4AA6EFA8" w14:textId="71DEDE30" w:rsidR="003958F9" w:rsidRDefault="00772EAA" w:rsidP="002D38F6">
      <w:r w:rsidRPr="002A4884">
        <w:t xml:space="preserve">The </w:t>
      </w:r>
      <w:r w:rsidR="00CF14B6" w:rsidRPr="002A4884">
        <w:t xml:space="preserve">English </w:t>
      </w:r>
      <w:r w:rsidRPr="002A4884">
        <w:t xml:space="preserve">public LTC programme for people </w:t>
      </w:r>
      <w:r w:rsidR="00CF14B6" w:rsidRPr="002A4884">
        <w:t xml:space="preserve">older than </w:t>
      </w:r>
      <w:r w:rsidRPr="002A4884">
        <w:t xml:space="preserve">18 </w:t>
      </w:r>
      <w:r w:rsidR="00CF14B6" w:rsidRPr="002A4884">
        <w:t xml:space="preserve">is </w:t>
      </w:r>
      <w:r w:rsidRPr="002A4884">
        <w:t xml:space="preserve">called Adult Social Care (ASC). </w:t>
      </w:r>
      <w:r w:rsidR="00400AA0" w:rsidRPr="002A4884">
        <w:t xml:space="preserve">ASC is provided by 152 LAs directly or through external organisations. Unlike NHS services, ASC services are means-tested on the basis of </w:t>
      </w:r>
      <w:r w:rsidR="00E271D3">
        <w:t xml:space="preserve">asset and savings </w:t>
      </w:r>
      <w:r w:rsidR="00CF14B6" w:rsidRPr="002A4884">
        <w:t xml:space="preserve">and </w:t>
      </w:r>
      <w:r w:rsidR="00400AA0" w:rsidRPr="002A4884">
        <w:t>needs</w:t>
      </w:r>
      <w:r w:rsidR="00CF14B6" w:rsidRPr="002A4884">
        <w:t xml:space="preserve">, so that </w:t>
      </w:r>
      <w:r w:rsidR="00400AA0" w:rsidRPr="002A4884">
        <w:t>individuals with asset and savings greater than £23</w:t>
      </w:r>
      <w:r w:rsidR="00405DA2">
        <w:t xml:space="preserve"> thousand </w:t>
      </w:r>
      <w:r w:rsidR="00400AA0" w:rsidRPr="002A4884">
        <w:t>are ineligible</w:t>
      </w:r>
      <w:r w:rsidR="00CF14B6" w:rsidRPr="002A4884">
        <w:t xml:space="preserve"> regardless of their needs</w:t>
      </w:r>
      <w:r w:rsidR="00400AA0" w:rsidRPr="002A4884">
        <w:t>.</w:t>
      </w:r>
      <w:r w:rsidR="00CF14B6" w:rsidRPr="002A4884">
        <w:t xml:space="preserve"> </w:t>
      </w:r>
      <w:r w:rsidR="00101895">
        <w:t>T</w:t>
      </w:r>
      <w:r w:rsidR="00101895" w:rsidRPr="002A4884">
        <w:t xml:space="preserve">he </w:t>
      </w:r>
      <w:r w:rsidR="00913531" w:rsidRPr="002A4884">
        <w:t xml:space="preserve">Care Act 2014 sets out </w:t>
      </w:r>
      <w:r w:rsidR="00CF14B6" w:rsidRPr="002A4884">
        <w:t>minimum level</w:t>
      </w:r>
      <w:r w:rsidR="00A543E7" w:rsidRPr="002A4884">
        <w:t>s</w:t>
      </w:r>
      <w:r w:rsidR="00CF14B6" w:rsidRPr="002A4884">
        <w:t xml:space="preserve"> of care</w:t>
      </w:r>
      <w:r w:rsidR="00101895">
        <w:t xml:space="preserve"> and</w:t>
      </w:r>
      <w:r w:rsidR="00616459">
        <w:t xml:space="preserve"> </w:t>
      </w:r>
      <w:r w:rsidR="004A6B90">
        <w:t xml:space="preserve">the generosity of the </w:t>
      </w:r>
      <w:r w:rsidR="00616459">
        <w:t xml:space="preserve">eligibility </w:t>
      </w:r>
      <w:r w:rsidR="004A6B90">
        <w:t>policy</w:t>
      </w:r>
      <w:r w:rsidR="00101895">
        <w:t xml:space="preserve"> beyond these levels</w:t>
      </w:r>
      <w:r w:rsidR="004A3788">
        <w:t xml:space="preserve"> has been argued to vary by type of LA because of factors such as innate culture and market conditions </w:t>
      </w:r>
      <w:r w:rsidR="004A3788">
        <w:fldChar w:fldCharType="begin"/>
      </w:r>
      <w:r w:rsidR="004A3788">
        <w:instrText xml:space="preserve"> ADDIN EN.CITE &lt;EndNote&gt;&lt;Cite&gt;&lt;Author&gt;Forder&lt;/Author&gt;&lt;Year&gt;2014&lt;/Year&gt;&lt;RecNum&gt;9&lt;/RecNum&gt;&lt;DisplayText&gt;(Forder et al., 2014)&lt;/DisplayText&gt;&lt;record&gt;&lt;rec-number&gt;9&lt;/rec-number&gt;&lt;foreign-keys&gt;&lt;key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004A3788">
        <w:fldChar w:fldCharType="separate"/>
      </w:r>
      <w:r w:rsidR="004A3788">
        <w:rPr>
          <w:noProof/>
        </w:rPr>
        <w:t>(Forder et al., 2014)</w:t>
      </w:r>
      <w:r w:rsidR="004A3788">
        <w:fldChar w:fldCharType="end"/>
      </w:r>
      <w:r w:rsidR="004A3788">
        <w:t>. There are four types of LAs responsible for ASC including unitary, metropolitan and county LAs, and London boroughs (inner and outer). While unitary and metropolitan LAs are responsible for all local services (e.g. education, passenger transport), County LAs and London boroughs share their power with other LAs (e.g. County councils).</w:t>
      </w:r>
    </w:p>
    <w:p w14:paraId="37962435" w14:textId="51E98D1C" w:rsidR="00772EAA" w:rsidRPr="002A4884" w:rsidRDefault="00CF14B6" w:rsidP="002D38F6">
      <w:r w:rsidRPr="002A4884">
        <w:t xml:space="preserve">LAs fund their services </w:t>
      </w:r>
      <w:r w:rsidR="006D6C4B" w:rsidRPr="002A4884">
        <w:t xml:space="preserve">mostly </w:t>
      </w:r>
      <w:r w:rsidRPr="002A4884">
        <w:t xml:space="preserve">through revenues from council tax </w:t>
      </w:r>
      <w:r w:rsidR="00B62625" w:rsidRPr="002A4884">
        <w:t xml:space="preserve">on domestic properties </w:t>
      </w:r>
      <w:r w:rsidRPr="002A4884">
        <w:t>and business rates</w:t>
      </w:r>
      <w:r w:rsidR="00B62625" w:rsidRPr="002A4884">
        <w:t xml:space="preserve"> </w:t>
      </w:r>
      <w:r w:rsidR="00A543E7" w:rsidRPr="002A4884">
        <w:t xml:space="preserve">tax </w:t>
      </w:r>
      <w:r w:rsidR="00B62625" w:rsidRPr="002A4884">
        <w:t>on non-domestic properties</w:t>
      </w:r>
      <w:r w:rsidRPr="002A4884">
        <w:t xml:space="preserve">, </w:t>
      </w:r>
      <w:r w:rsidR="006D6C4B" w:rsidRPr="002A4884">
        <w:t xml:space="preserve">and </w:t>
      </w:r>
      <w:r w:rsidRPr="002A4884">
        <w:t xml:space="preserve">grants from central government </w:t>
      </w:r>
      <w:r w:rsidR="00913531" w:rsidRPr="002A4884">
        <w:fldChar w:fldCharType="begin"/>
      </w:r>
      <w:r w:rsidR="008F1C74" w:rsidRPr="002A4884">
        <w:instrText xml:space="preserve"> ADDIN EN.CITE &lt;EndNote&gt;&lt;Cite&gt;&lt;Author&gt;Amin-Smith&lt;/Author&gt;&lt;Year&gt;2018&lt;/Year&gt;&lt;RecNum&gt;46&lt;/RecNum&gt;&lt;DisplayText&gt;(Amin-Smith et al., 2018, Brien, 2018)&lt;/DisplayText&gt;&lt;record&gt;&lt;rec-number&gt;46&lt;/rec-number&gt;&lt;foreign-keys&gt;&lt;key app="EN" db-id="9tzxep5txxexwme20fmvapwew0efdas59wxs" timestamp="1605886952"&gt;46&lt;/key&gt;&lt;/foreign-keys&gt;&lt;ref-type name="Journal Article"&gt;17&lt;/ref-type&gt;&lt;contributors&gt;&lt;authors&gt;&lt;author&gt;Amin-Smith, N&lt;/author&gt;&lt;author&gt;Phillips, D&lt;/author&gt;&lt;author&gt;Simpson, P&lt;/author&gt;&lt;/authors&gt;&lt;/contributors&gt;&lt;titles&gt;&lt;title&gt;Adult social care funding: a local or national responsibility&lt;/title&gt;&lt;secondary-title&gt;IFS Briefing Note No. BN227.). London: Institute for Fiscal Studies&lt;/secondary-title&gt;&lt;/titles&gt;&lt;periodical&gt;&lt;full-title&gt;IFS Briefing Note No. BN227.). London: Institute for Fiscal Studies&lt;/full-title&gt;&lt;/periodical&gt;&lt;dates&gt;&lt;year&gt;2018&lt;/year&gt;&lt;/dates&gt;&lt;urls&gt;&lt;/urls&gt;&lt;/record&gt;&lt;/Cite&gt;&lt;Cite&gt;&lt;Author&gt;Brien&lt;/Author&gt;&lt;Year&gt;2018&lt;/Year&gt;&lt;RecNum&gt;47&lt;/RecNum&gt;&lt;record&gt;&lt;rec-number&gt;47&lt;/rec-number&gt;&lt;foreign-keys&gt;&lt;key app="EN" db-id="9tzxep5txxexwme20fmvapwew0efdas59wxs" timestamp="1605887366"&gt;47&lt;/key&gt;&lt;/foreign-keys&gt;&lt;ref-type name="Government Document"&gt;46&lt;/ref-type&gt;&lt;contributors&gt;&lt;authors&gt;&lt;author&gt;Brien, Philip&lt;/author&gt;&lt;/authors&gt;&lt;/contributors&gt;&lt;titles&gt;&lt;title&gt;Local government finances. London: House of Commons Library&lt;/title&gt;&lt;/titles&gt;&lt;dates&gt;&lt;year&gt;2018&lt;/year&gt;&lt;/dates&gt;&lt;pub-location&gt;London. Link: https://researchbriefings.files.parliament.uk/documents/CBP-8431/CBP-8431.pdf. Access date: 20/11/2020&lt;/pub-location&gt;&lt;urls&gt;&lt;/urls&gt;&lt;/record&gt;&lt;/Cite&gt;&lt;/EndNote&gt;</w:instrText>
      </w:r>
      <w:r w:rsidR="00913531" w:rsidRPr="002A4884">
        <w:fldChar w:fldCharType="separate"/>
      </w:r>
      <w:r w:rsidR="00913531" w:rsidRPr="002A4884">
        <w:rPr>
          <w:noProof/>
        </w:rPr>
        <w:t>(Amin-Smith et al., 2018, Brien, 2018)</w:t>
      </w:r>
      <w:r w:rsidR="00913531" w:rsidRPr="002A4884">
        <w:fldChar w:fldCharType="end"/>
      </w:r>
      <w:r w:rsidRPr="002A4884">
        <w:t>.</w:t>
      </w:r>
      <w:r w:rsidR="002D38F6" w:rsidRPr="002A4884">
        <w:t xml:space="preserve"> </w:t>
      </w:r>
      <w:r w:rsidR="00845154" w:rsidRPr="002A4884">
        <w:t>Local t</w:t>
      </w:r>
      <w:r w:rsidR="00CC34B9" w:rsidRPr="002A4884">
        <w:t xml:space="preserve">ax revenues and part of the </w:t>
      </w:r>
      <w:r w:rsidR="00845154" w:rsidRPr="002A4884">
        <w:t xml:space="preserve">governmental </w:t>
      </w:r>
      <w:r w:rsidR="00CC34B9" w:rsidRPr="002A4884">
        <w:t>grants are not ring-fenced</w:t>
      </w:r>
      <w:r w:rsidR="00EB2206" w:rsidRPr="002A4884">
        <w:t xml:space="preserve"> </w:t>
      </w:r>
      <w:r w:rsidR="006D6C4B" w:rsidRPr="002A4884">
        <w:fldChar w:fldCharType="begin"/>
      </w:r>
      <w:r w:rsidR="00F472F8">
        <w:instrText xml:space="preserve"> ADDIN EN.CITE &lt;EndNote&gt;&lt;Cite&gt;&lt;Author&gt;Department for Communities and Local Government&lt;/Author&gt;&lt;Year&gt;2017&lt;/Year&gt;&lt;RecNum&gt;31&lt;/RecNum&gt;&lt;DisplayText&gt;(Department for Communities and Local Government, 2017)&lt;/DisplayText&gt;&lt;record&gt;&lt;rec-number&gt;31&lt;/rec-number&gt;&lt;foreign-keys&gt;&lt;key app="EN" db-id="r920as25hw5rrve2fa8psvr8e0dxvzxa200s" timestamp="1570694505" guid="5aabaccc-4124-41de-852b-0624436e367b"&gt;31&lt;/key&gt;&lt;/foreign-keys&gt;&lt;ref-type name="Government Document"&gt;46&lt;/ref-type&gt;&lt;contributors&gt;&lt;authors&gt;&lt;author&gt;Department for Communities and Local Government,&lt;/author&gt;&lt;/authors&gt;&lt;/contributors&gt;&lt;titles&gt;&lt;title&gt;Local Authority Revenue Expenditure and Financing: 2017-18 Budget, England&lt;/title&gt;&lt;/titles&gt;&lt;dates&gt;&lt;year&gt;2017&lt;/year&gt;&lt;/dates&gt;&lt;pub-location&gt;London&lt;/pub-location&gt;&lt;urls&gt;&lt;/urls&gt;&lt;/record&gt;&lt;/Cite&gt;&lt;/EndNote&gt;</w:instrText>
      </w:r>
      <w:r w:rsidR="006D6C4B" w:rsidRPr="002A4884">
        <w:fldChar w:fldCharType="separate"/>
      </w:r>
      <w:r w:rsidR="006D6C4B" w:rsidRPr="002A4884">
        <w:rPr>
          <w:noProof/>
        </w:rPr>
        <w:t>(Department for Communities and Local Government, 2017)</w:t>
      </w:r>
      <w:r w:rsidR="006D6C4B" w:rsidRPr="002A4884">
        <w:fldChar w:fldCharType="end"/>
      </w:r>
      <w:r w:rsidR="00845154" w:rsidRPr="002A4884">
        <w:t xml:space="preserve">. Therefore, </w:t>
      </w:r>
      <w:r w:rsidR="00777BA8" w:rsidRPr="002A4884">
        <w:t xml:space="preserve">the ASC budget </w:t>
      </w:r>
      <w:r w:rsidR="00234246">
        <w:t xml:space="preserve">is a proportion of the total budget </w:t>
      </w:r>
      <w:r w:rsidR="00777BA8" w:rsidRPr="002A4884">
        <w:t xml:space="preserve">across LAs </w:t>
      </w:r>
      <w:r w:rsidR="00234246">
        <w:t xml:space="preserve">and </w:t>
      </w:r>
      <w:r w:rsidR="00A12041">
        <w:t xml:space="preserve">this proportion can </w:t>
      </w:r>
      <w:r w:rsidR="00234246">
        <w:t xml:space="preserve">be </w:t>
      </w:r>
      <w:r w:rsidR="00777BA8" w:rsidRPr="002A4884">
        <w:t xml:space="preserve">flexible to the extent </w:t>
      </w:r>
      <w:r w:rsidR="00616459">
        <w:t>to</w:t>
      </w:r>
      <w:r w:rsidR="00777BA8" w:rsidRPr="002A4884">
        <w:t xml:space="preserve"> which </w:t>
      </w:r>
      <w:r w:rsidR="00CC34B9" w:rsidRPr="002A4884">
        <w:t xml:space="preserve">LAs </w:t>
      </w:r>
      <w:r w:rsidR="00A12041">
        <w:t xml:space="preserve">are willing to </w:t>
      </w:r>
      <w:r w:rsidR="00234246">
        <w:t>trad</w:t>
      </w:r>
      <w:r w:rsidR="00A12041">
        <w:t>e</w:t>
      </w:r>
      <w:r w:rsidR="00234246">
        <w:t xml:space="preserve"> off </w:t>
      </w:r>
      <w:r w:rsidR="008C4299">
        <w:t>ASC services with other</w:t>
      </w:r>
      <w:r w:rsidR="00777BA8" w:rsidRPr="002A4884">
        <w:t xml:space="preserve"> </w:t>
      </w:r>
      <w:r w:rsidR="00CC34B9" w:rsidRPr="002A4884">
        <w:t>LA services</w:t>
      </w:r>
      <w:r w:rsidR="00FA7E60">
        <w:t xml:space="preserve"> (e.g.</w:t>
      </w:r>
      <w:r w:rsidR="00845154" w:rsidRPr="002A4884">
        <w:t xml:space="preserve"> children’s and housing</w:t>
      </w:r>
      <w:r w:rsidR="006D6C4B" w:rsidRPr="002A4884">
        <w:t xml:space="preserve"> services</w:t>
      </w:r>
      <w:r w:rsidR="00FA7E60">
        <w:t>)</w:t>
      </w:r>
      <w:r w:rsidR="00845154" w:rsidRPr="002A4884">
        <w:t xml:space="preserve">. </w:t>
      </w:r>
      <w:r w:rsidR="006D6C4B" w:rsidRPr="002A4884">
        <w:t>G</w:t>
      </w:r>
      <w:r w:rsidR="00845154" w:rsidRPr="002A4884">
        <w:t xml:space="preserve">overnmental grants that </w:t>
      </w:r>
      <w:r w:rsidR="00921F56" w:rsidRPr="002A4884">
        <w:t xml:space="preserve">are </w:t>
      </w:r>
      <w:r w:rsidR="00845154" w:rsidRPr="002A4884">
        <w:t>r</w:t>
      </w:r>
      <w:r w:rsidR="002D38F6" w:rsidRPr="002A4884">
        <w:t xml:space="preserve">ing-fenced </w:t>
      </w:r>
      <w:r w:rsidR="00921F56" w:rsidRPr="002A4884">
        <w:t xml:space="preserve">for ASC are </w:t>
      </w:r>
      <w:r w:rsidR="002D38F6" w:rsidRPr="002A4884">
        <w:t xml:space="preserve">distributed across LAs according to the ASC relative needs formula </w:t>
      </w:r>
      <w:r w:rsidR="00913531" w:rsidRPr="002A4884">
        <w:fldChar w:fldCharType="begin"/>
      </w:r>
      <w:r w:rsidR="00F472F8">
        <w:instrText xml:space="preserve"> ADDIN EN.CITE &lt;EndNote&gt;&lt;Cite&gt;&lt;Author&gt;Department for Communities and Local Government&lt;/Author&gt;&lt;Year&gt;2014&lt;/Year&gt;&lt;RecNum&gt;7&lt;/RecNum&gt;&lt;DisplayText&gt;(Department for Communities and Local Government, 2014)&lt;/DisplayText&gt;&lt;record&gt;&lt;rec-number&gt;7&lt;/rec-number&gt;&lt;foreign-keys&gt;&lt;key app="EN" db-id="r920as25hw5rrve2fa8psvr8e0dxvzxa200s" timestamp="1551208948" guid="84db5f06-5703-4959-af5e-6b0f967d87cd"&gt;7&lt;/key&gt;&lt;/foreign-keys&gt;&lt;ref-type name="Government Document"&gt;46&lt;/ref-type&gt;&lt;contributors&gt;&lt;authors&gt;&lt;author&gt;Department for Communities and Local Government,&lt;/author&gt;&lt;/authors&gt;&lt;/contributors&gt;&lt;titles&gt;&lt;title&gt;Methodology Guide for Adults’ Personal Social Services Relative Needs Formulae 2013/14&lt;/title&gt;&lt;/titles&gt;&lt;dates&gt;&lt;year&gt;2014&lt;/year&gt;&lt;/dates&gt;&lt;pub-location&gt;London. Link: https://webarchive.nationalarchives.gov.uk/20131203161415/http://www.local.communities.gov.uk/finance/1314/methpssas.pdf&lt;/pub-location&gt;&lt;urls&gt;&lt;/urls&gt;&lt;/record&gt;&lt;/Cite&gt;&lt;/EndNote&gt;</w:instrText>
      </w:r>
      <w:r w:rsidR="00913531" w:rsidRPr="002A4884">
        <w:fldChar w:fldCharType="separate"/>
      </w:r>
      <w:r w:rsidR="00913531" w:rsidRPr="002A4884">
        <w:rPr>
          <w:noProof/>
        </w:rPr>
        <w:t>(Department for Communities and Local Government, 2014)</w:t>
      </w:r>
      <w:r w:rsidR="00913531" w:rsidRPr="002A4884">
        <w:fldChar w:fldCharType="end"/>
      </w:r>
      <w:r w:rsidR="00913531" w:rsidRPr="002A4884">
        <w:t>.</w:t>
      </w:r>
      <w:r w:rsidR="002D38F6" w:rsidRPr="002A4884">
        <w:t xml:space="preserve"> This includes a constant amount per capita across LAs and a number of top-ups</w:t>
      </w:r>
      <w:r w:rsidR="00A543E7" w:rsidRPr="002A4884">
        <w:t xml:space="preserve"> to </w:t>
      </w:r>
      <w:r w:rsidR="002D38F6" w:rsidRPr="002A4884">
        <w:t>account for needs through age, socio-economic deprivation</w:t>
      </w:r>
      <w:r w:rsidR="00814D58" w:rsidRPr="002A4884">
        <w:t xml:space="preserve"> and </w:t>
      </w:r>
      <w:r w:rsidR="002D38F6" w:rsidRPr="002A4884">
        <w:t>rurality</w:t>
      </w:r>
      <w:r w:rsidR="00E108EA" w:rsidRPr="002A4884">
        <w:t xml:space="preserve">, and </w:t>
      </w:r>
      <w:r w:rsidR="00814D58" w:rsidRPr="002A4884">
        <w:t xml:space="preserve">for </w:t>
      </w:r>
      <w:r w:rsidR="002D38F6" w:rsidRPr="002A4884">
        <w:t xml:space="preserve">labour </w:t>
      </w:r>
      <w:r w:rsidR="00814D58" w:rsidRPr="002A4884">
        <w:t>costs</w:t>
      </w:r>
      <w:r w:rsidR="00E108EA" w:rsidRPr="002A4884">
        <w:t xml:space="preserve"> </w:t>
      </w:r>
      <w:r w:rsidR="002D38F6" w:rsidRPr="002A4884">
        <w:t>through the area cost adjustment (ACA) index.</w:t>
      </w:r>
      <w:r w:rsidR="002F33F2" w:rsidRPr="002A4884">
        <w:t xml:space="preserve"> </w:t>
      </w:r>
    </w:p>
    <w:p w14:paraId="7C3E068C" w14:textId="76BB1848" w:rsidR="008550E9" w:rsidRPr="002A4884" w:rsidRDefault="004B5AD1" w:rsidP="009C3ACE">
      <w:r w:rsidRPr="002A4884">
        <w:t xml:space="preserve">Integration between </w:t>
      </w:r>
      <w:r w:rsidR="00956E19" w:rsidRPr="002A4884">
        <w:t xml:space="preserve">the </w:t>
      </w:r>
      <w:r w:rsidR="00B62625" w:rsidRPr="002A4884">
        <w:t xml:space="preserve">HC and LTC </w:t>
      </w:r>
      <w:r w:rsidRPr="002A4884">
        <w:t xml:space="preserve">sector in England </w:t>
      </w:r>
      <w:r w:rsidR="009C3ACE" w:rsidRPr="002A4884">
        <w:t>was introduced with t</w:t>
      </w:r>
      <w:r w:rsidR="00B62625" w:rsidRPr="002A4884">
        <w:t>he 1999 Health Act</w:t>
      </w:r>
      <w:r w:rsidR="00956E19" w:rsidRPr="002A4884">
        <w:t xml:space="preserve"> and then re-stated in the NHS Act 2006. These acts</w:t>
      </w:r>
      <w:r w:rsidR="00B62625" w:rsidRPr="002A4884">
        <w:t xml:space="preserve"> </w:t>
      </w:r>
      <w:r w:rsidR="009C3ACE" w:rsidRPr="002A4884">
        <w:t xml:space="preserve">allowed both </w:t>
      </w:r>
      <w:r w:rsidR="00B62625" w:rsidRPr="002A4884">
        <w:t xml:space="preserve">financial </w:t>
      </w:r>
      <w:r w:rsidR="009C3ACE" w:rsidRPr="002A4884">
        <w:t xml:space="preserve">and </w:t>
      </w:r>
      <w:r w:rsidR="00E146D8" w:rsidRPr="002A4884">
        <w:lastRenderedPageBreak/>
        <w:t>organisational</w:t>
      </w:r>
      <w:r w:rsidR="009C3ACE" w:rsidRPr="002A4884">
        <w:t xml:space="preserve"> </w:t>
      </w:r>
      <w:r w:rsidR="00B62625" w:rsidRPr="002A4884">
        <w:t>integration</w:t>
      </w:r>
      <w:r w:rsidR="00956E19" w:rsidRPr="002A4884">
        <w:t xml:space="preserve">: </w:t>
      </w:r>
      <w:r w:rsidR="006B6752" w:rsidRPr="002A4884">
        <w:t xml:space="preserve">health and local authorities were enabled to pool their budgets, and </w:t>
      </w:r>
      <w:r w:rsidR="002D4338" w:rsidRPr="002A4884">
        <w:t xml:space="preserve">to </w:t>
      </w:r>
      <w:r w:rsidR="00956E19" w:rsidRPr="002A4884">
        <w:t xml:space="preserve">mutually </w:t>
      </w:r>
      <w:r w:rsidR="002D4338" w:rsidRPr="002A4884">
        <w:t xml:space="preserve">delegate functions </w:t>
      </w:r>
      <w:r w:rsidR="006B6752" w:rsidRPr="002A4884">
        <w:t xml:space="preserve">or </w:t>
      </w:r>
      <w:r w:rsidR="00F01351" w:rsidRPr="002A4884">
        <w:t xml:space="preserve">provide </w:t>
      </w:r>
      <w:r w:rsidR="00956E19" w:rsidRPr="002A4884">
        <w:t>services jointly.</w:t>
      </w:r>
      <w:r w:rsidR="00B70C04" w:rsidRPr="002A4884">
        <w:t xml:space="preserve"> </w:t>
      </w:r>
      <w:r w:rsidR="007B472B" w:rsidRPr="002A4884">
        <w:t xml:space="preserve">Integration </w:t>
      </w:r>
      <w:r w:rsidR="00B70C04" w:rsidRPr="002A4884">
        <w:t>w</w:t>
      </w:r>
      <w:r w:rsidR="007B472B" w:rsidRPr="002A4884">
        <w:t xml:space="preserve">as </w:t>
      </w:r>
      <w:r w:rsidR="00B70C04" w:rsidRPr="002A4884">
        <w:t>implemented sparingly and heterogeneously across LAs</w:t>
      </w:r>
      <w:r w:rsidR="002D483A" w:rsidRPr="002A4884">
        <w:t>,</w:t>
      </w:r>
      <w:r w:rsidR="00B70C04" w:rsidRPr="002A4884">
        <w:t xml:space="preserve"> </w:t>
      </w:r>
      <w:r w:rsidR="002D483A" w:rsidRPr="002A4884">
        <w:t xml:space="preserve">and benefits from the new arrangements were unclear </w:t>
      </w:r>
      <w:r w:rsidR="002D483A" w:rsidRPr="002A4884">
        <w:fldChar w:fldCharType="begin"/>
      </w:r>
      <w:r w:rsidR="00F472F8">
        <w:instrText xml:space="preserve"> ADDIN EN.CITE &lt;EndNote&gt;&lt;Cite&gt;&lt;Author&gt;Mason&lt;/Author&gt;&lt;Year&gt;2015&lt;/Year&gt;&lt;RecNum&gt;114&lt;/RecNum&gt;&lt;DisplayText&gt;(Mason et al., 2015)&lt;/DisplayText&gt;&lt;record&gt;&lt;rec-number&gt;114&lt;/rec-number&gt;&lt;foreign-keys&gt;&lt;key app="EN" db-id="r920as25hw5rrve2fa8psvr8e0dxvzxa200s" timestamp="1607688634" guid="7ca6497a-e348-41ff-8fd7-c5d1237db47c"&gt;114&lt;/key&gt;&lt;/foreign-keys&gt;&lt;ref-type name="Journal Article"&gt;17&lt;/ref-type&gt;&lt;contributors&gt;&lt;authors&gt;&lt;author&gt;Mason, Anne&lt;/author&gt;&lt;author&gt;Goddard, Maria&lt;/author&gt;&lt;author&gt;Weatherly, Helen&lt;/author&gt;&lt;author&gt;Chalkley, Martin&lt;/author&gt;&lt;/authors&gt;&lt;/contributors&gt;&lt;titles&gt;&lt;title&gt;Integrating funds for health and social care: an evidence review&lt;/title&gt;&lt;secondary-title&gt;Journal of health services research &amp;amp; policy&lt;/secondary-title&gt;&lt;/titles&gt;&lt;periodical&gt;&lt;full-title&gt;Journal of health services research &amp;amp; policy&lt;/full-title&gt;&lt;/periodical&gt;&lt;pages&gt;177-188&lt;/pages&gt;&lt;volume&gt;20&lt;/volume&gt;&lt;number&gt;3&lt;/number&gt;&lt;dates&gt;&lt;year&gt;2015&lt;/year&gt;&lt;/dates&gt;&lt;isbn&gt;1355-8196&lt;/isbn&gt;&lt;urls&gt;&lt;/urls&gt;&lt;/record&gt;&lt;/Cite&gt;&lt;/EndNote&gt;</w:instrText>
      </w:r>
      <w:r w:rsidR="002D483A" w:rsidRPr="002A4884">
        <w:fldChar w:fldCharType="separate"/>
      </w:r>
      <w:r w:rsidR="002D483A" w:rsidRPr="002A4884">
        <w:rPr>
          <w:noProof/>
        </w:rPr>
        <w:t>(Mason et al., 2015)</w:t>
      </w:r>
      <w:r w:rsidR="002D483A" w:rsidRPr="002A4884">
        <w:fldChar w:fldCharType="end"/>
      </w:r>
      <w:r w:rsidR="002D483A" w:rsidRPr="002A4884">
        <w:t xml:space="preserve">. </w:t>
      </w:r>
      <w:r w:rsidR="004823C3" w:rsidRPr="002A4884">
        <w:t>A mandatory integrated care scheme, called the Better Care Fund (BCF), was announced in 2013</w:t>
      </w:r>
      <w:r w:rsidR="008F1C74" w:rsidRPr="002A4884">
        <w:t xml:space="preserve"> </w:t>
      </w:r>
      <w:r w:rsidR="008F1C74" w:rsidRPr="002A4884">
        <w:fldChar w:fldCharType="begin"/>
      </w:r>
      <w:r w:rsidR="004A3788">
        <w:instrText xml:space="preserve"> ADDIN EN.CITE &lt;EndNote&gt;&lt;Cite&gt;&lt;Author&gt;Department of Health and Social Care&lt;/Author&gt;&lt;Year&gt;2013&lt;/Year&gt;&lt;RecNum&gt;128&lt;/RecNum&gt;&lt;DisplayText&gt;(Department of Health and Social Care, 2013)&lt;/DisplayText&gt;&lt;record&gt;&lt;rec-number&gt;128&lt;/rec-number&gt;&lt;foreign-keys&gt;&lt;key app="EN" db-id="r920as25hw5rrve2fa8psvr8e0dxvzxa200s" timestamp="1607688634" guid="9c8508e5-a7ef-4778-be9c-ed843c840145"&gt;128&lt;/key&gt;&lt;/foreign-keys&gt;&lt;ref-type name="Government Document"&gt;46&lt;/ref-type&gt;&lt;contributors&gt;&lt;authors&gt;&lt;author&gt;Department of Health and Social Care,&lt;/author&gt;&lt;/authors&gt;&lt;/contributors&gt;&lt;titles&gt;&lt;title&gt;Integrated Care and Support: Our Shared Commitment&lt;/title&gt;&lt;/titles&gt;&lt;dates&gt;&lt;year&gt;2013&lt;/year&gt;&lt;/dates&gt;&lt;pub-location&gt;Available: https://assets.publishing.service.gov.uk/government/uploads/system/uploads/attachment_data/file/198748/DEFINITIVE_FINAL_VERSION_Integrated_Care_and_Support_-_Our_Shared_Commitment_2013-05-13.pdf [Accessed 20 Nov 2020].&lt;/pub-location&gt;&lt;urls&gt;&lt;/urls&gt;&lt;/record&gt;&lt;/Cite&gt;&lt;/EndNote&gt;</w:instrText>
      </w:r>
      <w:r w:rsidR="008F1C74" w:rsidRPr="002A4884">
        <w:fldChar w:fldCharType="separate"/>
      </w:r>
      <w:r w:rsidR="008F1C74" w:rsidRPr="002A4884">
        <w:rPr>
          <w:noProof/>
        </w:rPr>
        <w:t>(Department of Health and Social Care, 2013)</w:t>
      </w:r>
      <w:r w:rsidR="008F1C74" w:rsidRPr="002A4884">
        <w:fldChar w:fldCharType="end"/>
      </w:r>
      <w:r w:rsidR="004823C3" w:rsidRPr="002A4884">
        <w:t xml:space="preserve"> and fully rolled out in 2015/16.</w:t>
      </w:r>
      <w:r w:rsidR="007B472B" w:rsidRPr="002A4884">
        <w:t xml:space="preserve"> The BCF is a single pooled budget </w:t>
      </w:r>
      <w:r w:rsidR="00616459">
        <w:t xml:space="preserve">to </w:t>
      </w:r>
      <w:r w:rsidR="007B472B" w:rsidRPr="002A4884">
        <w:t xml:space="preserve">incentivise CCGs and LAs to work more closely together in their local areas </w:t>
      </w:r>
      <w:r w:rsidR="008F1C74" w:rsidRPr="002A4884">
        <w:fldChar w:fldCharType="begin"/>
      </w:r>
      <w:r w:rsidR="00F472F8">
        <w:instrText xml:space="preserve"> ADDIN EN.CITE &lt;EndNote&gt;&lt;Cite&gt;&lt;Author&gt;Bennett&lt;/Author&gt;&lt;Year&gt;2014&lt;/Year&gt;&lt;RecNum&gt;129&lt;/RecNum&gt;&lt;DisplayText&gt;(Bennett and Humphries, 2014)&lt;/DisplayText&gt;&lt;record&gt;&lt;rec-number&gt;129&lt;/rec-number&gt;&lt;foreign-keys&gt;&lt;key app="EN" db-id="r920as25hw5rrve2fa8psvr8e0dxvzxa200s" timestamp="1607688634" guid="fe662b79-7438-493a-8fa2-25a3e101153f"&gt;129&lt;/key&gt;&lt;/foreign-keys&gt;&lt;ref-type name="Journal Article"&gt;17&lt;/ref-type&gt;&lt;contributors&gt;&lt;authors&gt;&lt;author&gt;Bennett, L&lt;/author&gt;&lt;author&gt;Humphries, R&lt;/author&gt;&lt;/authors&gt;&lt;/contributors&gt;&lt;titles&gt;&lt;title&gt;Making best use of the Better Care Fund: spending to save&lt;/title&gt;&lt;secondary-title&gt;Evidence summary. London: The King’s Fund&lt;/secondary-title&gt;&lt;/titles&gt;&lt;periodical&gt;&lt;full-title&gt;Evidence summary. London: The King’s Fund&lt;/full-title&gt;&lt;/periodical&gt;&lt;dates&gt;&lt;year&gt;2014&lt;/year&gt;&lt;/dates&gt;&lt;urls&gt;&lt;/urls&gt;&lt;/record&gt;&lt;/Cite&gt;&lt;/EndNote&gt;</w:instrText>
      </w:r>
      <w:r w:rsidR="008F1C74" w:rsidRPr="002A4884">
        <w:fldChar w:fldCharType="separate"/>
      </w:r>
      <w:r w:rsidR="008F1C74" w:rsidRPr="002A4884">
        <w:rPr>
          <w:noProof/>
        </w:rPr>
        <w:t>(Bennett and Humphries, 2014)</w:t>
      </w:r>
      <w:r w:rsidR="008F1C74" w:rsidRPr="002A4884">
        <w:fldChar w:fldCharType="end"/>
      </w:r>
      <w:r w:rsidR="007B472B" w:rsidRPr="002A4884">
        <w:t>.</w:t>
      </w:r>
      <w:r w:rsidR="004823C3" w:rsidRPr="002A4884">
        <w:t xml:space="preserve"> In 2014/15</w:t>
      </w:r>
      <w:r w:rsidR="004C1A9B" w:rsidRPr="002A4884">
        <w:t>,</w:t>
      </w:r>
      <w:r w:rsidR="004823C3" w:rsidRPr="002A4884">
        <w:t xml:space="preserve"> the financial year of our analysis, a transfer of £1.1bn from the NHS to LAs was arranged in preparation of the BCF scheme</w:t>
      </w:r>
      <w:r w:rsidR="004C1A9B" w:rsidRPr="002A4884">
        <w:t>. These</w:t>
      </w:r>
      <w:r w:rsidR="004823C3" w:rsidRPr="002A4884">
        <w:t xml:space="preserve"> funds</w:t>
      </w:r>
      <w:r w:rsidR="004C1A9B" w:rsidRPr="002A4884">
        <w:t>, however,</w:t>
      </w:r>
      <w:r w:rsidR="004823C3" w:rsidRPr="002A4884">
        <w:t xml:space="preserve"> </w:t>
      </w:r>
      <w:r w:rsidR="008F1C74" w:rsidRPr="002A4884">
        <w:t xml:space="preserve">could be spent on any ASC service </w:t>
      </w:r>
      <w:r w:rsidR="004823C3" w:rsidRPr="002A4884">
        <w:t>and did not require CCGs and LAs to pool their budget</w:t>
      </w:r>
      <w:r w:rsidR="008F1C74" w:rsidRPr="002A4884">
        <w:t xml:space="preserve"> </w:t>
      </w:r>
      <w:r w:rsidR="008F1C74" w:rsidRPr="002A4884">
        <w:fldChar w:fldCharType="begin"/>
      </w:r>
      <w:r w:rsidR="00F472F8">
        <w:instrText xml:space="preserve"> ADDIN EN.CITE &lt;EndNote&gt;&lt;Cite&gt;&lt;Author&gt;NHS England&lt;/Author&gt;&lt;Year&gt;2014&lt;/Year&gt;&lt;RecNum&gt;130&lt;/RecNum&gt;&lt;DisplayText&gt;(NHS England, 2014a)&lt;/DisplayText&gt;&lt;record&gt;&lt;rec-number&gt;130&lt;/rec-number&gt;&lt;foreign-keys&gt;&lt;key app="EN" db-id="r920as25hw5rrve2fa8psvr8e0dxvzxa200s" timestamp="1607688634" guid="54e9d30d-45e3-4ca9-a235-d676b8ea6c6f"&gt;130&lt;/key&gt;&lt;/foreign-keys&gt;&lt;ref-type name="Government Document"&gt;46&lt;/ref-type&gt;&lt;contributors&gt;&lt;authors&gt;&lt;author&gt;NHS England,&lt;/author&gt;&lt;/authors&gt;&lt;/contributors&gt;&lt;titles&gt;&lt;title&gt;Annex to the NHS England Planning Guidance Developing Plans for the Better Care Fund&lt;/title&gt;&lt;/titles&gt;&lt;dates&gt;&lt;year&gt;2014&lt;/year&gt;&lt;/dates&gt;&lt;pub-location&gt;London. Link: https://www.england.nhs.uk/wp-content/uploads/2013/12/bcf-plann-guid.pdf. Access date: 20/11/2020&lt;/pub-location&gt;&lt;urls&gt;&lt;/urls&gt;&lt;/record&gt;&lt;/Cite&gt;&lt;/EndNote&gt;</w:instrText>
      </w:r>
      <w:r w:rsidR="008F1C74" w:rsidRPr="002A4884">
        <w:fldChar w:fldCharType="separate"/>
      </w:r>
      <w:r w:rsidR="008F1C74" w:rsidRPr="002A4884">
        <w:rPr>
          <w:noProof/>
        </w:rPr>
        <w:t>(NHS England, 2014a)</w:t>
      </w:r>
      <w:r w:rsidR="008F1C74" w:rsidRPr="002A4884">
        <w:fldChar w:fldCharType="end"/>
      </w:r>
      <w:r w:rsidR="004823C3" w:rsidRPr="002A4884">
        <w:t>.</w:t>
      </w:r>
    </w:p>
    <w:p w14:paraId="0C5440F6" w14:textId="6A9BBD72" w:rsidR="00D168E4" w:rsidRPr="002A4884" w:rsidRDefault="00FD2F3E" w:rsidP="00C72A0E">
      <w:pPr>
        <w:pStyle w:val="Heading2"/>
      </w:pPr>
      <w:bookmarkStart w:id="3" w:name="_Ref61441293"/>
      <w:r>
        <w:t>Theoretical</w:t>
      </w:r>
      <w:r w:rsidRPr="002A4884">
        <w:t xml:space="preserve"> </w:t>
      </w:r>
      <w:r w:rsidR="00D168E4" w:rsidRPr="002A4884">
        <w:t>framework</w:t>
      </w:r>
      <w:r w:rsidR="00146A3E" w:rsidRPr="002A4884">
        <w:t xml:space="preserve">: direct and indirect </w:t>
      </w:r>
      <w:r w:rsidR="009E47D1">
        <w:t xml:space="preserve">mortality </w:t>
      </w:r>
      <w:r w:rsidR="00146A3E" w:rsidRPr="002A4884">
        <w:t>effects</w:t>
      </w:r>
      <w:bookmarkEnd w:id="3"/>
    </w:p>
    <w:p w14:paraId="67455116" w14:textId="17446A8E" w:rsidR="00D168E4" w:rsidRPr="002A4884" w:rsidRDefault="00FF6823" w:rsidP="00442E47">
      <w:r w:rsidRPr="002A4884">
        <w:t xml:space="preserve">The </w:t>
      </w:r>
      <w:r w:rsidR="00D22351" w:rsidRPr="002A4884">
        <w:t xml:space="preserve">level of </w:t>
      </w:r>
      <w:r w:rsidRPr="002A4884">
        <w:t xml:space="preserve">health </w:t>
      </w:r>
      <w:r w:rsidR="00D22351" w:rsidRPr="002A4884">
        <w:t xml:space="preserve">across LAs where </w:t>
      </w:r>
      <w:r w:rsidRPr="002A4884">
        <w:t xml:space="preserve">public HC and LTC </w:t>
      </w:r>
      <w:r w:rsidR="00D22351" w:rsidRPr="002A4884">
        <w:t xml:space="preserve">are provided </w:t>
      </w:r>
      <w:r w:rsidRPr="002A4884">
        <w:t>can be described as:</w:t>
      </w:r>
    </w:p>
    <w:p w14:paraId="2A820356" w14:textId="56AD18D0" w:rsidR="00FF6823" w:rsidRPr="002A4884" w:rsidRDefault="00FF6823" w:rsidP="00FF6823">
      <w:pPr>
        <w:pStyle w:val="MTDisplayEquation"/>
      </w:pPr>
      <w:r w:rsidRPr="002A4884">
        <w:tab/>
      </w:r>
      <w:r w:rsidR="000D02A1" w:rsidRPr="000B429D">
        <w:rPr>
          <w:position w:val="-14"/>
        </w:rPr>
        <w:object w:dxaOrig="2560" w:dyaOrig="400" w14:anchorId="7FBDB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20.4pt" o:ole="">
            <v:imagedata r:id="rId8" o:title=""/>
          </v:shape>
          <o:OLEObject Type="Embed" ProgID="Equation.DSMT4" ShapeID="_x0000_i1025" DrawAspect="Content" ObjectID="_1736065841" r:id="rId9"/>
        </w:object>
      </w:r>
      <w:r w:rsidR="00D22351"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4" w:name="ZEqnNum756773"/>
      <w:r w:rsidRPr="002A4884">
        <w:instrText>(</w:instrText>
      </w:r>
      <w:r w:rsidR="002A7365">
        <w:fldChar w:fldCharType="begin"/>
      </w:r>
      <w:r w:rsidR="002A7365">
        <w:instrText xml:space="preserve"> SEQ MTEqn \c \* Arabic \* MERGEFORMAT </w:instrText>
      </w:r>
      <w:r w:rsidR="002A7365">
        <w:fldChar w:fldCharType="separate"/>
      </w:r>
      <w:r w:rsidR="007C7B62">
        <w:rPr>
          <w:noProof/>
        </w:rPr>
        <w:instrText>1</w:instrText>
      </w:r>
      <w:r w:rsidR="002A7365">
        <w:rPr>
          <w:noProof/>
        </w:rPr>
        <w:fldChar w:fldCharType="end"/>
      </w:r>
      <w:r w:rsidRPr="002A4884">
        <w:instrText>)</w:instrText>
      </w:r>
      <w:bookmarkEnd w:id="4"/>
      <w:r w:rsidRPr="002A4884">
        <w:fldChar w:fldCharType="end"/>
      </w:r>
    </w:p>
    <w:p w14:paraId="786A7A74" w14:textId="40EF177B" w:rsidR="004C5297" w:rsidRDefault="00D22351" w:rsidP="00442E47">
      <w:r w:rsidRPr="002A4884">
        <w:t>w</w:t>
      </w:r>
      <w:r w:rsidR="00FF6823" w:rsidRPr="002A4884">
        <w:t xml:space="preserve">here </w:t>
      </w:r>
      <w:r w:rsidR="00FF6823" w:rsidRPr="002A4884">
        <w:rPr>
          <w:i/>
          <w:iCs/>
        </w:rPr>
        <w:t>health</w:t>
      </w:r>
      <w:r w:rsidR="009556E2" w:rsidRPr="009556E2">
        <w:rPr>
          <w:i/>
          <w:iCs/>
          <w:vertAlign w:val="subscript"/>
        </w:rPr>
        <w:t>i</w:t>
      </w:r>
      <w:r w:rsidR="00FF6823" w:rsidRPr="002A4884">
        <w:t xml:space="preserve"> could, for example, be measured by mortality</w:t>
      </w:r>
      <w:r w:rsidR="00C270CC" w:rsidRPr="002A4884">
        <w:t xml:space="preserve"> within each LA</w:t>
      </w:r>
      <w:r w:rsidR="009C29B1">
        <w:t xml:space="preserve">, </w:t>
      </w:r>
      <w:r w:rsidR="009C29B1" w:rsidRPr="009C29B1">
        <w:rPr>
          <w:i/>
        </w:rPr>
        <w:t>i</w:t>
      </w:r>
      <w:r w:rsidR="00FF6823" w:rsidRPr="002A4884">
        <w:t xml:space="preserve">, </w:t>
      </w:r>
      <w:r w:rsidR="000D02A1">
        <w:t xml:space="preserve">and this is a function </w:t>
      </w:r>
      <w:r w:rsidR="009556E2" w:rsidRPr="00AF3E1E">
        <w:rPr>
          <w:i/>
        </w:rPr>
        <w:t>g</w:t>
      </w:r>
      <w:r w:rsidR="009556E2">
        <w:t xml:space="preserve"> of (public) HC and LTC expenditure, </w:t>
      </w:r>
      <w:r w:rsidR="000D02A1" w:rsidRPr="00A36D14">
        <w:rPr>
          <w:i/>
        </w:rPr>
        <w:t>HC</w:t>
      </w:r>
      <w:r w:rsidR="000D02A1" w:rsidRPr="00A36D14">
        <w:rPr>
          <w:i/>
          <w:vertAlign w:val="subscript"/>
        </w:rPr>
        <w:t>i</w:t>
      </w:r>
      <w:r w:rsidR="000D02A1">
        <w:t xml:space="preserve"> and </w:t>
      </w:r>
      <w:r w:rsidR="000D02A1" w:rsidRPr="00A36D14">
        <w:rPr>
          <w:i/>
        </w:rPr>
        <w:t>LTC</w:t>
      </w:r>
      <w:r w:rsidR="000D02A1" w:rsidRPr="00A36D14">
        <w:rPr>
          <w:i/>
          <w:vertAlign w:val="subscript"/>
        </w:rPr>
        <w:t>i</w:t>
      </w:r>
      <w:r w:rsidR="000D02A1">
        <w:t xml:space="preserve">, </w:t>
      </w:r>
      <w:r w:rsidR="009556E2">
        <w:t xml:space="preserve">respectively, and </w:t>
      </w:r>
      <w:r w:rsidR="00FF6823" w:rsidRPr="002A4884">
        <w:rPr>
          <w:i/>
          <w:iCs/>
        </w:rPr>
        <w:t>r</w:t>
      </w:r>
      <w:r w:rsidR="000D02A1" w:rsidRPr="000D02A1">
        <w:rPr>
          <w:i/>
          <w:iCs/>
          <w:vertAlign w:val="subscript"/>
        </w:rPr>
        <w:t>i</w:t>
      </w:r>
      <w:r w:rsidR="000D02A1">
        <w:rPr>
          <w:iCs/>
        </w:rPr>
        <w:t xml:space="preserve">, </w:t>
      </w:r>
      <w:r w:rsidR="009556E2" w:rsidRPr="009556E2">
        <w:rPr>
          <w:iCs/>
        </w:rPr>
        <w:t>which</w:t>
      </w:r>
      <w:r w:rsidR="00FF6823" w:rsidRPr="002A4884">
        <w:t xml:space="preserve"> captures any other factor </w:t>
      </w:r>
      <w:r w:rsidR="004C5297" w:rsidRPr="002A4884">
        <w:t xml:space="preserve">impacting health </w:t>
      </w:r>
      <w:r w:rsidR="00FF6823" w:rsidRPr="002A4884">
        <w:t>such as</w:t>
      </w:r>
      <w:r w:rsidR="009C3ACE" w:rsidRPr="002A4884">
        <w:t xml:space="preserve"> need,</w:t>
      </w:r>
      <w:r w:rsidR="00FF6823" w:rsidRPr="002A4884">
        <w:t xml:space="preserve"> lifestyle</w:t>
      </w:r>
      <w:r w:rsidRPr="002A4884">
        <w:t xml:space="preserve"> and</w:t>
      </w:r>
      <w:r w:rsidR="00FF6823" w:rsidRPr="002A4884">
        <w:t xml:space="preserve"> income</w:t>
      </w:r>
      <w:r w:rsidRPr="002A4884">
        <w:t xml:space="preserve"> of the local </w:t>
      </w:r>
      <w:r w:rsidR="00C270CC" w:rsidRPr="002A4884">
        <w:t>population</w:t>
      </w:r>
      <w:r w:rsidR="00FD61BA" w:rsidRPr="002A4884">
        <w:t>s</w:t>
      </w:r>
      <w:r w:rsidRPr="002A4884">
        <w:t>.</w:t>
      </w:r>
    </w:p>
    <w:p w14:paraId="479E9336" w14:textId="16A80414" w:rsidR="003E3CEF" w:rsidRDefault="00616459" w:rsidP="009556E2">
      <w:r>
        <w:t>E</w:t>
      </w:r>
      <w:r w:rsidR="002B59DA" w:rsidRPr="002A4884">
        <w:t>xpenditure</w:t>
      </w:r>
      <w:r w:rsidR="00F36001" w:rsidRPr="002A4884">
        <w:t xml:space="preserve"> </w:t>
      </w:r>
      <w:r>
        <w:t>in t</w:t>
      </w:r>
      <w:r w:rsidR="00B82CE0">
        <w:t>he HC sector is expected to have a</w:t>
      </w:r>
      <w:r w:rsidR="001641C4">
        <w:t xml:space="preserve"> direct effect </w:t>
      </w:r>
      <w:r>
        <w:t xml:space="preserve">on mortality </w:t>
      </w:r>
      <w:r w:rsidR="001641C4">
        <w:t xml:space="preserve">as one </w:t>
      </w:r>
      <w:r w:rsidR="003E3CEF">
        <w:t xml:space="preserve">of </w:t>
      </w:r>
      <w:r>
        <w:t xml:space="preserve">the </w:t>
      </w:r>
      <w:r w:rsidR="003E3CEF">
        <w:t xml:space="preserve">key goals </w:t>
      </w:r>
      <w:r>
        <w:t xml:space="preserve">of health care services </w:t>
      </w:r>
      <w:r w:rsidR="003E3CEF">
        <w:t xml:space="preserve">is to </w:t>
      </w:r>
      <w:r>
        <w:t>improve health</w:t>
      </w:r>
      <w:r w:rsidR="001641C4">
        <w:t xml:space="preserve">. </w:t>
      </w:r>
      <w:r>
        <w:t xml:space="preserve">Although the primary </w:t>
      </w:r>
      <w:r w:rsidR="00B82CE0">
        <w:t>aim</w:t>
      </w:r>
      <w:r>
        <w:t xml:space="preserve"> of LTC expenditure may be </w:t>
      </w:r>
      <w:r w:rsidR="003E3CEF">
        <w:t>to improve user quality of life</w:t>
      </w:r>
      <w:r>
        <w:t xml:space="preserve">, </w:t>
      </w:r>
      <w:r w:rsidR="003E3CEF">
        <w:t xml:space="preserve">LTC services may </w:t>
      </w:r>
      <w:r>
        <w:t xml:space="preserve">also have a direct </w:t>
      </w:r>
      <w:r w:rsidR="003E3CEF">
        <w:t xml:space="preserve">impact </w:t>
      </w:r>
      <w:r>
        <w:t xml:space="preserve">on </w:t>
      </w:r>
      <w:r w:rsidR="003E3CEF">
        <w:t>mortality, for example, by preventing fatal falls in elderly people. Therefore</w:t>
      </w:r>
      <w:r w:rsidR="00F82151">
        <w:t>, t</w:t>
      </w:r>
      <w:r w:rsidR="00EB33FF">
        <w:t xml:space="preserve">he direct mortality effect </w:t>
      </w:r>
      <w:r w:rsidR="00076E7D">
        <w:t xml:space="preserve">can be interpreted as </w:t>
      </w:r>
      <w:r w:rsidR="00EB33FF">
        <w:t>the effectiveness of LTC and HC expenditure</w:t>
      </w:r>
      <w:r w:rsidR="003E3CEF">
        <w:t xml:space="preserve"> in reducing mortality</w:t>
      </w:r>
      <w:r w:rsidR="00076E7D">
        <w:t>,</w:t>
      </w:r>
      <w:r w:rsidR="003E3CEF">
        <w:t xml:space="preserve"> which </w:t>
      </w:r>
      <w:r w:rsidR="001641C4">
        <w:t>we assume to be</w:t>
      </w:r>
      <w:r w:rsidR="003E3CEF">
        <w:t>:</w:t>
      </w:r>
    </w:p>
    <w:p w14:paraId="46F41A4C" w14:textId="7BBFFA5E" w:rsidR="003E3CEF" w:rsidRDefault="003E3CEF" w:rsidP="003E3CEF">
      <w:pPr>
        <w:pStyle w:val="MTDisplayEquation"/>
      </w:pPr>
      <w:r>
        <w:tab/>
      </w:r>
      <w:r w:rsidR="001E21A1" w:rsidRPr="00076E7D">
        <w:rPr>
          <w:position w:val="-30"/>
        </w:rPr>
        <w:object w:dxaOrig="1080" w:dyaOrig="680" w14:anchorId="3FEF6CC7">
          <v:shape id="_x0000_i1026" type="#_x0000_t75" style="width:55.2pt;height:34.8pt" o:ole="">
            <v:imagedata r:id="rId10" o:title=""/>
          </v:shape>
          <o:OLEObject Type="Embed" ProgID="Equation.DSMT4" ShapeID="_x0000_i1026" DrawAspect="Content" ObjectID="_1736065842" r:id="rId11"/>
        </w:object>
      </w:r>
      <w:r w:rsidR="001E21A1">
        <w:t xml:space="preserve"> and </w:t>
      </w:r>
      <w:r w:rsidR="00076E7D" w:rsidRPr="00076E7D">
        <w:rPr>
          <w:position w:val="-30"/>
        </w:rPr>
        <w:object w:dxaOrig="980" w:dyaOrig="680" w14:anchorId="46DDDA96">
          <v:shape id="_x0000_i1027" type="#_x0000_t75" style="width:49.2pt;height:34.8pt" o:ole="">
            <v:imagedata r:id="rId12" o:title=""/>
          </v:shape>
          <o:OLEObject Type="Embed" ProgID="Equation.DSMT4" ShapeID="_x0000_i1027" DrawAspect="Content" ObjectID="_1736065843" r:id="rId1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2A7365">
        <w:fldChar w:fldCharType="begin"/>
      </w:r>
      <w:r w:rsidR="002A7365">
        <w:instrText xml:space="preserve"> SEQ MTEqn \c \* Arabic \* MERGEFORMAT </w:instrText>
      </w:r>
      <w:r w:rsidR="002A7365">
        <w:fldChar w:fldCharType="separate"/>
      </w:r>
      <w:r w:rsidR="007C7B62">
        <w:rPr>
          <w:noProof/>
        </w:rPr>
        <w:instrText>2</w:instrText>
      </w:r>
      <w:r w:rsidR="002A7365">
        <w:rPr>
          <w:noProof/>
        </w:rPr>
        <w:fldChar w:fldCharType="end"/>
      </w:r>
      <w:r>
        <w:instrText>)</w:instrText>
      </w:r>
      <w:r>
        <w:fldChar w:fldCharType="end"/>
      </w:r>
    </w:p>
    <w:p w14:paraId="74F28980" w14:textId="6002D832" w:rsidR="009556E2" w:rsidRDefault="00600445" w:rsidP="009556E2">
      <w:r>
        <w:t>However</w:t>
      </w:r>
      <w:r w:rsidR="00F36001" w:rsidRPr="002A4884">
        <w:t xml:space="preserve">, expenditure </w:t>
      </w:r>
      <w:r w:rsidR="00617DFB" w:rsidRPr="002A4884">
        <w:t xml:space="preserve">in one sector </w:t>
      </w:r>
      <w:r w:rsidR="00F36001" w:rsidRPr="002A4884">
        <w:t xml:space="preserve">may </w:t>
      </w:r>
      <w:r>
        <w:t xml:space="preserve">also </w:t>
      </w:r>
      <w:r w:rsidR="00F36001" w:rsidRPr="002A4884">
        <w:t xml:space="preserve">have an </w:t>
      </w:r>
      <w:r w:rsidR="000D6095" w:rsidRPr="002A4884">
        <w:t>indirect</w:t>
      </w:r>
      <w:r w:rsidR="00F36001" w:rsidRPr="002A4884">
        <w:t xml:space="preserve"> </w:t>
      </w:r>
      <w:r>
        <w:t xml:space="preserve">effect on </w:t>
      </w:r>
      <w:r w:rsidR="0041371A">
        <w:t xml:space="preserve">mortality </w:t>
      </w:r>
      <w:r>
        <w:t>by its impact on</w:t>
      </w:r>
      <w:r w:rsidR="00F36001" w:rsidRPr="002A4884">
        <w:t xml:space="preserve"> the other sector</w:t>
      </w:r>
      <w:r w:rsidR="00617DFB" w:rsidRPr="002A4884">
        <w:t>.</w:t>
      </w:r>
      <w:r w:rsidR="000357CF">
        <w:t xml:space="preserve"> </w:t>
      </w:r>
      <w:r>
        <w:t>S</w:t>
      </w:r>
      <w:r w:rsidR="009556E2">
        <w:t xml:space="preserve">uppose we can categorise </w:t>
      </w:r>
      <w:r w:rsidR="00322055">
        <w:t xml:space="preserve">expenditure for </w:t>
      </w:r>
      <w:r w:rsidR="009556E2">
        <w:t xml:space="preserve">LTC </w:t>
      </w:r>
      <w:r w:rsidR="00B760CE">
        <w:t xml:space="preserve">and HC </w:t>
      </w:r>
      <w:r w:rsidR="00322055">
        <w:t xml:space="preserve">sub-sectors </w:t>
      </w:r>
      <w:r w:rsidR="009556E2">
        <w:t xml:space="preserve">based on their </w:t>
      </w:r>
      <w:r w:rsidR="00C71285">
        <w:t>effectiveness</w:t>
      </w:r>
      <w:r w:rsidR="002C15BD">
        <w:t xml:space="preserve"> (</w:t>
      </w:r>
      <w:r>
        <w:t xml:space="preserve">their </w:t>
      </w:r>
      <w:r w:rsidR="002C15BD">
        <w:t>direct mortality effect)</w:t>
      </w:r>
      <w:r w:rsidR="009556E2">
        <w:t xml:space="preserve">. </w:t>
      </w:r>
      <w:r w:rsidR="00322055">
        <w:t>In both sectors, w</w:t>
      </w:r>
      <w:r w:rsidR="009556E2">
        <w:t xml:space="preserve">e observe </w:t>
      </w:r>
      <w:r w:rsidR="00322055">
        <w:t xml:space="preserve">expenditure in </w:t>
      </w:r>
      <w:r w:rsidR="009556E2">
        <w:t xml:space="preserve">a high-effective </w:t>
      </w:r>
      <w:r w:rsidR="00322055">
        <w:t xml:space="preserve">sub-sector </w:t>
      </w:r>
      <w:r w:rsidR="009556E2">
        <w:t>(</w:t>
      </w:r>
      <w:r w:rsidR="009556E2">
        <w:rPr>
          <w:i/>
        </w:rPr>
        <w:t>LT</w:t>
      </w:r>
      <w:r w:rsidR="009556E2" w:rsidRPr="0001025C">
        <w:rPr>
          <w:i/>
        </w:rPr>
        <w:t>C</w:t>
      </w:r>
      <w:r w:rsidR="009556E2" w:rsidRPr="0001025C">
        <w:rPr>
          <w:i/>
          <w:vertAlign w:val="subscript"/>
        </w:rPr>
        <w:t>i</w:t>
      </w:r>
      <w:r w:rsidR="009556E2" w:rsidRPr="0001025C">
        <w:rPr>
          <w:i/>
          <w:vertAlign w:val="superscript"/>
        </w:rPr>
        <w:t>high</w:t>
      </w:r>
      <w:r w:rsidR="00B760CE">
        <w:t xml:space="preserve"> and </w:t>
      </w:r>
      <w:r w:rsidR="00B760CE" w:rsidRPr="0001025C">
        <w:rPr>
          <w:i/>
        </w:rPr>
        <w:t>HC</w:t>
      </w:r>
      <w:r w:rsidR="00B760CE" w:rsidRPr="0001025C">
        <w:rPr>
          <w:i/>
          <w:vertAlign w:val="subscript"/>
        </w:rPr>
        <w:t>i</w:t>
      </w:r>
      <w:r w:rsidR="00B760CE" w:rsidRPr="0001025C">
        <w:rPr>
          <w:i/>
          <w:vertAlign w:val="superscript"/>
        </w:rPr>
        <w:t>high</w:t>
      </w:r>
      <w:r w:rsidR="00B760CE">
        <w:t xml:space="preserve">) </w:t>
      </w:r>
      <w:r w:rsidR="009556E2">
        <w:t xml:space="preserve">and </w:t>
      </w:r>
      <w:r w:rsidR="00322055">
        <w:t xml:space="preserve">expenditure in </w:t>
      </w:r>
      <w:r w:rsidR="009556E2">
        <w:t xml:space="preserve">a low-effective </w:t>
      </w:r>
      <w:r w:rsidR="00322055">
        <w:t xml:space="preserve">sub-sector </w:t>
      </w:r>
      <w:r w:rsidR="009556E2">
        <w:t>(</w:t>
      </w:r>
      <w:r w:rsidR="003E54BA">
        <w:rPr>
          <w:i/>
        </w:rPr>
        <w:t>LT</w:t>
      </w:r>
      <w:r w:rsidR="003E54BA" w:rsidRPr="0001025C">
        <w:rPr>
          <w:i/>
        </w:rPr>
        <w:t>C</w:t>
      </w:r>
      <w:r w:rsidR="003E54BA" w:rsidRPr="0001025C">
        <w:rPr>
          <w:i/>
          <w:vertAlign w:val="subscript"/>
        </w:rPr>
        <w:t>i</w:t>
      </w:r>
      <w:r w:rsidR="003E54BA">
        <w:rPr>
          <w:i/>
          <w:vertAlign w:val="superscript"/>
        </w:rPr>
        <w:t>low</w:t>
      </w:r>
      <w:r w:rsidR="003E54BA">
        <w:t xml:space="preserve"> and</w:t>
      </w:r>
      <w:r w:rsidR="003E54BA" w:rsidRPr="0001025C">
        <w:rPr>
          <w:i/>
        </w:rPr>
        <w:t xml:space="preserve"> </w:t>
      </w:r>
      <w:r w:rsidR="009556E2" w:rsidRPr="0001025C">
        <w:rPr>
          <w:i/>
        </w:rPr>
        <w:t>HC</w:t>
      </w:r>
      <w:r w:rsidR="009556E2" w:rsidRPr="0001025C">
        <w:rPr>
          <w:i/>
          <w:vertAlign w:val="subscript"/>
        </w:rPr>
        <w:t>i</w:t>
      </w:r>
      <w:r w:rsidR="009556E2">
        <w:rPr>
          <w:i/>
          <w:vertAlign w:val="superscript"/>
        </w:rPr>
        <w:t>low</w:t>
      </w:r>
      <w:r w:rsidR="009556E2">
        <w:t>), such that:</w:t>
      </w:r>
    </w:p>
    <w:p w14:paraId="3244D6BB" w14:textId="3688C591" w:rsidR="003E54BA" w:rsidRDefault="003E54BA" w:rsidP="003E54BA">
      <w:pPr>
        <w:pStyle w:val="MTDisplayEquation"/>
      </w:pPr>
      <w:r>
        <w:tab/>
      </w:r>
      <w:r w:rsidRPr="00EA76EE">
        <w:rPr>
          <w:position w:val="-12"/>
        </w:rPr>
        <w:object w:dxaOrig="2420" w:dyaOrig="380" w14:anchorId="6F4CAFE3">
          <v:shape id="_x0000_i1028" type="#_x0000_t75" style="width:121.2pt;height:19.2pt" o:ole="">
            <v:imagedata r:id="rId14" o:title=""/>
          </v:shape>
          <o:OLEObject Type="Embed" ProgID="Equation.DSMT4" ShapeID="_x0000_i1028" DrawAspect="Content" ObjectID="_1736065844" r:id="rId15"/>
        </w:object>
      </w:r>
      <w:r>
        <w:t xml:space="preserve">, </w:t>
      </w:r>
      <w:r w:rsidRPr="00EA76EE">
        <w:rPr>
          <w:position w:val="-12"/>
        </w:rPr>
        <w:object w:dxaOrig="1700" w:dyaOrig="380" w14:anchorId="6C049ABD">
          <v:shape id="_x0000_i1029" type="#_x0000_t75" style="width:85.8pt;height:19.2pt" o:ole="">
            <v:imagedata r:id="rId16" o:title=""/>
          </v:shape>
          <o:OLEObject Type="Embed" ProgID="Equation.DSMT4" ShapeID="_x0000_i1029" DrawAspect="Content" ObjectID="_1736065845" r:id="rId17"/>
        </w:object>
      </w:r>
      <w:r>
        <w:t xml:space="preserve"> and </w:t>
      </w:r>
      <w:r w:rsidRPr="006A3FBD">
        <w:rPr>
          <w:position w:val="-14"/>
        </w:rPr>
        <w:object w:dxaOrig="2160" w:dyaOrig="400" w14:anchorId="07B1277F">
          <v:shape id="_x0000_i1030" type="#_x0000_t75" style="width:108pt;height:20.4pt" o:ole="">
            <v:imagedata r:id="rId18" o:title=""/>
          </v:shape>
          <o:OLEObject Type="Embed" ProgID="Equation.DSMT4" ShapeID="_x0000_i1030" DrawAspect="Content" ObjectID="_1736065846" r:id="rId1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5" w:name="ZEqnNum362195"/>
      <w:r>
        <w:instrText>(</w:instrText>
      </w:r>
      <w:r w:rsidR="002A7365">
        <w:fldChar w:fldCharType="begin"/>
      </w:r>
      <w:r w:rsidR="002A7365">
        <w:instrText xml:space="preserve"> SEQ MTEqn \c \* Arabic \* MERGEFORMAT </w:instrText>
      </w:r>
      <w:r w:rsidR="002A7365">
        <w:fldChar w:fldCharType="separate"/>
      </w:r>
      <w:r w:rsidR="007C7B62">
        <w:rPr>
          <w:noProof/>
        </w:rPr>
        <w:instrText>3</w:instrText>
      </w:r>
      <w:r w:rsidR="002A7365">
        <w:rPr>
          <w:noProof/>
        </w:rPr>
        <w:fldChar w:fldCharType="end"/>
      </w:r>
      <w:r>
        <w:instrText>)</w:instrText>
      </w:r>
      <w:bookmarkEnd w:id="5"/>
      <w:r>
        <w:fldChar w:fldCharType="end"/>
      </w:r>
    </w:p>
    <w:p w14:paraId="1791D788" w14:textId="5811752B" w:rsidR="009556E2" w:rsidRDefault="009556E2" w:rsidP="009556E2">
      <w:pPr>
        <w:pStyle w:val="MTDisplayEquation"/>
      </w:pPr>
      <w:r>
        <w:tab/>
      </w:r>
      <w:r w:rsidRPr="00EA76EE">
        <w:rPr>
          <w:position w:val="-12"/>
        </w:rPr>
        <w:object w:dxaOrig="2140" w:dyaOrig="380" w14:anchorId="08863D09">
          <v:shape id="_x0000_i1031" type="#_x0000_t75" style="width:106.8pt;height:19.2pt" o:ole="">
            <v:imagedata r:id="rId20" o:title=""/>
          </v:shape>
          <o:OLEObject Type="Embed" ProgID="Equation.DSMT4" ShapeID="_x0000_i1031" DrawAspect="Content" ObjectID="_1736065847" r:id="rId21"/>
        </w:object>
      </w:r>
      <w:r>
        <w:t xml:space="preserve">, </w:t>
      </w:r>
      <w:r w:rsidRPr="00EA76EE">
        <w:rPr>
          <w:position w:val="-12"/>
        </w:rPr>
        <w:object w:dxaOrig="1500" w:dyaOrig="380" w14:anchorId="20E040C3">
          <v:shape id="_x0000_i1032" type="#_x0000_t75" style="width:75pt;height:19.2pt" o:ole="">
            <v:imagedata r:id="rId22" o:title=""/>
          </v:shape>
          <o:OLEObject Type="Embed" ProgID="Equation.DSMT4" ShapeID="_x0000_i1032" DrawAspect="Content" ObjectID="_1736065848" r:id="rId23"/>
        </w:object>
      </w:r>
      <w:r>
        <w:t xml:space="preserve"> and </w:t>
      </w:r>
      <w:r w:rsidRPr="006A3FBD">
        <w:rPr>
          <w:position w:val="-14"/>
        </w:rPr>
        <w:object w:dxaOrig="1960" w:dyaOrig="400" w14:anchorId="56213F0C">
          <v:shape id="_x0000_i1033" type="#_x0000_t75" style="width:98.4pt;height:20.4pt" o:ole="">
            <v:imagedata r:id="rId24" o:title=""/>
          </v:shape>
          <o:OLEObject Type="Embed" ProgID="Equation.DSMT4" ShapeID="_x0000_i1033" DrawAspect="Content" ObjectID="_1736065849" r:id="rId2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2A7365">
        <w:fldChar w:fldCharType="begin"/>
      </w:r>
      <w:r w:rsidR="002A7365">
        <w:instrText xml:space="preserve"> SEQ MTEqn \c \* Arabic \* MERGEFORMAT </w:instrText>
      </w:r>
      <w:r w:rsidR="002A7365">
        <w:fldChar w:fldCharType="separate"/>
      </w:r>
      <w:r w:rsidR="007C7B62">
        <w:rPr>
          <w:noProof/>
        </w:rPr>
        <w:instrText>4</w:instrText>
      </w:r>
      <w:r w:rsidR="002A7365">
        <w:rPr>
          <w:noProof/>
        </w:rPr>
        <w:fldChar w:fldCharType="end"/>
      </w:r>
      <w:r>
        <w:instrText>)</w:instrText>
      </w:r>
      <w:r>
        <w:fldChar w:fldCharType="end"/>
      </w:r>
    </w:p>
    <w:p w14:paraId="783C222E" w14:textId="4DADC1B0" w:rsidR="009556E2" w:rsidRDefault="009556E2" w:rsidP="009556E2">
      <w:r>
        <w:t>where</w:t>
      </w:r>
      <w:r w:rsidR="008B4518">
        <w:t xml:space="preserve"> </w:t>
      </w:r>
      <w:r w:rsidR="008B4518" w:rsidRPr="009E7548">
        <w:rPr>
          <w:rFonts w:cstheme="minorHAnsi"/>
        </w:rPr>
        <w:t>θ</w:t>
      </w:r>
      <w:r w:rsidR="008B4518" w:rsidRPr="009E7548">
        <w:rPr>
          <w:rFonts w:cstheme="minorHAnsi"/>
          <w:i/>
          <w:vertAlign w:val="subscript"/>
        </w:rPr>
        <w:t>i</w:t>
      </w:r>
      <w:r>
        <w:t xml:space="preserve"> </w:t>
      </w:r>
      <w:r w:rsidR="008B4518">
        <w:t xml:space="preserve">and </w:t>
      </w:r>
      <w:r w:rsidRPr="009E7548">
        <w:rPr>
          <w:rFonts w:cstheme="minorHAnsi"/>
        </w:rPr>
        <w:t>φ</w:t>
      </w:r>
      <w:r w:rsidRPr="009E7548">
        <w:rPr>
          <w:rFonts w:cstheme="minorHAnsi"/>
          <w:i/>
          <w:vertAlign w:val="subscript"/>
        </w:rPr>
        <w:t>i</w:t>
      </w:r>
      <w:r>
        <w:rPr>
          <w:rFonts w:cstheme="minorHAnsi"/>
        </w:rPr>
        <w:t xml:space="preserve"> </w:t>
      </w:r>
      <w:r>
        <w:t xml:space="preserve">are the proportion of </w:t>
      </w:r>
      <w:r w:rsidR="008B4518">
        <w:t>LT</w:t>
      </w:r>
      <w:r>
        <w:t xml:space="preserve">C and </w:t>
      </w:r>
      <w:r w:rsidR="008B4518">
        <w:t>H</w:t>
      </w:r>
      <w:r>
        <w:t xml:space="preserve">C expenditure, respectively, for the high-effective </w:t>
      </w:r>
      <w:r w:rsidR="00E35227">
        <w:t>sub-sector</w:t>
      </w:r>
      <w:r>
        <w:t>. Therefore:</w:t>
      </w:r>
    </w:p>
    <w:p w14:paraId="0F19AE31" w14:textId="1FED5D1F" w:rsidR="009556E2" w:rsidRDefault="009556E2" w:rsidP="009556E2">
      <w:pPr>
        <w:pStyle w:val="MTDisplayEquation"/>
      </w:pPr>
      <w:r>
        <w:tab/>
      </w:r>
      <w:r w:rsidR="008B4518" w:rsidRPr="00C85560">
        <w:rPr>
          <w:position w:val="-30"/>
        </w:rPr>
        <w:object w:dxaOrig="2360" w:dyaOrig="680" w14:anchorId="23B540A8">
          <v:shape id="_x0000_i1034" type="#_x0000_t75" style="width:118.2pt;height:34.8pt" o:ole="">
            <v:imagedata r:id="rId26" o:title=""/>
          </v:shape>
          <o:OLEObject Type="Embed" ProgID="Equation.DSMT4" ShapeID="_x0000_i1034" DrawAspect="Content" ObjectID="_1736065850" r:id="rId27"/>
        </w:object>
      </w:r>
      <w:r w:rsidR="003E54BA">
        <w:t xml:space="preserve"> and </w:t>
      </w:r>
      <w:r w:rsidR="008B4518" w:rsidRPr="003E54BA">
        <w:rPr>
          <w:position w:val="-30"/>
        </w:rPr>
        <w:object w:dxaOrig="2180" w:dyaOrig="680" w14:anchorId="4D6DB2A4">
          <v:shape id="_x0000_i1035" type="#_x0000_t75" style="width:109.2pt;height:34.8pt" o:ole="">
            <v:imagedata r:id="rId28" o:title=""/>
          </v:shape>
          <o:OLEObject Type="Embed" ProgID="Equation.DSMT4" ShapeID="_x0000_i1035" DrawAspect="Content" ObjectID="_1736065851" r:id="rId2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2A7365">
        <w:fldChar w:fldCharType="begin"/>
      </w:r>
      <w:r w:rsidR="002A7365">
        <w:instrText xml:space="preserve"> SEQ MTEqn \c \* Arabic \* MERGEFORMAT </w:instrText>
      </w:r>
      <w:r w:rsidR="002A7365">
        <w:fldChar w:fldCharType="separate"/>
      </w:r>
      <w:r w:rsidR="007C7B62">
        <w:rPr>
          <w:noProof/>
        </w:rPr>
        <w:instrText>5</w:instrText>
      </w:r>
      <w:r w:rsidR="002A7365">
        <w:rPr>
          <w:noProof/>
        </w:rPr>
        <w:fldChar w:fldCharType="end"/>
      </w:r>
      <w:r>
        <w:instrText>)</w:instrText>
      </w:r>
      <w:r>
        <w:fldChar w:fldCharType="end"/>
      </w:r>
    </w:p>
    <w:p w14:paraId="3513741A" w14:textId="765730E9" w:rsidR="009556E2" w:rsidRDefault="009556E2" w:rsidP="00C0777A">
      <w:r>
        <w:t xml:space="preserve">The total </w:t>
      </w:r>
      <w:r w:rsidR="00C71285">
        <w:t>mortality</w:t>
      </w:r>
      <w:r>
        <w:t xml:space="preserve"> effect </w:t>
      </w:r>
      <w:r w:rsidR="00600445">
        <w:t xml:space="preserve">of LTC expenditure </w:t>
      </w:r>
      <w:r>
        <w:t>can be obtained by total differentiating equation</w:t>
      </w:r>
      <w:r w:rsidR="002B25ED">
        <w:t xml:space="preserve"> </w:t>
      </w:r>
      <w:r w:rsidR="002B25ED">
        <w:lastRenderedPageBreak/>
        <w:fldChar w:fldCharType="begin"/>
      </w:r>
      <w:r w:rsidR="002B25ED">
        <w:instrText xml:space="preserve"> GOTOBUTTON ZEqnNum756773  \* MERGEFORMAT </w:instrText>
      </w:r>
      <w:r w:rsidR="002A7365">
        <w:fldChar w:fldCharType="begin"/>
      </w:r>
      <w:r w:rsidR="002A7365">
        <w:instrText xml:space="preserve"> REF ZEqnNum756773 \* Charformat \! \* MERGEFORMAT </w:instrText>
      </w:r>
      <w:r w:rsidR="002A7365">
        <w:fldChar w:fldCharType="separate"/>
      </w:r>
      <w:r w:rsidR="007C7B62" w:rsidRPr="002A4884">
        <w:instrText>(</w:instrText>
      </w:r>
      <w:r w:rsidR="007C7B62">
        <w:instrText>1</w:instrText>
      </w:r>
      <w:r w:rsidR="007C7B62" w:rsidRPr="002A4884">
        <w:instrText>)</w:instrText>
      </w:r>
      <w:r w:rsidR="002A7365">
        <w:fldChar w:fldCharType="end"/>
      </w:r>
      <w:r w:rsidR="002B25ED">
        <w:fldChar w:fldCharType="end"/>
      </w:r>
      <w:r>
        <w:t xml:space="preserve"> as follows:</w:t>
      </w:r>
      <w:r w:rsidR="008B3577">
        <w:rPr>
          <w:rStyle w:val="FootnoteReference"/>
        </w:rPr>
        <w:footnoteReference w:id="2"/>
      </w:r>
    </w:p>
    <w:p w14:paraId="2F7FBE75" w14:textId="05ED3BE9" w:rsidR="00C71285" w:rsidRDefault="00C71285" w:rsidP="00C71285">
      <w:pPr>
        <w:pStyle w:val="MTDisplayEquation"/>
      </w:pPr>
      <w:r>
        <w:tab/>
      </w:r>
      <w:r w:rsidRPr="00C71285">
        <w:rPr>
          <w:position w:val="-58"/>
        </w:rPr>
        <w:object w:dxaOrig="5940" w:dyaOrig="999" w14:anchorId="1BCE404B">
          <v:shape id="_x0000_i1036" type="#_x0000_t75" style="width:297.6pt;height:49.8pt" o:ole="">
            <v:imagedata r:id="rId30" o:title=""/>
          </v:shape>
          <o:OLEObject Type="Embed" ProgID="Equation.DSMT4" ShapeID="_x0000_i1036" DrawAspect="Content" ObjectID="_1736065852" r:id="rId31"/>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6" w:name="ZEqnNum230088"/>
      <w:r>
        <w:instrText>(</w:instrText>
      </w:r>
      <w:r w:rsidR="002A7365">
        <w:fldChar w:fldCharType="begin"/>
      </w:r>
      <w:r w:rsidR="002A7365">
        <w:instrText xml:space="preserve"> SEQ MTEqn \c \* Arabic \* MERGEFORMAT </w:instrText>
      </w:r>
      <w:r w:rsidR="002A7365">
        <w:fldChar w:fldCharType="separate"/>
      </w:r>
      <w:r w:rsidR="007C7B62">
        <w:rPr>
          <w:noProof/>
        </w:rPr>
        <w:instrText>6</w:instrText>
      </w:r>
      <w:r w:rsidR="002A7365">
        <w:rPr>
          <w:noProof/>
        </w:rPr>
        <w:fldChar w:fldCharType="end"/>
      </w:r>
      <w:r>
        <w:instrText>)</w:instrText>
      </w:r>
      <w:bookmarkEnd w:id="6"/>
      <w:r>
        <w:fldChar w:fldCharType="end"/>
      </w:r>
    </w:p>
    <w:p w14:paraId="52BA5396" w14:textId="6389C996" w:rsidR="00C71285" w:rsidRDefault="00C908E6" w:rsidP="00C71285">
      <w:r>
        <w:t>where the first addend is the LTC direct mortality effect</w:t>
      </w:r>
      <w:r w:rsidR="00FE7C8F">
        <w:t xml:space="preserve">, </w:t>
      </w:r>
      <w:r>
        <w:t>and the second and third addend form the LTC indirect mortality effect via the HC sector.</w:t>
      </w:r>
      <w:r w:rsidR="00FE7C8F" w:rsidRPr="00FE7C8F">
        <w:t xml:space="preserve"> </w:t>
      </w:r>
      <w:r w:rsidR="00C71285">
        <w:t xml:space="preserve">The term </w:t>
      </w:r>
      <w:r w:rsidR="00C71285" w:rsidRPr="008B3656">
        <w:rPr>
          <w:i/>
        </w:rPr>
        <w:t>dHC</w:t>
      </w:r>
      <w:r w:rsidR="00C71285" w:rsidRPr="008B3656">
        <w:rPr>
          <w:i/>
          <w:vertAlign w:val="subscript"/>
        </w:rPr>
        <w:t>i</w:t>
      </w:r>
      <w:r w:rsidR="00C71285" w:rsidRPr="008B3656">
        <w:rPr>
          <w:i/>
          <w:vertAlign w:val="superscript"/>
        </w:rPr>
        <w:t>high</w:t>
      </w:r>
      <w:r w:rsidR="00C71285">
        <w:t>/</w:t>
      </w:r>
      <w:r w:rsidR="00C71285" w:rsidRPr="008B3656">
        <w:rPr>
          <w:i/>
        </w:rPr>
        <w:t>dLTC</w:t>
      </w:r>
      <w:r w:rsidR="00C71285" w:rsidRPr="008B3656">
        <w:rPr>
          <w:i/>
          <w:vertAlign w:val="subscript"/>
        </w:rPr>
        <w:t>i</w:t>
      </w:r>
      <w:r w:rsidR="00C71285">
        <w:t xml:space="preserve"> </w:t>
      </w:r>
      <w:r w:rsidR="00B21ACC">
        <w:t>(</w:t>
      </w:r>
      <w:r w:rsidR="00C71285" w:rsidRPr="008B3656">
        <w:rPr>
          <w:i/>
        </w:rPr>
        <w:t>dHC</w:t>
      </w:r>
      <w:r w:rsidR="00C71285" w:rsidRPr="008B3656">
        <w:rPr>
          <w:i/>
          <w:vertAlign w:val="subscript"/>
        </w:rPr>
        <w:t>i</w:t>
      </w:r>
      <w:r w:rsidR="00C71285">
        <w:rPr>
          <w:i/>
          <w:vertAlign w:val="superscript"/>
        </w:rPr>
        <w:t>low</w:t>
      </w:r>
      <w:r w:rsidR="00C71285">
        <w:t>/</w:t>
      </w:r>
      <w:r w:rsidR="00C71285" w:rsidRPr="008B3656">
        <w:rPr>
          <w:i/>
        </w:rPr>
        <w:t>dLTC</w:t>
      </w:r>
      <w:r w:rsidR="00C71285" w:rsidRPr="008B3656">
        <w:rPr>
          <w:i/>
          <w:vertAlign w:val="subscript"/>
        </w:rPr>
        <w:t>i</w:t>
      </w:r>
      <w:r w:rsidR="00B21ACC">
        <w:t xml:space="preserve">) </w:t>
      </w:r>
      <w:r w:rsidR="00C71285">
        <w:t xml:space="preserve">in </w:t>
      </w:r>
      <w:r w:rsidR="00C71285">
        <w:fldChar w:fldCharType="begin"/>
      </w:r>
      <w:r w:rsidR="00C71285">
        <w:instrText xml:space="preserve"> GOTOBUTTON ZEqnNum230088  \* MERGEFORMAT </w:instrText>
      </w:r>
      <w:r w:rsidR="002A7365">
        <w:fldChar w:fldCharType="begin"/>
      </w:r>
      <w:r w:rsidR="002A7365">
        <w:instrText xml:space="preserve"> REF ZEqnNum230088 \* Charformat \! \* MERGEFORMAT </w:instrText>
      </w:r>
      <w:r w:rsidR="002A7365">
        <w:fldChar w:fldCharType="separate"/>
      </w:r>
      <w:r w:rsidR="007C7B62">
        <w:instrText>(6)</w:instrText>
      </w:r>
      <w:r w:rsidR="002A7365">
        <w:fldChar w:fldCharType="end"/>
      </w:r>
      <w:r w:rsidR="00C71285">
        <w:fldChar w:fldCharType="end"/>
      </w:r>
      <w:r w:rsidR="00C71285">
        <w:t xml:space="preserve"> can be re-written as the total derivative of </w:t>
      </w:r>
      <w:r w:rsidR="00C71285" w:rsidRPr="008B3656">
        <w:rPr>
          <w:i/>
        </w:rPr>
        <w:t>HC</w:t>
      </w:r>
      <w:r w:rsidR="00C71285" w:rsidRPr="008B3656">
        <w:rPr>
          <w:i/>
          <w:vertAlign w:val="subscript"/>
        </w:rPr>
        <w:t>i</w:t>
      </w:r>
      <w:r w:rsidR="00C71285" w:rsidRPr="008B3656">
        <w:rPr>
          <w:i/>
          <w:vertAlign w:val="superscript"/>
        </w:rPr>
        <w:t>high</w:t>
      </w:r>
      <w:r w:rsidR="00C71285">
        <w:t xml:space="preserve"> </w:t>
      </w:r>
      <w:r w:rsidR="00B21ACC">
        <w:t>(</w:t>
      </w:r>
      <w:r w:rsidR="00C71285" w:rsidRPr="008B3656">
        <w:rPr>
          <w:i/>
        </w:rPr>
        <w:t>HC</w:t>
      </w:r>
      <w:r w:rsidR="00C71285" w:rsidRPr="008B3656">
        <w:rPr>
          <w:i/>
          <w:vertAlign w:val="subscript"/>
        </w:rPr>
        <w:t>i</w:t>
      </w:r>
      <w:r w:rsidR="00C71285">
        <w:rPr>
          <w:i/>
          <w:vertAlign w:val="superscript"/>
        </w:rPr>
        <w:t>low</w:t>
      </w:r>
      <w:r w:rsidR="00B21ACC">
        <w:t>)</w:t>
      </w:r>
      <w:r w:rsidR="00C71285">
        <w:t xml:space="preserve"> with respect to LTC expenditure as follows:</w:t>
      </w:r>
    </w:p>
    <w:p w14:paraId="51258D77" w14:textId="6F1F5928" w:rsidR="00C71285" w:rsidRDefault="00C71285" w:rsidP="00C71285">
      <w:pPr>
        <w:pStyle w:val="MTDisplayEquation"/>
      </w:pPr>
      <w:r>
        <w:tab/>
      </w:r>
      <w:r w:rsidRPr="006C4BFD">
        <w:rPr>
          <w:position w:val="-56"/>
        </w:rPr>
        <w:object w:dxaOrig="4860" w:dyaOrig="980" w14:anchorId="52854241">
          <v:shape id="_x0000_i1037" type="#_x0000_t75" style="width:243pt;height:49.2pt" o:ole="">
            <v:imagedata r:id="rId32" o:title=""/>
          </v:shape>
          <o:OLEObject Type="Embed" ProgID="Equation.DSMT4" ShapeID="_x0000_i1037" DrawAspect="Content" ObjectID="_1736065853" r:id="rId3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7" w:name="ZEqnNum564343"/>
      <w:r>
        <w:instrText>(</w:instrText>
      </w:r>
      <w:r w:rsidR="002A7365">
        <w:fldChar w:fldCharType="begin"/>
      </w:r>
      <w:r w:rsidR="002A7365">
        <w:instrText xml:space="preserve"> SEQ MTEqn \c \* Arabic \* MERGEFORMAT </w:instrText>
      </w:r>
      <w:r w:rsidR="002A7365">
        <w:fldChar w:fldCharType="separate"/>
      </w:r>
      <w:r w:rsidR="007C7B62">
        <w:rPr>
          <w:noProof/>
        </w:rPr>
        <w:instrText>7</w:instrText>
      </w:r>
      <w:r w:rsidR="002A7365">
        <w:rPr>
          <w:noProof/>
        </w:rPr>
        <w:fldChar w:fldCharType="end"/>
      </w:r>
      <w:r>
        <w:instrText>)</w:instrText>
      </w:r>
      <w:bookmarkEnd w:id="7"/>
      <w:r>
        <w:fldChar w:fldCharType="end"/>
      </w:r>
    </w:p>
    <w:p w14:paraId="28B0DE41" w14:textId="1EB36A9C" w:rsidR="00C71285" w:rsidRDefault="00C71285" w:rsidP="00C71285">
      <w:pPr>
        <w:pStyle w:val="MTDisplayEquation"/>
      </w:pPr>
      <w:r>
        <w:tab/>
      </w:r>
      <w:r w:rsidRPr="006C4BFD">
        <w:rPr>
          <w:position w:val="-56"/>
        </w:rPr>
        <w:object w:dxaOrig="5600" w:dyaOrig="980" w14:anchorId="5D4B9C9D">
          <v:shape id="_x0000_i1038" type="#_x0000_t75" style="width:281.4pt;height:49.2pt" o:ole="">
            <v:imagedata r:id="rId34" o:title=""/>
          </v:shape>
          <o:OLEObject Type="Embed" ProgID="Equation.DSMT4" ShapeID="_x0000_i1038" DrawAspect="Content" ObjectID="_1736065854" r:id="rId3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 w:name="ZEqnNum785359"/>
      <w:r>
        <w:instrText>(</w:instrText>
      </w:r>
      <w:r w:rsidR="002A7365">
        <w:fldChar w:fldCharType="begin"/>
      </w:r>
      <w:r w:rsidR="002A7365">
        <w:instrText xml:space="preserve"> SEQ MTEqn \c \* Arabic \* MERGEFORMAT </w:instrText>
      </w:r>
      <w:r w:rsidR="002A7365">
        <w:fldChar w:fldCharType="separate"/>
      </w:r>
      <w:r w:rsidR="007C7B62">
        <w:rPr>
          <w:noProof/>
        </w:rPr>
        <w:instrText>8</w:instrText>
      </w:r>
      <w:r w:rsidR="002A7365">
        <w:rPr>
          <w:noProof/>
        </w:rPr>
        <w:fldChar w:fldCharType="end"/>
      </w:r>
      <w:r>
        <w:instrText>)</w:instrText>
      </w:r>
      <w:bookmarkEnd w:id="8"/>
      <w:r>
        <w:fldChar w:fldCharType="end"/>
      </w:r>
    </w:p>
    <w:p w14:paraId="244B3D28" w14:textId="48CA5280" w:rsidR="00C71285" w:rsidRPr="006C4BFD" w:rsidRDefault="00C71285" w:rsidP="00C71285">
      <w:r>
        <w:t xml:space="preserve">where </w:t>
      </w:r>
      <w:r w:rsidR="00734BF1">
        <w:t xml:space="preserve">in the presence of </w:t>
      </w:r>
      <w:r w:rsidR="008B4518">
        <w:t xml:space="preserve">a fixed </w:t>
      </w:r>
      <w:r>
        <w:t>HC budget</w:t>
      </w:r>
      <w:r w:rsidR="00C908E6">
        <w:t xml:space="preserve">, like in </w:t>
      </w:r>
      <w:r w:rsidR="00B21ACC">
        <w:t>the UK</w:t>
      </w:r>
      <w:r w:rsidR="00600445">
        <w:t>,</w:t>
      </w:r>
      <w:r w:rsidR="00600445" w:rsidRPr="00600445">
        <w:rPr>
          <w:i/>
        </w:rPr>
        <w:t xml:space="preserve"> </w:t>
      </w:r>
      <w:r w:rsidR="00600445" w:rsidRPr="008B3656">
        <w:rPr>
          <w:i/>
        </w:rPr>
        <w:t>dHC</w:t>
      </w:r>
      <w:r w:rsidR="00600445" w:rsidRPr="008B3656">
        <w:rPr>
          <w:i/>
          <w:vertAlign w:val="subscript"/>
        </w:rPr>
        <w:t>i</w:t>
      </w:r>
      <w:r w:rsidR="00600445">
        <w:t>/</w:t>
      </w:r>
      <w:r w:rsidR="00600445" w:rsidRPr="008B3656">
        <w:rPr>
          <w:i/>
        </w:rPr>
        <w:t>dLTC</w:t>
      </w:r>
      <w:r w:rsidR="00600445" w:rsidRPr="008B3656">
        <w:rPr>
          <w:i/>
          <w:vertAlign w:val="subscript"/>
        </w:rPr>
        <w:t>i</w:t>
      </w:r>
      <w:r w:rsidR="00600445">
        <w:t>=0</w:t>
      </w:r>
      <w:r>
        <w:t xml:space="preserve">. By replacing </w:t>
      </w:r>
      <w:r w:rsidR="00C908E6">
        <w:fldChar w:fldCharType="begin"/>
      </w:r>
      <w:r w:rsidR="00C908E6">
        <w:instrText xml:space="preserve"> GOTOBUTTON ZEqnNum564343  \* MERGEFORMAT </w:instrText>
      </w:r>
      <w:r w:rsidR="002A7365">
        <w:fldChar w:fldCharType="begin"/>
      </w:r>
      <w:r w:rsidR="002A7365">
        <w:instrText xml:space="preserve"> REF ZEqnNum564343 \* Charformat \! \* MERGEFORMAT </w:instrText>
      </w:r>
      <w:r w:rsidR="002A7365">
        <w:fldChar w:fldCharType="separate"/>
      </w:r>
      <w:r w:rsidR="007C7B62">
        <w:instrText>(7)</w:instrText>
      </w:r>
      <w:r w:rsidR="002A7365">
        <w:fldChar w:fldCharType="end"/>
      </w:r>
      <w:r w:rsidR="00C908E6">
        <w:fldChar w:fldCharType="end"/>
      </w:r>
      <w:r>
        <w:t xml:space="preserve"> and </w:t>
      </w:r>
      <w:r w:rsidR="00C908E6">
        <w:fldChar w:fldCharType="begin"/>
      </w:r>
      <w:r w:rsidR="00C908E6">
        <w:instrText xml:space="preserve"> GOTOBUTTON ZEqnNum785359  \* MERGEFORMAT </w:instrText>
      </w:r>
      <w:r w:rsidR="002A7365">
        <w:fldChar w:fldCharType="begin"/>
      </w:r>
      <w:r w:rsidR="002A7365">
        <w:instrText xml:space="preserve"> REF ZEqnNum785359 \* Charformat \! \* MERGEFORMAT </w:instrText>
      </w:r>
      <w:r w:rsidR="002A7365">
        <w:fldChar w:fldCharType="separate"/>
      </w:r>
      <w:r w:rsidR="007C7B62">
        <w:instrText>(8)</w:instrText>
      </w:r>
      <w:r w:rsidR="002A7365">
        <w:fldChar w:fldCharType="end"/>
      </w:r>
      <w:r w:rsidR="00C908E6">
        <w:fldChar w:fldCharType="end"/>
      </w:r>
      <w:r>
        <w:t xml:space="preserve"> in</w:t>
      </w:r>
      <w:r w:rsidR="00C908E6">
        <w:t xml:space="preserve"> </w:t>
      </w:r>
      <w:r w:rsidR="00C908E6">
        <w:fldChar w:fldCharType="begin"/>
      </w:r>
      <w:r w:rsidR="00C908E6">
        <w:instrText xml:space="preserve"> GOTOBUTTON ZEqnNum230088  \* MERGEFORMAT </w:instrText>
      </w:r>
      <w:r w:rsidR="002A7365">
        <w:fldChar w:fldCharType="begin"/>
      </w:r>
      <w:r w:rsidR="002A7365">
        <w:instrText xml:space="preserve"> REF ZEqnNum230088 \* Charformat \! \* MERGEF</w:instrText>
      </w:r>
      <w:r w:rsidR="002A7365">
        <w:instrText xml:space="preserve">ORMAT </w:instrText>
      </w:r>
      <w:r w:rsidR="002A7365">
        <w:fldChar w:fldCharType="separate"/>
      </w:r>
      <w:r w:rsidR="007C7B62">
        <w:instrText>(6)</w:instrText>
      </w:r>
      <w:r w:rsidR="002A7365">
        <w:fldChar w:fldCharType="end"/>
      </w:r>
      <w:r w:rsidR="00C908E6">
        <w:fldChar w:fldCharType="end"/>
      </w:r>
      <w:r>
        <w:t xml:space="preserve">, and after rearranging, we can write the total </w:t>
      </w:r>
      <w:r w:rsidR="00600445">
        <w:t xml:space="preserve">mortality </w:t>
      </w:r>
      <w:r>
        <w:t xml:space="preserve">effect </w:t>
      </w:r>
      <w:r w:rsidR="00600445">
        <w:t xml:space="preserve">of LTC expenditure </w:t>
      </w:r>
      <w:r>
        <w:t xml:space="preserve">as follows: </w:t>
      </w:r>
    </w:p>
    <w:p w14:paraId="7575DD54" w14:textId="0E801A64" w:rsidR="00C71285" w:rsidRDefault="00C71285" w:rsidP="00C71285">
      <w:pPr>
        <w:pStyle w:val="MTDisplayEquation"/>
      </w:pPr>
      <w:r>
        <w:tab/>
      </w:r>
      <w:r w:rsidR="000B1AB9" w:rsidRPr="00C908E6">
        <w:rPr>
          <w:position w:val="-60"/>
        </w:rPr>
        <w:object w:dxaOrig="5880" w:dyaOrig="1040" w14:anchorId="38C42D8B">
          <v:shape id="_x0000_i1039" type="#_x0000_t75" style="width:294pt;height:51.6pt" o:ole="">
            <v:imagedata r:id="rId36" o:title=""/>
          </v:shape>
          <o:OLEObject Type="Embed" ProgID="Equation.DSMT4" ShapeID="_x0000_i1039" DrawAspect="Content" ObjectID="_1736065855" r:id="rId37"/>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9" w:name="ZEqnNum572985"/>
      <w:r>
        <w:instrText>(</w:instrText>
      </w:r>
      <w:r w:rsidR="002A7365">
        <w:fldChar w:fldCharType="begin"/>
      </w:r>
      <w:r w:rsidR="002A7365">
        <w:instrText xml:space="preserve"> SEQ MTEqn \c \* Arabic \* MERGEFORMAT </w:instrText>
      </w:r>
      <w:r w:rsidR="002A7365">
        <w:fldChar w:fldCharType="separate"/>
      </w:r>
      <w:r w:rsidR="007C7B62">
        <w:rPr>
          <w:noProof/>
        </w:rPr>
        <w:instrText>9</w:instrText>
      </w:r>
      <w:r w:rsidR="002A7365">
        <w:rPr>
          <w:noProof/>
        </w:rPr>
        <w:fldChar w:fldCharType="end"/>
      </w:r>
      <w:r>
        <w:instrText>)</w:instrText>
      </w:r>
      <w:bookmarkEnd w:id="9"/>
      <w:r>
        <w:fldChar w:fldCharType="end"/>
      </w:r>
    </w:p>
    <w:p w14:paraId="3A2ED1F9" w14:textId="19AAD042" w:rsidR="00EC2FF1" w:rsidRDefault="000B1AB9" w:rsidP="009C409D">
      <w:r>
        <w:t xml:space="preserve">which suggests that the </w:t>
      </w:r>
      <w:r w:rsidR="00C71285">
        <w:t xml:space="preserve">LTC indirect </w:t>
      </w:r>
      <w:r w:rsidR="00C908E6">
        <w:t xml:space="preserve">mortality </w:t>
      </w:r>
      <w:r w:rsidR="00AF2690">
        <w:t>effect</w:t>
      </w:r>
      <w:r w:rsidR="00A12E24">
        <w:t xml:space="preserve"> (second addend)</w:t>
      </w:r>
      <w:r w:rsidR="00AF2690">
        <w:t xml:space="preserve"> </w:t>
      </w:r>
      <w:r w:rsidR="00CB710F">
        <w:t>depends on</w:t>
      </w:r>
      <w:r w:rsidR="00AF2690">
        <w:t xml:space="preserve"> the ability of the </w:t>
      </w:r>
      <w:r w:rsidR="00F42C15">
        <w:t>HC sector to reallocate resources</w:t>
      </w:r>
      <w:r w:rsidR="00AF2690">
        <w:t xml:space="preserve"> from low- to high-effective services</w:t>
      </w:r>
      <w:r w:rsidR="00595BEC">
        <w:t>,</w:t>
      </w:r>
      <w:r w:rsidR="00AF2690">
        <w:t xml:space="preserve"> and the</w:t>
      </w:r>
      <w:r w:rsidR="003958F9">
        <w:t xml:space="preserve"> difference</w:t>
      </w:r>
      <w:r w:rsidR="00AF2690">
        <w:t xml:space="preserve"> in effectiveness between these services.</w:t>
      </w:r>
    </w:p>
    <w:p w14:paraId="085CA57B" w14:textId="5A8B9FA3" w:rsidR="0088381E" w:rsidRDefault="006206CE" w:rsidP="0088381E">
      <w:r>
        <w:t>Moreover, e</w:t>
      </w:r>
      <w:r w:rsidR="00EC2FF1">
        <w:t xml:space="preserve">quation </w:t>
      </w:r>
      <w:r w:rsidR="00EC2FF1">
        <w:fldChar w:fldCharType="begin"/>
      </w:r>
      <w:r w:rsidR="00EC2FF1">
        <w:instrText xml:space="preserve"> GOTOBUTTON ZEqnNum572985  \* MERGEFORMAT </w:instrText>
      </w:r>
      <w:r w:rsidR="002A7365">
        <w:fldChar w:fldCharType="begin"/>
      </w:r>
      <w:r w:rsidR="002A7365">
        <w:instrText xml:space="preserve"> REF ZEqnNum572985 \* Charformat \! \* MERGEFORMAT </w:instrText>
      </w:r>
      <w:r w:rsidR="002A7365">
        <w:fldChar w:fldCharType="separate"/>
      </w:r>
      <w:r w:rsidR="007C7B62">
        <w:instrText>(9)</w:instrText>
      </w:r>
      <w:r w:rsidR="002A7365">
        <w:fldChar w:fldCharType="end"/>
      </w:r>
      <w:r w:rsidR="00EC2FF1">
        <w:fldChar w:fldCharType="end"/>
      </w:r>
      <w:r w:rsidR="00EC2FF1">
        <w:t xml:space="preserve"> highlights that there are three possible channels </w:t>
      </w:r>
      <w:r w:rsidR="006C1684">
        <w:t>that may contribute to an</w:t>
      </w:r>
      <w:r w:rsidR="00EC2FF1">
        <w:t xml:space="preserve"> indirect mortality effect. </w:t>
      </w:r>
      <w:r w:rsidR="00EF00F4">
        <w:t>A</w:t>
      </w:r>
      <w:r w:rsidR="00EC2FF1">
        <w:t xml:space="preserve"> first channel</w:t>
      </w:r>
      <w:r w:rsidR="00EF00F4">
        <w:t xml:space="preserve"> is</w:t>
      </w:r>
      <w:r w:rsidR="00EC2FF1">
        <w:t xml:space="preserve"> </w:t>
      </w:r>
      <w:r w:rsidR="00EC2FF1" w:rsidRPr="00160118">
        <w:rPr>
          <w:i/>
        </w:rPr>
        <w:t>d</w:t>
      </w:r>
      <w:r w:rsidR="00EC2FF1">
        <w:rPr>
          <w:rFonts w:cstheme="minorHAnsi"/>
        </w:rPr>
        <w:t>φ</w:t>
      </w:r>
      <w:r w:rsidR="00EC2FF1" w:rsidRPr="00160118">
        <w:rPr>
          <w:i/>
          <w:vertAlign w:val="subscript"/>
        </w:rPr>
        <w:t>i</w:t>
      </w:r>
      <w:r w:rsidR="00EC2FF1">
        <w:t>/</w:t>
      </w:r>
      <w:r w:rsidR="00EC2FF1" w:rsidRPr="00160118">
        <w:rPr>
          <w:i/>
        </w:rPr>
        <w:t>dLTC</w:t>
      </w:r>
      <w:r w:rsidR="00EC2FF1" w:rsidRPr="00160118">
        <w:rPr>
          <w:i/>
          <w:vertAlign w:val="subscript"/>
        </w:rPr>
        <w:t>i</w:t>
      </w:r>
      <w:r w:rsidR="00EC2FF1">
        <w:t xml:space="preserve"> </w:t>
      </w:r>
      <w:r w:rsidR="007442ED">
        <w:t xml:space="preserve">because </w:t>
      </w:r>
      <w:r>
        <w:t xml:space="preserve">the indirect mortality effect </w:t>
      </w:r>
      <w:r w:rsidR="007442ED">
        <w:t xml:space="preserve">will </w:t>
      </w:r>
      <w:r>
        <w:t>increase with the ability of the HC sector to reallocate resources</w:t>
      </w:r>
      <w:r w:rsidR="00AA16D7">
        <w:t xml:space="preserve"> </w:t>
      </w:r>
      <w:r>
        <w:t>from low- to high-effective services.</w:t>
      </w:r>
      <w:r w:rsidR="009C409D" w:rsidRPr="009C409D">
        <w:t xml:space="preserve"> </w:t>
      </w:r>
      <w:r w:rsidR="00C240C8">
        <w:t>This is plausible because, f</w:t>
      </w:r>
      <w:r w:rsidR="00C240C8" w:rsidRPr="002A4884">
        <w:t>or example, LTC users who receive better support to cope with their long-term conditions may request less hospital visits which have little impact on health, such as avoidable emergency care visits.</w:t>
      </w:r>
      <w:r w:rsidR="00C240C8">
        <w:t xml:space="preserve"> </w:t>
      </w:r>
      <w:r w:rsidR="00C240C8" w:rsidRPr="002A4884">
        <w:t>Lower demand f</w:t>
      </w:r>
      <w:r w:rsidR="00C240C8">
        <w:t>or</w:t>
      </w:r>
      <w:r w:rsidR="00C240C8" w:rsidRPr="002A4884">
        <w:t xml:space="preserve"> these services </w:t>
      </w:r>
      <w:r w:rsidR="00C240C8">
        <w:t xml:space="preserve">releases resources which could be reinvested </w:t>
      </w:r>
      <w:r w:rsidR="00C240C8" w:rsidRPr="002A4884">
        <w:t>in</w:t>
      </w:r>
      <w:r w:rsidR="00C240C8">
        <w:t xml:space="preserve"> more</w:t>
      </w:r>
      <w:r w:rsidR="00C240C8" w:rsidRPr="002A4884">
        <w:t xml:space="preserve"> effective</w:t>
      </w:r>
      <w:r w:rsidR="00C240C8">
        <w:t xml:space="preserve"> HC services, such as elective care.</w:t>
      </w:r>
      <w:r w:rsidR="00EF00F4">
        <w:t xml:space="preserve"> </w:t>
      </w:r>
      <w:r w:rsidR="00407F7F">
        <w:t xml:space="preserve">A second channel </w:t>
      </w:r>
      <w:r w:rsidR="00C44C3F">
        <w:t xml:space="preserve">increasing the indirect mortality effect </w:t>
      </w:r>
      <w:r w:rsidR="00EF00F4">
        <w:t xml:space="preserve">is </w:t>
      </w:r>
      <w:r w:rsidR="00407F7F" w:rsidRPr="0040567A">
        <w:rPr>
          <w:i/>
        </w:rPr>
        <w:t>HC</w:t>
      </w:r>
      <w:r w:rsidR="00407F7F" w:rsidRPr="0040567A">
        <w:rPr>
          <w:i/>
          <w:vertAlign w:val="subscript"/>
        </w:rPr>
        <w:t>i</w:t>
      </w:r>
      <w:r w:rsidR="00407F7F">
        <w:t xml:space="preserve">, if LTC expenditure impacts HC expenditure. </w:t>
      </w:r>
      <w:r w:rsidR="0066012B">
        <w:t>As already mentioned, h</w:t>
      </w:r>
      <w:r>
        <w:t xml:space="preserve">owever, this is unlikely to be the case because </w:t>
      </w:r>
      <w:r w:rsidR="00407F7F">
        <w:t>a fixed HC budget</w:t>
      </w:r>
      <w:r>
        <w:t xml:space="preserve"> means that </w:t>
      </w:r>
      <w:r w:rsidR="00942493">
        <w:t xml:space="preserve">no more or less of </w:t>
      </w:r>
      <w:r w:rsidR="00C90B19">
        <w:t>the whole budget</w:t>
      </w:r>
      <w:r w:rsidR="00942493">
        <w:t xml:space="preserve"> </w:t>
      </w:r>
      <w:r>
        <w:t>will be spent</w:t>
      </w:r>
      <w:r w:rsidR="00407F7F">
        <w:t>.</w:t>
      </w:r>
      <w:r w:rsidR="0088130E">
        <w:t xml:space="preserve"> Therefore, </w:t>
      </w:r>
      <w:r w:rsidR="0088130E" w:rsidRPr="008114E9">
        <w:rPr>
          <w:i/>
        </w:rPr>
        <w:t>HC</w:t>
      </w:r>
      <w:r w:rsidR="0088130E" w:rsidRPr="008114E9">
        <w:rPr>
          <w:i/>
          <w:vertAlign w:val="subscript"/>
        </w:rPr>
        <w:t>i</w:t>
      </w:r>
      <w:r w:rsidR="0088130E">
        <w:t xml:space="preserve"> is likely to be a simple constant in the equation</w:t>
      </w:r>
      <w:r w:rsidR="00EF00F4">
        <w:t xml:space="preserve">, i.e. </w:t>
      </w:r>
      <w:r w:rsidR="0088130E" w:rsidRPr="00160118">
        <w:rPr>
          <w:i/>
        </w:rPr>
        <w:t>d</w:t>
      </w:r>
      <w:r w:rsidR="0088130E" w:rsidRPr="0040567A">
        <w:rPr>
          <w:rFonts w:cstheme="minorHAnsi"/>
          <w:i/>
        </w:rPr>
        <w:t>HC</w:t>
      </w:r>
      <w:r w:rsidR="0088130E" w:rsidRPr="00160118">
        <w:rPr>
          <w:i/>
          <w:vertAlign w:val="subscript"/>
        </w:rPr>
        <w:t>i</w:t>
      </w:r>
      <w:r w:rsidR="0088130E">
        <w:t>/</w:t>
      </w:r>
      <w:r w:rsidR="0088130E" w:rsidRPr="00160118">
        <w:rPr>
          <w:i/>
        </w:rPr>
        <w:t>dLTC</w:t>
      </w:r>
      <w:r w:rsidR="0088130E" w:rsidRPr="00160118">
        <w:rPr>
          <w:i/>
          <w:vertAlign w:val="subscript"/>
        </w:rPr>
        <w:t>i</w:t>
      </w:r>
      <w:r w:rsidR="0088130E" w:rsidRPr="0040567A">
        <w:t>=0</w:t>
      </w:r>
      <w:r w:rsidR="0088130E">
        <w:t>.</w:t>
      </w:r>
      <w:r w:rsidR="00407F7F">
        <w:t xml:space="preserve"> </w:t>
      </w:r>
      <w:r w:rsidR="00EF00F4">
        <w:t xml:space="preserve">Finally, a third channel is </w:t>
      </w:r>
      <w:r w:rsidR="00EE2EC0">
        <w:t xml:space="preserve">the effectiveness of HC expenditure, </w:t>
      </w:r>
      <w:r w:rsidR="00EE2EC0">
        <w:rPr>
          <w:rFonts w:cstheme="minorHAnsi"/>
          <w:i/>
        </w:rPr>
        <w:t>∂</w:t>
      </w:r>
      <w:r w:rsidR="00EE2EC0">
        <w:rPr>
          <w:i/>
        </w:rPr>
        <w:t>g</w:t>
      </w:r>
      <w:r w:rsidR="00EE2EC0">
        <w:t>/</w:t>
      </w:r>
      <w:r w:rsidR="00EE2EC0">
        <w:rPr>
          <w:rFonts w:cstheme="minorHAnsi"/>
          <w:i/>
        </w:rPr>
        <w:t>∂</w:t>
      </w:r>
      <w:r w:rsidR="00EE2EC0">
        <w:rPr>
          <w:i/>
        </w:rPr>
        <w:t>HC</w:t>
      </w:r>
      <w:r w:rsidR="00EE2EC0" w:rsidRPr="008B3656">
        <w:rPr>
          <w:i/>
          <w:vertAlign w:val="subscript"/>
        </w:rPr>
        <w:t>i</w:t>
      </w:r>
      <w:r w:rsidR="00EE2EC0">
        <w:rPr>
          <w:i/>
          <w:vertAlign w:val="superscript"/>
        </w:rPr>
        <w:t>low</w:t>
      </w:r>
      <w:r w:rsidR="00EE2EC0" w:rsidRPr="0040567A">
        <w:rPr>
          <w:rFonts w:cstheme="minorHAnsi"/>
        </w:rPr>
        <w:t xml:space="preserve"> and </w:t>
      </w:r>
      <w:r w:rsidR="00EF00F4">
        <w:rPr>
          <w:rFonts w:cstheme="minorHAnsi"/>
          <w:i/>
        </w:rPr>
        <w:t>∂</w:t>
      </w:r>
      <w:r w:rsidR="00EF00F4">
        <w:rPr>
          <w:i/>
        </w:rPr>
        <w:t>g</w:t>
      </w:r>
      <w:r w:rsidR="00EF00F4">
        <w:t>/</w:t>
      </w:r>
      <w:r w:rsidR="00EF00F4">
        <w:rPr>
          <w:rFonts w:cstheme="minorHAnsi"/>
          <w:i/>
        </w:rPr>
        <w:t>∂</w:t>
      </w:r>
      <w:r w:rsidR="00EF00F4">
        <w:rPr>
          <w:i/>
        </w:rPr>
        <w:t>HC</w:t>
      </w:r>
      <w:r w:rsidR="00EF00F4" w:rsidRPr="008B3656">
        <w:rPr>
          <w:i/>
          <w:vertAlign w:val="subscript"/>
        </w:rPr>
        <w:t>i</w:t>
      </w:r>
      <w:r w:rsidR="00EF00F4" w:rsidRPr="005B6EF3">
        <w:rPr>
          <w:i/>
          <w:vertAlign w:val="superscript"/>
        </w:rPr>
        <w:t>high</w:t>
      </w:r>
      <w:r w:rsidR="00EE2EC0">
        <w:rPr>
          <w:rFonts w:cstheme="minorHAnsi"/>
        </w:rPr>
        <w:t xml:space="preserve">, </w:t>
      </w:r>
      <w:r w:rsidR="00B62AB4">
        <w:t xml:space="preserve">if </w:t>
      </w:r>
      <w:r w:rsidR="00EE2EC0">
        <w:t xml:space="preserve">these vary </w:t>
      </w:r>
      <w:r w:rsidR="00B62AB4">
        <w:t xml:space="preserve">with </w:t>
      </w:r>
      <w:r w:rsidR="0066012B">
        <w:t>LTC expenditure.</w:t>
      </w:r>
      <w:r w:rsidR="00B62AB4">
        <w:t xml:space="preserve"> This is plausible if, f</w:t>
      </w:r>
      <w:r w:rsidR="00B62AB4">
        <w:rPr>
          <w:rFonts w:cstheme="minorHAnsi"/>
        </w:rPr>
        <w:t xml:space="preserve">or example, greater LTC expenditure frees HC resources to reduce waiting time for elective treatments which, in turn, become more effective. Similarly, if greater LTC expenditure means that doctors in the emergency department can spend more time treating patients with greater health need, emergency </w:t>
      </w:r>
      <w:r w:rsidR="00B62AB4">
        <w:rPr>
          <w:rFonts w:cstheme="minorHAnsi"/>
        </w:rPr>
        <w:lastRenderedPageBreak/>
        <w:t>services may become more effective.</w:t>
      </w:r>
      <w:r w:rsidR="008322C9">
        <w:rPr>
          <w:rFonts w:cstheme="minorHAnsi"/>
        </w:rPr>
        <w:t xml:space="preserve"> Finally</w:t>
      </w:r>
      <w:r w:rsidR="00B62AB4">
        <w:rPr>
          <w:rFonts w:cstheme="minorHAnsi"/>
        </w:rPr>
        <w:t>, if greater LTC expenditure improves m</w:t>
      </w:r>
      <w:r w:rsidR="00B62AB4">
        <w:t>edication adherence, this may make drugs more effective.</w:t>
      </w:r>
    </w:p>
    <w:p w14:paraId="2D9157CE" w14:textId="115A0051" w:rsidR="002B25ED" w:rsidRDefault="00BA1F09" w:rsidP="001D5BCE">
      <w:r>
        <w:t xml:space="preserve">The direct and indirect effect of HC expenditure </w:t>
      </w:r>
      <w:r w:rsidR="001D5BCE">
        <w:t xml:space="preserve">can be obtained </w:t>
      </w:r>
      <w:r w:rsidR="002B25ED">
        <w:t xml:space="preserve">by total differentiating equation </w:t>
      </w:r>
      <w:r w:rsidR="002B25ED">
        <w:fldChar w:fldCharType="begin"/>
      </w:r>
      <w:r w:rsidR="002B25ED">
        <w:instrText xml:space="preserve"> GOTOBUTTON ZEqnNum756773  \* MERGEFORMAT </w:instrText>
      </w:r>
      <w:r w:rsidR="002A7365">
        <w:fldChar w:fldCharType="begin"/>
      </w:r>
      <w:r w:rsidR="002A7365">
        <w:instrText xml:space="preserve"> REF ZEqnNum756773 \* Charformat \! \* MERGEFORMAT </w:instrText>
      </w:r>
      <w:r w:rsidR="002A7365">
        <w:fldChar w:fldCharType="separate"/>
      </w:r>
      <w:r w:rsidR="007C7B62" w:rsidRPr="002A4884">
        <w:instrText>(</w:instrText>
      </w:r>
      <w:r w:rsidR="007C7B62">
        <w:instrText>1</w:instrText>
      </w:r>
      <w:r w:rsidR="007C7B62" w:rsidRPr="002A4884">
        <w:instrText>)</w:instrText>
      </w:r>
      <w:r w:rsidR="002A7365">
        <w:fldChar w:fldCharType="end"/>
      </w:r>
      <w:r w:rsidR="002B25ED">
        <w:fldChar w:fldCharType="end"/>
      </w:r>
      <w:r w:rsidR="002B25ED">
        <w:t xml:space="preserve"> as follows:</w:t>
      </w:r>
    </w:p>
    <w:p w14:paraId="5ED812D9" w14:textId="7395EEDD" w:rsidR="002B25ED" w:rsidRPr="002101B4" w:rsidRDefault="002B25ED" w:rsidP="002B25ED">
      <w:pPr>
        <w:pStyle w:val="MTDisplayEquation"/>
      </w:pPr>
      <w:r>
        <w:tab/>
      </w:r>
      <w:r w:rsidR="000A3325" w:rsidRPr="003E3CEF">
        <w:rPr>
          <w:position w:val="-58"/>
        </w:rPr>
        <w:object w:dxaOrig="6160" w:dyaOrig="999" w14:anchorId="08271833">
          <v:shape id="_x0000_i1040" type="#_x0000_t75" style="width:307.2pt;height:49.8pt" o:ole="">
            <v:imagedata r:id="rId38" o:title=""/>
          </v:shape>
          <o:OLEObject Type="Embed" ProgID="Equation.DSMT4" ShapeID="_x0000_i1040" DrawAspect="Content" ObjectID="_1736065856" r:id="rId3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0" w:name="ZEqnNum988502"/>
      <w:r>
        <w:instrText>(</w:instrText>
      </w:r>
      <w:r w:rsidR="002A7365">
        <w:fldChar w:fldCharType="begin"/>
      </w:r>
      <w:r w:rsidR="002A7365">
        <w:instrText xml:space="preserve"> SEQ MTEqn \c </w:instrText>
      </w:r>
      <w:r w:rsidR="002A7365">
        <w:instrText xml:space="preserve">\* Arabic \* MERGEFORMAT </w:instrText>
      </w:r>
      <w:r w:rsidR="002A7365">
        <w:fldChar w:fldCharType="separate"/>
      </w:r>
      <w:r w:rsidR="007C7B62">
        <w:rPr>
          <w:noProof/>
        </w:rPr>
        <w:instrText>10</w:instrText>
      </w:r>
      <w:r w:rsidR="002A7365">
        <w:rPr>
          <w:noProof/>
        </w:rPr>
        <w:fldChar w:fldCharType="end"/>
      </w:r>
      <w:r>
        <w:instrText>)</w:instrText>
      </w:r>
      <w:bookmarkEnd w:id="10"/>
      <w:r>
        <w:fldChar w:fldCharType="end"/>
      </w:r>
    </w:p>
    <w:p w14:paraId="1057B544" w14:textId="6A9229BF" w:rsidR="000A3325" w:rsidRDefault="002B25ED" w:rsidP="001D5BCE">
      <w:r>
        <w:t>where t</w:t>
      </w:r>
      <w:r w:rsidR="001D5BCE">
        <w:t xml:space="preserve">he term </w:t>
      </w:r>
      <w:r w:rsidR="001D5BCE" w:rsidRPr="008B3656">
        <w:rPr>
          <w:i/>
        </w:rPr>
        <w:t>d</w:t>
      </w:r>
      <w:r w:rsidR="001D5BCE">
        <w:rPr>
          <w:i/>
        </w:rPr>
        <w:t>LT</w:t>
      </w:r>
      <w:r w:rsidR="001D5BCE" w:rsidRPr="008B3656">
        <w:rPr>
          <w:i/>
        </w:rPr>
        <w:t>C</w:t>
      </w:r>
      <w:r w:rsidR="001D5BCE" w:rsidRPr="008B3656">
        <w:rPr>
          <w:i/>
          <w:vertAlign w:val="subscript"/>
        </w:rPr>
        <w:t>i</w:t>
      </w:r>
      <w:r w:rsidR="001D5BCE" w:rsidRPr="008B3656">
        <w:rPr>
          <w:i/>
          <w:vertAlign w:val="superscript"/>
        </w:rPr>
        <w:t>high</w:t>
      </w:r>
      <w:r w:rsidR="001D5BCE">
        <w:t>/</w:t>
      </w:r>
      <w:r w:rsidR="001D5BCE" w:rsidRPr="008B3656">
        <w:rPr>
          <w:i/>
        </w:rPr>
        <w:t>d</w:t>
      </w:r>
      <w:r w:rsidR="001D5BCE">
        <w:rPr>
          <w:i/>
        </w:rPr>
        <w:t>H</w:t>
      </w:r>
      <w:r w:rsidR="001D5BCE" w:rsidRPr="008B3656">
        <w:rPr>
          <w:i/>
        </w:rPr>
        <w:t>C</w:t>
      </w:r>
      <w:r w:rsidR="001D5BCE" w:rsidRPr="008B3656">
        <w:rPr>
          <w:i/>
          <w:vertAlign w:val="subscript"/>
        </w:rPr>
        <w:t>i</w:t>
      </w:r>
      <w:r w:rsidR="000A3325">
        <w:t xml:space="preserve"> (</w:t>
      </w:r>
      <w:r w:rsidR="001D5BCE" w:rsidRPr="008B3656">
        <w:rPr>
          <w:i/>
        </w:rPr>
        <w:t>d</w:t>
      </w:r>
      <w:r w:rsidR="001D5BCE">
        <w:rPr>
          <w:i/>
        </w:rPr>
        <w:t>LT</w:t>
      </w:r>
      <w:r w:rsidR="001D5BCE" w:rsidRPr="008B3656">
        <w:rPr>
          <w:i/>
        </w:rPr>
        <w:t>C</w:t>
      </w:r>
      <w:r w:rsidR="001D5BCE" w:rsidRPr="008B3656">
        <w:rPr>
          <w:i/>
          <w:vertAlign w:val="subscript"/>
        </w:rPr>
        <w:t>i</w:t>
      </w:r>
      <w:r w:rsidR="001D5BCE">
        <w:rPr>
          <w:i/>
          <w:vertAlign w:val="superscript"/>
        </w:rPr>
        <w:t>low</w:t>
      </w:r>
      <w:r w:rsidR="001D5BCE">
        <w:t>/</w:t>
      </w:r>
      <w:r w:rsidR="001D5BCE" w:rsidRPr="008B3656">
        <w:rPr>
          <w:i/>
        </w:rPr>
        <w:t>d</w:t>
      </w:r>
      <w:r w:rsidR="001D5BCE">
        <w:rPr>
          <w:i/>
        </w:rPr>
        <w:t>H</w:t>
      </w:r>
      <w:r w:rsidR="001D5BCE" w:rsidRPr="008B3656">
        <w:rPr>
          <w:i/>
        </w:rPr>
        <w:t>C</w:t>
      </w:r>
      <w:r w:rsidR="001D5BCE" w:rsidRPr="008B3656">
        <w:rPr>
          <w:i/>
          <w:vertAlign w:val="subscript"/>
        </w:rPr>
        <w:t>i</w:t>
      </w:r>
      <w:r w:rsidR="000A3325">
        <w:t xml:space="preserve">) </w:t>
      </w:r>
      <w:r w:rsidR="001D5BCE">
        <w:t xml:space="preserve">can be </w:t>
      </w:r>
      <w:r w:rsidR="0062394E">
        <w:t>re-written as</w:t>
      </w:r>
      <w:r w:rsidR="00650D93">
        <w:t xml:space="preserve"> the </w:t>
      </w:r>
      <w:r w:rsidR="001D5BCE">
        <w:t xml:space="preserve">total derivative of </w:t>
      </w:r>
      <w:r w:rsidR="000A3325">
        <w:rPr>
          <w:i/>
        </w:rPr>
        <w:t>LT</w:t>
      </w:r>
      <w:r w:rsidR="000A3325" w:rsidRPr="008B3656">
        <w:rPr>
          <w:i/>
        </w:rPr>
        <w:t>C</w:t>
      </w:r>
      <w:r w:rsidR="000A3325" w:rsidRPr="008B3656">
        <w:rPr>
          <w:i/>
          <w:vertAlign w:val="subscript"/>
        </w:rPr>
        <w:t>i</w:t>
      </w:r>
      <w:r w:rsidR="000A3325" w:rsidRPr="008B3656">
        <w:rPr>
          <w:i/>
          <w:vertAlign w:val="superscript"/>
        </w:rPr>
        <w:t>high</w:t>
      </w:r>
      <w:r w:rsidR="000A3325">
        <w:t xml:space="preserve"> (</w:t>
      </w:r>
      <w:r w:rsidR="000A3325">
        <w:rPr>
          <w:i/>
        </w:rPr>
        <w:t>LT</w:t>
      </w:r>
      <w:r w:rsidR="000A3325" w:rsidRPr="008B3656">
        <w:rPr>
          <w:i/>
        </w:rPr>
        <w:t>C</w:t>
      </w:r>
      <w:r w:rsidR="000A3325" w:rsidRPr="008B3656">
        <w:rPr>
          <w:i/>
          <w:vertAlign w:val="subscript"/>
        </w:rPr>
        <w:t>i</w:t>
      </w:r>
      <w:r w:rsidR="000A3325">
        <w:rPr>
          <w:i/>
          <w:vertAlign w:val="superscript"/>
        </w:rPr>
        <w:t>low</w:t>
      </w:r>
      <w:r w:rsidR="000A3325">
        <w:t>) with respect to HC expenditure as follows:</w:t>
      </w:r>
    </w:p>
    <w:p w14:paraId="70AA102E" w14:textId="37D2A542" w:rsidR="000A3325" w:rsidRDefault="000A3325" w:rsidP="000A3325">
      <w:pPr>
        <w:pStyle w:val="MTDisplayEquation"/>
      </w:pPr>
      <w:r>
        <w:tab/>
      </w:r>
      <w:r w:rsidRPr="0041593C">
        <w:rPr>
          <w:position w:val="-30"/>
        </w:rPr>
        <w:object w:dxaOrig="3540" w:dyaOrig="720" w14:anchorId="55D30535">
          <v:shape id="_x0000_i1041" type="#_x0000_t75" style="width:177pt;height:36pt" o:ole="">
            <v:imagedata r:id="rId40" o:title=""/>
          </v:shape>
          <o:OLEObject Type="Embed" ProgID="Equation.DSMT4" ShapeID="_x0000_i1041" DrawAspect="Content" ObjectID="_1736065857" r:id="rId41"/>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1" w:name="ZEqnNum810959"/>
      <w:r>
        <w:instrText>(</w:instrText>
      </w:r>
      <w:r w:rsidR="002A7365">
        <w:fldChar w:fldCharType="begin"/>
      </w:r>
      <w:r w:rsidR="002A7365">
        <w:instrText xml:space="preserve"> SEQ MTEqn \c \* Arabic \* MERGEFORMAT </w:instrText>
      </w:r>
      <w:r w:rsidR="002A7365">
        <w:fldChar w:fldCharType="separate"/>
      </w:r>
      <w:r w:rsidR="007C7B62">
        <w:rPr>
          <w:noProof/>
        </w:rPr>
        <w:instrText>11</w:instrText>
      </w:r>
      <w:r w:rsidR="002A7365">
        <w:rPr>
          <w:noProof/>
        </w:rPr>
        <w:fldChar w:fldCharType="end"/>
      </w:r>
      <w:r>
        <w:instrText>)</w:instrText>
      </w:r>
      <w:bookmarkEnd w:id="11"/>
      <w:r>
        <w:fldChar w:fldCharType="end"/>
      </w:r>
    </w:p>
    <w:p w14:paraId="473BAE78" w14:textId="27400581" w:rsidR="000A3325" w:rsidRDefault="000A3325" w:rsidP="000A3325">
      <w:pPr>
        <w:pStyle w:val="MTDisplayEquation"/>
      </w:pPr>
      <w:r>
        <w:tab/>
      </w:r>
      <w:r w:rsidRPr="0041593C">
        <w:rPr>
          <w:position w:val="-30"/>
        </w:rPr>
        <w:object w:dxaOrig="7640" w:dyaOrig="720" w14:anchorId="1B7B9FB1">
          <v:shape id="_x0000_i1042" type="#_x0000_t75" style="width:382.2pt;height:36pt" o:ole="">
            <v:imagedata r:id="rId42" o:title=""/>
          </v:shape>
          <o:OLEObject Type="Embed" ProgID="Equation.DSMT4" ShapeID="_x0000_i1042" DrawAspect="Content" ObjectID="_1736065858" r:id="rId43"/>
        </w:object>
      </w:r>
      <w:r w:rsidR="00770D3F">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2" w:name="ZEqnNum910397"/>
      <w:r>
        <w:instrText>(</w:instrText>
      </w:r>
      <w:r w:rsidR="002A7365">
        <w:fldChar w:fldCharType="begin"/>
      </w:r>
      <w:r w:rsidR="002A7365">
        <w:instrText xml:space="preserve"> SEQ MTEqn \c \* Arabic \* MERGEFORMAT </w:instrText>
      </w:r>
      <w:r w:rsidR="002A7365">
        <w:fldChar w:fldCharType="separate"/>
      </w:r>
      <w:r w:rsidR="007C7B62">
        <w:rPr>
          <w:noProof/>
        </w:rPr>
        <w:instrText>12</w:instrText>
      </w:r>
      <w:r w:rsidR="002A7365">
        <w:rPr>
          <w:noProof/>
        </w:rPr>
        <w:fldChar w:fldCharType="end"/>
      </w:r>
      <w:r>
        <w:instrText>)</w:instrText>
      </w:r>
      <w:bookmarkEnd w:id="12"/>
      <w:r>
        <w:fldChar w:fldCharType="end"/>
      </w:r>
    </w:p>
    <w:p w14:paraId="6F58D648" w14:textId="325F4394" w:rsidR="001D5BCE" w:rsidRDefault="00770D3F" w:rsidP="00770D3F">
      <w:r w:rsidRPr="00770D3F">
        <w:t>Unlike</w:t>
      </w:r>
      <w:r>
        <w:t xml:space="preserve"> the HC budget, the LTC budget </w:t>
      </w:r>
      <w:r w:rsidR="008B4518">
        <w:t xml:space="preserve">is </w:t>
      </w:r>
      <w:r>
        <w:t xml:space="preserve">flexible, such that </w:t>
      </w:r>
      <w:r w:rsidRPr="008B3656">
        <w:rPr>
          <w:i/>
        </w:rPr>
        <w:t>d</w:t>
      </w:r>
      <w:r>
        <w:rPr>
          <w:i/>
        </w:rPr>
        <w:t>LT</w:t>
      </w:r>
      <w:r w:rsidRPr="008B3656">
        <w:rPr>
          <w:i/>
        </w:rPr>
        <w:t>C</w:t>
      </w:r>
      <w:r w:rsidRPr="008B3656">
        <w:rPr>
          <w:i/>
          <w:vertAlign w:val="subscript"/>
        </w:rPr>
        <w:t>i</w:t>
      </w:r>
      <w:r>
        <w:t>/</w:t>
      </w:r>
      <w:r w:rsidRPr="008B3656">
        <w:rPr>
          <w:i/>
        </w:rPr>
        <w:t>d</w:t>
      </w:r>
      <w:r>
        <w:rPr>
          <w:i/>
        </w:rPr>
        <w:t>H</w:t>
      </w:r>
      <w:r w:rsidRPr="008B3656">
        <w:rPr>
          <w:i/>
        </w:rPr>
        <w:t>C</w:t>
      </w:r>
      <w:r w:rsidRPr="008B3656">
        <w:rPr>
          <w:i/>
          <w:vertAlign w:val="subscript"/>
        </w:rPr>
        <w:t>i</w:t>
      </w:r>
      <w:r>
        <w:t xml:space="preserve"> may be non-zero. </w:t>
      </w:r>
      <w:r w:rsidR="00BA78AE">
        <w:t xml:space="preserve">By </w:t>
      </w:r>
      <w:r w:rsidR="00BA1F09">
        <w:t xml:space="preserve">substituting </w:t>
      </w:r>
      <w:r>
        <w:fldChar w:fldCharType="begin"/>
      </w:r>
      <w:r>
        <w:instrText xml:space="preserve"> GOTOBUTTON ZEqnNum810959  \* MERGEFORMAT </w:instrText>
      </w:r>
      <w:r w:rsidR="002A7365">
        <w:fldChar w:fldCharType="begin"/>
      </w:r>
      <w:r w:rsidR="002A7365">
        <w:instrText xml:space="preserve"> REF ZEqnNum810959 \* Charformat \! \* MERGEFORMAT </w:instrText>
      </w:r>
      <w:r w:rsidR="002A7365">
        <w:fldChar w:fldCharType="separate"/>
      </w:r>
      <w:r w:rsidR="007C7B62">
        <w:instrText>(11)</w:instrText>
      </w:r>
      <w:r w:rsidR="002A7365">
        <w:fldChar w:fldCharType="end"/>
      </w:r>
      <w:r>
        <w:fldChar w:fldCharType="end"/>
      </w:r>
      <w:r>
        <w:t xml:space="preserve"> and </w:t>
      </w:r>
      <w:r>
        <w:fldChar w:fldCharType="begin"/>
      </w:r>
      <w:r>
        <w:instrText xml:space="preserve"> GOTOBUTTON ZEqnNum910397  \* MERGEFORMAT </w:instrText>
      </w:r>
      <w:r w:rsidR="002A7365">
        <w:fldChar w:fldCharType="begin"/>
      </w:r>
      <w:r w:rsidR="002A7365">
        <w:instrText xml:space="preserve"> REF ZE</w:instrText>
      </w:r>
      <w:r w:rsidR="002A7365">
        <w:instrText xml:space="preserve">qnNum910397 \* Charformat \! \* MERGEFORMAT </w:instrText>
      </w:r>
      <w:r w:rsidR="002A7365">
        <w:fldChar w:fldCharType="separate"/>
      </w:r>
      <w:r w:rsidR="007C7B62">
        <w:instrText>(12)</w:instrText>
      </w:r>
      <w:r w:rsidR="002A7365">
        <w:fldChar w:fldCharType="end"/>
      </w:r>
      <w:r>
        <w:fldChar w:fldCharType="end"/>
      </w:r>
      <w:r>
        <w:t xml:space="preserve"> in</w:t>
      </w:r>
      <w:r w:rsidR="00BA1F09">
        <w:t>to</w:t>
      </w:r>
      <w:r w:rsidR="0062394E">
        <w:t xml:space="preserve"> </w:t>
      </w:r>
      <w:r w:rsidR="0062394E">
        <w:fldChar w:fldCharType="begin"/>
      </w:r>
      <w:r w:rsidR="0062394E">
        <w:instrText xml:space="preserve"> GOTOBUTTON ZEqnNum988502  \* MERGEFORMAT </w:instrText>
      </w:r>
      <w:r w:rsidR="002A7365">
        <w:fldChar w:fldCharType="begin"/>
      </w:r>
      <w:r w:rsidR="002A7365">
        <w:instrText xml:space="preserve"> REF ZEqnNum988502 \* Charformat \! \* MERGEFORMAT </w:instrText>
      </w:r>
      <w:r w:rsidR="002A7365">
        <w:fldChar w:fldCharType="separate"/>
      </w:r>
      <w:r w:rsidR="007C7B62">
        <w:instrText>(10)</w:instrText>
      </w:r>
      <w:r w:rsidR="002A7365">
        <w:fldChar w:fldCharType="end"/>
      </w:r>
      <w:r w:rsidR="0062394E">
        <w:fldChar w:fldCharType="end"/>
      </w:r>
      <w:r w:rsidR="008B4518">
        <w:t>,</w:t>
      </w:r>
      <w:r>
        <w:t xml:space="preserve"> and </w:t>
      </w:r>
      <w:r w:rsidR="00BA78AE">
        <w:t xml:space="preserve">after </w:t>
      </w:r>
      <w:r>
        <w:t xml:space="preserve">rearranging, we </w:t>
      </w:r>
      <w:r w:rsidR="00650D93">
        <w:t>obtain:</w:t>
      </w:r>
    </w:p>
    <w:p w14:paraId="7BD9B0E8" w14:textId="74A812D0" w:rsidR="001D5BCE" w:rsidRDefault="001D5BCE" w:rsidP="001D5BCE">
      <w:pPr>
        <w:pStyle w:val="MTDisplayEquation"/>
      </w:pPr>
      <w:r>
        <w:tab/>
      </w:r>
      <w:r w:rsidR="00252AF1" w:rsidRPr="00182F39">
        <w:rPr>
          <w:position w:val="-114"/>
        </w:rPr>
        <w:object w:dxaOrig="6240" w:dyaOrig="2120" w14:anchorId="2E042053">
          <v:shape id="_x0000_i1043" type="#_x0000_t75" style="width:312.6pt;height:106.8pt" o:ole="">
            <v:imagedata r:id="rId44" o:title=""/>
          </v:shape>
          <o:OLEObject Type="Embed" ProgID="Equation.DSMT4" ShapeID="_x0000_i1043" DrawAspect="Content" ObjectID="_1736065859" r:id="rId45"/>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3" w:name="ZEqnNum255055"/>
      <w:r>
        <w:instrText>(</w:instrText>
      </w:r>
      <w:r w:rsidR="002A7365">
        <w:fldChar w:fldCharType="begin"/>
      </w:r>
      <w:r w:rsidR="002A7365">
        <w:instrText xml:space="preserve"> SEQ MTEqn \c \* Arabic \* MERGEFORMAT </w:instrText>
      </w:r>
      <w:r w:rsidR="002A7365">
        <w:fldChar w:fldCharType="separate"/>
      </w:r>
      <w:r w:rsidR="007C7B62">
        <w:rPr>
          <w:noProof/>
        </w:rPr>
        <w:instrText>13</w:instrText>
      </w:r>
      <w:r w:rsidR="002A7365">
        <w:rPr>
          <w:noProof/>
        </w:rPr>
        <w:fldChar w:fldCharType="end"/>
      </w:r>
      <w:r>
        <w:instrText>)</w:instrText>
      </w:r>
      <w:bookmarkEnd w:id="13"/>
      <w:r>
        <w:fldChar w:fldCharType="end"/>
      </w:r>
    </w:p>
    <w:p w14:paraId="4A447974" w14:textId="5C616FC7" w:rsidR="00A3135D" w:rsidRPr="00796002" w:rsidRDefault="00796002" w:rsidP="00C204B3">
      <w:r>
        <w:t xml:space="preserve">Equation </w:t>
      </w:r>
      <w:r>
        <w:fldChar w:fldCharType="begin"/>
      </w:r>
      <w:r>
        <w:instrText xml:space="preserve"> GOTOBUTTON ZEqnNum255055  \* MERGEFORMAT </w:instrText>
      </w:r>
      <w:r w:rsidR="002A7365">
        <w:fldChar w:fldCharType="begin"/>
      </w:r>
      <w:r w:rsidR="002A7365">
        <w:instrText xml:space="preserve"> REF ZEqnNum255055 \* Charformat \! \* MERGEFORMAT </w:instrText>
      </w:r>
      <w:r w:rsidR="002A7365">
        <w:fldChar w:fldCharType="separate"/>
      </w:r>
      <w:r w:rsidR="007C7B62">
        <w:instrText>(13)</w:instrText>
      </w:r>
      <w:r w:rsidR="002A7365">
        <w:fldChar w:fldCharType="end"/>
      </w:r>
      <w:r>
        <w:fldChar w:fldCharType="end"/>
      </w:r>
      <w:r>
        <w:t xml:space="preserve"> indicates that t</w:t>
      </w:r>
      <w:r w:rsidR="00D96012">
        <w:t xml:space="preserve">he </w:t>
      </w:r>
      <w:r w:rsidR="00A3135D">
        <w:t xml:space="preserve">HC indirect mortality effect potentially varies with three channels. </w:t>
      </w:r>
      <w:r w:rsidR="00842DC6">
        <w:t xml:space="preserve">A first channel is </w:t>
      </w:r>
      <w:r w:rsidR="00842DC6" w:rsidRPr="00160118">
        <w:rPr>
          <w:i/>
        </w:rPr>
        <w:t>d</w:t>
      </w:r>
      <w:r w:rsidR="00842DC6">
        <w:rPr>
          <w:rFonts w:cstheme="minorHAnsi"/>
        </w:rPr>
        <w:t>θ</w:t>
      </w:r>
      <w:r w:rsidR="00842DC6" w:rsidRPr="00160118">
        <w:rPr>
          <w:i/>
          <w:vertAlign w:val="subscript"/>
        </w:rPr>
        <w:t>i</w:t>
      </w:r>
      <w:r w:rsidR="00842DC6">
        <w:t>/</w:t>
      </w:r>
      <w:r w:rsidR="00842DC6" w:rsidRPr="00160118">
        <w:rPr>
          <w:i/>
        </w:rPr>
        <w:t>d</w:t>
      </w:r>
      <w:r w:rsidR="003F1A2E">
        <w:rPr>
          <w:i/>
        </w:rPr>
        <w:t>H</w:t>
      </w:r>
      <w:r w:rsidR="00842DC6" w:rsidRPr="00160118">
        <w:rPr>
          <w:i/>
        </w:rPr>
        <w:t>C</w:t>
      </w:r>
      <w:r w:rsidR="00842DC6" w:rsidRPr="00160118">
        <w:rPr>
          <w:i/>
          <w:vertAlign w:val="subscript"/>
        </w:rPr>
        <w:t>i</w:t>
      </w:r>
      <w:r w:rsidR="00842DC6">
        <w:t xml:space="preserve"> as this indirect mortality effect</w:t>
      </w:r>
      <w:r w:rsidR="001C5447">
        <w:t xml:space="preserve"> will increase with the ability of the LTC sector to reallocate resources from low- to high-effective LTC services. </w:t>
      </w:r>
      <w:r w:rsidR="00842DC6">
        <w:t>This is plausible</w:t>
      </w:r>
      <w:r w:rsidR="00AF4D06">
        <w:t xml:space="preserve"> because</w:t>
      </w:r>
      <w:r w:rsidR="00AF4D06" w:rsidRPr="00AF4D06">
        <w:t xml:space="preserve">, for example, an increase in HC expenditure </w:t>
      </w:r>
      <w:r w:rsidR="00AF4D06">
        <w:t>may enable patients to live more independently (e.g. due to improved mobility)</w:t>
      </w:r>
      <w:r w:rsidR="00F575CD">
        <w:t>, and this</w:t>
      </w:r>
      <w:r w:rsidR="00AF4D06">
        <w:t xml:space="preserve"> </w:t>
      </w:r>
      <w:r w:rsidR="00AF4D06" w:rsidRPr="00AF4D06">
        <w:t>reduc</w:t>
      </w:r>
      <w:r w:rsidR="00F575CD">
        <w:t>es</w:t>
      </w:r>
      <w:r w:rsidR="00AF4D06">
        <w:t xml:space="preserve"> </w:t>
      </w:r>
      <w:r w:rsidR="00AF4D06" w:rsidRPr="00AF4D06">
        <w:t xml:space="preserve">demand for LTC </w:t>
      </w:r>
      <w:r w:rsidR="00AF4D06">
        <w:t xml:space="preserve">support. </w:t>
      </w:r>
      <w:r w:rsidR="00F575CD">
        <w:t>Because of this lower demand, the LTC sector may reallocate resources to support other people who could potentially benefit more (e.g. those with unmet needs).</w:t>
      </w:r>
      <w:r w:rsidR="00842DC6">
        <w:t xml:space="preserve"> A second channel is </w:t>
      </w:r>
      <w:r w:rsidR="00842DC6" w:rsidRPr="00191751">
        <w:rPr>
          <w:i/>
        </w:rPr>
        <w:t>LTC</w:t>
      </w:r>
      <w:r w:rsidR="00842DC6" w:rsidRPr="00191751">
        <w:rPr>
          <w:i/>
          <w:vertAlign w:val="subscript"/>
        </w:rPr>
        <w:t>i</w:t>
      </w:r>
      <w:r w:rsidR="00842DC6">
        <w:t>, which is plausible in the presence of a flexible LTC budget since this implies that LTC expenditure may vary with HC expenditure</w:t>
      </w:r>
      <w:r w:rsidR="00FF1253">
        <w:t xml:space="preserve">, i.e. </w:t>
      </w:r>
      <w:r w:rsidR="00FF1253" w:rsidRPr="00160118">
        <w:rPr>
          <w:i/>
        </w:rPr>
        <w:t>d</w:t>
      </w:r>
      <w:r w:rsidR="00FF1253">
        <w:rPr>
          <w:rFonts w:cstheme="minorHAnsi"/>
          <w:i/>
        </w:rPr>
        <w:t>LT</w:t>
      </w:r>
      <w:r w:rsidR="00FF1253" w:rsidRPr="00CE6383">
        <w:rPr>
          <w:rFonts w:cstheme="minorHAnsi"/>
          <w:i/>
        </w:rPr>
        <w:t>C</w:t>
      </w:r>
      <w:r w:rsidR="00FF1253" w:rsidRPr="00160118">
        <w:rPr>
          <w:i/>
          <w:vertAlign w:val="subscript"/>
        </w:rPr>
        <w:t>i</w:t>
      </w:r>
      <w:r w:rsidR="00FF1253">
        <w:t>/</w:t>
      </w:r>
      <w:r w:rsidR="00FF1253" w:rsidRPr="00160118">
        <w:rPr>
          <w:i/>
        </w:rPr>
        <w:t>d</w:t>
      </w:r>
      <w:r w:rsidR="00FF1253">
        <w:rPr>
          <w:i/>
        </w:rPr>
        <w:t>H</w:t>
      </w:r>
      <w:r w:rsidR="00FF1253" w:rsidRPr="00160118">
        <w:rPr>
          <w:i/>
        </w:rPr>
        <w:t>C</w:t>
      </w:r>
      <w:r w:rsidR="00FF1253" w:rsidRPr="00160118">
        <w:rPr>
          <w:i/>
          <w:vertAlign w:val="subscript"/>
        </w:rPr>
        <w:t>i</w:t>
      </w:r>
      <w:r w:rsidR="00FF1253">
        <w:rPr>
          <w:rFonts w:cstheme="minorHAnsi"/>
        </w:rPr>
        <w:t>≠</w:t>
      </w:r>
      <w:r w:rsidR="00FF1253" w:rsidRPr="00CE6383">
        <w:t>0</w:t>
      </w:r>
      <w:r w:rsidR="00FF1253">
        <w:t xml:space="preserve"> is now possible</w:t>
      </w:r>
      <w:r w:rsidR="00842DC6">
        <w:t xml:space="preserve">. Finally, a third channel is the effectiveness of LTC expenditure, </w:t>
      </w:r>
      <w:r w:rsidR="00842DC6">
        <w:rPr>
          <w:rFonts w:cstheme="minorHAnsi"/>
          <w:i/>
        </w:rPr>
        <w:t>∂</w:t>
      </w:r>
      <w:r w:rsidR="00842DC6">
        <w:rPr>
          <w:i/>
        </w:rPr>
        <w:t>g</w:t>
      </w:r>
      <w:r w:rsidR="00842DC6">
        <w:t>/</w:t>
      </w:r>
      <w:r w:rsidR="00842DC6">
        <w:rPr>
          <w:rFonts w:cstheme="minorHAnsi"/>
          <w:i/>
        </w:rPr>
        <w:t>∂</w:t>
      </w:r>
      <w:r w:rsidR="00842DC6">
        <w:rPr>
          <w:i/>
        </w:rPr>
        <w:t>LTC</w:t>
      </w:r>
      <w:r w:rsidR="00842DC6" w:rsidRPr="008B3656">
        <w:rPr>
          <w:i/>
          <w:vertAlign w:val="subscript"/>
        </w:rPr>
        <w:t>i</w:t>
      </w:r>
      <w:r w:rsidR="00842DC6">
        <w:rPr>
          <w:i/>
          <w:vertAlign w:val="superscript"/>
        </w:rPr>
        <w:t>low</w:t>
      </w:r>
      <w:r w:rsidR="00842DC6" w:rsidRPr="00CE6383">
        <w:rPr>
          <w:rFonts w:cstheme="minorHAnsi"/>
        </w:rPr>
        <w:t xml:space="preserve"> and </w:t>
      </w:r>
      <w:r w:rsidR="00842DC6">
        <w:rPr>
          <w:rFonts w:cstheme="minorHAnsi"/>
          <w:i/>
        </w:rPr>
        <w:t>∂</w:t>
      </w:r>
      <w:r w:rsidR="00842DC6">
        <w:rPr>
          <w:i/>
        </w:rPr>
        <w:t>g</w:t>
      </w:r>
      <w:r w:rsidR="00842DC6">
        <w:t>/</w:t>
      </w:r>
      <w:r w:rsidR="00842DC6">
        <w:rPr>
          <w:rFonts w:cstheme="minorHAnsi"/>
          <w:i/>
        </w:rPr>
        <w:t>∂</w:t>
      </w:r>
      <w:r w:rsidR="00842DC6">
        <w:rPr>
          <w:i/>
        </w:rPr>
        <w:t>LTC</w:t>
      </w:r>
      <w:r w:rsidR="00842DC6" w:rsidRPr="008B3656">
        <w:rPr>
          <w:i/>
          <w:vertAlign w:val="subscript"/>
        </w:rPr>
        <w:t>i</w:t>
      </w:r>
      <w:r w:rsidR="00842DC6" w:rsidRPr="005B6EF3">
        <w:rPr>
          <w:i/>
          <w:vertAlign w:val="superscript"/>
        </w:rPr>
        <w:t>high</w:t>
      </w:r>
      <w:r w:rsidR="003F1A2E">
        <w:t xml:space="preserve">, which is also a plausible because HC expenditure may in principle impact LTC effectiveness. </w:t>
      </w:r>
      <w:r w:rsidR="003F1A2E">
        <w:rPr>
          <w:rFonts w:cstheme="minorHAnsi"/>
        </w:rPr>
        <w:t>For example, if LTC users can receive a hip replacement to improve their mobility with a shorter waiting time, then LTC services may be more effective in preventing fatal falls.</w:t>
      </w:r>
    </w:p>
    <w:p w14:paraId="5DC9A302" w14:textId="3CDDC4A8" w:rsidR="00146A3E" w:rsidRDefault="00BE23D9" w:rsidP="00AA10FE">
      <w:r w:rsidRPr="002A4884">
        <w:t xml:space="preserve">In sum, </w:t>
      </w:r>
      <w:r w:rsidR="008B1EE2">
        <w:t>this</w:t>
      </w:r>
      <w:r w:rsidR="00F23D85">
        <w:t xml:space="preserve"> simple theory model shows that interdependencies between sectors which may impact mortality</w:t>
      </w:r>
      <w:r w:rsidR="004A041A">
        <w:t xml:space="preserve"> directly</w:t>
      </w:r>
      <w:r w:rsidR="00F23D85">
        <w:t xml:space="preserve">, such as the </w:t>
      </w:r>
      <w:r w:rsidR="007242EC">
        <w:t>H</w:t>
      </w:r>
      <w:r w:rsidR="00F23D85">
        <w:t xml:space="preserve">C and </w:t>
      </w:r>
      <w:r w:rsidR="007242EC">
        <w:t>LT</w:t>
      </w:r>
      <w:r w:rsidR="00F23D85">
        <w:t xml:space="preserve">C sector, may generate </w:t>
      </w:r>
      <w:r w:rsidR="00157E41">
        <w:t xml:space="preserve">indirect </w:t>
      </w:r>
      <w:r w:rsidR="00F23D85">
        <w:t xml:space="preserve">mortality effects. </w:t>
      </w:r>
      <w:r w:rsidR="00145266">
        <w:t>In the next S</w:t>
      </w:r>
      <w:r w:rsidR="007838D5" w:rsidRPr="002A4884">
        <w:t xml:space="preserve">ection, we illustrate our empirical approach to </w:t>
      </w:r>
      <w:r w:rsidR="00E538D7">
        <w:t xml:space="preserve">estimate </w:t>
      </w:r>
      <w:r w:rsidR="000D6095" w:rsidRPr="002A4884">
        <w:rPr>
          <w:iCs/>
        </w:rPr>
        <w:t>direct</w:t>
      </w:r>
      <w:r w:rsidR="007838D5" w:rsidRPr="002A4884">
        <w:t xml:space="preserve"> and </w:t>
      </w:r>
      <w:r w:rsidR="000D6095" w:rsidRPr="002A4884">
        <w:rPr>
          <w:iCs/>
        </w:rPr>
        <w:t>indirect</w:t>
      </w:r>
      <w:r w:rsidR="0041371A">
        <w:rPr>
          <w:iCs/>
        </w:rPr>
        <w:t xml:space="preserve"> mortality</w:t>
      </w:r>
      <w:r w:rsidR="007838D5" w:rsidRPr="002A4884">
        <w:t xml:space="preserve"> effect</w:t>
      </w:r>
      <w:r w:rsidR="00E538D7">
        <w:t>s</w:t>
      </w:r>
      <w:r w:rsidR="007838D5" w:rsidRPr="002A4884">
        <w:t>.</w:t>
      </w:r>
    </w:p>
    <w:p w14:paraId="6E47B67E" w14:textId="0148C2EC" w:rsidR="003C438F" w:rsidRDefault="00CC73AD" w:rsidP="00C72A0E">
      <w:pPr>
        <w:pStyle w:val="Heading1"/>
      </w:pPr>
      <w:bookmarkStart w:id="14" w:name="_Ref61875794"/>
      <w:r w:rsidRPr="002A4884">
        <w:lastRenderedPageBreak/>
        <w:t>Methods</w:t>
      </w:r>
      <w:bookmarkEnd w:id="14"/>
    </w:p>
    <w:p w14:paraId="6CACED4C" w14:textId="6AB54D77" w:rsidR="00644820" w:rsidRPr="002A4884" w:rsidRDefault="000A56C8" w:rsidP="005C3100">
      <w:pPr>
        <w:pStyle w:val="Heading2"/>
      </w:pPr>
      <w:bookmarkStart w:id="15" w:name="_Ref61441595"/>
      <w:r>
        <w:t>Econometric a</w:t>
      </w:r>
      <w:r w:rsidR="00644820" w:rsidRPr="002A4884">
        <w:t xml:space="preserve">nalysis of </w:t>
      </w:r>
      <w:r w:rsidR="00E47E02" w:rsidRPr="002A4884">
        <w:t xml:space="preserve">mortality </w:t>
      </w:r>
      <w:r w:rsidR="00644820" w:rsidRPr="002A4884">
        <w:t>effects</w:t>
      </w:r>
      <w:bookmarkEnd w:id="15"/>
    </w:p>
    <w:p w14:paraId="7C110A92" w14:textId="06D01D21" w:rsidR="00634DE8" w:rsidRDefault="00DD179D" w:rsidP="00442E47">
      <w:r>
        <w:t>Our</w:t>
      </w:r>
      <w:r w:rsidR="001D70A7" w:rsidRPr="002A4884">
        <w:t xml:space="preserve"> empirical approach </w:t>
      </w:r>
      <w:r>
        <w:t xml:space="preserve">aims to </w:t>
      </w:r>
      <w:r w:rsidR="001D70A7">
        <w:t>estimat</w:t>
      </w:r>
      <w:r>
        <w:t xml:space="preserve">e </w:t>
      </w:r>
      <w:r w:rsidR="001D70A7">
        <w:t>mortality effects</w:t>
      </w:r>
      <w:r>
        <w:t xml:space="preserve"> as one possible measure of marginal productivity. In general, marginal productivity can be defined as the amount of outcome that an individual can obtain for </w:t>
      </w:r>
      <w:r w:rsidR="00FC0A48">
        <w:t xml:space="preserve">each </w:t>
      </w:r>
      <w:r>
        <w:t xml:space="preserve">pound of </w:t>
      </w:r>
      <w:r w:rsidR="00FC0A48">
        <w:t xml:space="preserve">a </w:t>
      </w:r>
      <w:r>
        <w:t>certain service</w:t>
      </w:r>
      <w:r w:rsidR="00FC0A48">
        <w:t xml:space="preserve"> received</w:t>
      </w:r>
      <w:r>
        <w:t xml:space="preserve">. </w:t>
      </w:r>
      <w:r w:rsidR="009F3143">
        <w:t>More precisely, t</w:t>
      </w:r>
      <w:r w:rsidR="00FC0A48">
        <w:t xml:space="preserve">his study focuses on the </w:t>
      </w:r>
      <w:r w:rsidR="005E73B8">
        <w:t>marginal productivity</w:t>
      </w:r>
      <w:r w:rsidR="00FC0A48">
        <w:t xml:space="preserve"> of HC and LTC expenditure, i.e. the extent to which mortality of a HC patient or LTC user </w:t>
      </w:r>
      <w:r w:rsidR="00E300E3">
        <w:t xml:space="preserve">can be </w:t>
      </w:r>
      <w:r w:rsidR="00FC0A48">
        <w:t>reduced by</w:t>
      </w:r>
      <w:r w:rsidR="00E300E3">
        <w:t>, respectively,</w:t>
      </w:r>
      <w:r w:rsidR="00FC0A48">
        <w:t xml:space="preserve"> each pound</w:t>
      </w:r>
      <w:r w:rsidR="00E300E3">
        <w:t xml:space="preserve"> of HC or LTC services received</w:t>
      </w:r>
      <w:r w:rsidR="00FC0A48">
        <w:t xml:space="preserve">. </w:t>
      </w:r>
      <w:r w:rsidR="00E300E3">
        <w:t>T</w:t>
      </w:r>
      <w:r w:rsidR="00FC0A48">
        <w:t xml:space="preserve">herefore, </w:t>
      </w:r>
      <w:r w:rsidR="000D62CB">
        <w:t xml:space="preserve">in addition to mortality, </w:t>
      </w:r>
      <w:r w:rsidR="00FC0A48">
        <w:t xml:space="preserve">key variables </w:t>
      </w:r>
      <w:r w:rsidR="00E300E3">
        <w:t xml:space="preserve">in our analyses </w:t>
      </w:r>
      <w:r w:rsidR="00FC0A48">
        <w:t>are HC expenditure per capita and LTC expenditure per user.</w:t>
      </w:r>
      <w:r w:rsidR="00FC0A48">
        <w:rPr>
          <w:rStyle w:val="FootnoteReference"/>
        </w:rPr>
        <w:footnoteReference w:id="3"/>
      </w:r>
      <w:r w:rsidR="00FC0A48" w:rsidRPr="00FC0A48">
        <w:t xml:space="preserve"> </w:t>
      </w:r>
      <w:r w:rsidR="00FC0A48">
        <w:t xml:space="preserve">As discussed in Section </w:t>
      </w:r>
      <w:r w:rsidR="00FC0A48">
        <w:fldChar w:fldCharType="begin"/>
      </w:r>
      <w:r w:rsidR="00FC0A48">
        <w:instrText xml:space="preserve"> REF _Ref116042596 \r \h </w:instrText>
      </w:r>
      <w:r w:rsidR="00FC0A48">
        <w:fldChar w:fldCharType="separate"/>
      </w:r>
      <w:r w:rsidR="007C7B62">
        <w:t>1</w:t>
      </w:r>
      <w:r w:rsidR="00FC0A48">
        <w:fldChar w:fldCharType="end"/>
      </w:r>
      <w:r w:rsidR="00FC0A48">
        <w:t>, t</w:t>
      </w:r>
      <w:r w:rsidR="001D70A7">
        <w:t>hese are likely to be endogenous because of unobserved confounders and reverse causality. P</w:t>
      </w:r>
      <w:r w:rsidR="00FA0AE5" w:rsidRPr="002A4884">
        <w:t>revious studies</w:t>
      </w:r>
      <w:r w:rsidR="0065592D">
        <w:t xml:space="preserve"> </w:t>
      </w:r>
      <w:r w:rsidR="00634DE8">
        <w:t xml:space="preserve">address this endogeneity issue using IVs capturing factors which determine the amount of resources to be spent in each sector </w:t>
      </w:r>
      <w:r w:rsidR="0065592D">
        <w:fldChar w:fldCharType="begin">
          <w:fldData xml:space="preserve">PEVuZE5vdGU+PENpdGU+PEF1dGhvcj5BbmRyZXdzPC9BdXRob3I+PFllYXI+MjAxNzwvWWVhcj48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==
</w:fldData>
        </w:fldChar>
      </w:r>
      <w:r w:rsidR="00157743">
        <w:instrText xml:space="preserve"> ADDIN EN.CITE </w:instrText>
      </w:r>
      <w:r w:rsidR="00157743">
        <w:fldChar w:fldCharType="begin">
          <w:fldData xml:space="preserve">PEVuZE5vdGU+PENpdGU+PEF1dGhvcj5BbmRyZXdzPC9BdXRob3I+PFllYXI+MjAxNzwvWWVhcj48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==
</w:fldData>
        </w:fldChar>
      </w:r>
      <w:r w:rsidR="00157743">
        <w:instrText xml:space="preserve"> ADDIN EN.CITE.DATA </w:instrText>
      </w:r>
      <w:r w:rsidR="00157743">
        <w:fldChar w:fldCharType="end"/>
      </w:r>
      <w:r w:rsidR="0065592D">
        <w:fldChar w:fldCharType="separate"/>
      </w:r>
      <w:r w:rsidR="00EA2F63">
        <w:rPr>
          <w:noProof/>
        </w:rPr>
        <w:t>(Andrews et al., 2017, Claxton et al., 2018, Martin et al., 2021a)</w:t>
      </w:r>
      <w:r w:rsidR="0065592D">
        <w:fldChar w:fldCharType="end"/>
      </w:r>
      <w:r w:rsidR="00634DE8">
        <w:t>. These factors are argued to be relevant because</w:t>
      </w:r>
      <w:r w:rsidR="00CE0E01">
        <w:t xml:space="preserve"> they </w:t>
      </w:r>
      <w:r w:rsidR="00634DE8">
        <w:t>influenc</w:t>
      </w:r>
      <w:r w:rsidR="00CE0E01">
        <w:t>e</w:t>
      </w:r>
      <w:r w:rsidR="00634DE8">
        <w:t xml:space="preserve"> spending </w:t>
      </w:r>
      <w:r w:rsidR="00796E02">
        <w:t>power</w:t>
      </w:r>
      <w:r w:rsidR="00634DE8">
        <w:t>, and exogenous conditional on observed confounders</w:t>
      </w:r>
      <w:r w:rsidR="00E804E1">
        <w:t xml:space="preserve"> measuring </w:t>
      </w:r>
      <w:r w:rsidR="00E804E1" w:rsidRPr="002A4884">
        <w:t>need and socio-economic</w:t>
      </w:r>
      <w:r w:rsidR="00E804E1">
        <w:t xml:space="preserve"> status.</w:t>
      </w:r>
      <w:r w:rsidR="00E804E1" w:rsidRPr="00E804E1">
        <w:t xml:space="preserve"> </w:t>
      </w:r>
      <w:r w:rsidR="007E531D">
        <w:t xml:space="preserve">In this study, </w:t>
      </w:r>
      <w:r w:rsidR="00E804E1" w:rsidRPr="002A4884">
        <w:t xml:space="preserve">following </w:t>
      </w:r>
      <w:r w:rsidR="00E804E1" w:rsidRPr="002A4884">
        <w:fldChar w:fldCharType="begin"/>
      </w:r>
      <w:r w:rsidR="00E804E1">
        <w:instrText xml:space="preserve"> ADDIN EN.CITE &lt;EndNote&gt;&lt;Cite AuthorYear="1"&gt;&lt;Author&gt;Andrews&lt;/Author&gt;&lt;Year&gt;2017&lt;/Year&gt;&lt;RecNum&gt;39&lt;/RecNum&gt;&lt;DisplayText&gt;Andrews et al. (2017)&lt;/DisplayText&gt;&lt;record&gt;&lt;rec-number&gt;39&lt;/rec-number&gt;&lt;foreign-keys&gt;&lt;key app="EN" db-id="r920as25hw5rrve2fa8psvr8e0dxvzxa200s" timestamp="1570712608" guid="4cb1937b-4f5a-4b16-8642-ad0cdf3a148a"&gt;39&lt;/key&gt;&lt;/foreign-keys&gt;&lt;ref-type name="Journal Article"&gt;17&lt;/ref-type&gt;&lt;contributors&gt;&lt;authors&gt;&lt;author&gt;Andrews, Martyn&lt;/author&gt;&lt;author&gt;Elamin, Obbey&lt;/author&gt;&lt;author&gt;Hall, Alastair R&lt;/author&gt;&lt;author&gt;Kyriakoulis, Kostas&lt;/author&gt;&lt;author&gt;Sutton, Matthew&lt;/author&gt;&lt;/authors&gt;&lt;/contributors&gt;&lt;titles&gt;&lt;title&gt;Inference in the presence of redundant moment conditions and the impact of government health expenditure on health outcomes in England&lt;/title&gt;&lt;secondary-title&gt;Econometric Reviews&lt;/secondary-title&gt;&lt;/titles&gt;&lt;periodical&gt;&lt;full-title&gt;Econometric Reviews&lt;/full-title&gt;&lt;/periodical&gt;&lt;pages&gt;23-41&lt;/pages&gt;&lt;volume&gt;36&lt;/volume&gt;&lt;number&gt;1-3&lt;/number&gt;&lt;dates&gt;&lt;year&gt;2017&lt;/year&gt;&lt;/dates&gt;&lt;isbn&gt;0747-4938&lt;/isbn&gt;&lt;urls&gt;&lt;/urls&gt;&lt;/record&gt;&lt;/Cite&gt;&lt;/EndNote&gt;</w:instrText>
      </w:r>
      <w:r w:rsidR="00E804E1" w:rsidRPr="002A4884">
        <w:fldChar w:fldCharType="separate"/>
      </w:r>
      <w:r w:rsidR="00E804E1" w:rsidRPr="002A4884">
        <w:rPr>
          <w:noProof/>
        </w:rPr>
        <w:t>Andrews et al. (2017)</w:t>
      </w:r>
      <w:r w:rsidR="00E804E1" w:rsidRPr="002A4884">
        <w:fldChar w:fldCharType="end"/>
      </w:r>
      <w:r w:rsidR="00E804E1">
        <w:t xml:space="preserve"> and </w:t>
      </w:r>
      <w:r w:rsidR="00E804E1">
        <w:fldChar w:fldCharType="begin"/>
      </w:r>
      <w:r w:rsidR="00157743">
        <w:instrText xml:space="preserve"> ADDIN EN.CITE &lt;EndNote&gt;&lt;Cite AuthorYear="1"&gt;&lt;Author&gt;Martin&lt;/Author&gt;&lt;Year&gt;2021&lt;/Year&gt;&lt;RecNum&gt;557&lt;/RecNum&gt;&lt;DisplayText&gt;Martin et al. (2021a)&lt;/DisplayText&gt;&lt;record&gt;&lt;rec-number&gt;557&lt;/rec-number&gt;&lt;foreign-keys&gt;&lt;key app="EN" db-id="r920as25hw5rrve2fa8psvr8e0dxvzxa200s" timestamp="1635512941" guid="c7b76bbf-4485-46dd-8311-a9cb5ef97d71"&gt;557&lt;/key&gt;&lt;/foreign-keys&gt;&lt;ref-type name="Journal Article"&gt;17&lt;/ref-type&gt;&lt;contributors&gt;&lt;authors&gt;&lt;author&gt;Martin, Stephen&lt;/author&gt;&lt;author&gt;Lomas, James&lt;/author&gt;&lt;author&gt;Claxton, Karl&lt;/author&gt;&lt;author&gt;Longo, Francesco&lt;/author&gt;&lt;/authors&gt;&lt;/contributors&gt;&lt;titles&gt;&lt;title&gt;How effective is marginal healthcare expenditure? New evidence from England for 2003/04 to 2012/13&lt;/title&gt;&lt;secondary-title&gt;Applied Health Economics and Health Policy&lt;/secondary-title&gt;&lt;/titles&gt;&lt;periodical&gt;&lt;full-title&gt;Applied Health Economics and Health Policy&lt;/full-title&gt;&lt;/periodical&gt;&lt;pages&gt;1-19&lt;/pages&gt;&lt;dates&gt;&lt;year&gt;2021&lt;/year&gt;&lt;/dates&gt;&lt;isbn&gt;1179-1896&lt;/isbn&gt;&lt;urls&gt;&lt;/urls&gt;&lt;/record&gt;&lt;/Cite&gt;&lt;/EndNote&gt;</w:instrText>
      </w:r>
      <w:r w:rsidR="00E804E1">
        <w:fldChar w:fldCharType="separate"/>
      </w:r>
      <w:r w:rsidR="00EA2F63">
        <w:rPr>
          <w:noProof/>
        </w:rPr>
        <w:t>Martin et al. (2021a)</w:t>
      </w:r>
      <w:r w:rsidR="00E804E1">
        <w:fldChar w:fldCharType="end"/>
      </w:r>
      <w:r w:rsidR="00E804E1" w:rsidRPr="002A4884">
        <w:t>, we use three candidate instruments</w:t>
      </w:r>
      <w:r w:rsidR="008D3328">
        <w:t xml:space="preserve"> for HC expenditure per capita</w:t>
      </w:r>
      <w:r w:rsidR="00E804E1" w:rsidRPr="002A4884">
        <w:t>: DFT index, age-</w:t>
      </w:r>
      <w:r w:rsidR="00E804E1">
        <w:t>cost</w:t>
      </w:r>
      <w:r w:rsidR="00E804E1" w:rsidRPr="002A4884">
        <w:t xml:space="preserve"> index and MFF</w:t>
      </w:r>
      <w:r w:rsidR="00E804E1">
        <w:t xml:space="preserve"> index</w:t>
      </w:r>
      <w:r w:rsidR="00E804E1" w:rsidRPr="002A4884">
        <w:t>.</w:t>
      </w:r>
      <w:r w:rsidR="00E804E1">
        <w:t xml:space="preserve"> </w:t>
      </w:r>
      <w:r w:rsidR="008D3328">
        <w:t>F</w:t>
      </w:r>
      <w:r w:rsidR="00E804E1">
        <w:t xml:space="preserve">ollowing </w:t>
      </w:r>
      <w:r w:rsidR="00E804E1">
        <w:fldChar w:fldCharType="begin"/>
      </w:r>
      <w:r w:rsidR="00E804E1">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E804E1">
        <w:fldChar w:fldCharType="separate"/>
      </w:r>
      <w:r w:rsidR="00E804E1">
        <w:rPr>
          <w:noProof/>
        </w:rPr>
        <w:t>Longo et al. (2021)</w:t>
      </w:r>
      <w:r w:rsidR="00E804E1">
        <w:fldChar w:fldCharType="end"/>
      </w:r>
      <w:r w:rsidR="00E804E1">
        <w:t>, we use the council tax base per user as our primary instrument</w:t>
      </w:r>
      <w:r w:rsidR="008D3328">
        <w:t xml:space="preserve"> for LTC expenditure per user</w:t>
      </w:r>
      <w:r w:rsidR="003D7527">
        <w:t>.</w:t>
      </w:r>
      <w:r w:rsidR="003D7527">
        <w:rPr>
          <w:rStyle w:val="FootnoteReference"/>
        </w:rPr>
        <w:footnoteReference w:id="4"/>
      </w:r>
      <w:r w:rsidR="003D7527">
        <w:t xml:space="preserve"> </w:t>
      </w:r>
      <w:r w:rsidR="00CE494C">
        <w:t>We use these four instruments</w:t>
      </w:r>
      <w:r w:rsidR="00FA7E47">
        <w:t xml:space="preserve"> in all the models presented below, and </w:t>
      </w:r>
      <w:r w:rsidR="008D3328">
        <w:t xml:space="preserve">Section </w:t>
      </w:r>
      <w:r w:rsidR="008D3328">
        <w:fldChar w:fldCharType="begin"/>
      </w:r>
      <w:r w:rsidR="008D3328">
        <w:instrText xml:space="preserve"> REF _Ref88221332 \r \h </w:instrText>
      </w:r>
      <w:r w:rsidR="008D3328">
        <w:fldChar w:fldCharType="separate"/>
      </w:r>
      <w:r w:rsidR="007C7B62">
        <w:t>2.4</w:t>
      </w:r>
      <w:r w:rsidR="008D3328">
        <w:fldChar w:fldCharType="end"/>
      </w:r>
      <w:r w:rsidR="008D3328">
        <w:t xml:space="preserve"> includes </w:t>
      </w:r>
      <w:r w:rsidR="00FA7E47">
        <w:t>a</w:t>
      </w:r>
      <w:r w:rsidR="00CE494C">
        <w:t xml:space="preserve"> full discussion </w:t>
      </w:r>
      <w:r w:rsidR="00FA7E47">
        <w:t>about their validity.</w:t>
      </w:r>
    </w:p>
    <w:p w14:paraId="2A953230" w14:textId="20842896" w:rsidR="00FA0AE5" w:rsidRPr="002A4884" w:rsidRDefault="00FA7E47" w:rsidP="00442E47">
      <w:r>
        <w:t>First,</w:t>
      </w:r>
      <w:r w:rsidR="00FA0AE5" w:rsidRPr="002A4884">
        <w:t xml:space="preserve"> w</w:t>
      </w:r>
      <w:r w:rsidR="00DE3AC2" w:rsidRPr="002A4884">
        <w:t>e</w:t>
      </w:r>
      <w:r w:rsidR="0036053F" w:rsidRPr="002A4884">
        <w:t xml:space="preserve"> </w:t>
      </w:r>
      <w:r w:rsidR="002A7A0F" w:rsidRPr="002A4884">
        <w:t>estimate</w:t>
      </w:r>
      <w:r w:rsidR="0065592D">
        <w:t xml:space="preserve"> equation </w:t>
      </w:r>
      <w:r w:rsidR="0065592D">
        <w:rPr>
          <w:iCs/>
        </w:rPr>
        <w:fldChar w:fldCharType="begin"/>
      </w:r>
      <w:r w:rsidR="0065592D">
        <w:rPr>
          <w:iCs/>
        </w:rPr>
        <w:instrText xml:space="preserve"> GOTOBUTTON ZEqnNum756773  \* MERGEFORMAT </w:instrText>
      </w:r>
      <w:r w:rsidR="0065592D">
        <w:rPr>
          <w:iCs/>
        </w:rPr>
        <w:fldChar w:fldCharType="begin"/>
      </w:r>
      <w:r w:rsidR="0065592D">
        <w:rPr>
          <w:iCs/>
        </w:rPr>
        <w:instrText xml:space="preserve"> REF ZEqnNum756773 \* Charformat \! \* MERGEFORMAT </w:instrText>
      </w:r>
      <w:r w:rsidR="00C33CA4" w:rsidRPr="00C33CA4">
        <w:rPr>
          <w:iCs/>
        </w:rPr>
        <w:instrText>(1)</w:instrText>
      </w:r>
      <w:r w:rsidR="0065592D">
        <w:rPr>
          <w:iCs/>
        </w:rPr>
        <w:fldChar w:fldCharType="separate"/>
      </w:r>
      <w:r w:rsidR="007C7B62" w:rsidRPr="007C7B62">
        <w:rPr>
          <w:iCs/>
        </w:rPr>
        <w:instrText>(1)</w:instrText>
      </w:r>
      <w:r w:rsidR="0065592D">
        <w:rPr>
          <w:iCs/>
        </w:rPr>
        <w:fldChar w:fldCharType="end"/>
      </w:r>
      <w:r w:rsidR="0065592D">
        <w:rPr>
          <w:iCs/>
        </w:rPr>
        <w:fldChar w:fldCharType="end"/>
      </w:r>
      <w:r w:rsidR="0065592D">
        <w:t xml:space="preserve"> to obtain</w:t>
      </w:r>
      <w:r w:rsidR="002A7A0F" w:rsidRPr="002A4884">
        <w:t xml:space="preserve"> </w:t>
      </w:r>
      <w:r w:rsidR="00F472F8">
        <w:t xml:space="preserve">the mortality elasticity of </w:t>
      </w:r>
      <w:r w:rsidR="00FA0AE5" w:rsidRPr="002A4884">
        <w:t xml:space="preserve">HC </w:t>
      </w:r>
      <w:r w:rsidR="001C2A98">
        <w:t xml:space="preserve">expenditure per capita </w:t>
      </w:r>
      <w:r w:rsidR="00FA0AE5" w:rsidRPr="002A4884">
        <w:t>and LTC expenditure</w:t>
      </w:r>
      <w:r w:rsidR="001C2A98">
        <w:t xml:space="preserve"> per user</w:t>
      </w:r>
      <w:r w:rsidR="00FA0AE5" w:rsidRPr="002A4884">
        <w:t xml:space="preserve"> through the following </w:t>
      </w:r>
      <w:r w:rsidR="00640FB6" w:rsidRPr="002A4884">
        <w:t xml:space="preserve">IV </w:t>
      </w:r>
      <w:r w:rsidR="00FA0AE5" w:rsidRPr="002A4884">
        <w:t>regression:</w:t>
      </w:r>
    </w:p>
    <w:p w14:paraId="519A936D" w14:textId="78AC65DF" w:rsidR="00FA0AE5" w:rsidRPr="002A4884" w:rsidRDefault="007E0D3D" w:rsidP="007E0D3D">
      <w:pPr>
        <w:pStyle w:val="MTDisplayEquation"/>
      </w:pPr>
      <w:r w:rsidRPr="002A4884">
        <w:tab/>
      </w:r>
      <w:r w:rsidR="00895727" w:rsidRPr="002A4884">
        <w:rPr>
          <w:position w:val="-18"/>
        </w:rPr>
        <w:object w:dxaOrig="7440" w:dyaOrig="480" w14:anchorId="769FF60F">
          <v:shape id="_x0000_i1044" type="#_x0000_t75" style="width:372pt;height:24.6pt" o:ole="">
            <v:imagedata r:id="rId46" o:title=""/>
          </v:shape>
          <o:OLEObject Type="Embed" ProgID="Equation.DSMT4" ShapeID="_x0000_i1044" DrawAspect="Content" ObjectID="_1736065860" r:id="rId47"/>
        </w:object>
      </w:r>
      <w:r w:rsidRPr="002A4884">
        <w:t xml:space="preserve"> </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16" w:name="ZEqnNum977296"/>
      <w:r w:rsidRPr="002A4884">
        <w:instrText>(</w:instrText>
      </w:r>
      <w:r w:rsidR="002A7365">
        <w:fldChar w:fldCharType="begin"/>
      </w:r>
      <w:r w:rsidR="002A7365">
        <w:instrText xml:space="preserve"> SEQ MTEqn \c \* Arabic \* MERGEFORMAT </w:instrText>
      </w:r>
      <w:r w:rsidR="002A7365">
        <w:fldChar w:fldCharType="separate"/>
      </w:r>
      <w:r w:rsidR="007C7B62">
        <w:rPr>
          <w:noProof/>
        </w:rPr>
        <w:instrText>14</w:instrText>
      </w:r>
      <w:r w:rsidR="002A7365">
        <w:rPr>
          <w:noProof/>
        </w:rPr>
        <w:fldChar w:fldCharType="end"/>
      </w:r>
      <w:r w:rsidRPr="002A4884">
        <w:instrText>)</w:instrText>
      </w:r>
      <w:bookmarkEnd w:id="16"/>
      <w:r w:rsidRPr="002A4884">
        <w:fldChar w:fldCharType="end"/>
      </w:r>
    </w:p>
    <w:p w14:paraId="45488DD8" w14:textId="4229B8C6" w:rsidR="00FA0AE5" w:rsidRPr="002A4884" w:rsidRDefault="007E0D3D" w:rsidP="00442E47">
      <w:r w:rsidRPr="002A4884">
        <w:t xml:space="preserve">where </w:t>
      </w:r>
      <w:r w:rsidRPr="002A4884">
        <w:rPr>
          <w:i/>
        </w:rPr>
        <w:t>mortality</w:t>
      </w:r>
      <w:r w:rsidRPr="002A4884">
        <w:rPr>
          <w:i/>
          <w:vertAlign w:val="subscript"/>
        </w:rPr>
        <w:t>i</w:t>
      </w:r>
      <w:r w:rsidRPr="002A4884">
        <w:t xml:space="preserve"> is </w:t>
      </w:r>
      <w:r w:rsidR="009137FE" w:rsidRPr="002A4884">
        <w:t xml:space="preserve">a mortality indicator </w:t>
      </w:r>
      <w:r w:rsidRPr="002A4884">
        <w:t xml:space="preserve">for LA </w:t>
      </w:r>
      <w:r w:rsidRPr="002A4884">
        <w:rPr>
          <w:i/>
        </w:rPr>
        <w:t>i</w:t>
      </w:r>
      <w:r w:rsidRPr="002A4884">
        <w:t xml:space="preserve">, </w:t>
      </w:r>
      <w:r w:rsidR="001C2A98" w:rsidRPr="002A4884">
        <w:rPr>
          <w:rFonts w:cstheme="minorHAnsi"/>
          <w:i/>
        </w:rPr>
        <w:t>α</w:t>
      </w:r>
      <w:r w:rsidR="001C2A98" w:rsidRPr="007D774C">
        <w:rPr>
          <w:rFonts w:cstheme="minorHAnsi"/>
          <w:i/>
          <w:vertAlign w:val="subscript"/>
        </w:rPr>
        <w:t>1</w:t>
      </w:r>
      <w:r w:rsidR="001C2A98" w:rsidRPr="002A4884">
        <w:t xml:space="preserve"> is the intercept, </w:t>
      </w:r>
      <w:r w:rsidRPr="002A4884">
        <w:rPr>
          <w:i/>
        </w:rPr>
        <w:t>expenditure</w:t>
      </w:r>
      <w:r w:rsidRPr="002A4884">
        <w:rPr>
          <w:i/>
          <w:vertAlign w:val="subscript"/>
        </w:rPr>
        <w:t>i</w:t>
      </w:r>
      <w:r w:rsidRPr="002A4884">
        <w:rPr>
          <w:i/>
          <w:vertAlign w:val="superscript"/>
        </w:rPr>
        <w:t>HC</w:t>
      </w:r>
      <w:r w:rsidRPr="002A4884">
        <w:t xml:space="preserve"> and </w:t>
      </w:r>
      <w:r w:rsidRPr="002A4884">
        <w:rPr>
          <w:i/>
        </w:rPr>
        <w:t>expenditure</w:t>
      </w:r>
      <w:r w:rsidRPr="002A4884">
        <w:rPr>
          <w:i/>
          <w:vertAlign w:val="subscript"/>
        </w:rPr>
        <w:t>i</w:t>
      </w:r>
      <w:r w:rsidRPr="002A4884">
        <w:rPr>
          <w:i/>
          <w:vertAlign w:val="superscript"/>
        </w:rPr>
        <w:t>LTC</w:t>
      </w:r>
      <w:r w:rsidRPr="002A4884">
        <w:t xml:space="preserve"> are HC</w:t>
      </w:r>
      <w:r w:rsidR="001C2A98">
        <w:t xml:space="preserve"> expenditure per capita</w:t>
      </w:r>
      <w:r w:rsidRPr="002A4884">
        <w:t xml:space="preserve"> and LTC expenditure</w:t>
      </w:r>
      <w:r w:rsidR="001C2A98">
        <w:t xml:space="preserve"> per user</w:t>
      </w:r>
      <w:r w:rsidRPr="002A4884">
        <w:t>,</w:t>
      </w:r>
      <w:r w:rsidR="00777BA8" w:rsidRPr="002A4884">
        <w:t xml:space="preserve"> respectively,</w:t>
      </w:r>
      <w:r w:rsidRPr="002A4884">
        <w:t xml:space="preserve"> </w:t>
      </w:r>
      <w:r w:rsidRPr="002A4884">
        <w:rPr>
          <w:i/>
        </w:rPr>
        <w:t>X</w:t>
      </w:r>
      <w:r w:rsidRPr="002A4884">
        <w:rPr>
          <w:i/>
          <w:vertAlign w:val="subscript"/>
        </w:rPr>
        <w:t>i</w:t>
      </w:r>
      <w:r w:rsidRPr="002A4884">
        <w:t xml:space="preserve"> is a vector of control variables, and </w:t>
      </w:r>
      <w:r w:rsidRPr="002A4884">
        <w:rPr>
          <w:rFonts w:cstheme="minorHAnsi"/>
          <w:i/>
        </w:rPr>
        <w:t>ε</w:t>
      </w:r>
      <w:r w:rsidR="007D774C" w:rsidRPr="007D774C">
        <w:rPr>
          <w:rFonts w:cstheme="minorHAnsi"/>
          <w:i/>
          <w:vertAlign w:val="subscript"/>
        </w:rPr>
        <w:t>1</w:t>
      </w:r>
      <w:r w:rsidRPr="002A4884">
        <w:rPr>
          <w:i/>
          <w:vertAlign w:val="subscript"/>
        </w:rPr>
        <w:t>i</w:t>
      </w:r>
      <w:r w:rsidRPr="002A4884">
        <w:t xml:space="preserve"> is the error term. </w:t>
      </w:r>
      <w:r w:rsidR="00640FB6" w:rsidRPr="002A4884">
        <w:t>We employ a</w:t>
      </w:r>
      <w:r w:rsidR="007D774C">
        <w:t>n</w:t>
      </w:r>
      <w:r w:rsidR="00B755B2" w:rsidRPr="002A4884">
        <w:t xml:space="preserve"> </w:t>
      </w:r>
      <w:r w:rsidR="00640FB6" w:rsidRPr="002A4884">
        <w:t xml:space="preserve">IV approach because </w:t>
      </w:r>
      <w:r w:rsidR="001C2A98">
        <w:t xml:space="preserve">the </w:t>
      </w:r>
      <w:r w:rsidR="00640FB6" w:rsidRPr="002A4884">
        <w:t xml:space="preserve">expenditure </w:t>
      </w:r>
      <w:r w:rsidR="001C2A98">
        <w:t xml:space="preserve">variables </w:t>
      </w:r>
      <w:r w:rsidR="00640FB6" w:rsidRPr="002A4884">
        <w:t xml:space="preserve">are </w:t>
      </w:r>
      <w:r w:rsidR="003416FF">
        <w:t xml:space="preserve">likely to be </w:t>
      </w:r>
      <w:r w:rsidR="00640FB6" w:rsidRPr="002A4884">
        <w:t>endogenous</w:t>
      </w:r>
      <w:r w:rsidR="001C2A98">
        <w:t>, and</w:t>
      </w:r>
      <w:r w:rsidRPr="002A4884">
        <w:t xml:space="preserve"> estimate </w:t>
      </w:r>
      <w:r w:rsidRPr="002A4884">
        <w:fldChar w:fldCharType="begin"/>
      </w:r>
      <w:r w:rsidRPr="002A4884">
        <w:instrText xml:space="preserve"> GOTOBUTTON ZEqnNum977296  \* MERGEFORMAT </w:instrText>
      </w:r>
      <w:r w:rsidR="002A7365">
        <w:fldChar w:fldCharType="begin"/>
      </w:r>
      <w:r w:rsidR="002A7365">
        <w:instrText xml:space="preserve"> REF ZEqnNum977296 \* Charformat \! \* MERGEFORMAT </w:instrText>
      </w:r>
      <w:r w:rsidR="002A7365">
        <w:fldChar w:fldCharType="separate"/>
      </w:r>
      <w:r w:rsidR="007C7B62" w:rsidRPr="002A4884">
        <w:instrText>(</w:instrText>
      </w:r>
      <w:r w:rsidR="007C7B62">
        <w:instrText>14</w:instrText>
      </w:r>
      <w:r w:rsidR="007C7B62" w:rsidRPr="002A4884">
        <w:instrText>)</w:instrText>
      </w:r>
      <w:r w:rsidR="002A7365">
        <w:fldChar w:fldCharType="end"/>
      </w:r>
      <w:r w:rsidRPr="002A4884">
        <w:fldChar w:fldCharType="end"/>
      </w:r>
      <w:r w:rsidRPr="002A4884">
        <w:t xml:space="preserve"> </w:t>
      </w:r>
      <w:r w:rsidR="00B864EB" w:rsidRPr="002A4884">
        <w:t xml:space="preserve">by </w:t>
      </w:r>
      <w:r w:rsidRPr="002A4884">
        <w:t>two</w:t>
      </w:r>
      <w:r w:rsidR="00B864EB" w:rsidRPr="002A4884">
        <w:t>-</w:t>
      </w:r>
      <w:r w:rsidRPr="002A4884">
        <w:t>stage least square (2SLS) weight</w:t>
      </w:r>
      <w:r w:rsidR="001C2A98">
        <w:t>ing</w:t>
      </w:r>
      <w:r w:rsidRPr="002A4884">
        <w:t xml:space="preserve"> by LA population and estimat</w:t>
      </w:r>
      <w:r w:rsidR="001C2A98">
        <w:t>ing</w:t>
      </w:r>
      <w:r w:rsidRPr="002A4884">
        <w:t xml:space="preserve"> robust standard errors.</w:t>
      </w:r>
    </w:p>
    <w:p w14:paraId="175A017A" w14:textId="3F398CA5" w:rsidR="00C333FD" w:rsidRDefault="00FE4842" w:rsidP="00442E47">
      <w:pPr>
        <w:rPr>
          <w:rFonts w:cstheme="minorHAnsi"/>
        </w:rPr>
      </w:pPr>
      <w:r w:rsidRPr="002A4884">
        <w:t>The key coefficient</w:t>
      </w:r>
      <w:r w:rsidR="00C313BA" w:rsidRPr="002A4884">
        <w:t>s</w:t>
      </w:r>
      <w:r w:rsidRPr="002A4884">
        <w:t xml:space="preserve"> of interest in</w:t>
      </w:r>
      <w:r w:rsidR="00C313BA" w:rsidRPr="002A4884">
        <w:t xml:space="preserve"> </w:t>
      </w:r>
      <w:r w:rsidR="00C313BA" w:rsidRPr="002A4884">
        <w:fldChar w:fldCharType="begin"/>
      </w:r>
      <w:r w:rsidR="00C313BA" w:rsidRPr="002A4884">
        <w:instrText xml:space="preserve"> GOTOBUTTON ZEqnNum977296  \* MERGEFORMAT </w:instrText>
      </w:r>
      <w:r w:rsidR="002A7365">
        <w:fldChar w:fldCharType="begin"/>
      </w:r>
      <w:r w:rsidR="002A7365">
        <w:instrText xml:space="preserve"> REF ZEqnNum977296 \* Charformat \! \* MERGEFORMAT </w:instrText>
      </w:r>
      <w:r w:rsidR="002A7365">
        <w:fldChar w:fldCharType="separate"/>
      </w:r>
      <w:r w:rsidR="007C7B62" w:rsidRPr="002A4884">
        <w:instrText>(</w:instrText>
      </w:r>
      <w:r w:rsidR="007C7B62">
        <w:instrText>14</w:instrText>
      </w:r>
      <w:r w:rsidR="007C7B62" w:rsidRPr="002A4884">
        <w:instrText>)</w:instrText>
      </w:r>
      <w:r w:rsidR="002A7365">
        <w:fldChar w:fldCharType="end"/>
      </w:r>
      <w:r w:rsidR="00C313BA" w:rsidRPr="002A4884">
        <w:fldChar w:fldCharType="end"/>
      </w:r>
      <w:r w:rsidRPr="002A4884">
        <w:t xml:space="preserve"> </w:t>
      </w:r>
      <w:r w:rsidR="00C313BA" w:rsidRPr="002A4884">
        <w:t xml:space="preserve">are </w:t>
      </w:r>
      <w:r w:rsidR="00C313BA" w:rsidRPr="002A4884">
        <w:rPr>
          <w:rFonts w:cstheme="minorHAnsi"/>
          <w:i/>
        </w:rPr>
        <w:t>β</w:t>
      </w:r>
      <w:r w:rsidR="00CB129F" w:rsidRPr="002A4884">
        <w:rPr>
          <w:rFonts w:cstheme="minorHAnsi"/>
          <w:i/>
          <w:vertAlign w:val="subscript"/>
        </w:rPr>
        <w:t>1</w:t>
      </w:r>
      <w:r w:rsidR="00C313BA" w:rsidRPr="002A4884">
        <w:rPr>
          <w:rFonts w:cstheme="minorHAnsi"/>
        </w:rPr>
        <w:t xml:space="preserve"> and</w:t>
      </w:r>
      <w:r w:rsidR="00C313BA" w:rsidRPr="002A4884">
        <w:rPr>
          <w:rFonts w:cstheme="minorHAnsi"/>
          <w:i/>
        </w:rPr>
        <w:t xml:space="preserve"> γ</w:t>
      </w:r>
      <w:r w:rsidR="00CB129F" w:rsidRPr="002A4884">
        <w:rPr>
          <w:rFonts w:cstheme="minorHAnsi"/>
          <w:i/>
          <w:vertAlign w:val="subscript"/>
        </w:rPr>
        <w:t>1</w:t>
      </w:r>
      <w:r w:rsidR="00E47E02" w:rsidRPr="002A4884">
        <w:rPr>
          <w:rFonts w:cstheme="minorHAnsi"/>
        </w:rPr>
        <w:t xml:space="preserve"> and they </w:t>
      </w:r>
      <w:r w:rsidR="00B864EB" w:rsidRPr="002A4884">
        <w:rPr>
          <w:rFonts w:cstheme="minorHAnsi"/>
        </w:rPr>
        <w:t>capture the</w:t>
      </w:r>
      <w:r w:rsidR="003F1553" w:rsidRPr="002A4884">
        <w:rPr>
          <w:rFonts w:cstheme="minorHAnsi"/>
        </w:rPr>
        <w:t xml:space="preserve"> HC and LTC</w:t>
      </w:r>
      <w:r w:rsidR="00B864EB" w:rsidRPr="002A4884">
        <w:rPr>
          <w:rFonts w:cstheme="minorHAnsi"/>
        </w:rPr>
        <w:t xml:space="preserve"> </w:t>
      </w:r>
      <w:r w:rsidR="00E47E02" w:rsidRPr="002A4884">
        <w:rPr>
          <w:rFonts w:cstheme="minorHAnsi"/>
        </w:rPr>
        <w:t xml:space="preserve">mortality </w:t>
      </w:r>
      <w:r w:rsidR="00E47E02" w:rsidRPr="002A4884">
        <w:rPr>
          <w:rFonts w:cstheme="minorHAnsi"/>
        </w:rPr>
        <w:lastRenderedPageBreak/>
        <w:t>effects, respectively</w:t>
      </w:r>
      <w:r w:rsidR="00C313BA" w:rsidRPr="002A4884">
        <w:rPr>
          <w:rFonts w:cstheme="minorHAnsi"/>
        </w:rPr>
        <w:t>.</w:t>
      </w:r>
      <w:r w:rsidR="00C313BA" w:rsidRPr="002A4884">
        <w:t xml:space="preserve"> </w:t>
      </w:r>
      <w:r w:rsidRPr="002A4884">
        <w:rPr>
          <w:rFonts w:cstheme="minorHAnsi"/>
        </w:rPr>
        <w:t xml:space="preserve">For example, if </w:t>
      </w:r>
      <w:r w:rsidRPr="002A4884">
        <w:rPr>
          <w:rFonts w:cstheme="minorHAnsi"/>
          <w:i/>
        </w:rPr>
        <w:t>β̂</w:t>
      </w:r>
      <w:r w:rsidR="00CB129F" w:rsidRPr="002A4884">
        <w:rPr>
          <w:rFonts w:cstheme="minorHAnsi"/>
          <w:i/>
          <w:vertAlign w:val="subscript"/>
        </w:rPr>
        <w:t>1</w:t>
      </w:r>
      <w:r w:rsidR="006A3D2C" w:rsidRPr="002A4884">
        <w:rPr>
          <w:rFonts w:cstheme="minorHAnsi"/>
        </w:rPr>
        <w:t>&gt;</w:t>
      </w:r>
      <w:r w:rsidRPr="002A4884">
        <w:rPr>
          <w:rFonts w:cstheme="minorHAnsi"/>
        </w:rPr>
        <w:t>0 (</w:t>
      </w:r>
      <w:r w:rsidRPr="002A4884">
        <w:rPr>
          <w:rFonts w:cstheme="minorHAnsi"/>
          <w:i/>
        </w:rPr>
        <w:t>γ̂</w:t>
      </w:r>
      <w:r w:rsidR="00CB129F" w:rsidRPr="002A4884">
        <w:rPr>
          <w:rFonts w:cstheme="minorHAnsi"/>
          <w:i/>
          <w:vertAlign w:val="subscript"/>
        </w:rPr>
        <w:t>1</w:t>
      </w:r>
      <w:r w:rsidR="006A3D2C" w:rsidRPr="002A4884">
        <w:rPr>
          <w:rFonts w:cstheme="minorHAnsi"/>
        </w:rPr>
        <w:t>&gt;</w:t>
      </w:r>
      <w:r w:rsidRPr="002A4884">
        <w:rPr>
          <w:rFonts w:cstheme="minorHAnsi"/>
        </w:rPr>
        <w:t xml:space="preserve">0) then a 1% increase in HC (LTC) expenditure </w:t>
      </w:r>
      <w:r w:rsidR="00F47AB8">
        <w:rPr>
          <w:rFonts w:cstheme="minorHAnsi"/>
        </w:rPr>
        <w:t xml:space="preserve">per capita (user) </w:t>
      </w:r>
      <w:r w:rsidR="006A3D2C" w:rsidRPr="002A4884">
        <w:rPr>
          <w:rFonts w:cstheme="minorHAnsi"/>
        </w:rPr>
        <w:t xml:space="preserve">increases </w:t>
      </w:r>
      <w:r w:rsidRPr="002A4884">
        <w:rPr>
          <w:rFonts w:cstheme="minorHAnsi"/>
        </w:rPr>
        <w:t xml:space="preserve">mortality by a percentage equal to </w:t>
      </w:r>
      <w:r w:rsidRPr="002A4884">
        <w:rPr>
          <w:rFonts w:cstheme="minorHAnsi"/>
          <w:i/>
        </w:rPr>
        <w:t>β̂</w:t>
      </w:r>
      <w:r w:rsidR="00CB129F" w:rsidRPr="002A4884">
        <w:rPr>
          <w:rFonts w:cstheme="minorHAnsi"/>
          <w:i/>
          <w:vertAlign w:val="subscript"/>
        </w:rPr>
        <w:t>1</w:t>
      </w:r>
      <w:r w:rsidRPr="002A4884">
        <w:rPr>
          <w:rFonts w:cstheme="minorHAnsi"/>
        </w:rPr>
        <w:t xml:space="preserve"> (</w:t>
      </w:r>
      <w:r w:rsidRPr="002A4884">
        <w:rPr>
          <w:rFonts w:cstheme="minorHAnsi"/>
          <w:i/>
        </w:rPr>
        <w:t>γ̂</w:t>
      </w:r>
      <w:r w:rsidR="00CB129F" w:rsidRPr="002A4884">
        <w:rPr>
          <w:rFonts w:cstheme="minorHAnsi"/>
          <w:i/>
          <w:vertAlign w:val="subscript"/>
        </w:rPr>
        <w:t>1</w:t>
      </w:r>
      <w:r w:rsidRPr="002A4884">
        <w:rPr>
          <w:rFonts w:cstheme="minorHAnsi"/>
        </w:rPr>
        <w:t>).</w:t>
      </w:r>
      <w:r w:rsidR="00FA2F09">
        <w:rPr>
          <w:rStyle w:val="FootnoteReference"/>
          <w:rFonts w:cstheme="minorHAnsi"/>
        </w:rPr>
        <w:footnoteReference w:id="5"/>
      </w:r>
      <w:r w:rsidRPr="002A4884">
        <w:rPr>
          <w:rFonts w:cstheme="minorHAnsi"/>
        </w:rPr>
        <w:t xml:space="preserve"> </w:t>
      </w:r>
      <w:r w:rsidR="004A041A">
        <w:rPr>
          <w:rFonts w:cstheme="minorHAnsi"/>
        </w:rPr>
        <w:t xml:space="preserve">The theory model in Section </w:t>
      </w:r>
      <w:r w:rsidR="004A041A">
        <w:rPr>
          <w:rFonts w:cstheme="minorHAnsi"/>
        </w:rPr>
        <w:fldChar w:fldCharType="begin"/>
      </w:r>
      <w:r w:rsidR="004A041A">
        <w:rPr>
          <w:rFonts w:cstheme="minorHAnsi"/>
        </w:rPr>
        <w:instrText xml:space="preserve"> REF _Ref61441293 \r \h </w:instrText>
      </w:r>
      <w:r w:rsidR="004A041A">
        <w:rPr>
          <w:rFonts w:cstheme="minorHAnsi"/>
        </w:rPr>
      </w:r>
      <w:r w:rsidR="004A041A">
        <w:rPr>
          <w:rFonts w:cstheme="minorHAnsi"/>
        </w:rPr>
        <w:fldChar w:fldCharType="separate"/>
      </w:r>
      <w:r w:rsidR="007C7B62">
        <w:rPr>
          <w:rFonts w:cstheme="minorHAnsi"/>
        </w:rPr>
        <w:t>1.2</w:t>
      </w:r>
      <w:r w:rsidR="004A041A">
        <w:rPr>
          <w:rFonts w:cstheme="minorHAnsi"/>
        </w:rPr>
        <w:fldChar w:fldCharType="end"/>
      </w:r>
      <w:r w:rsidR="004A041A">
        <w:rPr>
          <w:rFonts w:cstheme="minorHAnsi"/>
        </w:rPr>
        <w:t xml:space="preserve"> suggests that </w:t>
      </w:r>
      <w:r w:rsidR="00192DA3">
        <w:rPr>
          <w:rFonts w:cstheme="minorHAnsi"/>
        </w:rPr>
        <w:t>any sector may generate an in</w:t>
      </w:r>
      <w:r w:rsidR="004A041A">
        <w:rPr>
          <w:rFonts w:cstheme="minorHAnsi"/>
        </w:rPr>
        <w:t>direct mortality effect</w:t>
      </w:r>
      <w:r w:rsidR="00192DA3">
        <w:rPr>
          <w:rFonts w:cstheme="minorHAnsi"/>
        </w:rPr>
        <w:t xml:space="preserve"> via another sector, if the latter has a direct mortality effect</w:t>
      </w:r>
      <w:r w:rsidR="005539C9">
        <w:rPr>
          <w:rFonts w:cstheme="minorHAnsi"/>
        </w:rPr>
        <w:t xml:space="preserve">. </w:t>
      </w:r>
      <w:r w:rsidR="00192DA3">
        <w:rPr>
          <w:rFonts w:cstheme="minorHAnsi"/>
        </w:rPr>
        <w:t>In this case, w</w:t>
      </w:r>
      <w:r w:rsidR="005539C9">
        <w:rPr>
          <w:rFonts w:cstheme="minorHAnsi"/>
        </w:rPr>
        <w:t xml:space="preserve">hether </w:t>
      </w:r>
      <w:r w:rsidR="00C313BA" w:rsidRPr="002A4884">
        <w:rPr>
          <w:rFonts w:cstheme="minorHAnsi"/>
          <w:i/>
        </w:rPr>
        <w:t>β</w:t>
      </w:r>
      <w:r w:rsidR="00CB129F" w:rsidRPr="002A4884">
        <w:rPr>
          <w:rFonts w:cstheme="minorHAnsi"/>
          <w:i/>
          <w:vertAlign w:val="subscript"/>
        </w:rPr>
        <w:t>1</w:t>
      </w:r>
      <w:r w:rsidR="00C313BA" w:rsidRPr="002A4884">
        <w:rPr>
          <w:rFonts w:cstheme="minorHAnsi"/>
        </w:rPr>
        <w:t xml:space="preserve"> and</w:t>
      </w:r>
      <w:r w:rsidR="00C313BA" w:rsidRPr="002A4884">
        <w:rPr>
          <w:rFonts w:cstheme="minorHAnsi"/>
          <w:i/>
        </w:rPr>
        <w:t xml:space="preserve"> γ</w:t>
      </w:r>
      <w:r w:rsidR="00CB129F" w:rsidRPr="002A4884">
        <w:rPr>
          <w:rFonts w:cstheme="minorHAnsi"/>
          <w:i/>
          <w:vertAlign w:val="subscript"/>
        </w:rPr>
        <w:t>1</w:t>
      </w:r>
      <w:r w:rsidR="00C313BA" w:rsidRPr="002A4884">
        <w:rPr>
          <w:rFonts w:cstheme="minorHAnsi"/>
        </w:rPr>
        <w:t xml:space="preserve"> </w:t>
      </w:r>
      <w:r w:rsidR="005539C9">
        <w:rPr>
          <w:rFonts w:cstheme="minorHAnsi"/>
        </w:rPr>
        <w:t xml:space="preserve">capture </w:t>
      </w:r>
      <w:r w:rsidR="00192DA3">
        <w:rPr>
          <w:rFonts w:cstheme="minorHAnsi"/>
        </w:rPr>
        <w:t xml:space="preserve">either a </w:t>
      </w:r>
      <w:r w:rsidR="005539C9">
        <w:rPr>
          <w:rFonts w:cstheme="minorHAnsi"/>
        </w:rPr>
        <w:t>direct mortality eff</w:t>
      </w:r>
      <w:r w:rsidR="005539C9" w:rsidRPr="005462BB">
        <w:rPr>
          <w:rFonts w:cstheme="minorHAnsi"/>
        </w:rPr>
        <w:t>ect</w:t>
      </w:r>
      <w:r w:rsidR="00192DA3" w:rsidRPr="005462BB">
        <w:rPr>
          <w:rFonts w:cstheme="minorHAnsi"/>
        </w:rPr>
        <w:t>, an indirect mortality effect</w:t>
      </w:r>
      <w:r w:rsidR="005539C9" w:rsidRPr="005462BB">
        <w:rPr>
          <w:rFonts w:cstheme="minorHAnsi"/>
        </w:rPr>
        <w:t xml:space="preserve"> or both depends on </w:t>
      </w:r>
      <w:r w:rsidR="005462BB" w:rsidRPr="005462BB">
        <w:rPr>
          <w:rFonts w:cstheme="minorHAnsi"/>
        </w:rPr>
        <w:t xml:space="preserve">whether HC </w:t>
      </w:r>
      <w:r w:rsidR="00CF3DA1">
        <w:rPr>
          <w:rFonts w:cstheme="minorHAnsi"/>
        </w:rPr>
        <w:t xml:space="preserve">expenditure </w:t>
      </w:r>
      <w:r w:rsidR="007B265A">
        <w:rPr>
          <w:rFonts w:cstheme="minorHAnsi"/>
        </w:rPr>
        <w:t>(</w:t>
      </w:r>
      <w:r w:rsidR="00CF3DA1">
        <w:rPr>
          <w:rFonts w:cstheme="minorHAnsi"/>
        </w:rPr>
        <w:t>per capita</w:t>
      </w:r>
      <w:r w:rsidR="007B265A">
        <w:rPr>
          <w:rFonts w:cstheme="minorHAnsi"/>
        </w:rPr>
        <w:t>)</w:t>
      </w:r>
      <w:r w:rsidR="00CF3DA1">
        <w:rPr>
          <w:rFonts w:cstheme="minorHAnsi"/>
        </w:rPr>
        <w:t xml:space="preserve"> </w:t>
      </w:r>
      <w:r w:rsidR="005462BB" w:rsidRPr="005462BB">
        <w:rPr>
          <w:rFonts w:cstheme="minorHAnsi"/>
        </w:rPr>
        <w:t xml:space="preserve">and LTC expenditure </w:t>
      </w:r>
      <w:r w:rsidR="007B265A">
        <w:rPr>
          <w:rFonts w:cstheme="minorHAnsi"/>
        </w:rPr>
        <w:t>(</w:t>
      </w:r>
      <w:r w:rsidR="00CF3DA1">
        <w:rPr>
          <w:rFonts w:cstheme="minorHAnsi"/>
        </w:rPr>
        <w:t>per user</w:t>
      </w:r>
      <w:r w:rsidR="007B265A">
        <w:rPr>
          <w:rFonts w:cstheme="minorHAnsi"/>
        </w:rPr>
        <w:t>)</w:t>
      </w:r>
      <w:r w:rsidR="00CF3DA1">
        <w:rPr>
          <w:rFonts w:cstheme="minorHAnsi"/>
        </w:rPr>
        <w:t xml:space="preserve"> </w:t>
      </w:r>
      <w:r w:rsidR="005462BB" w:rsidRPr="005462BB">
        <w:rPr>
          <w:rFonts w:cstheme="minorHAnsi"/>
        </w:rPr>
        <w:t xml:space="preserve">have </w:t>
      </w:r>
      <w:r w:rsidR="005462BB">
        <w:rPr>
          <w:rFonts w:cstheme="minorHAnsi"/>
        </w:rPr>
        <w:t xml:space="preserve">a </w:t>
      </w:r>
      <w:r w:rsidR="005462BB" w:rsidRPr="005462BB">
        <w:rPr>
          <w:rFonts w:cstheme="minorHAnsi"/>
        </w:rPr>
        <w:t>direct mortality effect</w:t>
      </w:r>
      <w:r w:rsidR="007B265A">
        <w:rPr>
          <w:rFonts w:cstheme="minorHAnsi"/>
        </w:rPr>
        <w:t>,</w:t>
      </w:r>
      <w:r w:rsidR="005462BB" w:rsidRPr="005462BB">
        <w:rPr>
          <w:rFonts w:cstheme="minorHAnsi"/>
        </w:rPr>
        <w:t xml:space="preserve"> and</w:t>
      </w:r>
      <w:r w:rsidR="007B265A">
        <w:rPr>
          <w:rFonts w:cstheme="minorHAnsi"/>
        </w:rPr>
        <w:t xml:space="preserve"> </w:t>
      </w:r>
      <w:r w:rsidR="005462BB" w:rsidRPr="005462BB">
        <w:rPr>
          <w:rFonts w:cstheme="minorHAnsi"/>
        </w:rPr>
        <w:t xml:space="preserve">whether expenditure </w:t>
      </w:r>
      <w:r w:rsidR="00CF3DA1">
        <w:rPr>
          <w:rFonts w:cstheme="minorHAnsi"/>
        </w:rPr>
        <w:t xml:space="preserve">in one sector </w:t>
      </w:r>
      <w:r w:rsidR="005462BB" w:rsidRPr="005462BB">
        <w:rPr>
          <w:rFonts w:cstheme="minorHAnsi"/>
        </w:rPr>
        <w:t>impact</w:t>
      </w:r>
      <w:r w:rsidR="00CF3DA1">
        <w:rPr>
          <w:rFonts w:cstheme="minorHAnsi"/>
        </w:rPr>
        <w:t>s</w:t>
      </w:r>
      <w:r w:rsidR="005462BB" w:rsidRPr="005462BB">
        <w:rPr>
          <w:rFonts w:cstheme="minorHAnsi"/>
        </w:rPr>
        <w:t xml:space="preserve"> the potential channels generating the indirect mortality effect via the other sectors</w:t>
      </w:r>
      <w:r w:rsidR="005539C9" w:rsidRPr="005462BB">
        <w:rPr>
          <w:rFonts w:cstheme="minorHAnsi"/>
        </w:rPr>
        <w:t>.</w:t>
      </w:r>
    </w:p>
    <w:p w14:paraId="6A9A9532" w14:textId="4BC557F9" w:rsidR="007F2AB8" w:rsidRDefault="007B265A" w:rsidP="00E163D6">
      <w:pPr>
        <w:rPr>
          <w:rFonts w:cstheme="minorHAnsi"/>
        </w:rPr>
      </w:pPr>
      <w:r>
        <w:rPr>
          <w:rFonts w:cstheme="minorHAnsi"/>
        </w:rPr>
        <w:t xml:space="preserve">For example, the estimated LTC mortality effect, </w:t>
      </w:r>
      <w:r w:rsidR="00801E67" w:rsidRPr="002A4884">
        <w:rPr>
          <w:rFonts w:cstheme="minorHAnsi"/>
          <w:i/>
        </w:rPr>
        <w:t>γ̂</w:t>
      </w:r>
      <w:r w:rsidR="00801E67" w:rsidRPr="002A4884">
        <w:rPr>
          <w:rFonts w:cstheme="minorHAnsi"/>
          <w:i/>
          <w:vertAlign w:val="subscript"/>
        </w:rPr>
        <w:t>1</w:t>
      </w:r>
      <w:r w:rsidR="00801E67">
        <w:rPr>
          <w:rFonts w:cstheme="minorHAnsi"/>
        </w:rPr>
        <w:t>, may capture the LTC indirect mortality effect via the HC sector</w:t>
      </w:r>
      <w:r>
        <w:rPr>
          <w:rFonts w:cstheme="minorHAnsi"/>
        </w:rPr>
        <w:t xml:space="preserve"> in addition to any direct effect</w:t>
      </w:r>
      <w:r w:rsidR="00CE0E01">
        <w:rPr>
          <w:rFonts w:cstheme="minorHAnsi"/>
        </w:rPr>
        <w:t xml:space="preserve">. </w:t>
      </w:r>
      <w:r>
        <w:rPr>
          <w:rFonts w:cstheme="minorHAnsi"/>
        </w:rPr>
        <w:t>Insofar a</w:t>
      </w:r>
      <w:r w:rsidR="00CE0E01">
        <w:rPr>
          <w:rFonts w:cstheme="minorHAnsi"/>
        </w:rPr>
        <w:t xml:space="preserve">s HC has a direct mortality effect, a LTC indirect mortality effect is possible </w:t>
      </w:r>
      <w:r w:rsidR="00801E67">
        <w:rPr>
          <w:rFonts w:cstheme="minorHAnsi"/>
        </w:rPr>
        <w:t>if LTC expenditure</w:t>
      </w:r>
      <w:r w:rsidR="00CF3DA1">
        <w:rPr>
          <w:rFonts w:cstheme="minorHAnsi"/>
        </w:rPr>
        <w:t xml:space="preserve"> </w:t>
      </w:r>
      <w:r w:rsidR="00801E67">
        <w:rPr>
          <w:rFonts w:cstheme="minorHAnsi"/>
        </w:rPr>
        <w:t xml:space="preserve">impacts </w:t>
      </w:r>
      <w:r w:rsidR="00B344BB">
        <w:rPr>
          <w:rFonts w:cstheme="minorHAnsi"/>
        </w:rPr>
        <w:t xml:space="preserve">the </w:t>
      </w:r>
      <w:r>
        <w:rPr>
          <w:rFonts w:cstheme="minorHAnsi"/>
        </w:rPr>
        <w:t xml:space="preserve">two plausible channels: </w:t>
      </w:r>
      <w:r w:rsidR="00243412">
        <w:rPr>
          <w:rFonts w:cstheme="minorHAnsi"/>
        </w:rPr>
        <w:t xml:space="preserve">the </w:t>
      </w:r>
      <w:r w:rsidR="00801E67">
        <w:rPr>
          <w:rFonts w:cstheme="minorHAnsi"/>
        </w:rPr>
        <w:t>composition</w:t>
      </w:r>
      <w:r>
        <w:rPr>
          <w:rFonts w:cstheme="minorHAnsi"/>
        </w:rPr>
        <w:t xml:space="preserve"> and effectiveness</w:t>
      </w:r>
      <w:r w:rsidR="00801E67">
        <w:rPr>
          <w:rFonts w:cstheme="minorHAnsi"/>
        </w:rPr>
        <w:t xml:space="preserve"> of HC expenditure. </w:t>
      </w:r>
      <w:r w:rsidR="00E163D6">
        <w:t>If our regression fails to control for these channels, then</w:t>
      </w:r>
      <w:r w:rsidR="00295F1E">
        <w:rPr>
          <w:rFonts w:cstheme="minorHAnsi"/>
        </w:rPr>
        <w:t xml:space="preserve"> </w:t>
      </w:r>
      <w:r w:rsidR="00295F1E" w:rsidRPr="002A4884">
        <w:rPr>
          <w:rFonts w:cstheme="minorHAnsi"/>
          <w:i/>
        </w:rPr>
        <w:t>γ̂</w:t>
      </w:r>
      <w:r w:rsidR="00295F1E" w:rsidRPr="002A4884">
        <w:rPr>
          <w:rFonts w:cstheme="minorHAnsi"/>
          <w:i/>
          <w:vertAlign w:val="subscript"/>
        </w:rPr>
        <w:t>1</w:t>
      </w:r>
      <w:r w:rsidR="00295F1E" w:rsidRPr="002A4884">
        <w:rPr>
          <w:rFonts w:cstheme="minorHAnsi"/>
        </w:rPr>
        <w:t xml:space="preserve"> </w:t>
      </w:r>
      <w:r w:rsidR="00E163D6">
        <w:rPr>
          <w:rFonts w:cstheme="minorHAnsi"/>
        </w:rPr>
        <w:t>will be</w:t>
      </w:r>
      <w:r w:rsidR="00295F1E" w:rsidRPr="002A4884">
        <w:rPr>
          <w:rFonts w:cstheme="minorHAnsi"/>
        </w:rPr>
        <w:t xml:space="preserve"> unable to disentangle the </w:t>
      </w:r>
      <w:r w:rsidR="00E163D6">
        <w:rPr>
          <w:rFonts w:cstheme="minorHAnsi"/>
        </w:rPr>
        <w:t xml:space="preserve">LTC </w:t>
      </w:r>
      <w:r w:rsidR="005C351F">
        <w:rPr>
          <w:rFonts w:cstheme="minorHAnsi"/>
        </w:rPr>
        <w:t xml:space="preserve">direct </w:t>
      </w:r>
      <w:r w:rsidR="00E163D6">
        <w:rPr>
          <w:rFonts w:cstheme="minorHAnsi"/>
        </w:rPr>
        <w:t xml:space="preserve">from the indirect </w:t>
      </w:r>
      <w:r w:rsidR="00295F1E" w:rsidRPr="002A4884">
        <w:rPr>
          <w:rFonts w:cstheme="minorHAnsi"/>
        </w:rPr>
        <w:t>mortality effect</w:t>
      </w:r>
      <w:r w:rsidR="00243412">
        <w:rPr>
          <w:rFonts w:cstheme="minorHAnsi"/>
        </w:rPr>
        <w:t>.  T</w:t>
      </w:r>
      <w:r w:rsidR="00B344BB">
        <w:rPr>
          <w:rFonts w:cstheme="minorHAnsi"/>
        </w:rPr>
        <w:t>he</w:t>
      </w:r>
      <w:r w:rsidR="00363310">
        <w:rPr>
          <w:rFonts w:cstheme="minorHAnsi"/>
        </w:rPr>
        <w:t xml:space="preserve"> LTC </w:t>
      </w:r>
      <w:r w:rsidR="00E341CE">
        <w:rPr>
          <w:rFonts w:cstheme="minorHAnsi"/>
        </w:rPr>
        <w:t xml:space="preserve">total </w:t>
      </w:r>
      <w:r w:rsidR="00363310">
        <w:rPr>
          <w:rFonts w:cstheme="minorHAnsi"/>
        </w:rPr>
        <w:t xml:space="preserve">mortality effect </w:t>
      </w:r>
      <w:r w:rsidR="00B344BB">
        <w:rPr>
          <w:rFonts w:cstheme="minorHAnsi"/>
        </w:rPr>
        <w:t>will be</w:t>
      </w:r>
      <w:r w:rsidR="005A1C51">
        <w:rPr>
          <w:rFonts w:cstheme="minorHAnsi"/>
        </w:rPr>
        <w:t>:</w:t>
      </w:r>
    </w:p>
    <w:p w14:paraId="0D28B896" w14:textId="1142FFEB" w:rsidR="005A1C51" w:rsidRDefault="005A1C51" w:rsidP="005A1C51">
      <w:pPr>
        <w:pStyle w:val="MTDisplayEquation"/>
      </w:pPr>
      <w:r>
        <w:tab/>
      </w:r>
      <w:r w:rsidR="00442C04" w:rsidRPr="00442C04">
        <w:rPr>
          <w:position w:val="-30"/>
        </w:rPr>
        <w:object w:dxaOrig="1700" w:dyaOrig="560" w14:anchorId="1BC52058">
          <v:shape id="_x0000_i1045" type="#_x0000_t75" style="width:86.4pt;height:29.4pt" o:ole="">
            <v:imagedata r:id="rId48" o:title=""/>
          </v:shape>
          <o:OLEObject Type="Embed" ProgID="Equation.DSMT4" ShapeID="_x0000_i1045" DrawAspect="Content" ObjectID="_1736065861" r:id="rId49"/>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7" w:name="ZEqnNum694302"/>
      <w:r>
        <w:instrText>(</w:instrText>
      </w:r>
      <w:r w:rsidR="002A7365">
        <w:fldChar w:fldCharType="begin"/>
      </w:r>
      <w:r w:rsidR="002A7365">
        <w:instrText xml:space="preserve"> SEQ MTEqn \c \* Arabic \* MERGEFORMAT </w:instrText>
      </w:r>
      <w:r w:rsidR="002A7365">
        <w:fldChar w:fldCharType="separate"/>
      </w:r>
      <w:r w:rsidR="007C7B62">
        <w:rPr>
          <w:noProof/>
        </w:rPr>
        <w:instrText>15</w:instrText>
      </w:r>
      <w:r w:rsidR="002A7365">
        <w:rPr>
          <w:noProof/>
        </w:rPr>
        <w:fldChar w:fldCharType="end"/>
      </w:r>
      <w:r>
        <w:instrText>)</w:instrText>
      </w:r>
      <w:bookmarkEnd w:id="17"/>
      <w:r>
        <w:fldChar w:fldCharType="end"/>
      </w:r>
    </w:p>
    <w:p w14:paraId="4B255194" w14:textId="71D7E8E2" w:rsidR="005A1C51" w:rsidRDefault="005A1C51" w:rsidP="005A1C51">
      <w:pPr>
        <w:rPr>
          <w:iCs/>
        </w:rPr>
      </w:pPr>
      <w:r>
        <w:t>where</w:t>
      </w:r>
      <w:r w:rsidR="00714ABD">
        <w:t xml:space="preserve"> </w:t>
      </w:r>
      <w:r w:rsidR="00714ABD" w:rsidRPr="00601CAB">
        <w:rPr>
          <w:rFonts w:cstheme="minorHAnsi"/>
          <w:i/>
        </w:rPr>
        <w:t>γ</w:t>
      </w:r>
      <w:r w:rsidR="00714ABD" w:rsidRPr="00601CAB">
        <w:rPr>
          <w:i/>
          <w:vertAlign w:val="subscript"/>
        </w:rPr>
        <w:t>1</w:t>
      </w:r>
      <w:r w:rsidR="00714ABD" w:rsidRPr="00601CAB">
        <w:rPr>
          <w:i/>
          <w:vertAlign w:val="superscript"/>
        </w:rPr>
        <w:t>direct</w:t>
      </w:r>
      <w:r>
        <w:t xml:space="preserve"> </w:t>
      </w:r>
      <w:r w:rsidR="00714ABD">
        <w:t xml:space="preserve">and </w:t>
      </w:r>
      <w:r w:rsidR="00714ABD" w:rsidRPr="00601CAB">
        <w:rPr>
          <w:rFonts w:cstheme="minorHAnsi"/>
          <w:i/>
        </w:rPr>
        <w:t>γ</w:t>
      </w:r>
      <w:r w:rsidR="00714ABD" w:rsidRPr="00601CAB">
        <w:rPr>
          <w:i/>
          <w:vertAlign w:val="subscript"/>
        </w:rPr>
        <w:t>1</w:t>
      </w:r>
      <w:r w:rsidR="00714ABD" w:rsidRPr="00601CAB">
        <w:rPr>
          <w:i/>
          <w:vertAlign w:val="superscript"/>
        </w:rPr>
        <w:t>indirect</w:t>
      </w:r>
      <w:r w:rsidR="00714ABD">
        <w:t xml:space="preserve"> capture the LTC direct and indirect mortality effect, respectively, </w:t>
      </w:r>
      <w:r w:rsidR="00C333FD">
        <w:rPr>
          <w:rFonts w:cstheme="minorHAnsi"/>
        </w:rPr>
        <w:t>Δ</w:t>
      </w:r>
      <w:r w:rsidR="00C333FD" w:rsidRPr="00977C80">
        <w:rPr>
          <w:rFonts w:cstheme="minorHAnsi"/>
          <w:vertAlign w:val="subscript"/>
        </w:rPr>
        <w:t>1</w:t>
      </w:r>
      <w:r w:rsidR="00C333FD" w:rsidRPr="00641D04">
        <w:rPr>
          <w:rFonts w:cstheme="minorHAnsi"/>
          <w:i/>
          <w:vertAlign w:val="superscript"/>
        </w:rPr>
        <w:t>γ</w:t>
      </w:r>
      <w:r w:rsidR="00C333FD">
        <w:t xml:space="preserve"> is the marginal effect of LTC expenditure</w:t>
      </w:r>
      <w:r w:rsidR="00F47AB8">
        <w:t xml:space="preserve"> </w:t>
      </w:r>
      <w:r w:rsidR="00C333FD">
        <w:t xml:space="preserve">on </w:t>
      </w:r>
      <w:r w:rsidR="00EB38B3">
        <w:t>the channels for the LTC indirect mortality effect</w:t>
      </w:r>
      <w:r w:rsidR="00E163D6">
        <w:t xml:space="preserve">, </w:t>
      </w:r>
      <w:r w:rsidR="00C333FD">
        <w:rPr>
          <w:rFonts w:cstheme="minorHAnsi"/>
        </w:rPr>
        <w:t xml:space="preserve">and </w:t>
      </w:r>
      <w:r>
        <w:rPr>
          <w:rFonts w:cstheme="minorHAnsi"/>
        </w:rPr>
        <w:t>Β</w:t>
      </w:r>
      <w:r w:rsidR="00977C80" w:rsidRPr="00977C80">
        <w:rPr>
          <w:rFonts w:cstheme="minorHAnsi"/>
          <w:vertAlign w:val="subscript"/>
        </w:rPr>
        <w:t>1</w:t>
      </w:r>
      <w:r>
        <w:t xml:space="preserve"> is the effect of a marginal change in </w:t>
      </w:r>
      <w:r w:rsidR="00EB38B3">
        <w:t>th</w:t>
      </w:r>
      <w:r w:rsidR="00B21945">
        <w:t>e</w:t>
      </w:r>
      <w:r w:rsidR="00EB38B3">
        <w:t xml:space="preserve">se channels </w:t>
      </w:r>
      <w:r w:rsidR="00977C80">
        <w:t>on mortality</w:t>
      </w:r>
      <w:r>
        <w:t>.</w:t>
      </w:r>
      <w:r w:rsidR="00601CAB">
        <w:t xml:space="preserve"> Equation </w:t>
      </w:r>
      <w:r w:rsidR="00601CAB">
        <w:rPr>
          <w:iCs/>
        </w:rPr>
        <w:fldChar w:fldCharType="begin"/>
      </w:r>
      <w:r w:rsidR="00601CAB">
        <w:rPr>
          <w:iCs/>
        </w:rPr>
        <w:instrText xml:space="preserve"> GOTOBUTTON ZEqnNum694302  \* MERGEFORMAT </w:instrText>
      </w:r>
      <w:r w:rsidR="00601CAB">
        <w:rPr>
          <w:iCs/>
        </w:rPr>
        <w:fldChar w:fldCharType="begin"/>
      </w:r>
      <w:r w:rsidR="00601CAB">
        <w:rPr>
          <w:iCs/>
        </w:rPr>
        <w:instrText xml:space="preserve"> REF ZEqnNum694302 \* Charformat \! \* MERGEFORMAT </w:instrText>
      </w:r>
      <w:r w:rsidR="00601CAB">
        <w:rPr>
          <w:iCs/>
        </w:rPr>
        <w:fldChar w:fldCharType="separate"/>
      </w:r>
      <w:r w:rsidR="007C7B62" w:rsidRPr="007C7B62">
        <w:rPr>
          <w:iCs/>
        </w:rPr>
        <w:instrText>(15)</w:instrText>
      </w:r>
      <w:r w:rsidR="00601CAB">
        <w:rPr>
          <w:iCs/>
        </w:rPr>
        <w:fldChar w:fldCharType="end"/>
      </w:r>
      <w:r w:rsidR="00601CAB">
        <w:rPr>
          <w:iCs/>
        </w:rPr>
        <w:fldChar w:fldCharType="end"/>
      </w:r>
      <w:r w:rsidR="00601CAB">
        <w:rPr>
          <w:iCs/>
        </w:rPr>
        <w:t xml:space="preserve"> suggests that </w:t>
      </w:r>
      <w:r w:rsidR="00601CAB" w:rsidRPr="00601CAB">
        <w:rPr>
          <w:rFonts w:cstheme="minorHAnsi"/>
          <w:i/>
        </w:rPr>
        <w:t>γ</w:t>
      </w:r>
      <w:r w:rsidR="00601CAB" w:rsidRPr="00601CAB">
        <w:rPr>
          <w:i/>
          <w:vertAlign w:val="subscript"/>
        </w:rPr>
        <w:t>1</w:t>
      </w:r>
      <w:r w:rsidR="00601CAB" w:rsidRPr="00601CAB">
        <w:rPr>
          <w:i/>
          <w:vertAlign w:val="superscript"/>
        </w:rPr>
        <w:t>indirect</w:t>
      </w:r>
      <w:r w:rsidR="00601CAB">
        <w:rPr>
          <w:iCs/>
        </w:rPr>
        <w:t xml:space="preserve"> takes the form of an omitted variable bias due to the lack of control variables measuring the </w:t>
      </w:r>
      <w:r w:rsidR="00EB38B3">
        <w:rPr>
          <w:iCs/>
        </w:rPr>
        <w:t>channels that generate the LTC indirect effect</w:t>
      </w:r>
      <w:r w:rsidR="00601CAB">
        <w:rPr>
          <w:iCs/>
        </w:rPr>
        <w:t>.</w:t>
      </w:r>
    </w:p>
    <w:p w14:paraId="5529E07E" w14:textId="4D265EA0" w:rsidR="00363310" w:rsidRDefault="00A62FD7" w:rsidP="00502452">
      <w:pPr>
        <w:rPr>
          <w:rFonts w:cstheme="minorHAnsi"/>
        </w:rPr>
      </w:pPr>
      <w:r>
        <w:rPr>
          <w:rFonts w:cstheme="minorHAnsi"/>
        </w:rPr>
        <w:t xml:space="preserve">Similarly, the estimated HC mortality effect, </w:t>
      </w:r>
      <w:r w:rsidR="009951F4" w:rsidRPr="002A4884">
        <w:rPr>
          <w:rFonts w:cstheme="minorHAnsi"/>
          <w:i/>
        </w:rPr>
        <w:t>β̂</w:t>
      </w:r>
      <w:r w:rsidR="009951F4" w:rsidRPr="002A4884">
        <w:rPr>
          <w:rFonts w:cstheme="minorHAnsi"/>
          <w:i/>
          <w:vertAlign w:val="subscript"/>
        </w:rPr>
        <w:t>1</w:t>
      </w:r>
      <w:r w:rsidR="009951F4">
        <w:rPr>
          <w:rFonts w:cstheme="minorHAnsi"/>
        </w:rPr>
        <w:t xml:space="preserve">, </w:t>
      </w:r>
      <w:r>
        <w:rPr>
          <w:rFonts w:cstheme="minorHAnsi"/>
        </w:rPr>
        <w:t xml:space="preserve">may </w:t>
      </w:r>
      <w:r w:rsidR="00001F80">
        <w:rPr>
          <w:rFonts w:cstheme="minorHAnsi"/>
        </w:rPr>
        <w:t xml:space="preserve">capture the </w:t>
      </w:r>
      <w:r w:rsidR="002532D9">
        <w:rPr>
          <w:rFonts w:cstheme="minorHAnsi"/>
        </w:rPr>
        <w:t>HC indirect mortality effect</w:t>
      </w:r>
      <w:r>
        <w:rPr>
          <w:rFonts w:cstheme="minorHAnsi"/>
        </w:rPr>
        <w:t xml:space="preserve"> in addition to any direct effect. This will be the case if </w:t>
      </w:r>
      <w:r w:rsidR="00001F80">
        <w:rPr>
          <w:rFonts w:cstheme="minorHAnsi"/>
        </w:rPr>
        <w:t xml:space="preserve">HC expenditure impacts the </w:t>
      </w:r>
      <w:r>
        <w:rPr>
          <w:rFonts w:cstheme="minorHAnsi"/>
        </w:rPr>
        <w:t>three p</w:t>
      </w:r>
      <w:r w:rsidR="004C3C89">
        <w:rPr>
          <w:rFonts w:cstheme="minorHAnsi"/>
        </w:rPr>
        <w:t>ossible</w:t>
      </w:r>
      <w:r>
        <w:rPr>
          <w:rFonts w:cstheme="minorHAnsi"/>
        </w:rPr>
        <w:t xml:space="preserve"> </w:t>
      </w:r>
      <w:r w:rsidR="00001F80">
        <w:rPr>
          <w:rFonts w:cstheme="minorHAnsi"/>
        </w:rPr>
        <w:t>channels generating th</w:t>
      </w:r>
      <w:r>
        <w:rPr>
          <w:rFonts w:cstheme="minorHAnsi"/>
        </w:rPr>
        <w:t>e</w:t>
      </w:r>
      <w:r w:rsidR="00001F80">
        <w:rPr>
          <w:rFonts w:cstheme="minorHAnsi"/>
        </w:rPr>
        <w:t xml:space="preserve"> indirect effect: level</w:t>
      </w:r>
      <w:r>
        <w:rPr>
          <w:rFonts w:cstheme="minorHAnsi"/>
        </w:rPr>
        <w:t>,</w:t>
      </w:r>
      <w:r w:rsidR="00001F80">
        <w:rPr>
          <w:rFonts w:cstheme="minorHAnsi"/>
        </w:rPr>
        <w:t xml:space="preserve"> composition </w:t>
      </w:r>
      <w:r>
        <w:rPr>
          <w:rFonts w:cstheme="minorHAnsi"/>
        </w:rPr>
        <w:t xml:space="preserve">and effectiveness </w:t>
      </w:r>
      <w:r w:rsidR="00001F80">
        <w:rPr>
          <w:rFonts w:cstheme="minorHAnsi"/>
        </w:rPr>
        <w:t>of LTC expenditure.</w:t>
      </w:r>
      <w:r w:rsidR="000B6CCF">
        <w:rPr>
          <w:rFonts w:cstheme="minorHAnsi"/>
        </w:rPr>
        <w:t xml:space="preserve"> </w:t>
      </w:r>
      <w:r w:rsidR="00B344BB">
        <w:rPr>
          <w:rFonts w:cstheme="minorHAnsi"/>
        </w:rPr>
        <w:t xml:space="preserve">With no controls for these channels, we can expect </w:t>
      </w:r>
      <w:r w:rsidR="00363310">
        <w:rPr>
          <w:rFonts w:cstheme="minorHAnsi"/>
        </w:rPr>
        <w:t>the</w:t>
      </w:r>
      <w:r w:rsidR="00AA599B">
        <w:rPr>
          <w:rFonts w:cstheme="minorHAnsi"/>
        </w:rPr>
        <w:t xml:space="preserve"> </w:t>
      </w:r>
      <w:r w:rsidR="00363310">
        <w:rPr>
          <w:rFonts w:cstheme="minorHAnsi"/>
        </w:rPr>
        <w:t xml:space="preserve">HC </w:t>
      </w:r>
      <w:r w:rsidR="00E341CE">
        <w:rPr>
          <w:rFonts w:cstheme="minorHAnsi"/>
        </w:rPr>
        <w:t xml:space="preserve">total </w:t>
      </w:r>
      <w:r w:rsidR="00363310">
        <w:rPr>
          <w:rFonts w:cstheme="minorHAnsi"/>
        </w:rPr>
        <w:t xml:space="preserve">mortality effect </w:t>
      </w:r>
      <w:r w:rsidR="00B344BB">
        <w:rPr>
          <w:rFonts w:cstheme="minorHAnsi"/>
        </w:rPr>
        <w:t>to be</w:t>
      </w:r>
      <w:r w:rsidR="00363310">
        <w:rPr>
          <w:rFonts w:cstheme="minorHAnsi"/>
        </w:rPr>
        <w:t>:</w:t>
      </w:r>
    </w:p>
    <w:p w14:paraId="26D803B4" w14:textId="2DA85E4A" w:rsidR="00363310" w:rsidRDefault="00363310" w:rsidP="00363310">
      <w:pPr>
        <w:pStyle w:val="MTDisplayEquation"/>
      </w:pPr>
      <w:r>
        <w:tab/>
      </w:r>
      <w:r w:rsidR="00E7130F" w:rsidRPr="00E7130F">
        <w:rPr>
          <w:position w:val="-30"/>
        </w:rPr>
        <w:object w:dxaOrig="1760" w:dyaOrig="560" w14:anchorId="750DA0A0">
          <v:shape id="_x0000_i1046" type="#_x0000_t75" style="width:87.6pt;height:27.6pt" o:ole="">
            <v:imagedata r:id="rId50" o:title=""/>
          </v:shape>
          <o:OLEObject Type="Embed" ProgID="Equation.DSMT4" ShapeID="_x0000_i1046" DrawAspect="Content" ObjectID="_1736065862" r:id="rId51"/>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8" w:name="ZEqnNum166367"/>
      <w:r>
        <w:instrText>(</w:instrText>
      </w:r>
      <w:r w:rsidR="002A7365">
        <w:fldChar w:fldCharType="begin"/>
      </w:r>
      <w:r w:rsidR="002A7365">
        <w:instrText xml:space="preserve"> SEQ MTEqn \c \* Arabic \* MERGEFORMAT </w:instrText>
      </w:r>
      <w:r w:rsidR="002A7365">
        <w:fldChar w:fldCharType="separate"/>
      </w:r>
      <w:r w:rsidR="007C7B62">
        <w:rPr>
          <w:noProof/>
        </w:rPr>
        <w:instrText>16</w:instrText>
      </w:r>
      <w:r w:rsidR="002A7365">
        <w:rPr>
          <w:noProof/>
        </w:rPr>
        <w:fldChar w:fldCharType="end"/>
      </w:r>
      <w:r>
        <w:instrText>)</w:instrText>
      </w:r>
      <w:bookmarkEnd w:id="18"/>
      <w:r>
        <w:fldChar w:fldCharType="end"/>
      </w:r>
    </w:p>
    <w:p w14:paraId="4DA16047" w14:textId="6C80B5B2" w:rsidR="00C313BA" w:rsidRPr="002A4884" w:rsidRDefault="00363310" w:rsidP="000B6CCF">
      <w:pPr>
        <w:rPr>
          <w:rFonts w:cstheme="minorHAnsi"/>
        </w:rPr>
      </w:pPr>
      <w:r>
        <w:t>where</w:t>
      </w:r>
      <w:r w:rsidR="009C7233" w:rsidRPr="009C7233">
        <w:rPr>
          <w:rFonts w:cstheme="minorHAnsi"/>
          <w:i/>
        </w:rPr>
        <w:t xml:space="preserve"> </w:t>
      </w:r>
      <w:r w:rsidR="009C7233">
        <w:rPr>
          <w:rFonts w:cstheme="minorHAnsi"/>
          <w:i/>
        </w:rPr>
        <w:t>β</w:t>
      </w:r>
      <w:r w:rsidR="009C7233" w:rsidRPr="00601CAB">
        <w:rPr>
          <w:i/>
          <w:vertAlign w:val="subscript"/>
        </w:rPr>
        <w:t>1</w:t>
      </w:r>
      <w:r w:rsidR="009C7233" w:rsidRPr="00601CAB">
        <w:rPr>
          <w:i/>
          <w:vertAlign w:val="superscript"/>
        </w:rPr>
        <w:t>direct</w:t>
      </w:r>
      <w:r w:rsidR="009C7233">
        <w:t xml:space="preserve"> and </w:t>
      </w:r>
      <w:r w:rsidR="009C7233">
        <w:rPr>
          <w:rFonts w:cstheme="minorHAnsi"/>
          <w:i/>
        </w:rPr>
        <w:t>β</w:t>
      </w:r>
      <w:r w:rsidR="009C7233" w:rsidRPr="00601CAB">
        <w:rPr>
          <w:i/>
          <w:vertAlign w:val="subscript"/>
        </w:rPr>
        <w:t>1</w:t>
      </w:r>
      <w:r w:rsidR="009C7233" w:rsidRPr="00601CAB">
        <w:rPr>
          <w:i/>
          <w:vertAlign w:val="superscript"/>
        </w:rPr>
        <w:t>indirect</w:t>
      </w:r>
      <w:r w:rsidR="009C7233">
        <w:t xml:space="preserve"> capture the HC direct and indirect mortality effect, respectively, </w:t>
      </w:r>
      <w:r>
        <w:rPr>
          <w:rFonts w:cstheme="minorHAnsi"/>
        </w:rPr>
        <w:t>Δ</w:t>
      </w:r>
      <w:r w:rsidRPr="00977C80">
        <w:rPr>
          <w:rFonts w:cstheme="minorHAnsi"/>
          <w:vertAlign w:val="subscript"/>
        </w:rPr>
        <w:t>1</w:t>
      </w:r>
      <w:r>
        <w:rPr>
          <w:rFonts w:cstheme="minorHAnsi"/>
          <w:i/>
          <w:vertAlign w:val="superscript"/>
        </w:rPr>
        <w:t>β</w:t>
      </w:r>
      <w:r>
        <w:t xml:space="preserve"> is the marginal effect of HC expenditure</w:t>
      </w:r>
      <w:r w:rsidR="00D70AB8">
        <w:t xml:space="preserve"> </w:t>
      </w:r>
      <w:r>
        <w:t xml:space="preserve">on the </w:t>
      </w:r>
      <w:r w:rsidR="00702425">
        <w:t>channels for the HC indirect mortality effect,</w:t>
      </w:r>
      <w:r>
        <w:rPr>
          <w:rFonts w:cstheme="minorHAnsi"/>
        </w:rPr>
        <w:t xml:space="preserve"> and Γ</w:t>
      </w:r>
      <w:r w:rsidRPr="00977C80">
        <w:rPr>
          <w:rFonts w:cstheme="minorHAnsi"/>
          <w:vertAlign w:val="subscript"/>
        </w:rPr>
        <w:t>1</w:t>
      </w:r>
      <w:r>
        <w:t xml:space="preserve"> is the effect of a marginal change </w:t>
      </w:r>
      <w:r w:rsidR="000B6CCF">
        <w:t>of</w:t>
      </w:r>
      <w:r>
        <w:t xml:space="preserve"> the</w:t>
      </w:r>
      <w:r w:rsidR="000B6CCF">
        <w:t>se channels</w:t>
      </w:r>
      <w:r>
        <w:t xml:space="preserve"> on mortality.</w:t>
      </w:r>
    </w:p>
    <w:p w14:paraId="2EC7F9EE" w14:textId="52A88C24" w:rsidR="00253AFC" w:rsidRPr="002A4884" w:rsidRDefault="00253AFC" w:rsidP="005C3100">
      <w:pPr>
        <w:pStyle w:val="Heading2"/>
      </w:pPr>
      <w:bookmarkStart w:id="19" w:name="_Ref61529168"/>
      <w:r w:rsidRPr="002A4884">
        <w:t xml:space="preserve">Testing indirect </w:t>
      </w:r>
      <w:r w:rsidR="00C3271E">
        <w:t xml:space="preserve">mortality </w:t>
      </w:r>
      <w:r w:rsidRPr="002A4884">
        <w:t>effects</w:t>
      </w:r>
      <w:bookmarkEnd w:id="19"/>
    </w:p>
    <w:p w14:paraId="69B2BDA3" w14:textId="0CDBFB3D" w:rsidR="00C014EE" w:rsidRPr="002A4884" w:rsidRDefault="00530168" w:rsidP="00442E47">
      <w:r w:rsidRPr="002A4884">
        <w:t xml:space="preserve">Regression </w:t>
      </w:r>
      <w:r w:rsidRPr="002A4884">
        <w:fldChar w:fldCharType="begin"/>
      </w:r>
      <w:r w:rsidRPr="002A4884">
        <w:instrText xml:space="preserve"> GOTOBUTTON ZEqnNum977296  \* MERGEFORMAT </w:instrText>
      </w:r>
      <w:r w:rsidR="002A7365">
        <w:fldChar w:fldCharType="begin"/>
      </w:r>
      <w:r w:rsidR="002A7365">
        <w:instrText xml:space="preserve"> REF ZEqnNum977296 \* Charformat \! \* MERGEFORMAT </w:instrText>
      </w:r>
      <w:r w:rsidR="002A7365">
        <w:fldChar w:fldCharType="separate"/>
      </w:r>
      <w:r w:rsidR="007C7B62" w:rsidRPr="002A4884">
        <w:instrText>(</w:instrText>
      </w:r>
      <w:r w:rsidR="007C7B62">
        <w:instrText>14</w:instrText>
      </w:r>
      <w:r w:rsidR="007C7B62" w:rsidRPr="002A4884">
        <w:instrText>)</w:instrText>
      </w:r>
      <w:r w:rsidR="002A7365">
        <w:fldChar w:fldCharType="end"/>
      </w:r>
      <w:r w:rsidRPr="002A4884">
        <w:fldChar w:fldCharType="end"/>
      </w:r>
      <w:r w:rsidRPr="002A4884">
        <w:t xml:space="preserve"> can estimate </w:t>
      </w:r>
      <w:r w:rsidR="0039463C" w:rsidRPr="002A4884">
        <w:t>mortality</w:t>
      </w:r>
      <w:r w:rsidRPr="002A4884">
        <w:t xml:space="preserve"> effects but it is unable to </w:t>
      </w:r>
      <w:r w:rsidR="00243412">
        <w:t>indicate</w:t>
      </w:r>
      <w:r w:rsidRPr="002A4884">
        <w:t xml:space="preserve"> whether </w:t>
      </w:r>
      <w:r w:rsidR="0039463C" w:rsidRPr="002A4884">
        <w:t xml:space="preserve">an </w:t>
      </w:r>
      <w:r w:rsidR="000D6095" w:rsidRPr="002A4884">
        <w:t>indirect</w:t>
      </w:r>
      <w:r w:rsidR="0039463C" w:rsidRPr="002A4884">
        <w:t xml:space="preserve"> </w:t>
      </w:r>
      <w:r w:rsidR="00F1525A">
        <w:t xml:space="preserve">mortality </w:t>
      </w:r>
      <w:r w:rsidRPr="002A4884">
        <w:t>effect</w:t>
      </w:r>
      <w:r w:rsidR="0039463C" w:rsidRPr="002A4884">
        <w:t xml:space="preserve"> </w:t>
      </w:r>
      <w:r w:rsidR="00AB2802">
        <w:t xml:space="preserve">via </w:t>
      </w:r>
      <w:r w:rsidR="006E5DFB">
        <w:t xml:space="preserve">the other sector </w:t>
      </w:r>
      <w:r w:rsidR="0039463C" w:rsidRPr="002A4884">
        <w:t xml:space="preserve">may </w:t>
      </w:r>
      <w:r w:rsidRPr="002A4884">
        <w:t xml:space="preserve">exist. To </w:t>
      </w:r>
      <w:r w:rsidR="00D1399F" w:rsidRPr="002A4884">
        <w:t xml:space="preserve">test </w:t>
      </w:r>
      <w:r w:rsidR="0039463C" w:rsidRPr="002A4884">
        <w:t>th</w:t>
      </w:r>
      <w:r w:rsidR="007C356C" w:rsidRPr="002A4884">
        <w:t xml:space="preserve">e existence of </w:t>
      </w:r>
      <w:r w:rsidR="00FA28E8">
        <w:t xml:space="preserve">such </w:t>
      </w:r>
      <w:r w:rsidR="007C356C" w:rsidRPr="002A4884">
        <w:t xml:space="preserve">an </w:t>
      </w:r>
      <w:r w:rsidR="000D6095" w:rsidRPr="002A4884">
        <w:t>indirect</w:t>
      </w:r>
      <w:r w:rsidR="007C356C" w:rsidRPr="002A4884">
        <w:t xml:space="preserve"> </w:t>
      </w:r>
      <w:r w:rsidR="008E7C52">
        <w:t xml:space="preserve">mortality </w:t>
      </w:r>
      <w:r w:rsidR="007C356C" w:rsidRPr="002A4884">
        <w:t xml:space="preserve">effect </w:t>
      </w:r>
      <w:r w:rsidRPr="002A4884">
        <w:t xml:space="preserve">we </w:t>
      </w:r>
      <w:r w:rsidR="0036053F" w:rsidRPr="002A4884">
        <w:t>us</w:t>
      </w:r>
      <w:r w:rsidRPr="002A4884">
        <w:t xml:space="preserve">e </w:t>
      </w:r>
      <w:r w:rsidR="0036053F" w:rsidRPr="002A4884">
        <w:t xml:space="preserve">the following </w:t>
      </w:r>
      <w:r w:rsidR="00671F58" w:rsidRPr="002A4884">
        <w:t xml:space="preserve">IV </w:t>
      </w:r>
      <w:r w:rsidR="0036053F" w:rsidRPr="002A4884">
        <w:t>regression:</w:t>
      </w:r>
    </w:p>
    <w:p w14:paraId="16B94AF2" w14:textId="3A97F304" w:rsidR="0036053F" w:rsidRPr="002A4884" w:rsidRDefault="0036053F" w:rsidP="0036053F">
      <w:pPr>
        <w:pStyle w:val="MTDisplayEquation"/>
      </w:pPr>
      <w:r w:rsidRPr="002A4884">
        <w:lastRenderedPageBreak/>
        <w:tab/>
      </w:r>
      <w:r w:rsidR="00895727" w:rsidRPr="002A4884">
        <w:rPr>
          <w:position w:val="-42"/>
        </w:rPr>
        <w:object w:dxaOrig="6820" w:dyaOrig="960" w14:anchorId="64464988">
          <v:shape id="_x0000_i1047" type="#_x0000_t75" style="width:342pt;height:46.8pt" o:ole="">
            <v:imagedata r:id="rId52" o:title=""/>
          </v:shape>
          <o:OLEObject Type="Embed" ProgID="Equation.DSMT4" ShapeID="_x0000_i1047" DrawAspect="Content" ObjectID="_1736065863" r:id="rId53"/>
        </w:object>
      </w:r>
      <w:r w:rsidRPr="002A4884">
        <w:t xml:space="preserve"> </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20" w:name="ZEqnNum338866"/>
      <w:r w:rsidRPr="002A4884">
        <w:instrText>(</w:instrText>
      </w:r>
      <w:r w:rsidR="002A7365">
        <w:fldChar w:fldCharType="begin"/>
      </w:r>
      <w:r w:rsidR="002A7365">
        <w:instrText xml:space="preserve"> SEQ MTEqn \c \* Arabic \* MERGEFORMAT </w:instrText>
      </w:r>
      <w:r w:rsidR="002A7365">
        <w:fldChar w:fldCharType="separate"/>
      </w:r>
      <w:r w:rsidR="007C7B62">
        <w:rPr>
          <w:noProof/>
        </w:rPr>
        <w:instrText>17</w:instrText>
      </w:r>
      <w:r w:rsidR="002A7365">
        <w:rPr>
          <w:noProof/>
        </w:rPr>
        <w:fldChar w:fldCharType="end"/>
      </w:r>
      <w:r w:rsidRPr="002A4884">
        <w:instrText>)</w:instrText>
      </w:r>
      <w:bookmarkEnd w:id="20"/>
      <w:r w:rsidRPr="002A4884">
        <w:fldChar w:fldCharType="end"/>
      </w:r>
    </w:p>
    <w:p w14:paraId="7FE7A52F" w14:textId="509CCC43" w:rsidR="005B581B" w:rsidRPr="002A4884" w:rsidRDefault="00B85C0E" w:rsidP="00BE2749">
      <w:r w:rsidRPr="002A4884">
        <w:t>w</w:t>
      </w:r>
      <w:r w:rsidR="00BE2749" w:rsidRPr="002A4884">
        <w:t>here</w:t>
      </w:r>
      <w:r w:rsidR="00530168" w:rsidRPr="002A4884">
        <w:t xml:space="preserve"> the only additional term </w:t>
      </w:r>
      <w:r w:rsidRPr="002A4884">
        <w:t xml:space="preserve">compared to </w:t>
      </w:r>
      <w:r w:rsidR="0039463C" w:rsidRPr="002A4884">
        <w:fldChar w:fldCharType="begin"/>
      </w:r>
      <w:r w:rsidR="0039463C" w:rsidRPr="002A4884">
        <w:instrText xml:space="preserve"> GOTOBUTTON ZEqnNum977296  \* MERGEFORMAT </w:instrText>
      </w:r>
      <w:r w:rsidR="002A7365">
        <w:fldChar w:fldCharType="begin"/>
      </w:r>
      <w:r w:rsidR="002A7365">
        <w:instrText xml:space="preserve"> REF ZEqnNum977296 \* Charformat \! \* MERGEFORMAT </w:instrText>
      </w:r>
      <w:r w:rsidR="002A7365">
        <w:fldChar w:fldCharType="separate"/>
      </w:r>
      <w:r w:rsidR="007C7B62" w:rsidRPr="002A4884">
        <w:instrText>(</w:instrText>
      </w:r>
      <w:r w:rsidR="007C7B62">
        <w:instrText>14</w:instrText>
      </w:r>
      <w:r w:rsidR="007C7B62" w:rsidRPr="002A4884">
        <w:instrText>)</w:instrText>
      </w:r>
      <w:r w:rsidR="002A7365">
        <w:fldChar w:fldCharType="end"/>
      </w:r>
      <w:r w:rsidR="0039463C" w:rsidRPr="002A4884">
        <w:fldChar w:fldCharType="end"/>
      </w:r>
      <w:r w:rsidR="0039463C" w:rsidRPr="002A4884">
        <w:t xml:space="preserve"> </w:t>
      </w:r>
      <w:r w:rsidR="00530168" w:rsidRPr="002A4884">
        <w:t>is the interaction between HC</w:t>
      </w:r>
      <w:r w:rsidR="00C6247E">
        <w:t xml:space="preserve"> expenditure per capita</w:t>
      </w:r>
      <w:r w:rsidR="00530168" w:rsidRPr="002A4884">
        <w:t xml:space="preserve"> and LTC expenditure</w:t>
      </w:r>
      <w:r w:rsidR="00C6247E">
        <w:t xml:space="preserve"> per user</w:t>
      </w:r>
      <w:r w:rsidR="00530168" w:rsidRPr="002A4884">
        <w:t xml:space="preserve">. </w:t>
      </w:r>
      <w:r w:rsidRPr="002A4884">
        <w:rPr>
          <w:rFonts w:cstheme="minorHAnsi"/>
        </w:rPr>
        <w:t>W</w:t>
      </w:r>
      <w:r w:rsidR="005B581B" w:rsidRPr="002A4884">
        <w:t>e estimate</w:t>
      </w:r>
      <w:r w:rsidR="00DE3AC2" w:rsidRPr="002A4884">
        <w:t xml:space="preserve"> </w:t>
      </w:r>
      <w:r w:rsidRPr="002A4884">
        <w:fldChar w:fldCharType="begin"/>
      </w:r>
      <w:r w:rsidRPr="002A4884">
        <w:instrText xml:space="preserve"> GOTOBUTTON ZEqnNum338866  \* MERGEFORMAT </w:instrText>
      </w:r>
      <w:r w:rsidR="002A7365">
        <w:fldChar w:fldCharType="begin"/>
      </w:r>
      <w:r w:rsidR="002A7365">
        <w:instrText xml:space="preserve"> REF ZEqnNum338866 \* Charformat \! \* MERGEFORMAT </w:instrText>
      </w:r>
      <w:r w:rsidR="002A7365">
        <w:fldChar w:fldCharType="separate"/>
      </w:r>
      <w:r w:rsidR="007C7B62" w:rsidRPr="002A4884">
        <w:instrText>(</w:instrText>
      </w:r>
      <w:r w:rsidR="007C7B62">
        <w:instrText>17</w:instrText>
      </w:r>
      <w:r w:rsidR="007C7B62" w:rsidRPr="002A4884">
        <w:instrText>)</w:instrText>
      </w:r>
      <w:r w:rsidR="002A7365">
        <w:fldChar w:fldCharType="end"/>
      </w:r>
      <w:r w:rsidRPr="002A4884">
        <w:fldChar w:fldCharType="end"/>
      </w:r>
      <w:r w:rsidRPr="002A4884">
        <w:t xml:space="preserve"> </w:t>
      </w:r>
      <w:r w:rsidR="00BC7F25" w:rsidRPr="002A4884">
        <w:t>by</w:t>
      </w:r>
      <w:r w:rsidR="0033196D" w:rsidRPr="002A4884">
        <w:t xml:space="preserve"> 2SLS</w:t>
      </w:r>
      <w:r w:rsidR="00F56D6F">
        <w:t xml:space="preserve"> after adding the interaction between the DFT index and the council tax base per user as a fifth instrument</w:t>
      </w:r>
      <w:r w:rsidR="0033196D" w:rsidRPr="002A4884">
        <w:t xml:space="preserve">. </w:t>
      </w:r>
      <w:r w:rsidRPr="002A4884">
        <w:t>Again, w</w:t>
      </w:r>
      <w:r w:rsidR="0033196D" w:rsidRPr="002A4884">
        <w:t xml:space="preserve">e weight the regression </w:t>
      </w:r>
      <w:r w:rsidRPr="002A4884">
        <w:t xml:space="preserve">by </w:t>
      </w:r>
      <w:r w:rsidR="0033196D" w:rsidRPr="002A4884">
        <w:t>LA population and estimate robust standard errors.</w:t>
      </w:r>
    </w:p>
    <w:p w14:paraId="04E54A40" w14:textId="657BEAAC" w:rsidR="00F466B6" w:rsidRPr="002A4884" w:rsidRDefault="008E7C52" w:rsidP="00BE2749">
      <w:r>
        <w:t xml:space="preserve">We use regression </w:t>
      </w:r>
      <w:r>
        <w:rPr>
          <w:iCs/>
        </w:rPr>
        <w:fldChar w:fldCharType="begin"/>
      </w:r>
      <w:r>
        <w:rPr>
          <w:iCs/>
        </w:rPr>
        <w:instrText xml:space="preserve"> GOTOBUTTON ZEqnNum338866  \* MERGEFORMAT </w:instrText>
      </w:r>
      <w:r>
        <w:rPr>
          <w:iCs/>
        </w:rPr>
        <w:fldChar w:fldCharType="begin"/>
      </w:r>
      <w:r>
        <w:rPr>
          <w:iCs/>
        </w:rPr>
        <w:instrText xml:space="preserve"> REF ZEqnNum338866 \* Charformat \! \* MERGEFORMAT </w:instrText>
      </w:r>
      <w:r>
        <w:rPr>
          <w:iCs/>
        </w:rPr>
        <w:fldChar w:fldCharType="separate"/>
      </w:r>
      <w:r w:rsidR="007C7B62" w:rsidRPr="007C7B62">
        <w:rPr>
          <w:iCs/>
        </w:rPr>
        <w:instrText>(17)</w:instrText>
      </w:r>
      <w:r>
        <w:rPr>
          <w:iCs/>
        </w:rPr>
        <w:fldChar w:fldCharType="end"/>
      </w:r>
      <w:r>
        <w:rPr>
          <w:iCs/>
        </w:rPr>
        <w:fldChar w:fldCharType="end"/>
      </w:r>
      <w:r>
        <w:rPr>
          <w:iCs/>
        </w:rPr>
        <w:t xml:space="preserve"> to test </w:t>
      </w:r>
      <w:r w:rsidR="00564B2E">
        <w:rPr>
          <w:iCs/>
        </w:rPr>
        <w:t xml:space="preserve">the statistical significance of </w:t>
      </w:r>
      <w:r w:rsidR="00E94731" w:rsidRPr="002A4884">
        <w:rPr>
          <w:rFonts w:cstheme="minorHAnsi"/>
          <w:i/>
        </w:rPr>
        <w:t>δ</w:t>
      </w:r>
      <w:r>
        <w:rPr>
          <w:rFonts w:cstheme="minorHAnsi"/>
          <w:i/>
        </w:rPr>
        <w:t>̂</w:t>
      </w:r>
      <w:r w:rsidR="00E90B57" w:rsidRPr="002A4884">
        <w:rPr>
          <w:rFonts w:cstheme="minorHAnsi"/>
          <w:i/>
          <w:vertAlign w:val="subscript"/>
        </w:rPr>
        <w:t>2</w:t>
      </w:r>
      <w:r>
        <w:rPr>
          <w:rFonts w:cstheme="minorHAnsi"/>
          <w:iCs/>
        </w:rPr>
        <w:t>,</w:t>
      </w:r>
      <w:r w:rsidR="00AA661D">
        <w:rPr>
          <w:rFonts w:cstheme="minorHAnsi"/>
        </w:rPr>
        <w:t xml:space="preserve"> which </w:t>
      </w:r>
      <w:r w:rsidR="00B85C0E" w:rsidRPr="002A4884">
        <w:rPr>
          <w:rFonts w:cstheme="minorHAnsi"/>
        </w:rPr>
        <w:t>indicates</w:t>
      </w:r>
      <w:r w:rsidR="00B85C0E" w:rsidRPr="002A4884">
        <w:rPr>
          <w:rFonts w:cstheme="minorHAnsi"/>
          <w:i/>
        </w:rPr>
        <w:t xml:space="preserve"> </w:t>
      </w:r>
      <w:r w:rsidR="00B85C0E" w:rsidRPr="002A4884">
        <w:rPr>
          <w:rFonts w:cstheme="minorHAnsi"/>
        </w:rPr>
        <w:t>whether</w:t>
      </w:r>
      <w:r w:rsidR="00B85C0E" w:rsidRPr="002A4884">
        <w:rPr>
          <w:rFonts w:cstheme="minorHAnsi"/>
          <w:i/>
        </w:rPr>
        <w:t xml:space="preserve"> </w:t>
      </w:r>
      <w:r w:rsidR="00B85C0E" w:rsidRPr="002A4884">
        <w:rPr>
          <w:rFonts w:cstheme="minorHAnsi"/>
        </w:rPr>
        <w:t>the</w:t>
      </w:r>
      <w:r w:rsidR="00F472F8">
        <w:rPr>
          <w:rFonts w:cstheme="minorHAnsi"/>
        </w:rPr>
        <w:t xml:space="preserve"> mortality elasticity of</w:t>
      </w:r>
      <w:r w:rsidR="00B85C0E" w:rsidRPr="002A4884">
        <w:rPr>
          <w:rFonts w:cstheme="minorHAnsi"/>
        </w:rPr>
        <w:t xml:space="preserve"> HC expenditure varies with the level of </w:t>
      </w:r>
      <w:r w:rsidR="00194600">
        <w:rPr>
          <w:rFonts w:cstheme="minorHAnsi"/>
        </w:rPr>
        <w:t>L</w:t>
      </w:r>
      <w:r w:rsidR="00B85C0E" w:rsidRPr="002A4884">
        <w:rPr>
          <w:rFonts w:cstheme="minorHAnsi"/>
        </w:rPr>
        <w:t>TC expenditure and vice versa</w:t>
      </w:r>
      <w:r w:rsidR="00E94731" w:rsidRPr="002A4884">
        <w:t xml:space="preserve">. </w:t>
      </w:r>
      <w:r w:rsidR="00CB65E1" w:rsidRPr="002A4884">
        <w:t xml:space="preserve">If </w:t>
      </w:r>
      <w:r w:rsidR="00D92B34" w:rsidRPr="002A4884">
        <w:rPr>
          <w:rFonts w:cstheme="minorHAnsi"/>
          <w:i/>
        </w:rPr>
        <w:t>δ</w:t>
      </w:r>
      <w:r>
        <w:rPr>
          <w:rFonts w:cstheme="minorHAnsi"/>
          <w:i/>
        </w:rPr>
        <w:t>̂</w:t>
      </w:r>
      <w:r w:rsidR="001D386E" w:rsidRPr="002A4884">
        <w:rPr>
          <w:rFonts w:cstheme="minorHAnsi"/>
          <w:i/>
          <w:vertAlign w:val="subscript"/>
        </w:rPr>
        <w:t>2</w:t>
      </w:r>
      <w:r w:rsidR="00D92B34" w:rsidRPr="002A4884">
        <w:rPr>
          <w:rFonts w:cstheme="minorHAnsi"/>
        </w:rPr>
        <w:t>≠0</w:t>
      </w:r>
      <w:r w:rsidR="00CB65E1" w:rsidRPr="002A4884">
        <w:rPr>
          <w:rFonts w:cstheme="minorHAnsi"/>
        </w:rPr>
        <w:t xml:space="preserve">, then </w:t>
      </w:r>
      <w:r w:rsidR="00B85C0E" w:rsidRPr="002A4884">
        <w:rPr>
          <w:rFonts w:cstheme="minorHAnsi"/>
        </w:rPr>
        <w:t xml:space="preserve">an </w:t>
      </w:r>
      <w:r w:rsidR="000D6095" w:rsidRPr="002A4884">
        <w:rPr>
          <w:rFonts w:cstheme="minorHAnsi"/>
        </w:rPr>
        <w:t>indirect</w:t>
      </w:r>
      <w:r w:rsidR="0039463C" w:rsidRPr="002A4884">
        <w:rPr>
          <w:rFonts w:cstheme="minorHAnsi"/>
        </w:rPr>
        <w:t xml:space="preserve"> </w:t>
      </w:r>
      <w:r w:rsidR="00F1525A">
        <w:rPr>
          <w:rFonts w:cstheme="minorHAnsi"/>
        </w:rPr>
        <w:t xml:space="preserve">mortality </w:t>
      </w:r>
      <w:r w:rsidR="0039463C" w:rsidRPr="002A4884">
        <w:rPr>
          <w:rFonts w:cstheme="minorHAnsi"/>
        </w:rPr>
        <w:t xml:space="preserve">effect </w:t>
      </w:r>
      <w:r w:rsidR="0056088B" w:rsidRPr="002A4884">
        <w:rPr>
          <w:rFonts w:cstheme="minorHAnsi"/>
        </w:rPr>
        <w:t xml:space="preserve">exists </w:t>
      </w:r>
      <w:r w:rsidR="00955B67" w:rsidRPr="002A4884">
        <w:rPr>
          <w:rFonts w:cstheme="minorHAnsi"/>
        </w:rPr>
        <w:t xml:space="preserve">in </w:t>
      </w:r>
      <w:r w:rsidR="009819A6" w:rsidRPr="002A4884">
        <w:rPr>
          <w:rFonts w:cstheme="minorHAnsi"/>
        </w:rPr>
        <w:t>either one or both directions</w:t>
      </w:r>
      <w:r w:rsidR="0039463C" w:rsidRPr="002A4884">
        <w:rPr>
          <w:rFonts w:cstheme="minorHAnsi"/>
        </w:rPr>
        <w:t>.</w:t>
      </w:r>
      <w:r w:rsidR="002A23F3" w:rsidRPr="002A4884">
        <w:rPr>
          <w:rFonts w:cstheme="minorHAnsi"/>
        </w:rPr>
        <w:t xml:space="preserve"> </w:t>
      </w:r>
      <w:r>
        <w:rPr>
          <w:rFonts w:cstheme="minorHAnsi"/>
        </w:rPr>
        <w:t>For example, i</w:t>
      </w:r>
      <w:r w:rsidR="002A23F3" w:rsidRPr="002A4884">
        <w:rPr>
          <w:rFonts w:cstheme="minorHAnsi"/>
        </w:rPr>
        <w:t xml:space="preserve">f </w:t>
      </w:r>
      <w:r w:rsidR="002A23F3" w:rsidRPr="002A4884">
        <w:rPr>
          <w:rFonts w:cstheme="minorHAnsi"/>
          <w:i/>
        </w:rPr>
        <w:t>δ</w:t>
      </w:r>
      <w:r>
        <w:rPr>
          <w:rFonts w:cstheme="minorHAnsi"/>
          <w:i/>
        </w:rPr>
        <w:t>̂</w:t>
      </w:r>
      <w:r w:rsidR="001D386E" w:rsidRPr="002A4884">
        <w:rPr>
          <w:rFonts w:cstheme="minorHAnsi"/>
          <w:i/>
          <w:vertAlign w:val="subscript"/>
        </w:rPr>
        <w:t>2</w:t>
      </w:r>
      <w:r w:rsidR="00FF1493">
        <w:rPr>
          <w:rFonts w:cstheme="minorHAnsi"/>
        </w:rPr>
        <w:t>&gt;</w:t>
      </w:r>
      <w:r w:rsidR="002A23F3" w:rsidRPr="002A4884">
        <w:rPr>
          <w:rFonts w:cstheme="minorHAnsi"/>
        </w:rPr>
        <w:t xml:space="preserve">0 then </w:t>
      </w:r>
      <w:r w:rsidR="00F472F8">
        <w:rPr>
          <w:rFonts w:cstheme="minorHAnsi"/>
        </w:rPr>
        <w:t xml:space="preserve">the mortality elasticity of </w:t>
      </w:r>
      <w:r w:rsidR="002A23F3" w:rsidRPr="002A4884">
        <w:rPr>
          <w:rFonts w:cstheme="minorHAnsi"/>
        </w:rPr>
        <w:t>HC (LTC) expenditure</w:t>
      </w:r>
      <w:r w:rsidR="0066655E">
        <w:rPr>
          <w:rFonts w:cstheme="minorHAnsi"/>
        </w:rPr>
        <w:t xml:space="preserve"> </w:t>
      </w:r>
      <w:r w:rsidR="002A23F3" w:rsidRPr="002A4884">
        <w:rPr>
          <w:rFonts w:cstheme="minorHAnsi"/>
        </w:rPr>
        <w:t xml:space="preserve">increases with the level of LTC (HC) expenditure. This </w:t>
      </w:r>
      <w:r w:rsidR="00243412">
        <w:rPr>
          <w:rFonts w:cstheme="minorHAnsi"/>
        </w:rPr>
        <w:t xml:space="preserve">would </w:t>
      </w:r>
      <w:r w:rsidR="002A23F3" w:rsidRPr="002A4884">
        <w:rPr>
          <w:rFonts w:cstheme="minorHAnsi"/>
        </w:rPr>
        <w:t xml:space="preserve">indicate that the </w:t>
      </w:r>
      <w:r w:rsidR="000D6095" w:rsidRPr="002A4884">
        <w:rPr>
          <w:rFonts w:cstheme="minorHAnsi"/>
        </w:rPr>
        <w:t>indirect</w:t>
      </w:r>
      <w:r w:rsidR="002A23F3" w:rsidRPr="002A4884">
        <w:rPr>
          <w:rFonts w:cstheme="minorHAnsi"/>
        </w:rPr>
        <w:t xml:space="preserve"> </w:t>
      </w:r>
      <w:r w:rsidR="00F1525A">
        <w:rPr>
          <w:rFonts w:cstheme="minorHAnsi"/>
        </w:rPr>
        <w:t xml:space="preserve">mortality </w:t>
      </w:r>
      <w:r w:rsidR="002A23F3" w:rsidRPr="002A4884">
        <w:rPr>
          <w:rFonts w:cstheme="minorHAnsi"/>
        </w:rPr>
        <w:t xml:space="preserve">effect is likely to be </w:t>
      </w:r>
      <w:r w:rsidR="00FF1493">
        <w:rPr>
          <w:rFonts w:cstheme="minorHAnsi"/>
        </w:rPr>
        <w:t xml:space="preserve">detrimental </w:t>
      </w:r>
      <w:r w:rsidR="002A23F3" w:rsidRPr="002A4884">
        <w:rPr>
          <w:rFonts w:cstheme="minorHAnsi"/>
        </w:rPr>
        <w:t xml:space="preserve">because expenditure in one sector </w:t>
      </w:r>
      <w:r w:rsidR="00FF1493">
        <w:rPr>
          <w:rFonts w:cstheme="minorHAnsi"/>
        </w:rPr>
        <w:t xml:space="preserve">decreases </w:t>
      </w:r>
      <w:r w:rsidR="00606B72">
        <w:rPr>
          <w:rFonts w:cstheme="minorHAnsi"/>
        </w:rPr>
        <w:t xml:space="preserve">the </w:t>
      </w:r>
      <w:r w:rsidR="001D386E" w:rsidRPr="002A4884">
        <w:rPr>
          <w:rFonts w:cstheme="minorHAnsi"/>
        </w:rPr>
        <w:t xml:space="preserve">average </w:t>
      </w:r>
      <w:r w:rsidR="002A23F3" w:rsidRPr="002A4884">
        <w:rPr>
          <w:rFonts w:cstheme="minorHAnsi"/>
        </w:rPr>
        <w:t xml:space="preserve">effectiveness </w:t>
      </w:r>
      <w:r w:rsidR="00425626" w:rsidRPr="002A4884">
        <w:rPr>
          <w:rFonts w:cstheme="minorHAnsi"/>
        </w:rPr>
        <w:t xml:space="preserve">of expenditure </w:t>
      </w:r>
      <w:r w:rsidR="002A23F3" w:rsidRPr="002A4884">
        <w:rPr>
          <w:rFonts w:cstheme="minorHAnsi"/>
        </w:rPr>
        <w:t>in the other sector</w:t>
      </w:r>
      <w:r w:rsidR="002A23F3" w:rsidRPr="002A4884">
        <w:t>.</w:t>
      </w:r>
      <w:r w:rsidR="0022188F">
        <w:rPr>
          <w:rStyle w:val="FootnoteReference"/>
        </w:rPr>
        <w:footnoteReference w:id="6"/>
      </w:r>
    </w:p>
    <w:p w14:paraId="41D10AA0" w14:textId="6374DF92" w:rsidR="000A56C8" w:rsidRPr="002A4884" w:rsidRDefault="00043C29" w:rsidP="000A56C8">
      <w:pPr>
        <w:pStyle w:val="Heading2"/>
      </w:pPr>
      <w:r>
        <w:t xml:space="preserve">Separating out </w:t>
      </w:r>
      <w:r w:rsidR="000A56C8">
        <w:t xml:space="preserve">direct and </w:t>
      </w:r>
      <w:r w:rsidR="000A56C8" w:rsidRPr="002A4884">
        <w:t xml:space="preserve">indirect </w:t>
      </w:r>
      <w:r w:rsidR="00C3271E">
        <w:t xml:space="preserve">mortality </w:t>
      </w:r>
      <w:r w:rsidR="000A56C8" w:rsidRPr="002A4884">
        <w:t>effects</w:t>
      </w:r>
    </w:p>
    <w:p w14:paraId="21C89F16" w14:textId="590B5228" w:rsidR="000A56C8" w:rsidRPr="002A4884" w:rsidRDefault="00110069" w:rsidP="00EE0615">
      <w:r>
        <w:rPr>
          <w:rFonts w:cstheme="minorHAnsi"/>
        </w:rPr>
        <w:t xml:space="preserve">Testing the statistical significance of </w:t>
      </w:r>
      <w:r w:rsidR="000A56C8" w:rsidRPr="008E7C52">
        <w:rPr>
          <w:rFonts w:cstheme="minorHAnsi"/>
          <w:i/>
          <w:iCs/>
        </w:rPr>
        <w:t>δ</w:t>
      </w:r>
      <w:r w:rsidR="008E7C52" w:rsidRPr="008E7C52">
        <w:rPr>
          <w:rFonts w:cstheme="minorHAnsi"/>
          <w:i/>
          <w:iCs/>
          <w:vertAlign w:val="subscript"/>
        </w:rPr>
        <w:t>2</w:t>
      </w:r>
      <w:r w:rsidR="000A56C8" w:rsidRPr="002A4884">
        <w:rPr>
          <w:rFonts w:cstheme="minorHAnsi"/>
        </w:rPr>
        <w:t xml:space="preserve"> in </w:t>
      </w:r>
      <w:r w:rsidR="000A56C8" w:rsidRPr="002A4884">
        <w:fldChar w:fldCharType="begin"/>
      </w:r>
      <w:r w:rsidR="000A56C8" w:rsidRPr="002A4884">
        <w:instrText xml:space="preserve"> GOTOBUTTON ZEqnNum338866  \* MERGEFORMAT </w:instrText>
      </w:r>
      <w:r w:rsidR="002A7365">
        <w:fldChar w:fldCharType="begin"/>
      </w:r>
      <w:r w:rsidR="002A7365">
        <w:instrText xml:space="preserve"> REF ZEqnNum338866 \* Charformat \! \* MERGEFORMAT </w:instrText>
      </w:r>
      <w:r w:rsidR="002A7365">
        <w:fldChar w:fldCharType="separate"/>
      </w:r>
      <w:r w:rsidR="007C7B62" w:rsidRPr="002A4884">
        <w:instrText>(</w:instrText>
      </w:r>
      <w:r w:rsidR="007C7B62">
        <w:instrText>17</w:instrText>
      </w:r>
      <w:r w:rsidR="007C7B62" w:rsidRPr="002A4884">
        <w:instrText>)</w:instrText>
      </w:r>
      <w:r w:rsidR="002A7365">
        <w:fldChar w:fldCharType="end"/>
      </w:r>
      <w:r w:rsidR="000A56C8" w:rsidRPr="002A4884">
        <w:fldChar w:fldCharType="end"/>
      </w:r>
      <w:r w:rsidR="000A56C8" w:rsidRPr="002A4884">
        <w:t xml:space="preserve"> is unable to </w:t>
      </w:r>
      <w:r w:rsidR="00AA661D">
        <w:t>identify the magnitude of the</w:t>
      </w:r>
      <w:r w:rsidR="000A56C8">
        <w:t xml:space="preserve"> direct and</w:t>
      </w:r>
      <w:r w:rsidR="00AA661D">
        <w:t xml:space="preserve"> any </w:t>
      </w:r>
      <w:r w:rsidR="000A56C8">
        <w:t>indirect</w:t>
      </w:r>
      <w:r w:rsidR="000A56C8" w:rsidRPr="002A4884">
        <w:t xml:space="preserve"> </w:t>
      </w:r>
      <w:r w:rsidR="000A56C8">
        <w:t xml:space="preserve">mortality </w:t>
      </w:r>
      <w:r w:rsidR="000A56C8" w:rsidRPr="002A4884">
        <w:t>effects</w:t>
      </w:r>
      <w:r w:rsidR="00AA661D">
        <w:t xml:space="preserve"> which may exist</w:t>
      </w:r>
      <w:r w:rsidR="000A56C8" w:rsidRPr="002A4884">
        <w:t>.</w:t>
      </w:r>
      <w:r w:rsidR="00C3271E">
        <w:t xml:space="preserve"> </w:t>
      </w:r>
      <w:r w:rsidR="00AA661D">
        <w:t>However, a</w:t>
      </w:r>
      <w:r w:rsidR="00AA661D" w:rsidRPr="00AA661D">
        <w:t>s highlighted in equation (15) and (16)</w:t>
      </w:r>
      <w:r w:rsidR="00AA661D">
        <w:t>,</w:t>
      </w:r>
      <w:r>
        <w:t xml:space="preserve"> </w:t>
      </w:r>
      <w:r w:rsidR="00C30CFD">
        <w:t xml:space="preserve">the </w:t>
      </w:r>
      <w:r>
        <w:t>indirect mortality effect take</w:t>
      </w:r>
      <w:r w:rsidR="007B2958">
        <w:t>s</w:t>
      </w:r>
      <w:r>
        <w:t xml:space="preserve"> </w:t>
      </w:r>
      <w:r w:rsidR="00D55864">
        <w:t>a</w:t>
      </w:r>
      <w:r>
        <w:t xml:space="preserve"> form</w:t>
      </w:r>
      <w:r w:rsidR="00D55864">
        <w:t xml:space="preserve"> that is</w:t>
      </w:r>
      <w:r>
        <w:t xml:space="preserve"> </w:t>
      </w:r>
      <w:r w:rsidR="00D55864">
        <w:t>similar to</w:t>
      </w:r>
      <w:r>
        <w:t xml:space="preserve"> an omitted variable bias.</w:t>
      </w:r>
      <w:r w:rsidR="00EB00D5">
        <w:t xml:space="preserve"> </w:t>
      </w:r>
      <w:r w:rsidR="00C30CFD">
        <w:rPr>
          <w:iCs/>
        </w:rPr>
        <w:t xml:space="preserve">If this is the case, </w:t>
      </w:r>
      <w:r w:rsidR="007B2958">
        <w:rPr>
          <w:iCs/>
        </w:rPr>
        <w:t xml:space="preserve">then </w:t>
      </w:r>
      <w:r w:rsidR="00C30CFD">
        <w:rPr>
          <w:iCs/>
        </w:rPr>
        <w:t xml:space="preserve">the direct </w:t>
      </w:r>
      <w:r w:rsidR="001E52F5">
        <w:rPr>
          <w:iCs/>
        </w:rPr>
        <w:t xml:space="preserve">mortality </w:t>
      </w:r>
      <w:r w:rsidR="00C30CFD">
        <w:rPr>
          <w:iCs/>
        </w:rPr>
        <w:t xml:space="preserve">effect in one sector can be identified </w:t>
      </w:r>
      <w:r w:rsidR="006E75DD">
        <w:rPr>
          <w:iCs/>
        </w:rPr>
        <w:t xml:space="preserve">by controlling for </w:t>
      </w:r>
      <w:r w:rsidR="007B02E4">
        <w:rPr>
          <w:iCs/>
        </w:rPr>
        <w:t xml:space="preserve">the </w:t>
      </w:r>
      <w:r w:rsidR="00402382">
        <w:rPr>
          <w:iCs/>
        </w:rPr>
        <w:t>channels</w:t>
      </w:r>
      <w:r w:rsidR="007B02E4">
        <w:rPr>
          <w:iCs/>
        </w:rPr>
        <w:t xml:space="preserve"> </w:t>
      </w:r>
      <w:r w:rsidR="00402382">
        <w:rPr>
          <w:iCs/>
        </w:rPr>
        <w:t>generat</w:t>
      </w:r>
      <w:r w:rsidR="00C9039E">
        <w:rPr>
          <w:iCs/>
        </w:rPr>
        <w:t>ing</w:t>
      </w:r>
      <w:r w:rsidR="007B02E4">
        <w:rPr>
          <w:iCs/>
        </w:rPr>
        <w:t xml:space="preserve"> </w:t>
      </w:r>
      <w:r w:rsidR="00402382">
        <w:rPr>
          <w:iCs/>
        </w:rPr>
        <w:t xml:space="preserve">the </w:t>
      </w:r>
      <w:r w:rsidR="00043C29">
        <w:rPr>
          <w:iCs/>
        </w:rPr>
        <w:t xml:space="preserve">indirect </w:t>
      </w:r>
      <w:r w:rsidR="00402382">
        <w:rPr>
          <w:iCs/>
        </w:rPr>
        <w:t>mortality effect</w:t>
      </w:r>
      <w:r w:rsidR="00C9039E">
        <w:rPr>
          <w:iCs/>
        </w:rPr>
        <w:t xml:space="preserve"> via the other sector</w:t>
      </w:r>
      <w:r w:rsidR="00522D97">
        <w:rPr>
          <w:iCs/>
        </w:rPr>
        <w:t>.</w:t>
      </w:r>
      <w:r w:rsidR="00C9039E" w:rsidRPr="00C9039E">
        <w:rPr>
          <w:iCs/>
        </w:rPr>
        <w:t xml:space="preserve"> </w:t>
      </w:r>
      <w:r w:rsidR="00C9039E">
        <w:rPr>
          <w:iCs/>
        </w:rPr>
        <w:t>We attempt to control for these channels using what we can observe: changes in the level and composition of expenditure in each sector.</w:t>
      </w:r>
      <w:r w:rsidR="00522D97">
        <w:rPr>
          <w:iCs/>
        </w:rPr>
        <w:t xml:space="preserve"> </w:t>
      </w:r>
      <w:r w:rsidR="00EE0615">
        <w:rPr>
          <w:iCs/>
        </w:rPr>
        <w:t xml:space="preserve">Once estimated, the direct mortality effect can be </w:t>
      </w:r>
      <w:r w:rsidR="00522D97">
        <w:rPr>
          <w:iCs/>
        </w:rPr>
        <w:t>compar</w:t>
      </w:r>
      <w:r w:rsidR="00EE0615">
        <w:rPr>
          <w:iCs/>
        </w:rPr>
        <w:t>ed with</w:t>
      </w:r>
      <w:r w:rsidR="00522D97">
        <w:rPr>
          <w:iCs/>
        </w:rPr>
        <w:t xml:space="preserve"> the total mortality effect </w:t>
      </w:r>
      <w:r w:rsidR="00EE0615">
        <w:rPr>
          <w:iCs/>
        </w:rPr>
        <w:t>to obtain</w:t>
      </w:r>
      <w:r w:rsidR="00522D97">
        <w:rPr>
          <w:iCs/>
        </w:rPr>
        <w:t xml:space="preserve"> the </w:t>
      </w:r>
      <w:r w:rsidR="00EE0615">
        <w:rPr>
          <w:iCs/>
        </w:rPr>
        <w:t>in</w:t>
      </w:r>
      <w:r w:rsidR="00522D97">
        <w:rPr>
          <w:iCs/>
        </w:rPr>
        <w:t>direct mortality effect</w:t>
      </w:r>
      <w:r w:rsidR="006E75DD">
        <w:rPr>
          <w:iCs/>
        </w:rPr>
        <w:t>.</w:t>
      </w:r>
      <w:r w:rsidR="008E55AB">
        <w:rPr>
          <w:iCs/>
        </w:rPr>
        <w:t xml:space="preserve"> Therefore, </w:t>
      </w:r>
      <w:r w:rsidR="006E75DD">
        <w:rPr>
          <w:iCs/>
        </w:rPr>
        <w:t xml:space="preserve">we investigate </w:t>
      </w:r>
      <w:r w:rsidR="00C91953">
        <w:rPr>
          <w:iCs/>
        </w:rPr>
        <w:t xml:space="preserve">whether expenditure in one sector impacts </w:t>
      </w:r>
      <w:r w:rsidR="008E55AB">
        <w:rPr>
          <w:iCs/>
        </w:rPr>
        <w:t xml:space="preserve">the </w:t>
      </w:r>
      <w:r w:rsidR="004475C9">
        <w:rPr>
          <w:iCs/>
        </w:rPr>
        <w:t xml:space="preserve">level and </w:t>
      </w:r>
      <w:r w:rsidR="006E75DD">
        <w:rPr>
          <w:iCs/>
        </w:rPr>
        <w:t xml:space="preserve">composition of expenditure in </w:t>
      </w:r>
      <w:r w:rsidR="00C91953">
        <w:rPr>
          <w:iCs/>
        </w:rPr>
        <w:t xml:space="preserve">the other </w:t>
      </w:r>
      <w:r w:rsidR="006E75DD">
        <w:rPr>
          <w:iCs/>
        </w:rPr>
        <w:t xml:space="preserve">sector. </w:t>
      </w:r>
      <w:r w:rsidR="008E55AB">
        <w:rPr>
          <w:iCs/>
        </w:rPr>
        <w:t xml:space="preserve">We are then able to </w:t>
      </w:r>
      <w:r w:rsidR="008E55AB" w:rsidRPr="008E55AB">
        <w:rPr>
          <w:iCs/>
        </w:rPr>
        <w:t xml:space="preserve">identify the </w:t>
      </w:r>
      <w:r w:rsidR="005A6AE2">
        <w:rPr>
          <w:iCs/>
        </w:rPr>
        <w:t>in</w:t>
      </w:r>
      <w:r w:rsidR="008E55AB" w:rsidRPr="008E55AB">
        <w:rPr>
          <w:iCs/>
        </w:rPr>
        <w:t xml:space="preserve">direct mortality effect in one sector </w:t>
      </w:r>
      <w:r w:rsidR="003D6052">
        <w:rPr>
          <w:iCs/>
        </w:rPr>
        <w:t>that</w:t>
      </w:r>
      <w:r w:rsidR="00BC1FBE">
        <w:rPr>
          <w:iCs/>
        </w:rPr>
        <w:t xml:space="preserve"> runs through</w:t>
      </w:r>
      <w:r w:rsidR="008E55AB" w:rsidRPr="008E55AB">
        <w:rPr>
          <w:iCs/>
        </w:rPr>
        <w:t xml:space="preserve"> change</w:t>
      </w:r>
      <w:r w:rsidR="007F7C19">
        <w:rPr>
          <w:iCs/>
        </w:rPr>
        <w:t>s</w:t>
      </w:r>
      <w:r w:rsidR="008E55AB" w:rsidRPr="008E55AB">
        <w:rPr>
          <w:iCs/>
        </w:rPr>
        <w:t xml:space="preserve"> in the level and composition of expenditure in the other sector</w:t>
      </w:r>
      <w:r w:rsidR="007F7C19">
        <w:rPr>
          <w:iCs/>
        </w:rPr>
        <w:t xml:space="preserve"> by controlling for these </w:t>
      </w:r>
      <w:r w:rsidR="00740124">
        <w:rPr>
          <w:iCs/>
        </w:rPr>
        <w:t>channels</w:t>
      </w:r>
      <w:r w:rsidR="008E55AB" w:rsidRPr="008E55AB">
        <w:rPr>
          <w:iCs/>
        </w:rPr>
        <w:t>.</w:t>
      </w:r>
      <w:r w:rsidR="007F7C19">
        <w:rPr>
          <w:iCs/>
        </w:rPr>
        <w:t xml:space="preserve"> If </w:t>
      </w:r>
      <w:r w:rsidR="00740124">
        <w:rPr>
          <w:iCs/>
        </w:rPr>
        <w:t xml:space="preserve">there is </w:t>
      </w:r>
      <w:r w:rsidR="007F7C19">
        <w:rPr>
          <w:iCs/>
        </w:rPr>
        <w:t xml:space="preserve">no </w:t>
      </w:r>
      <w:r w:rsidR="00740124">
        <w:rPr>
          <w:iCs/>
        </w:rPr>
        <w:t xml:space="preserve">other </w:t>
      </w:r>
      <w:r w:rsidR="00CB161D">
        <w:rPr>
          <w:iCs/>
        </w:rPr>
        <w:t xml:space="preserve">unobserved </w:t>
      </w:r>
      <w:r w:rsidR="00B405C6">
        <w:rPr>
          <w:iCs/>
        </w:rPr>
        <w:t xml:space="preserve">factor relating to the possible channels </w:t>
      </w:r>
      <w:r w:rsidR="00CB161D">
        <w:rPr>
          <w:iCs/>
        </w:rPr>
        <w:t>for the indirect mortality effects</w:t>
      </w:r>
      <w:r w:rsidR="00B405C6">
        <w:rPr>
          <w:iCs/>
        </w:rPr>
        <w:t>, then we</w:t>
      </w:r>
      <w:r w:rsidR="007F7C19">
        <w:rPr>
          <w:iCs/>
        </w:rPr>
        <w:t xml:space="preserve"> can also identify the direct mortality effect in each sector.</w:t>
      </w:r>
      <w:r w:rsidR="0022188F">
        <w:rPr>
          <w:rStyle w:val="FootnoteReference"/>
          <w:iCs/>
        </w:rPr>
        <w:footnoteReference w:id="7"/>
      </w:r>
    </w:p>
    <w:p w14:paraId="612DC919" w14:textId="1459BDFA" w:rsidR="00644820" w:rsidRPr="002A4884" w:rsidRDefault="00042FC5" w:rsidP="00877B11">
      <w:pPr>
        <w:pStyle w:val="Heading3"/>
      </w:pPr>
      <w:bookmarkStart w:id="21" w:name="_Ref61529169"/>
      <w:r>
        <w:t>A</w:t>
      </w:r>
      <w:r w:rsidR="00F6551D" w:rsidRPr="002A4884">
        <w:t xml:space="preserve">nalysis of </w:t>
      </w:r>
      <w:r w:rsidR="00182D0D">
        <w:t>the impact on level and composition of each type of expenditure</w:t>
      </w:r>
      <w:bookmarkEnd w:id="21"/>
    </w:p>
    <w:p w14:paraId="4430320B" w14:textId="3225FDF8" w:rsidR="00C2061B" w:rsidRPr="002A4884" w:rsidRDefault="008E55AB" w:rsidP="00BE2749">
      <w:r>
        <w:t>W</w:t>
      </w:r>
      <w:r w:rsidR="00C2061B" w:rsidRPr="002A4884">
        <w:t xml:space="preserve">e </w:t>
      </w:r>
      <w:r w:rsidR="006A3D2C" w:rsidRPr="002A4884">
        <w:t xml:space="preserve">investigate </w:t>
      </w:r>
      <w:r w:rsidR="00C2061B" w:rsidRPr="002A4884">
        <w:t xml:space="preserve">whether LTC expenditure </w:t>
      </w:r>
      <w:r w:rsidR="00EA07D4">
        <w:t xml:space="preserve">per user </w:t>
      </w:r>
      <w:r w:rsidR="00C2061B" w:rsidRPr="002A4884">
        <w:t xml:space="preserve">has any impact on </w:t>
      </w:r>
      <w:r w:rsidR="00E9118B">
        <w:t xml:space="preserve">the level and composition of </w:t>
      </w:r>
      <w:r w:rsidR="00C2061B" w:rsidRPr="002A4884">
        <w:t>HC expenditure</w:t>
      </w:r>
      <w:r w:rsidR="0073170A">
        <w:t xml:space="preserve"> per capita</w:t>
      </w:r>
      <w:r w:rsidR="00083D17" w:rsidRPr="002A4884">
        <w:t xml:space="preserve"> </w:t>
      </w:r>
      <w:r w:rsidR="00F250CB">
        <w:t xml:space="preserve">through </w:t>
      </w:r>
      <w:r w:rsidR="00C2061B" w:rsidRPr="002A4884">
        <w:t xml:space="preserve">the following </w:t>
      </w:r>
      <w:r w:rsidR="009275FF">
        <w:t xml:space="preserve">2SLS </w:t>
      </w:r>
      <w:r w:rsidR="00C2061B" w:rsidRPr="002A4884">
        <w:t>regression:</w:t>
      </w:r>
    </w:p>
    <w:p w14:paraId="268DBFC4" w14:textId="7EE1276F" w:rsidR="00C2061B" w:rsidRPr="002A4884" w:rsidRDefault="00C2061B" w:rsidP="00C2061B">
      <w:pPr>
        <w:pStyle w:val="MTDisplayEquation"/>
      </w:pPr>
      <w:r w:rsidRPr="002A4884">
        <w:lastRenderedPageBreak/>
        <w:tab/>
      </w:r>
      <w:r w:rsidR="00895727" w:rsidRPr="002A4884">
        <w:rPr>
          <w:position w:val="-18"/>
        </w:rPr>
        <w:object w:dxaOrig="6700" w:dyaOrig="499" w14:anchorId="702DC28E">
          <v:shape id="_x0000_i1048" type="#_x0000_t75" style="width:335.4pt;height:25.8pt" o:ole="">
            <v:imagedata r:id="rId54" o:title=""/>
          </v:shape>
          <o:OLEObject Type="Embed" ProgID="Equation.DSMT4" ShapeID="_x0000_i1048" DrawAspect="Content" ObjectID="_1736065864" r:id="rId55"/>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22" w:name="ZEqnNum910952"/>
      <w:r w:rsidRPr="002A4884">
        <w:instrText>(</w:instrText>
      </w:r>
      <w:r w:rsidR="002A7365">
        <w:fldChar w:fldCharType="begin"/>
      </w:r>
      <w:r w:rsidR="002A7365">
        <w:instrText xml:space="preserve"> SEQ MTEqn \c \* Arabic \* MERGEFORMAT </w:instrText>
      </w:r>
      <w:r w:rsidR="002A7365">
        <w:fldChar w:fldCharType="separate"/>
      </w:r>
      <w:r w:rsidR="007C7B62">
        <w:rPr>
          <w:noProof/>
        </w:rPr>
        <w:instrText>18</w:instrText>
      </w:r>
      <w:r w:rsidR="002A7365">
        <w:rPr>
          <w:noProof/>
        </w:rPr>
        <w:fldChar w:fldCharType="end"/>
      </w:r>
      <w:r w:rsidRPr="002A4884">
        <w:instrText>)</w:instrText>
      </w:r>
      <w:bookmarkEnd w:id="22"/>
      <w:r w:rsidRPr="002A4884">
        <w:fldChar w:fldCharType="end"/>
      </w:r>
    </w:p>
    <w:p w14:paraId="2702978C" w14:textId="43D2D77C" w:rsidR="00C2061B" w:rsidRPr="002A4884" w:rsidRDefault="00C2061B" w:rsidP="00C2061B">
      <w:r w:rsidRPr="002A4884">
        <w:t xml:space="preserve">where </w:t>
      </w:r>
      <w:r w:rsidRPr="002A4884">
        <w:rPr>
          <w:i/>
        </w:rPr>
        <w:t>expenditure</w:t>
      </w:r>
      <w:r w:rsidRPr="002A4884">
        <w:rPr>
          <w:i/>
          <w:vertAlign w:val="subscript"/>
        </w:rPr>
        <w:t>i</w:t>
      </w:r>
      <w:r w:rsidRPr="002A4884">
        <w:rPr>
          <w:i/>
          <w:vertAlign w:val="superscript"/>
        </w:rPr>
        <w:t>HCj</w:t>
      </w:r>
      <w:r w:rsidRPr="002A4884">
        <w:t xml:space="preserve"> is HC expenditure </w:t>
      </w:r>
      <w:r w:rsidR="0073170A">
        <w:t xml:space="preserve">per capita </w:t>
      </w:r>
      <w:r w:rsidRPr="002A4884">
        <w:t xml:space="preserve">for sub-sector </w:t>
      </w:r>
      <w:r w:rsidRPr="002A4884">
        <w:rPr>
          <w:i/>
        </w:rPr>
        <w:t>j</w:t>
      </w:r>
      <w:r w:rsidRPr="002A4884">
        <w:t xml:space="preserve">, </w:t>
      </w:r>
      <w:r w:rsidRPr="002A4884">
        <w:rPr>
          <w:rFonts w:cstheme="minorHAnsi"/>
          <w:i/>
        </w:rPr>
        <w:t>π</w:t>
      </w:r>
      <w:r w:rsidRPr="002A4884">
        <w:rPr>
          <w:rFonts w:cstheme="minorHAnsi"/>
          <w:i/>
          <w:vertAlign w:val="superscript"/>
        </w:rPr>
        <w:t>j</w:t>
      </w:r>
      <w:r w:rsidRPr="002A4884">
        <w:rPr>
          <w:rFonts w:cstheme="minorHAnsi"/>
        </w:rPr>
        <w:t xml:space="preserve"> is the intercept, </w:t>
      </w:r>
      <w:r w:rsidRPr="002A4884">
        <w:rPr>
          <w:i/>
          <w:iCs/>
        </w:rPr>
        <w:t>Z</w:t>
      </w:r>
      <w:r w:rsidRPr="002A4884">
        <w:rPr>
          <w:i/>
          <w:iCs/>
          <w:vertAlign w:val="subscript"/>
        </w:rPr>
        <w:t>i</w:t>
      </w:r>
      <w:r w:rsidRPr="002A4884">
        <w:rPr>
          <w:i/>
          <w:iCs/>
          <w:vertAlign w:val="superscript"/>
        </w:rPr>
        <w:t>HC</w:t>
      </w:r>
      <w:r w:rsidRPr="002A4884">
        <w:t xml:space="preserve"> is a vector of instruments for HC expenditure</w:t>
      </w:r>
      <w:r w:rsidR="006227DB">
        <w:t xml:space="preserve"> </w:t>
      </w:r>
      <w:r w:rsidR="00C828C7">
        <w:t xml:space="preserve">which are </w:t>
      </w:r>
      <w:r w:rsidR="006227DB">
        <w:t>used here as control variables</w:t>
      </w:r>
      <w:r w:rsidRPr="002A4884">
        <w:t xml:space="preserve">, and </w:t>
      </w:r>
      <w:r w:rsidRPr="002A4884">
        <w:rPr>
          <w:rFonts w:cstheme="minorHAnsi"/>
          <w:i/>
          <w:iCs/>
        </w:rPr>
        <w:t>τ</w:t>
      </w:r>
      <w:r w:rsidRPr="002A4884">
        <w:rPr>
          <w:rFonts w:cstheme="minorHAnsi"/>
          <w:i/>
          <w:iCs/>
          <w:vertAlign w:val="subscript"/>
        </w:rPr>
        <w:t>i</w:t>
      </w:r>
      <w:r w:rsidRPr="002A4884">
        <w:rPr>
          <w:rFonts w:cstheme="minorHAnsi"/>
          <w:i/>
          <w:iCs/>
          <w:vertAlign w:val="superscript"/>
        </w:rPr>
        <w:t>j</w:t>
      </w:r>
      <w:r w:rsidRPr="002A4884">
        <w:rPr>
          <w:rFonts w:cstheme="minorHAnsi"/>
        </w:rPr>
        <w:t xml:space="preserve"> is the error term.</w:t>
      </w:r>
      <w:r w:rsidRPr="002A4884">
        <w:t xml:space="preserve"> We estimate </w:t>
      </w:r>
      <w:r w:rsidR="00050577" w:rsidRPr="002A4884">
        <w:rPr>
          <w:iCs/>
        </w:rPr>
        <w:fldChar w:fldCharType="begin"/>
      </w:r>
      <w:r w:rsidR="00050577" w:rsidRPr="002A4884">
        <w:rPr>
          <w:iCs/>
        </w:rPr>
        <w:instrText xml:space="preserve"> GOTOBUTTON ZEqnNum910952  \* MERGEFORMAT </w:instrText>
      </w:r>
      <w:r w:rsidR="00050577" w:rsidRPr="002A4884">
        <w:rPr>
          <w:iCs/>
        </w:rPr>
        <w:fldChar w:fldCharType="begin"/>
      </w:r>
      <w:r w:rsidR="00050577" w:rsidRPr="002A4884">
        <w:rPr>
          <w:iCs/>
        </w:rPr>
        <w:instrText xml:space="preserve"> REF ZEqnNum910952 \* Charformat \! \* MERGEFORMAT </w:instrText>
      </w:r>
      <w:r w:rsidR="00050577" w:rsidRPr="002A4884">
        <w:rPr>
          <w:iCs/>
        </w:rPr>
        <w:fldChar w:fldCharType="separate"/>
      </w:r>
      <w:r w:rsidR="007C7B62" w:rsidRPr="007C7B62">
        <w:rPr>
          <w:iCs/>
        </w:rPr>
        <w:instrText>(18)</w:instrText>
      </w:r>
      <w:r w:rsidR="00050577" w:rsidRPr="002A4884">
        <w:rPr>
          <w:iCs/>
        </w:rPr>
        <w:fldChar w:fldCharType="end"/>
      </w:r>
      <w:r w:rsidR="00050577" w:rsidRPr="002A4884">
        <w:rPr>
          <w:iCs/>
        </w:rPr>
        <w:fldChar w:fldCharType="end"/>
      </w:r>
      <w:r w:rsidRPr="002A4884">
        <w:t xml:space="preserve"> </w:t>
      </w:r>
      <w:r w:rsidR="007C5100">
        <w:t xml:space="preserve">with robust standard errors and </w:t>
      </w:r>
      <w:r w:rsidRPr="002A4884">
        <w:t xml:space="preserve">by weighting for LA population. In </w:t>
      </w:r>
      <w:r w:rsidR="00050577" w:rsidRPr="002A4884">
        <w:rPr>
          <w:iCs/>
        </w:rPr>
        <w:fldChar w:fldCharType="begin"/>
      </w:r>
      <w:r w:rsidR="00050577" w:rsidRPr="002A4884">
        <w:rPr>
          <w:iCs/>
        </w:rPr>
        <w:instrText xml:space="preserve"> GOTOBUTTON ZEqnNum910952  \* MERGEFORMAT </w:instrText>
      </w:r>
      <w:r w:rsidR="00050577" w:rsidRPr="002A4884">
        <w:rPr>
          <w:iCs/>
        </w:rPr>
        <w:fldChar w:fldCharType="begin"/>
      </w:r>
      <w:r w:rsidR="00050577" w:rsidRPr="002A4884">
        <w:rPr>
          <w:iCs/>
        </w:rPr>
        <w:instrText xml:space="preserve"> REF ZEqnNum910952 \* Charformat \! \* MERGEFORMAT </w:instrText>
      </w:r>
      <w:r w:rsidR="00050577" w:rsidRPr="002A4884">
        <w:rPr>
          <w:iCs/>
        </w:rPr>
        <w:fldChar w:fldCharType="separate"/>
      </w:r>
      <w:r w:rsidR="007C7B62" w:rsidRPr="007C7B62">
        <w:rPr>
          <w:iCs/>
        </w:rPr>
        <w:instrText>(18)</w:instrText>
      </w:r>
      <w:r w:rsidR="00050577" w:rsidRPr="002A4884">
        <w:rPr>
          <w:iCs/>
        </w:rPr>
        <w:fldChar w:fldCharType="end"/>
      </w:r>
      <w:r w:rsidR="00050577" w:rsidRPr="002A4884">
        <w:rPr>
          <w:iCs/>
        </w:rPr>
        <w:fldChar w:fldCharType="end"/>
      </w:r>
      <w:r w:rsidRPr="002A4884">
        <w:t xml:space="preserve"> the key coefficient of interest is </w:t>
      </w:r>
      <w:r w:rsidRPr="002A4884">
        <w:rPr>
          <w:rFonts w:cstheme="minorHAnsi"/>
          <w:i/>
        </w:rPr>
        <w:t>ω</w:t>
      </w:r>
      <w:r w:rsidRPr="002A4884">
        <w:rPr>
          <w:rFonts w:cstheme="minorHAnsi"/>
          <w:i/>
          <w:vertAlign w:val="superscript"/>
        </w:rPr>
        <w:t>j</w:t>
      </w:r>
      <w:r w:rsidRPr="002A4884">
        <w:rPr>
          <w:rFonts w:cstheme="minorHAnsi"/>
          <w:iCs/>
        </w:rPr>
        <w:t>, which</w:t>
      </w:r>
      <w:r w:rsidRPr="002A4884">
        <w:rPr>
          <w:rFonts w:cstheme="minorHAnsi"/>
        </w:rPr>
        <w:t xml:space="preserve"> captures </w:t>
      </w:r>
      <w:r w:rsidR="00F472F8">
        <w:rPr>
          <w:rFonts w:cstheme="minorHAnsi"/>
        </w:rPr>
        <w:t xml:space="preserve">the percentage impact of a 1% increase in </w:t>
      </w:r>
      <w:r w:rsidRPr="002A4884">
        <w:rPr>
          <w:rFonts w:cstheme="minorHAnsi"/>
        </w:rPr>
        <w:t xml:space="preserve">LTC expenditure </w:t>
      </w:r>
      <w:r w:rsidR="0073170A">
        <w:rPr>
          <w:rFonts w:cstheme="minorHAnsi"/>
        </w:rPr>
        <w:t xml:space="preserve">per user </w:t>
      </w:r>
      <w:r w:rsidR="00F472F8">
        <w:rPr>
          <w:rFonts w:cstheme="minorHAnsi"/>
        </w:rPr>
        <w:t xml:space="preserve">on </w:t>
      </w:r>
      <w:r w:rsidRPr="002A4884">
        <w:rPr>
          <w:rFonts w:cstheme="minorHAnsi"/>
        </w:rPr>
        <w:t xml:space="preserve">HC expenditure </w:t>
      </w:r>
      <w:r w:rsidR="0073170A">
        <w:rPr>
          <w:rFonts w:cstheme="minorHAnsi"/>
        </w:rPr>
        <w:t xml:space="preserve">per capita </w:t>
      </w:r>
      <w:r w:rsidRPr="002A4884">
        <w:rPr>
          <w:rFonts w:cstheme="minorHAnsi"/>
        </w:rPr>
        <w:t xml:space="preserve">in sub-sector </w:t>
      </w:r>
      <w:r w:rsidRPr="002A4884">
        <w:rPr>
          <w:rFonts w:cstheme="minorHAnsi"/>
          <w:i/>
        </w:rPr>
        <w:t>j</w:t>
      </w:r>
      <w:r w:rsidRPr="002A4884">
        <w:rPr>
          <w:rFonts w:cstheme="minorHAnsi"/>
        </w:rPr>
        <w:t xml:space="preserve">. For example, </w:t>
      </w:r>
      <w:r w:rsidRPr="002A4884">
        <w:rPr>
          <w:rFonts w:cstheme="minorHAnsi"/>
          <w:i/>
        </w:rPr>
        <w:t>ω̂</w:t>
      </w:r>
      <w:r w:rsidRPr="002A4884">
        <w:rPr>
          <w:rFonts w:cstheme="minorHAnsi"/>
          <w:i/>
          <w:vertAlign w:val="superscript"/>
        </w:rPr>
        <w:t>j</w:t>
      </w:r>
      <w:r w:rsidRPr="002A4884">
        <w:rPr>
          <w:rFonts w:cstheme="minorHAnsi"/>
        </w:rPr>
        <w:t xml:space="preserve">&gt;0 then 1% increase in LTC expenditure </w:t>
      </w:r>
      <w:r w:rsidR="0073170A">
        <w:rPr>
          <w:rFonts w:cstheme="minorHAnsi"/>
        </w:rPr>
        <w:t xml:space="preserve">per user </w:t>
      </w:r>
      <w:r w:rsidRPr="002A4884">
        <w:rPr>
          <w:rFonts w:cstheme="minorHAnsi"/>
        </w:rPr>
        <w:t>increases HC expenditure</w:t>
      </w:r>
      <w:r w:rsidR="0073170A">
        <w:rPr>
          <w:rFonts w:cstheme="minorHAnsi"/>
        </w:rPr>
        <w:t xml:space="preserve"> per capita</w:t>
      </w:r>
      <w:r w:rsidRPr="002A4884">
        <w:rPr>
          <w:rFonts w:cstheme="minorHAnsi"/>
        </w:rPr>
        <w:t xml:space="preserve"> in sub-sector </w:t>
      </w:r>
      <w:r w:rsidRPr="002A4884">
        <w:rPr>
          <w:rFonts w:cstheme="minorHAnsi"/>
          <w:i/>
        </w:rPr>
        <w:t>j</w:t>
      </w:r>
      <w:r w:rsidRPr="002A4884">
        <w:rPr>
          <w:rFonts w:cstheme="minorHAnsi"/>
        </w:rPr>
        <w:t xml:space="preserve"> by a percentage equal to </w:t>
      </w:r>
      <w:r w:rsidRPr="002A4884">
        <w:rPr>
          <w:rFonts w:cstheme="minorHAnsi"/>
          <w:i/>
        </w:rPr>
        <w:t>ω̂</w:t>
      </w:r>
      <w:r w:rsidRPr="002A4884">
        <w:rPr>
          <w:rFonts w:cstheme="minorHAnsi"/>
          <w:i/>
          <w:vertAlign w:val="superscript"/>
        </w:rPr>
        <w:t>j</w:t>
      </w:r>
      <w:r w:rsidRPr="002A4884">
        <w:rPr>
          <w:rFonts w:cstheme="minorHAnsi"/>
        </w:rPr>
        <w:t>.</w:t>
      </w:r>
    </w:p>
    <w:p w14:paraId="6BD3E633" w14:textId="37FDEDB5" w:rsidR="006A67EB" w:rsidRPr="002A4884" w:rsidRDefault="00042FC5" w:rsidP="006A67EB">
      <w:r>
        <w:t>W</w:t>
      </w:r>
      <w:r w:rsidR="00E459C7">
        <w:t xml:space="preserve">e </w:t>
      </w:r>
      <w:r w:rsidR="00E459C7" w:rsidRPr="002A4884">
        <w:rPr>
          <w:iCs/>
        </w:rPr>
        <w:t xml:space="preserve">set </w:t>
      </w:r>
      <w:r w:rsidR="00E459C7" w:rsidRPr="002A4884">
        <w:rPr>
          <w:i/>
        </w:rPr>
        <w:t>expenditure</w:t>
      </w:r>
      <w:r w:rsidR="00E459C7" w:rsidRPr="002A4884">
        <w:rPr>
          <w:i/>
          <w:vertAlign w:val="subscript"/>
        </w:rPr>
        <w:t>i</w:t>
      </w:r>
      <w:r w:rsidR="00E459C7" w:rsidRPr="002A4884">
        <w:rPr>
          <w:i/>
          <w:vertAlign w:val="superscript"/>
        </w:rPr>
        <w:t>HCj</w:t>
      </w:r>
      <w:r w:rsidR="00E459C7" w:rsidRPr="002A4884">
        <w:t xml:space="preserve"> = </w:t>
      </w:r>
      <w:r w:rsidR="00E459C7" w:rsidRPr="002A4884">
        <w:rPr>
          <w:i/>
        </w:rPr>
        <w:t>expenditure</w:t>
      </w:r>
      <w:r w:rsidR="00E459C7" w:rsidRPr="002A4884">
        <w:rPr>
          <w:i/>
          <w:vertAlign w:val="subscript"/>
        </w:rPr>
        <w:t>i</w:t>
      </w:r>
      <w:r w:rsidR="00E459C7" w:rsidRPr="002A4884">
        <w:rPr>
          <w:i/>
          <w:vertAlign w:val="superscript"/>
        </w:rPr>
        <w:t>HC</w:t>
      </w:r>
      <w:r w:rsidR="00E459C7" w:rsidRPr="002A4884">
        <w:t xml:space="preserve"> </w:t>
      </w:r>
      <w:r w:rsidR="006F6E5A">
        <w:t xml:space="preserve">in regression </w:t>
      </w:r>
      <w:r w:rsidR="006F6E5A">
        <w:fldChar w:fldCharType="begin"/>
      </w:r>
      <w:r w:rsidR="006F6E5A">
        <w:instrText xml:space="preserve"> GOTOBUTTON ZEqnNum910952  \* MERGEFORMAT </w:instrText>
      </w:r>
      <w:r w:rsidR="002A7365">
        <w:fldChar w:fldCharType="begin"/>
      </w:r>
      <w:r w:rsidR="002A7365">
        <w:instrText xml:space="preserve"> REF ZEqnNum910952 \* Charformat \! \* MERGEFORMAT </w:instrText>
      </w:r>
      <w:r w:rsidR="002A7365">
        <w:fldChar w:fldCharType="separate"/>
      </w:r>
      <w:r w:rsidR="007C7B62" w:rsidRPr="002A4884">
        <w:instrText>(</w:instrText>
      </w:r>
      <w:r w:rsidR="007C7B62">
        <w:instrText>18</w:instrText>
      </w:r>
      <w:r w:rsidR="007C7B62" w:rsidRPr="002A4884">
        <w:instrText>)</w:instrText>
      </w:r>
      <w:r w:rsidR="002A7365">
        <w:fldChar w:fldCharType="end"/>
      </w:r>
      <w:r w:rsidR="006F6E5A">
        <w:fldChar w:fldCharType="end"/>
      </w:r>
      <w:r w:rsidR="006F6E5A">
        <w:t xml:space="preserve"> </w:t>
      </w:r>
      <w:r w:rsidR="00E459C7">
        <w:t xml:space="preserve">to test whether </w:t>
      </w:r>
      <w:r w:rsidR="0073170A">
        <w:t xml:space="preserve">the level of </w:t>
      </w:r>
      <w:r w:rsidR="00E459C7">
        <w:t>LTC expenditure</w:t>
      </w:r>
      <w:r w:rsidR="0073170A">
        <w:t xml:space="preserve"> </w:t>
      </w:r>
      <w:r w:rsidR="00E459C7">
        <w:t xml:space="preserve">impacts </w:t>
      </w:r>
      <w:r w:rsidR="0073170A">
        <w:t xml:space="preserve">the level of </w:t>
      </w:r>
      <w:r w:rsidR="00E459C7">
        <w:t xml:space="preserve">HC expenditure. We </w:t>
      </w:r>
      <w:r w:rsidR="00E22DF4">
        <w:t>hypothesise</w:t>
      </w:r>
      <w:r w:rsidR="00E459C7">
        <w:t xml:space="preserve"> no impact given that the HC budget</w:t>
      </w:r>
      <w:r w:rsidR="003B5656">
        <w:t xml:space="preserve"> in England</w:t>
      </w:r>
      <w:r w:rsidR="00E459C7">
        <w:t xml:space="preserve"> is fixed and, therefore, </w:t>
      </w:r>
      <w:r w:rsidR="00182D0D">
        <w:t xml:space="preserve">mostly </w:t>
      </w:r>
      <w:r w:rsidR="00FA0271">
        <w:t>independent from</w:t>
      </w:r>
      <w:r w:rsidR="00E459C7">
        <w:t xml:space="preserve"> expenditure in the LTC sector. </w:t>
      </w:r>
      <w:r w:rsidR="00083D17" w:rsidRPr="002A4884">
        <w:t>After that,</w:t>
      </w:r>
      <w:r w:rsidR="00C2061B" w:rsidRPr="002A4884">
        <w:t xml:space="preserve"> </w:t>
      </w:r>
      <w:r w:rsidR="000143BE" w:rsidRPr="002A4884">
        <w:t xml:space="preserve">guided by </w:t>
      </w:r>
      <w:r w:rsidR="00816154" w:rsidRPr="002A4884">
        <w:t xml:space="preserve">the literature, </w:t>
      </w:r>
      <w:r w:rsidR="00F01BA3" w:rsidRPr="002A4884">
        <w:t>we</w:t>
      </w:r>
      <w:r w:rsidR="006F6E5A">
        <w:t xml:space="preserve"> explore whether LTC expenditure changes the composition of HC expenditure by</w:t>
      </w:r>
      <w:r w:rsidR="00F01BA3" w:rsidRPr="002A4884">
        <w:t xml:space="preserve"> </w:t>
      </w:r>
      <w:r w:rsidR="006F6E5A">
        <w:t xml:space="preserve">focusing on </w:t>
      </w:r>
      <w:r w:rsidR="00144C15" w:rsidRPr="002A4884">
        <w:t xml:space="preserve">various </w:t>
      </w:r>
      <w:r w:rsidR="00816154" w:rsidRPr="002A4884">
        <w:t xml:space="preserve">plausible </w:t>
      </w:r>
      <w:r w:rsidR="0073170A">
        <w:t>sub-sectors</w:t>
      </w:r>
      <w:r w:rsidR="00A8466F">
        <w:t>.</w:t>
      </w:r>
      <w:r w:rsidR="00F01BA3" w:rsidRPr="002A4884">
        <w:t xml:space="preserve"> </w:t>
      </w:r>
      <w:r w:rsidR="006A67EB" w:rsidRPr="002A4884">
        <w:t>W</w:t>
      </w:r>
      <w:r w:rsidR="000143BE" w:rsidRPr="002A4884">
        <w:t xml:space="preserve">e </w:t>
      </w:r>
      <w:r w:rsidR="00D36593" w:rsidRPr="002A4884">
        <w:t xml:space="preserve">test whether </w:t>
      </w:r>
      <w:r w:rsidR="000143BE" w:rsidRPr="002A4884">
        <w:t>a</w:t>
      </w:r>
      <w:r w:rsidR="00D538FE" w:rsidRPr="002A4884">
        <w:t xml:space="preserve"> greater </w:t>
      </w:r>
      <w:r w:rsidR="00816154" w:rsidRPr="002A4884">
        <w:t>LTC supply reduce</w:t>
      </w:r>
      <w:r w:rsidR="00D538FE" w:rsidRPr="002A4884">
        <w:t xml:space="preserve">s expenditure for </w:t>
      </w:r>
      <w:r w:rsidR="00816154" w:rsidRPr="002A4884">
        <w:t>emergency care</w:t>
      </w:r>
      <w:r w:rsidR="00BB51E7">
        <w:t xml:space="preserve"> </w:t>
      </w:r>
      <w:r w:rsidR="00BB51E7">
        <w:fldChar w:fldCharType="begin"/>
      </w:r>
      <w:r w:rsidR="00157743">
        <w:instrText xml:space="preserve"> ADDIN EN.CITE &lt;EndNote&gt;&lt;Cite&gt;&lt;Author&gt;Crawford&lt;/Author&gt;&lt;Year&gt;2021&lt;/Year&gt;&lt;RecNum&gt;580&lt;/RecNum&gt;&lt;DisplayText&gt;(Walsh et al., 2020, Crawford et al., 2021)&lt;/DisplayText&gt;&lt;record&gt;&lt;rec-number&gt;580&lt;/rec-number&gt;&lt;foreign-keys&gt;&lt;key app="EN" db-id="r920as25hw5rrve2fa8psvr8e0dxvzxa200s" timestamp="1665488115" guid="2b7465b9-3d3a-4bb4-85e0-2f79e5d0450e"&gt;580&lt;/key&gt;&lt;/foreign-keys&gt;&lt;ref-type name="Journal Article"&gt;17&lt;/ref-type&gt;&lt;contributors&gt;&lt;authors&gt;&lt;author&gt;Crawford, Rowena&lt;/author&gt;&lt;author&gt;Stoye, George&lt;/author&gt;&lt;author&gt;Zaranko, Ben&lt;/author&gt;&lt;/authors&gt;&lt;/contributors&gt;&lt;titles&gt;&lt;title&gt;Long-term care spending and hospital use among the older population in England&lt;/title&gt;&lt;secondary-title&gt;Journal of Health Economics&lt;/secondary-title&gt;&lt;/titles&gt;&lt;periodical&gt;&lt;full-title&gt;Journal of health economics&lt;/full-title&gt;&lt;/periodical&gt;&lt;pages&gt;102477&lt;/pages&gt;&lt;volume&gt;78&lt;/volume&gt;&lt;dates&gt;&lt;year&gt;2021&lt;/year&gt;&lt;/dates&gt;&lt;isbn&gt;0167-6296&lt;/isbn&gt;&lt;urls&gt;&lt;/urls&gt;&lt;/record&gt;&lt;/Cite&gt;&lt;Cite&gt;&lt;Author&gt;Walsh&lt;/Author&gt;&lt;Year&gt;2020&lt;/Year&gt;&lt;RecNum&gt;108&lt;/RecNum&gt;&lt;record&gt;&lt;rec-number&gt;108&lt;/rec-number&gt;&lt;foreign-keys&gt;&lt;key app="EN" db-id="r920as25hw5rrve2fa8psvr8e0dxvzxa200s" timestamp="1607688634" guid="a524e902-4913-44aa-88ea-60b8745b9f41"&gt;108&lt;/key&gt;&lt;/foreign-keys&gt;&lt;ref-type name="Journal Article"&gt;17&lt;/ref-type&gt;&lt;contributors&gt;&lt;authors&gt;&lt;author&gt;Walsh, Brendan&lt;/author&gt;&lt;author&gt;Lyons, Seán&lt;/author&gt;&lt;author&gt;Smith, Samantha&lt;/author&gt;&lt;author&gt;Wren, Maev‐Ann&lt;/author&gt;&lt;author&gt;Eighan, James&lt;/author&gt;&lt;author&gt;Morgenroth, Edgar&lt;/author&gt;&lt;/authors&gt;&lt;/contributors&gt;&lt;titles&gt;&lt;title&gt;Does formal home care reduce inpatient length of stay?&lt;/title&gt;&lt;secondary-title&gt;Health Economics&lt;/secondary-title&gt;&lt;/titles&gt;&lt;periodical&gt;&lt;full-title&gt;Health economics&lt;/full-title&gt;&lt;/periodical&gt;&lt;dates&gt;&lt;year&gt;2020&lt;/year&gt;&lt;/dates&gt;&lt;isbn&gt;1057-9230&lt;/isbn&gt;&lt;urls&gt;&lt;/urls&gt;&lt;/record&gt;&lt;/Cite&gt;&lt;/EndNote&gt;</w:instrText>
      </w:r>
      <w:r w:rsidR="00BB51E7">
        <w:fldChar w:fldCharType="separate"/>
      </w:r>
      <w:r w:rsidR="00BB51E7">
        <w:rPr>
          <w:noProof/>
        </w:rPr>
        <w:t>(Walsh et al., 2020, Crawford et al., 2021)</w:t>
      </w:r>
      <w:r w:rsidR="00BB51E7">
        <w:fldChar w:fldCharType="end"/>
      </w:r>
      <w:r w:rsidR="004426BA" w:rsidRPr="002A4884">
        <w:t>.</w:t>
      </w:r>
      <w:r w:rsidR="00816154" w:rsidRPr="002A4884">
        <w:t xml:space="preserve"> </w:t>
      </w:r>
      <w:r w:rsidR="009B0E32">
        <w:t xml:space="preserve">In addition, </w:t>
      </w:r>
      <w:r w:rsidR="00722E3C">
        <w:t xml:space="preserve">we explore whether </w:t>
      </w:r>
      <w:r w:rsidR="009B0E32">
        <w:t>more</w:t>
      </w:r>
      <w:r w:rsidR="00816154" w:rsidRPr="002A4884">
        <w:t xml:space="preserve"> </w:t>
      </w:r>
      <w:r w:rsidR="009B0E32">
        <w:t>r</w:t>
      </w:r>
      <w:r w:rsidR="00816154" w:rsidRPr="002A4884">
        <w:t xml:space="preserve">esources </w:t>
      </w:r>
      <w:r w:rsidR="00722E3C">
        <w:t xml:space="preserve">are </w:t>
      </w:r>
      <w:r w:rsidR="004426BA" w:rsidRPr="002A4884">
        <w:t>invested in non-emergency care activity</w:t>
      </w:r>
      <w:r w:rsidR="003567FC" w:rsidRPr="002A4884">
        <w:t xml:space="preserve"> such as, for example, </w:t>
      </w:r>
      <w:r w:rsidR="009B0E32" w:rsidRPr="002A4884">
        <w:t>elective care</w:t>
      </w:r>
      <w:r w:rsidR="009B0E32">
        <w:t>,</w:t>
      </w:r>
      <w:r w:rsidR="009B0E32" w:rsidRPr="002A4884">
        <w:t xml:space="preserve"> </w:t>
      </w:r>
      <w:r w:rsidR="003567FC" w:rsidRPr="002A4884">
        <w:t xml:space="preserve">outpatient care, </w:t>
      </w:r>
      <w:r w:rsidR="009B0E32">
        <w:t>a</w:t>
      </w:r>
      <w:r w:rsidR="00566F2F" w:rsidRPr="002A4884">
        <w:t>nd primary care prescribing</w:t>
      </w:r>
      <w:r w:rsidR="006A67EB" w:rsidRPr="002A4884">
        <w:t xml:space="preserve"> (more details about non-emergency care services </w:t>
      </w:r>
      <w:r w:rsidR="00050577" w:rsidRPr="002A4884">
        <w:t xml:space="preserve">are </w:t>
      </w:r>
      <w:r w:rsidR="006A67EB" w:rsidRPr="002A4884">
        <w:t xml:space="preserve">in Section </w:t>
      </w:r>
      <w:r w:rsidR="00B63D91" w:rsidRPr="002A4884">
        <w:fldChar w:fldCharType="begin"/>
      </w:r>
      <w:r w:rsidR="00B63D91" w:rsidRPr="002A4884">
        <w:instrText xml:space="preserve"> REF _Ref61604741 \r \h  \* MERGEFORMAT </w:instrText>
      </w:r>
      <w:r w:rsidR="00B63D91" w:rsidRPr="002A4884">
        <w:fldChar w:fldCharType="separate"/>
      </w:r>
      <w:r w:rsidR="007C7B62">
        <w:t>3.1</w:t>
      </w:r>
      <w:r w:rsidR="00B63D91" w:rsidRPr="002A4884">
        <w:fldChar w:fldCharType="end"/>
      </w:r>
      <w:r w:rsidR="006A67EB" w:rsidRPr="002A4884">
        <w:t>)</w:t>
      </w:r>
      <w:r w:rsidR="00A823B7" w:rsidRPr="002A4884">
        <w:t xml:space="preserve">. </w:t>
      </w:r>
      <w:r w:rsidR="009B0E32">
        <w:t>I</w:t>
      </w:r>
      <w:r w:rsidR="009646C6" w:rsidRPr="002A4884">
        <w:t>nvestments</w:t>
      </w:r>
      <w:r w:rsidR="006A67EB" w:rsidRPr="002A4884">
        <w:t xml:space="preserve"> </w:t>
      </w:r>
      <w:r w:rsidR="00566F2F" w:rsidRPr="002A4884">
        <w:t xml:space="preserve">may </w:t>
      </w:r>
      <w:r w:rsidR="006A67EB" w:rsidRPr="002A4884">
        <w:t xml:space="preserve">be focused </w:t>
      </w:r>
      <w:r w:rsidR="009646C6" w:rsidRPr="002A4884">
        <w:t xml:space="preserve">particularly </w:t>
      </w:r>
      <w:r w:rsidR="006A67EB" w:rsidRPr="002A4884">
        <w:t xml:space="preserve">on </w:t>
      </w:r>
      <w:r w:rsidR="00A823B7" w:rsidRPr="002A4884">
        <w:t xml:space="preserve">those disease areas which already attract most of the HC funding including </w:t>
      </w:r>
      <w:r w:rsidR="00816154" w:rsidRPr="002A4884">
        <w:t xml:space="preserve">cancer, circulatory, respiratory and gastro-intestinal disease </w:t>
      </w:r>
      <w:r w:rsidR="00816154" w:rsidRPr="002A4884">
        <w:fldChar w:fldCharType="begin"/>
      </w:r>
      <w:r w:rsidR="00F472F8">
        <w:instrText xml:space="preserve"> ADDIN EN.CITE &lt;EndNote&gt;&lt;Cite&gt;&lt;Author&gt;Lomas&lt;/Author&gt;&lt;Year&gt;2019&lt;/Year&gt;&lt;RecNum&gt;131&lt;/RecNum&gt;&lt;DisplayText&gt;(Lomas et al., 2019)&lt;/DisplayText&gt;&lt;record&gt;&lt;rec-number&gt;131&lt;/rec-number&gt;&lt;foreign-keys&gt;&lt;key app="EN" db-id="r920as25hw5rrve2fa8psvr8e0dxvzxa200s" timestamp="1607688634" guid="cbb057be-7f26-4fd1-955e-0762efa5d2bd"&gt;131&lt;/key&gt;&lt;/foreign-keys&gt;&lt;ref-type name="Journal Article"&gt;17&lt;/ref-type&gt;&lt;contributors&gt;&lt;authors&gt;&lt;author&gt;Lomas, James&lt;/author&gt;&lt;author&gt;Martin, Stephen&lt;/author&gt;&lt;author&gt;Claxton, Karl&lt;/author&gt;&lt;/authors&gt;&lt;/contributors&gt;&lt;titles&gt;&lt;title&gt;Estimating the marginal productivity of the English National health service from 2003 to 2012&lt;/title&gt;&lt;secondary-title&gt;Value in Health&lt;/secondary-title&gt;&lt;/titles&gt;&lt;periodical&gt;&lt;full-title&gt;Value in Health&lt;/full-title&gt;&lt;/periodical&gt;&lt;pages&gt;995-1002&lt;/pages&gt;&lt;volume&gt;22&lt;/volume&gt;&lt;number&gt;9&lt;/number&gt;&lt;dates&gt;&lt;year&gt;2019&lt;/year&gt;&lt;/dates&gt;&lt;isbn&gt;1098-3015&lt;/isbn&gt;&lt;urls&gt;&lt;/urls&gt;&lt;/record&gt;&lt;/Cite&gt;&lt;/EndNote&gt;</w:instrText>
      </w:r>
      <w:r w:rsidR="00816154" w:rsidRPr="002A4884">
        <w:fldChar w:fldCharType="separate"/>
      </w:r>
      <w:r w:rsidR="00816154" w:rsidRPr="002A4884">
        <w:rPr>
          <w:noProof/>
        </w:rPr>
        <w:t>(Lomas et al., 2019)</w:t>
      </w:r>
      <w:r w:rsidR="00816154" w:rsidRPr="002A4884">
        <w:fldChar w:fldCharType="end"/>
      </w:r>
      <w:r w:rsidR="00816154" w:rsidRPr="002A4884">
        <w:t>.</w:t>
      </w:r>
    </w:p>
    <w:p w14:paraId="060D1B2D" w14:textId="728AF1B5" w:rsidR="00A8061A" w:rsidRPr="002A4884" w:rsidRDefault="00042FC5" w:rsidP="006A67EB">
      <w:r>
        <w:t>W</w:t>
      </w:r>
      <w:r w:rsidR="00A8061A" w:rsidRPr="002A4884">
        <w:t xml:space="preserve">e explore whether </w:t>
      </w:r>
      <w:r w:rsidR="0073170A">
        <w:t>H</w:t>
      </w:r>
      <w:r w:rsidR="00A8061A" w:rsidRPr="002A4884">
        <w:t>C expenditure</w:t>
      </w:r>
      <w:r w:rsidR="0073170A">
        <w:t xml:space="preserve"> per capita</w:t>
      </w:r>
      <w:r w:rsidR="00A8061A" w:rsidRPr="002A4884">
        <w:t xml:space="preserve"> impact</w:t>
      </w:r>
      <w:r w:rsidR="00A8466F">
        <w:t>s the level and composition of</w:t>
      </w:r>
      <w:r w:rsidR="00A8061A" w:rsidRPr="002A4884">
        <w:t xml:space="preserve"> </w:t>
      </w:r>
      <w:r w:rsidR="0073170A">
        <w:t>LT</w:t>
      </w:r>
      <w:r w:rsidR="00A8061A" w:rsidRPr="002A4884">
        <w:t xml:space="preserve">C expenditure </w:t>
      </w:r>
      <w:r w:rsidR="0073170A">
        <w:t xml:space="preserve">per user </w:t>
      </w:r>
      <w:r w:rsidR="00A8061A" w:rsidRPr="002A4884">
        <w:t xml:space="preserve">through the following </w:t>
      </w:r>
      <w:r w:rsidR="006227DB">
        <w:t xml:space="preserve">2SLS </w:t>
      </w:r>
      <w:r w:rsidR="00A8061A" w:rsidRPr="002A4884">
        <w:t>regression:</w:t>
      </w:r>
    </w:p>
    <w:p w14:paraId="35402059" w14:textId="6230E05C" w:rsidR="00050577" w:rsidRPr="002A4884" w:rsidRDefault="00050577" w:rsidP="00050577">
      <w:pPr>
        <w:pStyle w:val="MTDisplayEquation"/>
        <w:spacing w:after="0"/>
      </w:pPr>
      <w:r w:rsidRPr="002A4884">
        <w:tab/>
      </w:r>
      <w:r w:rsidR="00895727" w:rsidRPr="002A4884">
        <w:rPr>
          <w:position w:val="-18"/>
        </w:rPr>
        <w:object w:dxaOrig="6780" w:dyaOrig="499" w14:anchorId="5AB6E370">
          <v:shape id="_x0000_i1049" type="#_x0000_t75" style="width:339pt;height:25.8pt" o:ole="">
            <v:imagedata r:id="rId56" o:title=""/>
          </v:shape>
          <o:OLEObject Type="Embed" ProgID="Equation.DSMT4" ShapeID="_x0000_i1049" DrawAspect="Content" ObjectID="_1736065865" r:id="rId57"/>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23" w:name="ZEqnNum123026"/>
      <w:r w:rsidRPr="002A4884">
        <w:instrText>(</w:instrText>
      </w:r>
      <w:r w:rsidR="002A7365">
        <w:fldChar w:fldCharType="begin"/>
      </w:r>
      <w:r w:rsidR="002A7365">
        <w:instrText xml:space="preserve"> SEQ MTEqn \c \* Arabic \* MERGEFORMAT </w:instrText>
      </w:r>
      <w:r w:rsidR="002A7365">
        <w:fldChar w:fldCharType="separate"/>
      </w:r>
      <w:r w:rsidR="007C7B62">
        <w:rPr>
          <w:noProof/>
        </w:rPr>
        <w:instrText>19</w:instrText>
      </w:r>
      <w:r w:rsidR="002A7365">
        <w:rPr>
          <w:noProof/>
        </w:rPr>
        <w:fldChar w:fldCharType="end"/>
      </w:r>
      <w:r w:rsidRPr="002A4884">
        <w:instrText>)</w:instrText>
      </w:r>
      <w:bookmarkEnd w:id="23"/>
      <w:r w:rsidRPr="002A4884">
        <w:fldChar w:fldCharType="end"/>
      </w:r>
    </w:p>
    <w:p w14:paraId="359D2457" w14:textId="252AA973" w:rsidR="00050577" w:rsidRPr="002A4884" w:rsidRDefault="00A8061A" w:rsidP="00050577">
      <w:pPr>
        <w:rPr>
          <w:rFonts w:cstheme="minorHAnsi"/>
        </w:rPr>
      </w:pPr>
      <w:r w:rsidRPr="002A4884">
        <w:t xml:space="preserve">where </w:t>
      </w:r>
      <w:r w:rsidRPr="002A4884">
        <w:rPr>
          <w:i/>
        </w:rPr>
        <w:t>expenditure</w:t>
      </w:r>
      <w:r w:rsidRPr="002A4884">
        <w:rPr>
          <w:i/>
          <w:vertAlign w:val="subscript"/>
        </w:rPr>
        <w:t>i</w:t>
      </w:r>
      <w:r w:rsidRPr="002A4884">
        <w:rPr>
          <w:i/>
          <w:vertAlign w:val="superscript"/>
        </w:rPr>
        <w:t>LTCj</w:t>
      </w:r>
      <w:r w:rsidRPr="002A4884">
        <w:rPr>
          <w:i/>
        </w:rPr>
        <w:t xml:space="preserve"> </w:t>
      </w:r>
      <w:r w:rsidRPr="002A4884">
        <w:t>is</w:t>
      </w:r>
      <w:r w:rsidRPr="002A4884">
        <w:rPr>
          <w:i/>
        </w:rPr>
        <w:t xml:space="preserve"> </w:t>
      </w:r>
      <w:r w:rsidRPr="002A4884">
        <w:t xml:space="preserve">LTC expenditure </w:t>
      </w:r>
      <w:r w:rsidR="0073170A">
        <w:t xml:space="preserve">per user </w:t>
      </w:r>
      <w:r w:rsidRPr="002A4884">
        <w:t xml:space="preserve">for sub-sector </w:t>
      </w:r>
      <w:r w:rsidRPr="002A4884">
        <w:rPr>
          <w:i/>
        </w:rPr>
        <w:t>j</w:t>
      </w:r>
      <w:r w:rsidRPr="002A4884">
        <w:t xml:space="preserve">, </w:t>
      </w:r>
      <w:r w:rsidRPr="002A4884">
        <w:rPr>
          <w:rFonts w:cstheme="minorHAnsi"/>
          <w:i/>
        </w:rPr>
        <w:t>μ</w:t>
      </w:r>
      <w:r w:rsidRPr="002A4884">
        <w:rPr>
          <w:rFonts w:cstheme="minorHAnsi"/>
          <w:i/>
          <w:vertAlign w:val="superscript"/>
        </w:rPr>
        <w:t>j</w:t>
      </w:r>
      <w:r w:rsidRPr="002A4884">
        <w:rPr>
          <w:rFonts w:cstheme="minorHAnsi"/>
        </w:rPr>
        <w:t xml:space="preserve"> is the intercept, </w:t>
      </w:r>
      <w:r w:rsidRPr="002A4884">
        <w:rPr>
          <w:i/>
          <w:iCs/>
        </w:rPr>
        <w:t>Z</w:t>
      </w:r>
      <w:r w:rsidRPr="002A4884">
        <w:rPr>
          <w:i/>
          <w:iCs/>
          <w:vertAlign w:val="subscript"/>
        </w:rPr>
        <w:t>i</w:t>
      </w:r>
      <w:r w:rsidRPr="002A4884">
        <w:rPr>
          <w:i/>
          <w:iCs/>
          <w:vertAlign w:val="superscript"/>
        </w:rPr>
        <w:t>LTC</w:t>
      </w:r>
      <w:r w:rsidRPr="002A4884">
        <w:t xml:space="preserve"> </w:t>
      </w:r>
      <w:r w:rsidRPr="002A4884">
        <w:rPr>
          <w:iCs/>
        </w:rPr>
        <w:t>is a</w:t>
      </w:r>
      <w:r w:rsidRPr="002A4884">
        <w:rPr>
          <w:i/>
          <w:iCs/>
        </w:rPr>
        <w:t xml:space="preserve"> </w:t>
      </w:r>
      <w:r w:rsidRPr="002A4884">
        <w:t>vector of instruments for LTC expenditure</w:t>
      </w:r>
      <w:r w:rsidR="006227DB">
        <w:t xml:space="preserve"> </w:t>
      </w:r>
      <w:r w:rsidR="00C828C7">
        <w:t xml:space="preserve">which are </w:t>
      </w:r>
      <w:r w:rsidR="006227DB">
        <w:t>used here as control variables</w:t>
      </w:r>
      <w:r w:rsidRPr="002A4884">
        <w:t xml:space="preserve">, and </w:t>
      </w:r>
      <w:r w:rsidRPr="002A4884">
        <w:rPr>
          <w:rFonts w:cstheme="minorHAnsi"/>
          <w:i/>
          <w:iCs/>
        </w:rPr>
        <w:t>ξ</w:t>
      </w:r>
      <w:r w:rsidRPr="002A4884">
        <w:rPr>
          <w:rFonts w:cstheme="minorHAnsi"/>
          <w:i/>
          <w:iCs/>
          <w:vertAlign w:val="subscript"/>
        </w:rPr>
        <w:t>i</w:t>
      </w:r>
      <w:r w:rsidRPr="002A4884">
        <w:rPr>
          <w:rFonts w:cstheme="minorHAnsi"/>
          <w:i/>
          <w:iCs/>
          <w:vertAlign w:val="superscript"/>
        </w:rPr>
        <w:t>j</w:t>
      </w:r>
      <w:r w:rsidRPr="002A4884">
        <w:rPr>
          <w:rFonts w:cstheme="minorHAnsi"/>
        </w:rPr>
        <w:t xml:space="preserve"> is the error term.</w:t>
      </w:r>
      <w:r w:rsidRPr="002A4884">
        <w:t xml:space="preserve"> Like in</w:t>
      </w:r>
      <w:r w:rsidR="00050577" w:rsidRPr="002A4884">
        <w:t xml:space="preserve"> </w:t>
      </w:r>
      <w:r w:rsidR="00050577" w:rsidRPr="002A4884">
        <w:rPr>
          <w:iCs/>
        </w:rPr>
        <w:fldChar w:fldCharType="begin"/>
      </w:r>
      <w:r w:rsidR="00050577" w:rsidRPr="002A4884">
        <w:rPr>
          <w:iCs/>
        </w:rPr>
        <w:instrText xml:space="preserve"> GOTOBUTTON ZEqnNum910952  \* MERGEFORMAT </w:instrText>
      </w:r>
      <w:r w:rsidR="00050577" w:rsidRPr="002A4884">
        <w:rPr>
          <w:iCs/>
        </w:rPr>
        <w:fldChar w:fldCharType="begin"/>
      </w:r>
      <w:r w:rsidR="00050577" w:rsidRPr="002A4884">
        <w:rPr>
          <w:iCs/>
        </w:rPr>
        <w:instrText xml:space="preserve"> REF ZEqnNum910952 \* Charformat \! \* MERGEFORMAT </w:instrText>
      </w:r>
      <w:r w:rsidR="00050577" w:rsidRPr="002A4884">
        <w:rPr>
          <w:iCs/>
        </w:rPr>
        <w:fldChar w:fldCharType="separate"/>
      </w:r>
      <w:r w:rsidR="007C7B62" w:rsidRPr="007C7B62">
        <w:rPr>
          <w:iCs/>
        </w:rPr>
        <w:instrText>(18)</w:instrText>
      </w:r>
      <w:r w:rsidR="00050577" w:rsidRPr="002A4884">
        <w:rPr>
          <w:iCs/>
        </w:rPr>
        <w:fldChar w:fldCharType="end"/>
      </w:r>
      <w:r w:rsidR="00050577" w:rsidRPr="002A4884">
        <w:rPr>
          <w:iCs/>
        </w:rPr>
        <w:fldChar w:fldCharType="end"/>
      </w:r>
      <w:r w:rsidRPr="002A4884">
        <w:t xml:space="preserve">, we estimate </w:t>
      </w:r>
      <w:r w:rsidRPr="002A4884">
        <w:fldChar w:fldCharType="begin"/>
      </w:r>
      <w:r w:rsidRPr="002A4884">
        <w:instrText xml:space="preserve"> GOTOBUTTON ZEqnNum123026  \* MERGEFORMAT </w:instrText>
      </w:r>
      <w:r w:rsidR="002A7365">
        <w:fldChar w:fldCharType="begin"/>
      </w:r>
      <w:r w:rsidR="002A7365">
        <w:instrText xml:space="preserve"> REF ZEqnNum123026 \* Charformat \! \* MERGEFORMAT </w:instrText>
      </w:r>
      <w:r w:rsidR="002A7365">
        <w:fldChar w:fldCharType="separate"/>
      </w:r>
      <w:r w:rsidR="007C7B62" w:rsidRPr="002A4884">
        <w:instrText>(</w:instrText>
      </w:r>
      <w:r w:rsidR="007C7B62">
        <w:instrText>19</w:instrText>
      </w:r>
      <w:r w:rsidR="007C7B62" w:rsidRPr="002A4884">
        <w:instrText>)</w:instrText>
      </w:r>
      <w:r w:rsidR="002A7365">
        <w:fldChar w:fldCharType="end"/>
      </w:r>
      <w:r w:rsidRPr="002A4884">
        <w:fldChar w:fldCharType="end"/>
      </w:r>
      <w:r w:rsidRPr="002A4884">
        <w:t xml:space="preserve"> </w:t>
      </w:r>
      <w:r w:rsidR="007C5100">
        <w:t xml:space="preserve">with robust standard errors and </w:t>
      </w:r>
      <w:r w:rsidRPr="002A4884">
        <w:t xml:space="preserve">by weighting for LA population. The key coefficient of interest is </w:t>
      </w:r>
      <w:r w:rsidRPr="002A4884">
        <w:rPr>
          <w:rFonts w:cstheme="minorHAnsi"/>
          <w:i/>
        </w:rPr>
        <w:t>ρ</w:t>
      </w:r>
      <w:r w:rsidRPr="002A4884">
        <w:rPr>
          <w:rFonts w:cstheme="minorHAnsi"/>
          <w:i/>
          <w:vertAlign w:val="superscript"/>
        </w:rPr>
        <w:t>j</w:t>
      </w:r>
      <w:r w:rsidRPr="002A4884">
        <w:rPr>
          <w:rFonts w:cstheme="minorHAnsi"/>
        </w:rPr>
        <w:t xml:space="preserve">, and this is interpreted similarly to </w:t>
      </w:r>
      <w:r w:rsidRPr="002A4884">
        <w:rPr>
          <w:rFonts w:cstheme="minorHAnsi"/>
          <w:i/>
        </w:rPr>
        <w:t>ω</w:t>
      </w:r>
      <w:r w:rsidRPr="002A4884">
        <w:rPr>
          <w:rFonts w:cstheme="minorHAnsi"/>
          <w:i/>
          <w:vertAlign w:val="superscript"/>
        </w:rPr>
        <w:t>j</w:t>
      </w:r>
      <w:r w:rsidRPr="002A4884">
        <w:rPr>
          <w:rFonts w:cstheme="minorHAnsi"/>
        </w:rPr>
        <w:t>.</w:t>
      </w:r>
      <w:r w:rsidR="00050577" w:rsidRPr="002A4884">
        <w:rPr>
          <w:rFonts w:cstheme="minorHAnsi"/>
        </w:rPr>
        <w:t xml:space="preserve"> </w:t>
      </w:r>
      <w:r w:rsidR="00A8466F">
        <w:t>U</w:t>
      </w:r>
      <w:r w:rsidR="00050577" w:rsidRPr="002A4884">
        <w:t xml:space="preserve">sing regression </w:t>
      </w:r>
      <w:r w:rsidR="00050577" w:rsidRPr="002A4884">
        <w:rPr>
          <w:iCs/>
        </w:rPr>
        <w:fldChar w:fldCharType="begin"/>
      </w:r>
      <w:r w:rsidR="00050577" w:rsidRPr="002A4884">
        <w:rPr>
          <w:iCs/>
        </w:rPr>
        <w:instrText xml:space="preserve"> GOTOBUTTON ZEqnNum123026  \* MERGEFORMAT </w:instrText>
      </w:r>
      <w:r w:rsidR="00050577" w:rsidRPr="002A4884">
        <w:rPr>
          <w:iCs/>
        </w:rPr>
        <w:fldChar w:fldCharType="begin"/>
      </w:r>
      <w:r w:rsidR="00050577" w:rsidRPr="002A4884">
        <w:rPr>
          <w:iCs/>
        </w:rPr>
        <w:instrText xml:space="preserve"> REF ZEqnNum123026 \* Charformat \! \* MERGEFORMAT </w:instrText>
      </w:r>
      <w:r w:rsidR="00050577" w:rsidRPr="002A4884">
        <w:rPr>
          <w:iCs/>
        </w:rPr>
        <w:fldChar w:fldCharType="separate"/>
      </w:r>
      <w:r w:rsidR="007C7B62" w:rsidRPr="007C7B62">
        <w:rPr>
          <w:iCs/>
        </w:rPr>
        <w:instrText>(19)</w:instrText>
      </w:r>
      <w:r w:rsidR="00050577" w:rsidRPr="002A4884">
        <w:rPr>
          <w:iCs/>
        </w:rPr>
        <w:fldChar w:fldCharType="end"/>
      </w:r>
      <w:r w:rsidR="00050577" w:rsidRPr="002A4884">
        <w:rPr>
          <w:iCs/>
        </w:rPr>
        <w:fldChar w:fldCharType="end"/>
      </w:r>
      <w:r w:rsidR="00050577" w:rsidRPr="002A4884">
        <w:rPr>
          <w:iCs/>
        </w:rPr>
        <w:t>,</w:t>
      </w:r>
      <w:r w:rsidR="00A8466F">
        <w:rPr>
          <w:iCs/>
        </w:rPr>
        <w:t xml:space="preserve"> first, we </w:t>
      </w:r>
      <w:r w:rsidR="00A8466F" w:rsidRPr="002A4884">
        <w:rPr>
          <w:iCs/>
        </w:rPr>
        <w:t xml:space="preserve">set </w:t>
      </w:r>
      <w:r w:rsidR="00A8466F" w:rsidRPr="002A4884">
        <w:rPr>
          <w:i/>
        </w:rPr>
        <w:t>expenditure</w:t>
      </w:r>
      <w:r w:rsidR="00A8466F" w:rsidRPr="002A4884">
        <w:rPr>
          <w:i/>
          <w:vertAlign w:val="subscript"/>
        </w:rPr>
        <w:t>i</w:t>
      </w:r>
      <w:r w:rsidR="00A8466F" w:rsidRPr="002A4884">
        <w:rPr>
          <w:i/>
          <w:vertAlign w:val="superscript"/>
        </w:rPr>
        <w:t>LTCj</w:t>
      </w:r>
      <w:r w:rsidR="00A8466F" w:rsidRPr="002A4884">
        <w:t xml:space="preserve"> = </w:t>
      </w:r>
      <w:r w:rsidR="00A8466F" w:rsidRPr="002A4884">
        <w:rPr>
          <w:i/>
        </w:rPr>
        <w:t>expenditure</w:t>
      </w:r>
      <w:r w:rsidR="00A8466F" w:rsidRPr="002A4884">
        <w:rPr>
          <w:i/>
          <w:vertAlign w:val="subscript"/>
        </w:rPr>
        <w:t>i</w:t>
      </w:r>
      <w:r w:rsidR="00A8466F" w:rsidRPr="002A4884">
        <w:rPr>
          <w:i/>
          <w:vertAlign w:val="superscript"/>
        </w:rPr>
        <w:t>LTC</w:t>
      </w:r>
      <w:r w:rsidR="00050577" w:rsidRPr="002A4884">
        <w:rPr>
          <w:iCs/>
        </w:rPr>
        <w:t xml:space="preserve"> </w:t>
      </w:r>
      <w:r w:rsidR="00A8466F">
        <w:rPr>
          <w:iCs/>
        </w:rPr>
        <w:t xml:space="preserve">and test whether </w:t>
      </w:r>
      <w:r w:rsidR="0073170A">
        <w:rPr>
          <w:iCs/>
        </w:rPr>
        <w:t xml:space="preserve">the level of </w:t>
      </w:r>
      <w:r w:rsidR="00A8466F">
        <w:rPr>
          <w:iCs/>
        </w:rPr>
        <w:t xml:space="preserve">HC expenditure impacts </w:t>
      </w:r>
      <w:r w:rsidR="0073170A">
        <w:rPr>
          <w:iCs/>
        </w:rPr>
        <w:t xml:space="preserve">the level of </w:t>
      </w:r>
      <w:r w:rsidR="00A8466F">
        <w:rPr>
          <w:iCs/>
        </w:rPr>
        <w:t>LTC expenditure.</w:t>
      </w:r>
      <w:r w:rsidR="00736BFF">
        <w:rPr>
          <w:iCs/>
        </w:rPr>
        <w:t xml:space="preserve"> In this case, we refrain from </w:t>
      </w:r>
      <w:r w:rsidR="00841021">
        <w:rPr>
          <w:iCs/>
        </w:rPr>
        <w:t xml:space="preserve">making a </w:t>
      </w:r>
      <w:r w:rsidR="00736BFF">
        <w:rPr>
          <w:iCs/>
        </w:rPr>
        <w:t>hypothesis</w:t>
      </w:r>
      <w:r w:rsidR="00841021">
        <w:rPr>
          <w:iCs/>
        </w:rPr>
        <w:t xml:space="preserve"> on this </w:t>
      </w:r>
      <w:r w:rsidR="00736BFF">
        <w:rPr>
          <w:iCs/>
        </w:rPr>
        <w:t>impact since the LTC budget can be argued to be flexible</w:t>
      </w:r>
      <w:r w:rsidR="00841021">
        <w:rPr>
          <w:iCs/>
        </w:rPr>
        <w:t xml:space="preserve"> and, therefore, the response to changes in HC expenditure may vary across LAs</w:t>
      </w:r>
      <w:r w:rsidR="00736BFF">
        <w:rPr>
          <w:iCs/>
        </w:rPr>
        <w:t>.</w:t>
      </w:r>
      <w:r w:rsidR="00A8466F">
        <w:rPr>
          <w:iCs/>
        </w:rPr>
        <w:t xml:space="preserve"> Then, </w:t>
      </w:r>
      <w:r w:rsidR="001805E4" w:rsidRPr="002A4884">
        <w:t xml:space="preserve">we </w:t>
      </w:r>
      <w:r w:rsidR="00D538FE" w:rsidRPr="002A4884">
        <w:t xml:space="preserve">test whether a larger </w:t>
      </w:r>
      <w:r w:rsidR="001805E4" w:rsidRPr="002A4884">
        <w:t>HC</w:t>
      </w:r>
      <w:r w:rsidR="00D538FE" w:rsidRPr="002A4884">
        <w:t xml:space="preserve"> supply</w:t>
      </w:r>
      <w:r w:rsidR="001805E4" w:rsidRPr="002A4884">
        <w:t xml:space="preserve"> impl</w:t>
      </w:r>
      <w:r w:rsidR="00D538FE" w:rsidRPr="002A4884">
        <w:t xml:space="preserve">ies </w:t>
      </w:r>
      <w:r w:rsidR="001805E4" w:rsidRPr="002A4884">
        <w:t xml:space="preserve">lower expenditure on </w:t>
      </w:r>
      <w:r w:rsidR="00E47362" w:rsidRPr="002A4884">
        <w:t xml:space="preserve">residential and community care </w:t>
      </w:r>
      <w:r w:rsidR="001805E4" w:rsidRPr="002A4884">
        <w:fldChar w:fldCharType="begin"/>
      </w:r>
      <w:r w:rsidR="00F472F8">
        <w:instrText xml:space="preserve"> ADDIN EN.CITE &lt;EndNote&gt;&lt;Cite&gt;&lt;Author&gt;Forder&lt;/Author&gt;&lt;Year&gt;2009&lt;/Year&gt;&lt;RecNum&gt;57&lt;/RecNum&gt;&lt;DisplayText&gt;(Forder, 2009, Forder et al., 2019)&lt;/DisplayText&gt;&lt;record&gt;&lt;rec-number&gt;57&lt;/rec-number&gt;&lt;foreign-keys&gt;&lt;key app="EN" db-id="r920as25hw5rrve2fa8psvr8e0dxvzxa200s" timestamp="1572273535" guid="82cfcdef-a875-4c19-a058-1923dd6bc80c"&gt;57&lt;/key&gt;&lt;/foreign-keys&gt;&lt;ref-type name="Journal Article"&gt;17&lt;/ref-type&gt;&lt;contributors&gt;&lt;authors&gt;&lt;author&gt;Forder, Julien&lt;/author&gt;&lt;/authors&gt;&lt;/contributors&gt;&lt;titles&gt;&lt;title&gt;Long‐term care and hospital utilisation by older people: an analysis of substitution rates&lt;/title&gt;&lt;secondary-title&gt;Health Economics&lt;/secondary-title&gt;&lt;/titles&gt;&lt;periodical&gt;&lt;full-title&gt;Health economics&lt;/full-title&gt;&lt;/periodical&gt;&lt;pages&gt;1322-1338&lt;/pages&gt;&lt;volume&gt;18&lt;/volume&gt;&lt;number&gt;11&lt;/number&gt;&lt;dates&gt;&lt;year&gt;2009&lt;/year&gt;&lt;/dates&gt;&lt;isbn&gt;1057-9230&lt;/isbn&gt;&lt;urls&gt;&lt;/urls&gt;&lt;/record&gt;&lt;/Cite&gt;&lt;Cite&gt;&lt;Author&gt;Forder&lt;/Author&gt;&lt;Year&gt;2019&lt;/Year&gt;&lt;RecNum&gt;58&lt;/RecNum&gt;&lt;record&gt;&lt;rec-number&gt;58&lt;/rec-number&gt;&lt;foreign-keys&gt;&lt;key app="EN" db-id="r920as25hw5rrve2fa8psvr8e0dxvzxa200s" timestamp="1572273553" guid="e0270155-cd72-4ed3-9ef6-9b60a1d5bf89"&gt;58&lt;/key&gt;&lt;/foreign-keys&gt;&lt;ref-type name="Journal Article"&gt;17&lt;/ref-type&gt;&lt;contributors&gt;&lt;authors&gt;&lt;author&gt;Forder, Julien&lt;/author&gt;&lt;author&gt;Gousia, Katerina&lt;/author&gt;&lt;author&gt;Saloniki, Eirini-Christina&lt;/author&gt;&lt;/authors&gt;&lt;/contributors&gt;&lt;titles&gt;&lt;title&gt;The impact of long-term care on primary care doctor consultations for people over 75 years&lt;/title&gt;&lt;secondary-title&gt;The European Journal of Health Economics&lt;/secondary-title&gt;&lt;/titles&gt;&lt;periodical&gt;&lt;full-title&gt;The European Journal of Health Economics&lt;/full-title&gt;&lt;/periodical&gt;&lt;pages&gt;375-387&lt;/pages&gt;&lt;volume&gt;20&lt;/volume&gt;&lt;number&gt;3&lt;/number&gt;&lt;dates&gt;&lt;year&gt;2019&lt;/year&gt;&lt;/dates&gt;&lt;isbn&gt;1618-7598&lt;/isbn&gt;&lt;urls&gt;&lt;/urls&gt;&lt;/record&gt;&lt;/Cite&gt;&lt;/EndNote&gt;</w:instrText>
      </w:r>
      <w:r w:rsidR="001805E4" w:rsidRPr="002A4884">
        <w:fldChar w:fldCharType="separate"/>
      </w:r>
      <w:r w:rsidR="001805E4" w:rsidRPr="002A4884">
        <w:rPr>
          <w:noProof/>
        </w:rPr>
        <w:t>(Forder, 2009, Forder et al., 2019)</w:t>
      </w:r>
      <w:r w:rsidR="001805E4" w:rsidRPr="002A4884">
        <w:fldChar w:fldCharType="end"/>
      </w:r>
      <w:r w:rsidR="001805E4" w:rsidRPr="002A4884">
        <w:t xml:space="preserve">. </w:t>
      </w:r>
      <w:r w:rsidR="009B0E32">
        <w:t>Moreover, more</w:t>
      </w:r>
      <w:r w:rsidR="001805E4" w:rsidRPr="002A4884">
        <w:t xml:space="preserve"> resources </w:t>
      </w:r>
      <w:r w:rsidR="00722E3C">
        <w:t xml:space="preserve">may be </w:t>
      </w:r>
      <w:r w:rsidR="001805E4" w:rsidRPr="002A4884">
        <w:t xml:space="preserve">used on </w:t>
      </w:r>
      <w:r w:rsidR="004A7B82">
        <w:t>potentially cost-effective</w:t>
      </w:r>
      <w:r w:rsidR="001805E4" w:rsidRPr="002A4884">
        <w:t xml:space="preserve"> LTC services</w:t>
      </w:r>
      <w:r w:rsidR="00050577" w:rsidRPr="002A4884">
        <w:t xml:space="preserve"> </w:t>
      </w:r>
      <w:r w:rsidR="001805E4" w:rsidRPr="002A4884">
        <w:t xml:space="preserve">such as short-term reablement and home equipment and adaptations </w:t>
      </w:r>
      <w:r w:rsidR="001805E4" w:rsidRPr="002A4884">
        <w:fldChar w:fldCharType="begin">
          <w:fldData xml:space="preserve">PEVuZE5vdGU+PENpdGU+PEF1dGhvcj5Cb25pZmFjZTwvQXV0aG9yPjxZZWFyPjIwMTM8L1llYXI+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</w:fldData>
        </w:fldChar>
      </w:r>
      <w:r w:rsidR="00F472F8">
        <w:instrText xml:space="preserve"> ADDIN EN.CITE </w:instrText>
      </w:r>
      <w:r w:rsidR="00F472F8">
        <w:fldChar w:fldCharType="begin">
          <w:fldData xml:space="preserve">PEVuZE5vdGU+PENpdGU+PEF1dGhvcj5Cb25pZmFjZTwvQXV0aG9yPjxZZWFyPjIwMTM8L1llYXI+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</w:fldData>
        </w:fldChar>
      </w:r>
      <w:r w:rsidR="00F472F8">
        <w:instrText xml:space="preserve"> ADDIN EN.CITE.DATA </w:instrText>
      </w:r>
      <w:r w:rsidR="00F472F8">
        <w:fldChar w:fldCharType="end"/>
      </w:r>
      <w:r w:rsidR="001805E4" w:rsidRPr="002A4884">
        <w:fldChar w:fldCharType="separate"/>
      </w:r>
      <w:r w:rsidR="001805E4" w:rsidRPr="002A4884">
        <w:rPr>
          <w:noProof/>
        </w:rPr>
        <w:t>(e.g. Heywood, 2001, Boniface et al., 2013, Lewin et al., 2013)</w:t>
      </w:r>
      <w:r w:rsidR="001805E4" w:rsidRPr="002A4884">
        <w:fldChar w:fldCharType="end"/>
      </w:r>
      <w:r w:rsidR="001805E4" w:rsidRPr="002A4884">
        <w:t xml:space="preserve">. Therefore, </w:t>
      </w:r>
      <w:r w:rsidR="003C0079" w:rsidRPr="002A4884">
        <w:t xml:space="preserve">we investigate whether </w:t>
      </w:r>
      <w:r w:rsidR="001805E4" w:rsidRPr="002A4884">
        <w:t>HC expenditure</w:t>
      </w:r>
      <w:r w:rsidR="003C0079" w:rsidRPr="002A4884">
        <w:t xml:space="preserve"> impact expenditure on </w:t>
      </w:r>
      <w:r w:rsidR="00050577" w:rsidRPr="002A4884">
        <w:t xml:space="preserve">these and </w:t>
      </w:r>
      <w:r w:rsidR="000750C5" w:rsidRPr="002A4884">
        <w:t xml:space="preserve">other LTC services </w:t>
      </w:r>
      <w:r w:rsidR="00050577" w:rsidRPr="002A4884">
        <w:t xml:space="preserve">(more details about LTC services are in Section </w:t>
      </w:r>
      <w:r w:rsidR="00B63D91" w:rsidRPr="002A4884">
        <w:fldChar w:fldCharType="begin"/>
      </w:r>
      <w:r w:rsidR="00B63D91" w:rsidRPr="002A4884">
        <w:instrText xml:space="preserve"> REF _Ref61604741 \r \h  \* MERGEFORMAT </w:instrText>
      </w:r>
      <w:r w:rsidR="00B63D91" w:rsidRPr="002A4884">
        <w:fldChar w:fldCharType="separate"/>
      </w:r>
      <w:r w:rsidR="007C7B62">
        <w:t>3.1</w:t>
      </w:r>
      <w:r w:rsidR="00B63D91" w:rsidRPr="002A4884">
        <w:fldChar w:fldCharType="end"/>
      </w:r>
      <w:r w:rsidR="00050577" w:rsidRPr="002A4884">
        <w:t>).</w:t>
      </w:r>
    </w:p>
    <w:p w14:paraId="645CCF29" w14:textId="2B197FE2" w:rsidR="00671F58" w:rsidRPr="002A4884" w:rsidRDefault="00042FC5" w:rsidP="00877B11">
      <w:pPr>
        <w:pStyle w:val="Heading3"/>
      </w:pPr>
      <w:bookmarkStart w:id="24" w:name="_Ref61529171"/>
      <w:r>
        <w:t>E</w:t>
      </w:r>
      <w:r w:rsidR="00950F1F">
        <w:t>stimating</w:t>
      </w:r>
      <w:r w:rsidR="00C551E5" w:rsidRPr="002A4884">
        <w:t xml:space="preserve"> direct and indirect </w:t>
      </w:r>
      <w:r w:rsidR="009E47D1">
        <w:t xml:space="preserve">mortality </w:t>
      </w:r>
      <w:r w:rsidR="00C551E5" w:rsidRPr="002A4884">
        <w:t>effect</w:t>
      </w:r>
      <w:bookmarkEnd w:id="24"/>
    </w:p>
    <w:p w14:paraId="544DBAC2" w14:textId="31F4721E" w:rsidR="00EC2C43" w:rsidRPr="002A4884" w:rsidRDefault="00327DDC" w:rsidP="00DE2782">
      <w:pPr>
        <w:rPr>
          <w:rFonts w:cstheme="minorHAnsi"/>
        </w:rPr>
      </w:pPr>
      <w:r>
        <w:rPr>
          <w:rFonts w:cstheme="minorHAnsi"/>
        </w:rPr>
        <w:t xml:space="preserve">We are </w:t>
      </w:r>
      <w:r w:rsidRPr="00327DDC">
        <w:rPr>
          <w:rFonts w:cstheme="minorHAnsi"/>
        </w:rPr>
        <w:t xml:space="preserve">able to identify the </w:t>
      </w:r>
      <w:r w:rsidR="004D4430">
        <w:rPr>
          <w:rFonts w:cstheme="minorHAnsi"/>
        </w:rPr>
        <w:t>in</w:t>
      </w:r>
      <w:r w:rsidRPr="00327DDC">
        <w:rPr>
          <w:rFonts w:cstheme="minorHAnsi"/>
        </w:rPr>
        <w:t xml:space="preserve">direct mortality effect </w:t>
      </w:r>
      <w:r w:rsidR="004D4430">
        <w:rPr>
          <w:rFonts w:cstheme="minorHAnsi"/>
        </w:rPr>
        <w:t xml:space="preserve">of one sector running through changes in the level and composition </w:t>
      </w:r>
      <w:r w:rsidRPr="00327DDC">
        <w:rPr>
          <w:rFonts w:cstheme="minorHAnsi"/>
        </w:rPr>
        <w:t xml:space="preserve">in </w:t>
      </w:r>
      <w:r w:rsidR="004D4430">
        <w:rPr>
          <w:rFonts w:cstheme="minorHAnsi"/>
        </w:rPr>
        <w:t xml:space="preserve">the </w:t>
      </w:r>
      <w:r w:rsidRPr="00327DDC">
        <w:rPr>
          <w:rFonts w:cstheme="minorHAnsi"/>
        </w:rPr>
        <w:t>o</w:t>
      </w:r>
      <w:r w:rsidR="004D4430">
        <w:rPr>
          <w:rFonts w:cstheme="minorHAnsi"/>
        </w:rPr>
        <w:t>ther</w:t>
      </w:r>
      <w:r w:rsidRPr="00327DDC">
        <w:rPr>
          <w:rFonts w:cstheme="minorHAnsi"/>
        </w:rPr>
        <w:t xml:space="preserve"> sector by controlling for the</w:t>
      </w:r>
      <w:r w:rsidR="004D4430">
        <w:rPr>
          <w:rFonts w:cstheme="minorHAnsi"/>
        </w:rPr>
        <w:t>se</w:t>
      </w:r>
      <w:r w:rsidRPr="00327DDC">
        <w:rPr>
          <w:rFonts w:cstheme="minorHAnsi"/>
        </w:rPr>
        <w:t xml:space="preserve"> change</w:t>
      </w:r>
      <w:r w:rsidR="004D4430">
        <w:rPr>
          <w:rFonts w:cstheme="minorHAnsi"/>
        </w:rPr>
        <w:t>s.</w:t>
      </w:r>
      <w:r w:rsidR="00B24351">
        <w:rPr>
          <w:iCs/>
        </w:rPr>
        <w:t xml:space="preserve"> If there is no other unobserved factor relating to the possible channels for the indirect mortality effects, then we can also identify the direct mortality effect in each sector.</w:t>
      </w:r>
      <w:r w:rsidRPr="00327DDC">
        <w:rPr>
          <w:rFonts w:cstheme="minorHAnsi"/>
        </w:rPr>
        <w:t xml:space="preserve"> </w:t>
      </w:r>
      <w:r>
        <w:rPr>
          <w:rFonts w:cstheme="minorHAnsi"/>
        </w:rPr>
        <w:t>A</w:t>
      </w:r>
      <w:r w:rsidR="008C61D6">
        <w:rPr>
          <w:rFonts w:cstheme="minorHAnsi"/>
        </w:rPr>
        <w:t xml:space="preserve"> fixed HC budget</w:t>
      </w:r>
      <w:r>
        <w:rPr>
          <w:rFonts w:cstheme="minorHAnsi"/>
        </w:rPr>
        <w:t xml:space="preserve"> suggests that</w:t>
      </w:r>
      <w:r w:rsidR="008C61D6">
        <w:rPr>
          <w:rFonts w:cstheme="minorHAnsi"/>
        </w:rPr>
        <w:t xml:space="preserve"> </w:t>
      </w:r>
      <w:r w:rsidR="00EF5AA2">
        <w:rPr>
          <w:rFonts w:cstheme="minorHAnsi"/>
        </w:rPr>
        <w:t xml:space="preserve">any effect of </w:t>
      </w:r>
      <w:r w:rsidR="000E6F29">
        <w:rPr>
          <w:rFonts w:cstheme="minorHAnsi"/>
        </w:rPr>
        <w:t xml:space="preserve">LTC expenditure </w:t>
      </w:r>
      <w:r>
        <w:rPr>
          <w:rFonts w:cstheme="minorHAnsi"/>
        </w:rPr>
        <w:t xml:space="preserve">will be </w:t>
      </w:r>
      <w:r w:rsidR="000E6F29">
        <w:rPr>
          <w:rFonts w:cstheme="minorHAnsi"/>
        </w:rPr>
        <w:t xml:space="preserve">to increase </w:t>
      </w:r>
      <w:r w:rsidR="00BE5DB8">
        <w:rPr>
          <w:rFonts w:cstheme="minorHAnsi"/>
        </w:rPr>
        <w:t xml:space="preserve">some sub-components of HC </w:t>
      </w:r>
      <w:r w:rsidR="00BE5DB8">
        <w:rPr>
          <w:rFonts w:cstheme="minorHAnsi"/>
        </w:rPr>
        <w:lastRenderedPageBreak/>
        <w:t xml:space="preserve">expenditure </w:t>
      </w:r>
      <w:r w:rsidR="000E6F29">
        <w:rPr>
          <w:rFonts w:cstheme="minorHAnsi"/>
        </w:rPr>
        <w:t xml:space="preserve">and </w:t>
      </w:r>
      <w:r w:rsidR="00BE5DB8">
        <w:rPr>
          <w:rFonts w:cstheme="minorHAnsi"/>
        </w:rPr>
        <w:t>decrease some other</w:t>
      </w:r>
      <w:r w:rsidR="000E6F29">
        <w:rPr>
          <w:rFonts w:cstheme="minorHAnsi"/>
        </w:rPr>
        <w:t>s</w:t>
      </w:r>
      <w:r>
        <w:rPr>
          <w:rFonts w:cstheme="minorHAnsi"/>
        </w:rPr>
        <w:t>,</w:t>
      </w:r>
      <w:r w:rsidR="00BE5DB8">
        <w:rPr>
          <w:rFonts w:cstheme="minorHAnsi"/>
        </w:rPr>
        <w:t xml:space="preserve"> </w:t>
      </w:r>
      <w:r w:rsidR="000E6F29">
        <w:rPr>
          <w:rFonts w:cstheme="minorHAnsi"/>
        </w:rPr>
        <w:t xml:space="preserve">such that the level of </w:t>
      </w:r>
      <w:r w:rsidR="00BE5DB8">
        <w:rPr>
          <w:rFonts w:cstheme="minorHAnsi"/>
        </w:rPr>
        <w:t>HC expenditure</w:t>
      </w:r>
      <w:r w:rsidR="003D7977">
        <w:rPr>
          <w:rFonts w:cstheme="minorHAnsi"/>
        </w:rPr>
        <w:t xml:space="preserve"> </w:t>
      </w:r>
      <w:r w:rsidR="005B0A82">
        <w:rPr>
          <w:rFonts w:cstheme="minorHAnsi"/>
        </w:rPr>
        <w:t xml:space="preserve">remains </w:t>
      </w:r>
      <w:r w:rsidR="003D7977">
        <w:rPr>
          <w:rFonts w:cstheme="minorHAnsi"/>
        </w:rPr>
        <w:t>constant</w:t>
      </w:r>
      <w:r w:rsidR="00BE5DB8">
        <w:rPr>
          <w:rFonts w:cstheme="minorHAnsi"/>
        </w:rPr>
        <w:t xml:space="preserve">. </w:t>
      </w:r>
      <w:r w:rsidR="00395D4A">
        <w:rPr>
          <w:rFonts w:cstheme="minorHAnsi"/>
        </w:rPr>
        <w:t xml:space="preserve">In this case, </w:t>
      </w:r>
      <w:r w:rsidR="00D538FE" w:rsidRPr="002A4884">
        <w:rPr>
          <w:rFonts w:cstheme="minorHAnsi"/>
        </w:rPr>
        <w:t xml:space="preserve">regression </w:t>
      </w:r>
      <w:r w:rsidR="00D538FE" w:rsidRPr="002A4884">
        <w:rPr>
          <w:rFonts w:cstheme="minorHAnsi"/>
        </w:rPr>
        <w:fldChar w:fldCharType="begin"/>
      </w:r>
      <w:r w:rsidR="00D538FE" w:rsidRPr="002A4884">
        <w:rPr>
          <w:rFonts w:cstheme="minorHAnsi"/>
        </w:rPr>
        <w:instrText xml:space="preserve"> GOTOBUTTON ZEqnNum977296  \* MERGEFORMAT </w:instrText>
      </w:r>
      <w:r w:rsidR="00D538FE" w:rsidRPr="002A4884">
        <w:rPr>
          <w:rFonts w:cstheme="minorHAnsi"/>
        </w:rPr>
        <w:fldChar w:fldCharType="begin"/>
      </w:r>
      <w:r w:rsidR="00D538FE" w:rsidRPr="002A4884">
        <w:rPr>
          <w:rFonts w:cstheme="minorHAnsi"/>
        </w:rPr>
        <w:instrText xml:space="preserve"> REF ZEqnNum977296 \* Charformat \! \* MERGEFORMAT </w:instrText>
      </w:r>
      <w:r w:rsidR="00D538FE" w:rsidRPr="002A4884">
        <w:rPr>
          <w:rFonts w:cstheme="minorHAnsi"/>
        </w:rPr>
        <w:fldChar w:fldCharType="separate"/>
      </w:r>
      <w:r w:rsidR="007C7B62" w:rsidRPr="007C7B62">
        <w:rPr>
          <w:rFonts w:cstheme="minorHAnsi"/>
        </w:rPr>
        <w:instrText>(14)</w:instrText>
      </w:r>
      <w:r w:rsidR="00D538FE" w:rsidRPr="002A4884">
        <w:rPr>
          <w:rFonts w:cstheme="minorHAnsi"/>
        </w:rPr>
        <w:fldChar w:fldCharType="end"/>
      </w:r>
      <w:r w:rsidR="00D538FE" w:rsidRPr="002A4884">
        <w:rPr>
          <w:rFonts w:cstheme="minorHAnsi"/>
        </w:rPr>
        <w:fldChar w:fldCharType="end"/>
      </w:r>
      <w:r w:rsidR="00D538FE" w:rsidRPr="002A4884">
        <w:rPr>
          <w:rFonts w:cstheme="minorHAnsi"/>
        </w:rPr>
        <w:t xml:space="preserve"> </w:t>
      </w:r>
      <w:r w:rsidR="00395D4A">
        <w:rPr>
          <w:rFonts w:cstheme="minorHAnsi"/>
        </w:rPr>
        <w:t xml:space="preserve">would be </w:t>
      </w:r>
      <w:r w:rsidR="00D538FE" w:rsidRPr="002A4884">
        <w:rPr>
          <w:rFonts w:cstheme="minorHAnsi"/>
        </w:rPr>
        <w:t xml:space="preserve">unable to disentangle </w:t>
      </w:r>
      <w:r w:rsidR="00942808">
        <w:rPr>
          <w:rFonts w:cstheme="minorHAnsi"/>
        </w:rPr>
        <w:t xml:space="preserve">LTC </w:t>
      </w:r>
      <w:r w:rsidR="000D6095" w:rsidRPr="002A4884">
        <w:rPr>
          <w:rFonts w:cstheme="minorHAnsi"/>
          <w:iCs/>
        </w:rPr>
        <w:t>direct</w:t>
      </w:r>
      <w:r w:rsidR="00D538FE" w:rsidRPr="002A4884">
        <w:rPr>
          <w:rFonts w:cstheme="minorHAnsi"/>
        </w:rPr>
        <w:t xml:space="preserve"> and </w:t>
      </w:r>
      <w:r w:rsidR="000D6095" w:rsidRPr="002A4884">
        <w:rPr>
          <w:rFonts w:cstheme="minorHAnsi"/>
          <w:iCs/>
        </w:rPr>
        <w:t>indirect</w:t>
      </w:r>
      <w:r w:rsidR="00D538FE" w:rsidRPr="002A4884">
        <w:rPr>
          <w:rFonts w:cstheme="minorHAnsi"/>
        </w:rPr>
        <w:t xml:space="preserve"> </w:t>
      </w:r>
      <w:r w:rsidR="009E47D1">
        <w:rPr>
          <w:rFonts w:cstheme="minorHAnsi"/>
        </w:rPr>
        <w:t xml:space="preserve">mortality </w:t>
      </w:r>
      <w:r w:rsidR="00D538FE" w:rsidRPr="002A4884">
        <w:rPr>
          <w:rFonts w:cstheme="minorHAnsi"/>
        </w:rPr>
        <w:t>effect</w:t>
      </w:r>
      <w:r w:rsidR="00D43879">
        <w:rPr>
          <w:rFonts w:cstheme="minorHAnsi"/>
        </w:rPr>
        <w:t xml:space="preserve"> by controlling only for the level of HC expenditure</w:t>
      </w:r>
      <w:r w:rsidR="008C61D6">
        <w:rPr>
          <w:rFonts w:cstheme="minorHAnsi"/>
        </w:rPr>
        <w:t xml:space="preserve">. </w:t>
      </w:r>
      <w:r w:rsidR="00D82FCD">
        <w:rPr>
          <w:rFonts w:cstheme="minorHAnsi"/>
        </w:rPr>
        <w:t>T</w:t>
      </w:r>
      <w:r w:rsidR="00682AB8">
        <w:rPr>
          <w:rFonts w:cstheme="minorHAnsi"/>
        </w:rPr>
        <w:t>herefore, t</w:t>
      </w:r>
      <w:r w:rsidR="00D82FCD">
        <w:rPr>
          <w:rFonts w:cstheme="minorHAnsi"/>
        </w:rPr>
        <w:t xml:space="preserve">o </w:t>
      </w:r>
      <w:r w:rsidR="000E6F29">
        <w:rPr>
          <w:rFonts w:cstheme="minorHAnsi"/>
        </w:rPr>
        <w:t xml:space="preserve">estimate the LTC direct mortality effect, we account </w:t>
      </w:r>
      <w:r w:rsidR="001A466A">
        <w:rPr>
          <w:rFonts w:cstheme="minorHAnsi"/>
        </w:rPr>
        <w:t>for change</w:t>
      </w:r>
      <w:r w:rsidR="00CC75FB">
        <w:rPr>
          <w:rFonts w:cstheme="minorHAnsi"/>
        </w:rPr>
        <w:t>s</w:t>
      </w:r>
      <w:r w:rsidR="001A466A">
        <w:rPr>
          <w:rFonts w:cstheme="minorHAnsi"/>
        </w:rPr>
        <w:t xml:space="preserve"> in the composition of HC expenditure</w:t>
      </w:r>
      <w:r w:rsidR="000E6F29">
        <w:rPr>
          <w:rFonts w:cstheme="minorHAnsi"/>
        </w:rPr>
        <w:t xml:space="preserve"> through</w:t>
      </w:r>
      <w:r w:rsidR="001A466A">
        <w:rPr>
          <w:rFonts w:cstheme="minorHAnsi"/>
        </w:rPr>
        <w:t xml:space="preserve"> </w:t>
      </w:r>
      <w:r w:rsidR="00EC2C43" w:rsidRPr="002A4884">
        <w:rPr>
          <w:rFonts w:cstheme="minorHAnsi"/>
        </w:rPr>
        <w:t>the following regression:</w:t>
      </w:r>
    </w:p>
    <w:p w14:paraId="6A7C2BAF" w14:textId="7422E6BD" w:rsidR="00EC2C43" w:rsidRPr="002A4884" w:rsidRDefault="00EC2C43" w:rsidP="00EC2C43">
      <w:pPr>
        <w:pStyle w:val="MTDisplayEquation"/>
      </w:pPr>
      <w:r w:rsidRPr="002A4884">
        <w:tab/>
      </w:r>
      <w:r w:rsidR="00357B9F" w:rsidRPr="002A4884">
        <w:rPr>
          <w:position w:val="-18"/>
        </w:rPr>
        <w:object w:dxaOrig="7600" w:dyaOrig="480" w14:anchorId="7B18337D">
          <v:shape id="_x0000_i1050" type="#_x0000_t75" style="width:381pt;height:24.6pt" o:ole="">
            <v:imagedata r:id="rId58" o:title=""/>
          </v:shape>
          <o:OLEObject Type="Embed" ProgID="Equation.DSMT4" ShapeID="_x0000_i1050" DrawAspect="Content" ObjectID="_1736065866" r:id="rId59"/>
        </w:object>
      </w:r>
      <w:r w:rsidRPr="002A4884">
        <w:t xml:space="preserve"> </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25" w:name="ZEqnNum133350"/>
      <w:r w:rsidRPr="002A4884">
        <w:instrText>(</w:instrText>
      </w:r>
      <w:r w:rsidR="002A7365">
        <w:fldChar w:fldCharType="begin"/>
      </w:r>
      <w:r w:rsidR="002A7365">
        <w:instrText xml:space="preserve"> SEQ MTEqn \c \*</w:instrText>
      </w:r>
      <w:r w:rsidR="002A7365">
        <w:instrText xml:space="preserve"> Arabic \* MERGEFORMAT </w:instrText>
      </w:r>
      <w:r w:rsidR="002A7365">
        <w:fldChar w:fldCharType="separate"/>
      </w:r>
      <w:r w:rsidR="007C7B62">
        <w:rPr>
          <w:noProof/>
        </w:rPr>
        <w:instrText>20</w:instrText>
      </w:r>
      <w:r w:rsidR="002A7365">
        <w:rPr>
          <w:noProof/>
        </w:rPr>
        <w:fldChar w:fldCharType="end"/>
      </w:r>
      <w:r w:rsidRPr="002A4884">
        <w:instrText>)</w:instrText>
      </w:r>
      <w:bookmarkEnd w:id="25"/>
      <w:r w:rsidRPr="002A4884">
        <w:fldChar w:fldCharType="end"/>
      </w:r>
    </w:p>
    <w:p w14:paraId="6E70D876" w14:textId="2409D1B0" w:rsidR="00006558" w:rsidRDefault="00EC2C43" w:rsidP="00B14797">
      <w:pPr>
        <w:rPr>
          <w:rFonts w:cstheme="minorHAnsi"/>
        </w:rPr>
      </w:pPr>
      <w:r w:rsidRPr="002A4884">
        <w:t xml:space="preserve">where </w:t>
      </w:r>
      <w:r w:rsidRPr="002A4884">
        <w:rPr>
          <w:i/>
        </w:rPr>
        <w:t>expenditure</w:t>
      </w:r>
      <w:r w:rsidRPr="002A4884">
        <w:rPr>
          <w:i/>
          <w:vertAlign w:val="subscript"/>
        </w:rPr>
        <w:t>i</w:t>
      </w:r>
      <w:r w:rsidRPr="002A4884">
        <w:rPr>
          <w:i/>
          <w:vertAlign w:val="superscript"/>
        </w:rPr>
        <w:t>HC</w:t>
      </w:r>
      <w:r w:rsidR="00357B9F" w:rsidRPr="002A4884">
        <w:rPr>
          <w:i/>
          <w:vertAlign w:val="superscript"/>
        </w:rPr>
        <w:t>k</w:t>
      </w:r>
      <w:r w:rsidR="00B14797" w:rsidRPr="002A4884">
        <w:t xml:space="preserve"> </w:t>
      </w:r>
      <w:r w:rsidR="001A466A">
        <w:t xml:space="preserve">is a </w:t>
      </w:r>
      <w:r w:rsidRPr="002A4884">
        <w:t xml:space="preserve">vector </w:t>
      </w:r>
      <w:r w:rsidR="001A466A">
        <w:t>including two variables capturing the sub-components of HC expenditure</w:t>
      </w:r>
      <w:r w:rsidR="00226D57">
        <w:t xml:space="preserve"> per capita</w:t>
      </w:r>
      <w:r w:rsidR="001A466A">
        <w:t xml:space="preserve"> that decrease and increase, respectively, in response to a change in LTC expenditure</w:t>
      </w:r>
      <w:r w:rsidR="00226D57">
        <w:t xml:space="preserve"> per user</w:t>
      </w:r>
      <w:r w:rsidR="001A466A">
        <w:t xml:space="preserve">. </w:t>
      </w:r>
      <w:r w:rsidR="00B14797" w:rsidRPr="002A4884">
        <w:t>We estimate th</w:t>
      </w:r>
      <w:r w:rsidR="00682AB8">
        <w:t xml:space="preserve">is </w:t>
      </w:r>
      <w:r w:rsidR="00B14797" w:rsidRPr="002A4884">
        <w:t>regression by 2SLS</w:t>
      </w:r>
      <w:r w:rsidR="00682AB8">
        <w:t xml:space="preserve"> with </w:t>
      </w:r>
      <w:r w:rsidR="00682AB8" w:rsidRPr="002A4884">
        <w:t>robust standard errors</w:t>
      </w:r>
      <w:r w:rsidR="00BD7909">
        <w:t>,</w:t>
      </w:r>
      <w:r w:rsidR="00B14797" w:rsidRPr="002A4884">
        <w:t xml:space="preserve"> weighting for LA population. </w:t>
      </w:r>
      <w:r w:rsidR="00EF4857" w:rsidRPr="002A4884">
        <w:rPr>
          <w:rFonts w:cstheme="minorHAnsi"/>
        </w:rPr>
        <w:t>O</w:t>
      </w:r>
      <w:r w:rsidR="00E12C97" w:rsidRPr="002A4884">
        <w:rPr>
          <w:rFonts w:cstheme="minorHAnsi"/>
        </w:rPr>
        <w:t xml:space="preserve">nce </w:t>
      </w:r>
      <w:r w:rsidR="001A466A">
        <w:rPr>
          <w:rFonts w:cstheme="minorHAnsi"/>
        </w:rPr>
        <w:t>change</w:t>
      </w:r>
      <w:r w:rsidR="00BE0C21">
        <w:rPr>
          <w:rFonts w:cstheme="minorHAnsi"/>
        </w:rPr>
        <w:t>s</w:t>
      </w:r>
      <w:r w:rsidR="001A466A">
        <w:rPr>
          <w:rFonts w:cstheme="minorHAnsi"/>
        </w:rPr>
        <w:t xml:space="preserve"> in the composition of HC expenditure</w:t>
      </w:r>
      <w:r w:rsidR="00226D57">
        <w:rPr>
          <w:rFonts w:cstheme="minorHAnsi"/>
        </w:rPr>
        <w:t xml:space="preserve"> </w:t>
      </w:r>
      <w:r w:rsidR="00320AD3">
        <w:rPr>
          <w:rFonts w:cstheme="minorHAnsi"/>
        </w:rPr>
        <w:t>are</w:t>
      </w:r>
      <w:r w:rsidR="00DF7E3D" w:rsidRPr="002A4884">
        <w:rPr>
          <w:rFonts w:cstheme="minorHAnsi"/>
        </w:rPr>
        <w:t xml:space="preserve"> accounted</w:t>
      </w:r>
      <w:r w:rsidR="00B14797" w:rsidRPr="002A4884">
        <w:rPr>
          <w:rFonts w:cstheme="minorHAnsi"/>
        </w:rPr>
        <w:t xml:space="preserve"> for</w:t>
      </w:r>
      <w:r w:rsidR="0061030C" w:rsidRPr="002A4884">
        <w:rPr>
          <w:rFonts w:cstheme="minorHAnsi"/>
        </w:rPr>
        <w:t xml:space="preserve">, </w:t>
      </w:r>
      <w:r w:rsidR="00B14797" w:rsidRPr="002A4884">
        <w:rPr>
          <w:rFonts w:cstheme="minorHAnsi"/>
          <w:i/>
        </w:rPr>
        <w:t>γ</w:t>
      </w:r>
      <w:r w:rsidR="00DE1521" w:rsidRPr="002A4884">
        <w:rPr>
          <w:rFonts w:cstheme="minorHAnsi"/>
          <w:i/>
          <w:vertAlign w:val="subscript"/>
        </w:rPr>
        <w:t>3</w:t>
      </w:r>
      <w:r w:rsidR="00B14797" w:rsidRPr="002A4884">
        <w:rPr>
          <w:rFonts w:cstheme="minorHAnsi"/>
          <w:iCs/>
        </w:rPr>
        <w:t xml:space="preserve"> </w:t>
      </w:r>
      <w:r w:rsidR="0061030C" w:rsidRPr="002A4884">
        <w:rPr>
          <w:rFonts w:cstheme="minorHAnsi"/>
          <w:iCs/>
        </w:rPr>
        <w:t xml:space="preserve">in </w:t>
      </w:r>
      <w:r w:rsidR="0061030C" w:rsidRPr="002A4884">
        <w:rPr>
          <w:rFonts w:cstheme="minorHAnsi"/>
        </w:rPr>
        <w:fldChar w:fldCharType="begin"/>
      </w:r>
      <w:r w:rsidR="0061030C" w:rsidRPr="002A4884">
        <w:rPr>
          <w:rFonts w:cstheme="minorHAnsi"/>
        </w:rPr>
        <w:instrText xml:space="preserve"> GOTOBUTTON ZEqnNum133350  \* MERGEFORMAT </w:instrText>
      </w:r>
      <w:r w:rsidR="0061030C" w:rsidRPr="002A4884">
        <w:rPr>
          <w:rFonts w:cstheme="minorHAnsi"/>
        </w:rPr>
        <w:fldChar w:fldCharType="begin"/>
      </w:r>
      <w:r w:rsidR="0061030C" w:rsidRPr="002A4884">
        <w:rPr>
          <w:rFonts w:cstheme="minorHAnsi"/>
        </w:rPr>
        <w:instrText xml:space="preserve"> REF ZEqnNum133350 \* Charformat \! \* MERGEFORMAT </w:instrText>
      </w:r>
      <w:r w:rsidR="0061030C" w:rsidRPr="002A4884">
        <w:rPr>
          <w:rFonts w:cstheme="minorHAnsi"/>
        </w:rPr>
        <w:fldChar w:fldCharType="separate"/>
      </w:r>
      <w:r w:rsidR="007C7B62" w:rsidRPr="007C7B62">
        <w:rPr>
          <w:rFonts w:cstheme="minorHAnsi"/>
        </w:rPr>
        <w:instrText>(20)</w:instrText>
      </w:r>
      <w:r w:rsidR="0061030C" w:rsidRPr="002A4884">
        <w:rPr>
          <w:rFonts w:cstheme="minorHAnsi"/>
        </w:rPr>
        <w:fldChar w:fldCharType="end"/>
      </w:r>
      <w:r w:rsidR="0061030C" w:rsidRPr="002A4884">
        <w:rPr>
          <w:rFonts w:cstheme="minorHAnsi"/>
        </w:rPr>
        <w:fldChar w:fldCharType="end"/>
      </w:r>
      <w:r w:rsidR="00D31DFE">
        <w:rPr>
          <w:rFonts w:cstheme="minorHAnsi"/>
        </w:rPr>
        <w:t xml:space="preserve"> </w:t>
      </w:r>
      <w:r w:rsidR="00B14797" w:rsidRPr="002A4884">
        <w:rPr>
          <w:rFonts w:cstheme="minorHAnsi"/>
        </w:rPr>
        <w:t>capture</w:t>
      </w:r>
      <w:r w:rsidR="001A466A">
        <w:rPr>
          <w:rFonts w:cstheme="minorHAnsi"/>
        </w:rPr>
        <w:t>s</w:t>
      </w:r>
      <w:r w:rsidR="00B14797" w:rsidRPr="002A4884">
        <w:rPr>
          <w:rFonts w:cstheme="minorHAnsi"/>
        </w:rPr>
        <w:t xml:space="preserve"> the </w:t>
      </w:r>
      <w:r w:rsidR="003C2CF7">
        <w:rPr>
          <w:rFonts w:cstheme="minorHAnsi"/>
        </w:rPr>
        <w:t xml:space="preserve">LTC </w:t>
      </w:r>
      <w:r w:rsidR="000D6095" w:rsidRPr="002A4884">
        <w:rPr>
          <w:rFonts w:cstheme="minorHAnsi"/>
          <w:iCs/>
        </w:rPr>
        <w:t>direct</w:t>
      </w:r>
      <w:r w:rsidR="00B14797" w:rsidRPr="002A4884">
        <w:rPr>
          <w:rFonts w:cstheme="minorHAnsi"/>
        </w:rPr>
        <w:t xml:space="preserve"> </w:t>
      </w:r>
      <w:r w:rsidR="001A466A">
        <w:rPr>
          <w:rFonts w:cstheme="minorHAnsi"/>
        </w:rPr>
        <w:t xml:space="preserve">mortality </w:t>
      </w:r>
      <w:r w:rsidR="00B14797" w:rsidRPr="002A4884">
        <w:rPr>
          <w:rFonts w:cstheme="minorHAnsi"/>
        </w:rPr>
        <w:t>effect</w:t>
      </w:r>
      <w:r w:rsidR="005B0A82">
        <w:rPr>
          <w:rFonts w:cstheme="minorHAnsi"/>
        </w:rPr>
        <w:t xml:space="preserve"> </w:t>
      </w:r>
      <w:r w:rsidR="00942808">
        <w:rPr>
          <w:rFonts w:cstheme="minorHAnsi"/>
        </w:rPr>
        <w:t xml:space="preserve">if </w:t>
      </w:r>
      <w:r w:rsidR="00062DA4">
        <w:rPr>
          <w:rFonts w:cstheme="minorHAnsi"/>
        </w:rPr>
        <w:t xml:space="preserve">there is </w:t>
      </w:r>
      <w:r w:rsidR="00942808">
        <w:rPr>
          <w:rFonts w:cstheme="minorHAnsi"/>
        </w:rPr>
        <w:t xml:space="preserve">no other </w:t>
      </w:r>
      <w:r w:rsidR="00DE7952">
        <w:rPr>
          <w:rFonts w:cstheme="minorHAnsi"/>
        </w:rPr>
        <w:t xml:space="preserve">unobserved </w:t>
      </w:r>
      <w:r w:rsidR="00062DA4">
        <w:rPr>
          <w:rFonts w:cstheme="minorHAnsi"/>
        </w:rPr>
        <w:t xml:space="preserve">factor relating to the </w:t>
      </w:r>
      <w:r w:rsidR="00942808">
        <w:rPr>
          <w:rFonts w:cstheme="minorHAnsi"/>
        </w:rPr>
        <w:t xml:space="preserve">channels </w:t>
      </w:r>
      <w:r w:rsidR="00062DA4">
        <w:rPr>
          <w:rFonts w:cstheme="minorHAnsi"/>
        </w:rPr>
        <w:t xml:space="preserve">for </w:t>
      </w:r>
      <w:r w:rsidR="00942808" w:rsidRPr="002A4884">
        <w:rPr>
          <w:rFonts w:cstheme="minorHAnsi"/>
        </w:rPr>
        <w:t xml:space="preserve">the </w:t>
      </w:r>
      <w:r w:rsidR="00942808">
        <w:rPr>
          <w:rFonts w:cstheme="minorHAnsi"/>
        </w:rPr>
        <w:t xml:space="preserve">LTC </w:t>
      </w:r>
      <w:r w:rsidR="00942808" w:rsidRPr="002A4884">
        <w:rPr>
          <w:rFonts w:cstheme="minorHAnsi"/>
        </w:rPr>
        <w:t xml:space="preserve">indirect </w:t>
      </w:r>
      <w:r w:rsidR="00942808">
        <w:rPr>
          <w:rFonts w:cstheme="minorHAnsi"/>
        </w:rPr>
        <w:t xml:space="preserve">mortality </w:t>
      </w:r>
      <w:r w:rsidR="00942808" w:rsidRPr="002A4884">
        <w:rPr>
          <w:rFonts w:cstheme="minorHAnsi"/>
        </w:rPr>
        <w:t>effect</w:t>
      </w:r>
      <w:r w:rsidR="00B14797" w:rsidRPr="002A4884">
        <w:rPr>
          <w:rFonts w:cstheme="minorHAnsi"/>
        </w:rPr>
        <w:t>.</w:t>
      </w:r>
      <w:r w:rsidR="007F7986">
        <w:rPr>
          <w:rFonts w:cstheme="minorHAnsi"/>
        </w:rPr>
        <w:t xml:space="preserve"> </w:t>
      </w:r>
      <w:r w:rsidR="006F69EE">
        <w:rPr>
          <w:rFonts w:cstheme="minorHAnsi"/>
        </w:rPr>
        <w:t>Equation</w:t>
      </w:r>
      <w:r w:rsidR="007F7986">
        <w:rPr>
          <w:rFonts w:cstheme="minorHAnsi"/>
        </w:rPr>
        <w:t xml:space="preserve"> </w:t>
      </w:r>
      <w:r w:rsidR="007F7986">
        <w:rPr>
          <w:rFonts w:cstheme="minorHAnsi"/>
        </w:rPr>
        <w:fldChar w:fldCharType="begin"/>
      </w:r>
      <w:r w:rsidR="007F7986">
        <w:rPr>
          <w:rFonts w:cstheme="minorHAnsi"/>
        </w:rPr>
        <w:instrText xml:space="preserve"> GOTOBUTTON ZEqnNum572985  \* MERGEFORMAT </w:instrText>
      </w:r>
      <w:r w:rsidR="007F7986">
        <w:rPr>
          <w:rFonts w:cstheme="minorHAnsi"/>
        </w:rPr>
        <w:fldChar w:fldCharType="begin"/>
      </w:r>
      <w:r w:rsidR="007F7986">
        <w:rPr>
          <w:rFonts w:cstheme="minorHAnsi"/>
        </w:rPr>
        <w:instrText xml:space="preserve"> REF ZEqnNum572985 \* Charformat \! \* MERGEFORMAT </w:instrText>
      </w:r>
      <w:r w:rsidR="007F7986">
        <w:rPr>
          <w:rFonts w:cstheme="minorHAnsi"/>
        </w:rPr>
        <w:fldChar w:fldCharType="separate"/>
      </w:r>
      <w:r w:rsidR="007C7B62" w:rsidRPr="007C7B62">
        <w:rPr>
          <w:rFonts w:cstheme="minorHAnsi"/>
        </w:rPr>
        <w:instrText>(9)</w:instrText>
      </w:r>
      <w:r w:rsidR="007F7986">
        <w:rPr>
          <w:rFonts w:cstheme="minorHAnsi"/>
        </w:rPr>
        <w:fldChar w:fldCharType="end"/>
      </w:r>
      <w:r w:rsidR="007F7986">
        <w:rPr>
          <w:rFonts w:cstheme="minorHAnsi"/>
        </w:rPr>
        <w:fldChar w:fldCharType="end"/>
      </w:r>
      <w:r w:rsidR="00CD7813">
        <w:rPr>
          <w:rFonts w:cstheme="minorHAnsi"/>
        </w:rPr>
        <w:t xml:space="preserve"> in Section </w:t>
      </w:r>
      <w:r w:rsidR="00CD7813">
        <w:rPr>
          <w:rFonts w:cstheme="minorHAnsi"/>
        </w:rPr>
        <w:fldChar w:fldCharType="begin"/>
      </w:r>
      <w:r w:rsidR="00CD7813">
        <w:rPr>
          <w:rFonts w:cstheme="minorHAnsi"/>
        </w:rPr>
        <w:instrText xml:space="preserve"> REF _Ref61441293 \r \h </w:instrText>
      </w:r>
      <w:r w:rsidR="00CD7813">
        <w:rPr>
          <w:rFonts w:cstheme="minorHAnsi"/>
        </w:rPr>
      </w:r>
      <w:r w:rsidR="00CD7813">
        <w:rPr>
          <w:rFonts w:cstheme="minorHAnsi"/>
        </w:rPr>
        <w:fldChar w:fldCharType="separate"/>
      </w:r>
      <w:r w:rsidR="007C7B62">
        <w:rPr>
          <w:rFonts w:cstheme="minorHAnsi"/>
        </w:rPr>
        <w:t>1.2</w:t>
      </w:r>
      <w:r w:rsidR="00CD7813">
        <w:rPr>
          <w:rFonts w:cstheme="minorHAnsi"/>
        </w:rPr>
        <w:fldChar w:fldCharType="end"/>
      </w:r>
      <w:r w:rsidR="006F69EE">
        <w:rPr>
          <w:rFonts w:cstheme="minorHAnsi"/>
        </w:rPr>
        <w:t xml:space="preserve"> indicates </w:t>
      </w:r>
      <w:r w:rsidR="007F7986">
        <w:rPr>
          <w:rFonts w:cstheme="minorHAnsi"/>
        </w:rPr>
        <w:t xml:space="preserve">that </w:t>
      </w:r>
      <w:r w:rsidR="007F7986" w:rsidRPr="002A4884">
        <w:rPr>
          <w:rFonts w:cstheme="minorHAnsi"/>
          <w:i/>
        </w:rPr>
        <w:t>γ</w:t>
      </w:r>
      <w:r w:rsidR="007F7986" w:rsidRPr="002A4884">
        <w:rPr>
          <w:rFonts w:cstheme="minorHAnsi"/>
          <w:i/>
          <w:vertAlign w:val="subscript"/>
        </w:rPr>
        <w:t>3</w:t>
      </w:r>
      <w:r w:rsidR="007F7986">
        <w:rPr>
          <w:rFonts w:cstheme="minorHAnsi"/>
        </w:rPr>
        <w:t xml:space="preserve"> </w:t>
      </w:r>
      <w:r w:rsidR="007F7986" w:rsidRPr="002A4884">
        <w:rPr>
          <w:rFonts w:cstheme="minorHAnsi"/>
        </w:rPr>
        <w:t>capture</w:t>
      </w:r>
      <w:r w:rsidR="007F7986">
        <w:rPr>
          <w:rFonts w:cstheme="minorHAnsi"/>
        </w:rPr>
        <w:t>s</w:t>
      </w:r>
      <w:r w:rsidR="007F7986" w:rsidRPr="002A4884">
        <w:rPr>
          <w:rFonts w:cstheme="minorHAnsi"/>
        </w:rPr>
        <w:t xml:space="preserve"> </w:t>
      </w:r>
      <w:r w:rsidR="007F7986" w:rsidRPr="007F7986">
        <w:rPr>
          <w:rFonts w:cstheme="minorHAnsi"/>
          <w:i/>
        </w:rPr>
        <w:t>∂g</w:t>
      </w:r>
      <w:r w:rsidR="007F7986">
        <w:rPr>
          <w:rFonts w:cstheme="minorHAnsi"/>
        </w:rPr>
        <w:t>/</w:t>
      </w:r>
      <w:r w:rsidR="007F7986" w:rsidRPr="007F7986">
        <w:rPr>
          <w:rFonts w:cstheme="minorHAnsi"/>
          <w:i/>
        </w:rPr>
        <w:t>∂LTC</w:t>
      </w:r>
      <w:r w:rsidR="007F7986" w:rsidRPr="007F7986">
        <w:rPr>
          <w:rFonts w:cstheme="minorHAnsi"/>
          <w:i/>
          <w:vertAlign w:val="subscript"/>
        </w:rPr>
        <w:t>i</w:t>
      </w:r>
      <w:r w:rsidR="007F7986">
        <w:rPr>
          <w:rFonts w:cstheme="minorHAnsi"/>
        </w:rPr>
        <w:t xml:space="preserve"> </w:t>
      </w:r>
      <w:r w:rsidR="006146DA">
        <w:rPr>
          <w:rFonts w:cstheme="minorHAnsi"/>
        </w:rPr>
        <w:t xml:space="preserve">if </w:t>
      </w:r>
      <w:r w:rsidR="007F7986" w:rsidRPr="007F7986">
        <w:rPr>
          <w:rFonts w:cstheme="minorHAnsi"/>
          <w:i/>
        </w:rPr>
        <w:t>d</w:t>
      </w:r>
      <w:r w:rsidR="007F7986">
        <w:rPr>
          <w:rFonts w:cstheme="minorHAnsi"/>
        </w:rPr>
        <w:t>φ</w:t>
      </w:r>
      <w:r w:rsidR="007F7986" w:rsidRPr="007F7986">
        <w:rPr>
          <w:rFonts w:cstheme="minorHAnsi"/>
          <w:i/>
          <w:vertAlign w:val="subscript"/>
        </w:rPr>
        <w:t>i</w:t>
      </w:r>
      <w:r w:rsidR="007F7986">
        <w:rPr>
          <w:rFonts w:cstheme="minorHAnsi"/>
        </w:rPr>
        <w:t>/</w:t>
      </w:r>
      <w:r w:rsidR="007F7986" w:rsidRPr="007F7986">
        <w:rPr>
          <w:rFonts w:cstheme="minorHAnsi"/>
          <w:i/>
        </w:rPr>
        <w:t>dLTC</w:t>
      </w:r>
      <w:r w:rsidR="007F7986" w:rsidRPr="007F7986">
        <w:rPr>
          <w:rFonts w:cstheme="minorHAnsi"/>
          <w:i/>
          <w:vertAlign w:val="subscript"/>
        </w:rPr>
        <w:t>i</w:t>
      </w:r>
      <w:r w:rsidR="007F7986">
        <w:rPr>
          <w:rFonts w:cstheme="minorHAnsi"/>
        </w:rPr>
        <w:t xml:space="preserve"> </w:t>
      </w:r>
      <w:r w:rsidR="006146DA">
        <w:rPr>
          <w:rFonts w:cstheme="minorHAnsi"/>
        </w:rPr>
        <w:t xml:space="preserve">can be </w:t>
      </w:r>
      <w:r w:rsidR="007F7986">
        <w:rPr>
          <w:rFonts w:cstheme="minorHAnsi"/>
        </w:rPr>
        <w:t>accounted for</w:t>
      </w:r>
      <w:r w:rsidR="006146DA">
        <w:rPr>
          <w:rFonts w:cstheme="minorHAnsi"/>
        </w:rPr>
        <w:t xml:space="preserve"> and</w:t>
      </w:r>
      <w:r w:rsidR="007F7986">
        <w:rPr>
          <w:rFonts w:cstheme="minorHAnsi"/>
        </w:rPr>
        <w:t xml:space="preserve"> if </w:t>
      </w:r>
      <w:r w:rsidR="007F7986" w:rsidRPr="007F7986">
        <w:rPr>
          <w:rFonts w:cstheme="minorHAnsi"/>
          <w:i/>
        </w:rPr>
        <w:t>∂g</w:t>
      </w:r>
      <w:r w:rsidR="007F7986">
        <w:rPr>
          <w:rFonts w:cstheme="minorHAnsi"/>
        </w:rPr>
        <w:t>/</w:t>
      </w:r>
      <w:r w:rsidR="007F7986" w:rsidRPr="007F7986">
        <w:rPr>
          <w:rFonts w:cstheme="minorHAnsi"/>
          <w:i/>
        </w:rPr>
        <w:t>∂</w:t>
      </w:r>
      <w:r w:rsidR="007F7986">
        <w:rPr>
          <w:rFonts w:cstheme="minorHAnsi"/>
          <w:i/>
        </w:rPr>
        <w:t>H</w:t>
      </w:r>
      <w:r w:rsidR="007F7986" w:rsidRPr="007F7986">
        <w:rPr>
          <w:rFonts w:cstheme="minorHAnsi"/>
          <w:i/>
        </w:rPr>
        <w:t>C</w:t>
      </w:r>
      <w:r w:rsidR="007F7986" w:rsidRPr="007F7986">
        <w:rPr>
          <w:rFonts w:cstheme="minorHAnsi"/>
          <w:i/>
          <w:vertAlign w:val="subscript"/>
        </w:rPr>
        <w:t>i</w:t>
      </w:r>
      <w:r w:rsidR="007F7986" w:rsidRPr="00CD7813">
        <w:rPr>
          <w:rFonts w:cstheme="minorHAnsi"/>
          <w:i/>
          <w:vertAlign w:val="superscript"/>
        </w:rPr>
        <w:t>high</w:t>
      </w:r>
      <w:r w:rsidR="007F7986">
        <w:rPr>
          <w:rFonts w:cstheme="minorHAnsi"/>
        </w:rPr>
        <w:t xml:space="preserve"> and </w:t>
      </w:r>
      <w:r w:rsidR="007F7986" w:rsidRPr="007F7986">
        <w:rPr>
          <w:rFonts w:cstheme="minorHAnsi"/>
          <w:i/>
        </w:rPr>
        <w:t>∂g</w:t>
      </w:r>
      <w:r w:rsidR="007F7986">
        <w:rPr>
          <w:rFonts w:cstheme="minorHAnsi"/>
        </w:rPr>
        <w:t>/</w:t>
      </w:r>
      <w:r w:rsidR="007F7986" w:rsidRPr="007F7986">
        <w:rPr>
          <w:rFonts w:cstheme="minorHAnsi"/>
          <w:i/>
        </w:rPr>
        <w:t>∂</w:t>
      </w:r>
      <w:r w:rsidR="007F7986">
        <w:rPr>
          <w:rFonts w:cstheme="minorHAnsi"/>
          <w:i/>
        </w:rPr>
        <w:t>H</w:t>
      </w:r>
      <w:r w:rsidR="007F7986" w:rsidRPr="007F7986">
        <w:rPr>
          <w:rFonts w:cstheme="minorHAnsi"/>
          <w:i/>
        </w:rPr>
        <w:t>C</w:t>
      </w:r>
      <w:r w:rsidR="007F7986" w:rsidRPr="007F7986">
        <w:rPr>
          <w:rFonts w:cstheme="minorHAnsi"/>
          <w:i/>
          <w:vertAlign w:val="subscript"/>
        </w:rPr>
        <w:t>i</w:t>
      </w:r>
      <w:r w:rsidR="007F7986" w:rsidRPr="00CD7813">
        <w:rPr>
          <w:rFonts w:cstheme="minorHAnsi"/>
          <w:i/>
          <w:vertAlign w:val="superscript"/>
        </w:rPr>
        <w:t>low</w:t>
      </w:r>
      <w:r w:rsidR="001A466A">
        <w:rPr>
          <w:rFonts w:cstheme="minorHAnsi"/>
        </w:rPr>
        <w:t xml:space="preserve"> </w:t>
      </w:r>
      <w:r w:rsidR="007F7986">
        <w:rPr>
          <w:rFonts w:cstheme="minorHAnsi"/>
        </w:rPr>
        <w:t>are not impacted by LTC expenditure</w:t>
      </w:r>
      <w:r w:rsidR="00B25F38">
        <w:rPr>
          <w:rFonts w:cstheme="minorHAnsi"/>
        </w:rPr>
        <w:t>, i.e. the effectiveness of sub-components of HC expenditure are unchanged by LTC expenditure</w:t>
      </w:r>
      <w:r w:rsidR="007F7986">
        <w:rPr>
          <w:rFonts w:cstheme="minorHAnsi"/>
        </w:rPr>
        <w:t xml:space="preserve">. </w:t>
      </w:r>
      <w:r w:rsidR="006146DA">
        <w:rPr>
          <w:rFonts w:cstheme="minorHAnsi"/>
        </w:rPr>
        <w:t>Under these assumptions, b</w:t>
      </w:r>
      <w:r w:rsidR="00B33BA2">
        <w:rPr>
          <w:rFonts w:cstheme="minorHAnsi"/>
        </w:rPr>
        <w:t>y comparing the estimated LTC direct effect</w:t>
      </w:r>
      <w:r w:rsidR="00B25F38">
        <w:rPr>
          <w:rFonts w:cstheme="minorHAnsi"/>
        </w:rPr>
        <w:t xml:space="preserve">, </w:t>
      </w:r>
      <w:r w:rsidR="00B25F38" w:rsidRPr="002A4884">
        <w:rPr>
          <w:rFonts w:cstheme="minorHAnsi"/>
          <w:i/>
        </w:rPr>
        <w:t>γ</w:t>
      </w:r>
      <w:r w:rsidR="00B25F38" w:rsidRPr="002A4884">
        <w:rPr>
          <w:rFonts w:cstheme="minorHAnsi"/>
          <w:i/>
          <w:vertAlign w:val="subscript"/>
        </w:rPr>
        <w:t>3</w:t>
      </w:r>
      <w:r w:rsidR="00B25F38">
        <w:rPr>
          <w:rFonts w:cstheme="minorHAnsi"/>
          <w:i/>
          <w:vertAlign w:val="subscript"/>
        </w:rPr>
        <w:t>,</w:t>
      </w:r>
      <w:r w:rsidR="00B33BA2">
        <w:rPr>
          <w:rFonts w:cstheme="minorHAnsi"/>
        </w:rPr>
        <w:t xml:space="preserve"> with</w:t>
      </w:r>
      <w:r w:rsidR="00B33BA2" w:rsidRPr="00B33BA2">
        <w:rPr>
          <w:rFonts w:cstheme="minorHAnsi"/>
        </w:rPr>
        <w:t xml:space="preserve"> </w:t>
      </w:r>
      <w:r w:rsidR="00B33BA2">
        <w:rPr>
          <w:rFonts w:cstheme="minorHAnsi"/>
        </w:rPr>
        <w:t>the LTC total mortality effect,</w:t>
      </w:r>
      <w:r w:rsidR="00B33BA2" w:rsidRPr="00B33BA2">
        <w:rPr>
          <w:rFonts w:cstheme="minorHAnsi"/>
          <w:i/>
        </w:rPr>
        <w:t xml:space="preserve"> </w:t>
      </w:r>
      <w:r w:rsidR="00B33BA2" w:rsidRPr="002A4884">
        <w:rPr>
          <w:rFonts w:cstheme="minorHAnsi"/>
          <w:i/>
        </w:rPr>
        <w:t>γ</w:t>
      </w:r>
      <w:r w:rsidR="00B33BA2">
        <w:rPr>
          <w:rFonts w:cstheme="minorHAnsi"/>
          <w:i/>
          <w:vertAlign w:val="subscript"/>
        </w:rPr>
        <w:t>1</w:t>
      </w:r>
      <w:r w:rsidR="00B33BA2">
        <w:rPr>
          <w:rFonts w:cstheme="minorHAnsi"/>
        </w:rPr>
        <w:t>, we estimate the LTC indirect mortality effect.</w:t>
      </w:r>
    </w:p>
    <w:p w14:paraId="4F5CFA43" w14:textId="3BAB4C59" w:rsidR="0066496A" w:rsidRDefault="00327DDC">
      <w:pPr>
        <w:rPr>
          <w:rFonts w:cstheme="minorHAnsi"/>
        </w:rPr>
      </w:pPr>
      <w:r>
        <w:rPr>
          <w:rFonts w:cstheme="minorHAnsi"/>
        </w:rPr>
        <w:t>The effect of HC expenditure may also</w:t>
      </w:r>
      <w:r w:rsidRPr="00327DDC">
        <w:rPr>
          <w:rFonts w:cstheme="minorHAnsi"/>
        </w:rPr>
        <w:t xml:space="preserve"> be to in</w:t>
      </w:r>
      <w:r>
        <w:rPr>
          <w:rFonts w:cstheme="minorHAnsi"/>
        </w:rPr>
        <w:t>crease some sub-components of LTC</w:t>
      </w:r>
      <w:r w:rsidRPr="00327DDC">
        <w:rPr>
          <w:rFonts w:cstheme="minorHAnsi"/>
        </w:rPr>
        <w:t xml:space="preserve"> expenditure</w:t>
      </w:r>
      <w:r>
        <w:rPr>
          <w:rFonts w:cstheme="minorHAnsi"/>
        </w:rPr>
        <w:t xml:space="preserve"> and decrease</w:t>
      </w:r>
      <w:r w:rsidRPr="00327DDC">
        <w:rPr>
          <w:rFonts w:cstheme="minorHAnsi"/>
        </w:rPr>
        <w:t xml:space="preserve"> others</w:t>
      </w:r>
      <w:r>
        <w:rPr>
          <w:rFonts w:cstheme="minorHAnsi"/>
        </w:rPr>
        <w:t>.  It is possible that t</w:t>
      </w:r>
      <w:r w:rsidRPr="00327DDC">
        <w:rPr>
          <w:rFonts w:cstheme="minorHAnsi"/>
        </w:rPr>
        <w:t xml:space="preserve">he decrease in some sub-components of LTC expenditure </w:t>
      </w:r>
      <w:r>
        <w:rPr>
          <w:rFonts w:cstheme="minorHAnsi"/>
        </w:rPr>
        <w:t xml:space="preserve">may </w:t>
      </w:r>
      <w:r w:rsidRPr="00327DDC">
        <w:rPr>
          <w:rFonts w:cstheme="minorHAnsi"/>
        </w:rPr>
        <w:t>offset the increase in other sub-components</w:t>
      </w:r>
      <w:r>
        <w:rPr>
          <w:rFonts w:cstheme="minorHAnsi"/>
        </w:rPr>
        <w:t xml:space="preserve"> leaving the level of LTC expenditure unchanged</w:t>
      </w:r>
      <w:r w:rsidRPr="00327DDC">
        <w:rPr>
          <w:rFonts w:cstheme="minorHAnsi"/>
        </w:rPr>
        <w:t>.</w:t>
      </w:r>
      <w:r>
        <w:rPr>
          <w:rFonts w:cstheme="minorHAnsi"/>
        </w:rPr>
        <w:t xml:space="preserve"> H</w:t>
      </w:r>
      <w:r w:rsidR="00D61FAD">
        <w:rPr>
          <w:rFonts w:cstheme="minorHAnsi"/>
        </w:rPr>
        <w:t xml:space="preserve">owever, </w:t>
      </w:r>
      <w:r>
        <w:rPr>
          <w:rFonts w:cstheme="minorHAnsi"/>
        </w:rPr>
        <w:t>in the context of a flexible LTC budget this is no</w:t>
      </w:r>
      <w:r w:rsidR="00447805">
        <w:rPr>
          <w:rFonts w:cstheme="minorHAnsi"/>
        </w:rPr>
        <w:t>t</w:t>
      </w:r>
      <w:r>
        <w:rPr>
          <w:rFonts w:cstheme="minorHAnsi"/>
        </w:rPr>
        <w:t xml:space="preserve"> necessarily that case and </w:t>
      </w:r>
      <w:r w:rsidR="00447805">
        <w:rPr>
          <w:rFonts w:cstheme="minorHAnsi"/>
        </w:rPr>
        <w:t xml:space="preserve">HC expenditure may cause a change in </w:t>
      </w:r>
      <w:r w:rsidR="00D718DC">
        <w:rPr>
          <w:rFonts w:cstheme="minorHAnsi"/>
        </w:rPr>
        <w:t xml:space="preserve">both </w:t>
      </w:r>
      <w:r w:rsidR="00447805">
        <w:rPr>
          <w:rFonts w:cstheme="minorHAnsi"/>
        </w:rPr>
        <w:t xml:space="preserve">the level as well as composition of LTC expenditure. </w:t>
      </w:r>
      <w:r w:rsidR="002C0D7D">
        <w:rPr>
          <w:rFonts w:cstheme="minorHAnsi"/>
        </w:rPr>
        <w:t xml:space="preserve">Therefore, by </w:t>
      </w:r>
      <w:r w:rsidR="002C0D7D" w:rsidRPr="00447805">
        <w:rPr>
          <w:rFonts w:cstheme="minorHAnsi"/>
        </w:rPr>
        <w:t>controlling only for the level of LTC expenditure</w:t>
      </w:r>
      <w:r w:rsidR="002C0D7D">
        <w:rPr>
          <w:rFonts w:cstheme="minorHAnsi"/>
        </w:rPr>
        <w:t>,</w:t>
      </w:r>
      <w:r w:rsidR="002C0D7D" w:rsidRPr="002A4884">
        <w:rPr>
          <w:rFonts w:cstheme="minorHAnsi"/>
        </w:rPr>
        <w:t xml:space="preserve"> </w:t>
      </w:r>
      <w:r w:rsidR="002C0D7D" w:rsidRPr="002A4884">
        <w:rPr>
          <w:rFonts w:cstheme="minorHAnsi"/>
        </w:rPr>
        <w:fldChar w:fldCharType="begin"/>
      </w:r>
      <w:r w:rsidR="002C0D7D" w:rsidRPr="002A4884">
        <w:rPr>
          <w:rFonts w:cstheme="minorHAnsi"/>
        </w:rPr>
        <w:instrText xml:space="preserve"> GOTOBUTTON ZEqnNum977296  \* MERGEFORMAT </w:instrText>
      </w:r>
      <w:r w:rsidR="002C0D7D" w:rsidRPr="002A4884">
        <w:rPr>
          <w:rFonts w:cstheme="minorHAnsi"/>
        </w:rPr>
        <w:fldChar w:fldCharType="begin"/>
      </w:r>
      <w:r w:rsidR="002C0D7D" w:rsidRPr="002A4884">
        <w:rPr>
          <w:rFonts w:cstheme="minorHAnsi"/>
        </w:rPr>
        <w:instrText xml:space="preserve"> REF ZEqnNum977296 \* Charformat \! \* MERGEFORMAT </w:instrText>
      </w:r>
      <w:r w:rsidR="002C0D7D" w:rsidRPr="002A4884">
        <w:rPr>
          <w:rFonts w:cstheme="minorHAnsi"/>
        </w:rPr>
        <w:fldChar w:fldCharType="separate"/>
      </w:r>
      <w:r w:rsidR="007C7B62" w:rsidRPr="007C7B62">
        <w:rPr>
          <w:rFonts w:cstheme="minorHAnsi"/>
        </w:rPr>
        <w:instrText>(14)</w:instrText>
      </w:r>
      <w:r w:rsidR="002C0D7D" w:rsidRPr="002A4884">
        <w:rPr>
          <w:rFonts w:cstheme="minorHAnsi"/>
        </w:rPr>
        <w:fldChar w:fldCharType="end"/>
      </w:r>
      <w:r w:rsidR="002C0D7D" w:rsidRPr="002A4884">
        <w:rPr>
          <w:rFonts w:cstheme="minorHAnsi"/>
        </w:rPr>
        <w:fldChar w:fldCharType="end"/>
      </w:r>
      <w:r w:rsidR="002C0D7D" w:rsidRPr="002A4884">
        <w:rPr>
          <w:rFonts w:cstheme="minorHAnsi"/>
        </w:rPr>
        <w:t xml:space="preserve"> </w:t>
      </w:r>
      <w:r w:rsidR="00C22938" w:rsidRPr="00C22938">
        <w:rPr>
          <w:rFonts w:cstheme="minorHAnsi"/>
        </w:rPr>
        <w:t>would be unable to disentangle HC direct and indirect mortality effect unless HC expenditure increases or decreases expenditure for all LTC sub-components in the same way (changing the level of LTC expenditure without changing its composition) or if the effect of HC on both level and composition is strongly correlated; for example, if expenditure in some or all LTC subsectors change</w:t>
      </w:r>
      <w:r w:rsidR="00384F38">
        <w:rPr>
          <w:rFonts w:cstheme="minorHAnsi"/>
        </w:rPr>
        <w:t>s</w:t>
      </w:r>
      <w:r w:rsidR="00C22938" w:rsidRPr="00C22938">
        <w:rPr>
          <w:rFonts w:cstheme="minorHAnsi"/>
        </w:rPr>
        <w:t xml:space="preserve"> in the same direction as total expenditure.</w:t>
      </w:r>
      <w:r w:rsidR="000D560A">
        <w:rPr>
          <w:rStyle w:val="FootnoteReference"/>
          <w:rFonts w:cstheme="minorHAnsi"/>
        </w:rPr>
        <w:footnoteReference w:id="8"/>
      </w:r>
      <w:r w:rsidR="005B236D">
        <w:rPr>
          <w:rFonts w:cstheme="minorHAnsi"/>
        </w:rPr>
        <w:t xml:space="preserve"> </w:t>
      </w:r>
      <w:r w:rsidR="002C0D7D">
        <w:rPr>
          <w:rFonts w:cstheme="minorHAnsi"/>
        </w:rPr>
        <w:t>Otherwise</w:t>
      </w:r>
      <w:r w:rsidR="005B236D">
        <w:rPr>
          <w:rFonts w:cstheme="minorHAnsi"/>
        </w:rPr>
        <w:t xml:space="preserve">, </w:t>
      </w:r>
      <w:r w:rsidR="0066496A">
        <w:rPr>
          <w:rFonts w:cstheme="minorHAnsi"/>
        </w:rPr>
        <w:t xml:space="preserve">the HC direct mortality effect can be </w:t>
      </w:r>
      <w:r w:rsidR="00210049">
        <w:rPr>
          <w:rFonts w:cstheme="minorHAnsi"/>
        </w:rPr>
        <w:t>estimated</w:t>
      </w:r>
      <w:r w:rsidR="0066496A">
        <w:rPr>
          <w:rFonts w:cstheme="minorHAnsi"/>
        </w:rPr>
        <w:t xml:space="preserve"> using the following regression</w:t>
      </w:r>
      <w:r w:rsidR="002C0D7D" w:rsidRPr="002C0D7D">
        <w:rPr>
          <w:rFonts w:cstheme="minorHAnsi"/>
        </w:rPr>
        <w:t xml:space="preserve"> </w:t>
      </w:r>
      <w:r w:rsidR="002C0D7D">
        <w:rPr>
          <w:rFonts w:cstheme="minorHAnsi"/>
        </w:rPr>
        <w:t xml:space="preserve">which is similar to </w:t>
      </w:r>
      <w:r w:rsidR="002C0D7D">
        <w:rPr>
          <w:rFonts w:cstheme="minorHAnsi"/>
          <w:iCs/>
        </w:rPr>
        <w:fldChar w:fldCharType="begin"/>
      </w:r>
      <w:r w:rsidR="002C0D7D">
        <w:rPr>
          <w:rFonts w:cstheme="minorHAnsi"/>
          <w:iCs/>
        </w:rPr>
        <w:instrText xml:space="preserve"> GOTOBUTTON ZEqnNum133350  \* MERGEFORMAT </w:instrText>
      </w:r>
      <w:r w:rsidR="002C0D7D">
        <w:rPr>
          <w:rFonts w:cstheme="minorHAnsi"/>
          <w:iCs/>
        </w:rPr>
        <w:fldChar w:fldCharType="begin"/>
      </w:r>
      <w:r w:rsidR="002C0D7D">
        <w:rPr>
          <w:rFonts w:cstheme="minorHAnsi"/>
          <w:iCs/>
        </w:rPr>
        <w:instrText xml:space="preserve"> REF ZEqnNum133350 \* Charformat \! \* MERGEFORMAT </w:instrText>
      </w:r>
      <w:r w:rsidR="002C0D7D">
        <w:rPr>
          <w:rFonts w:cstheme="minorHAnsi"/>
          <w:iCs/>
        </w:rPr>
        <w:fldChar w:fldCharType="separate"/>
      </w:r>
      <w:r w:rsidR="007C7B62" w:rsidRPr="007C7B62">
        <w:rPr>
          <w:rFonts w:cstheme="minorHAnsi"/>
          <w:iCs/>
        </w:rPr>
        <w:instrText>(20)</w:instrText>
      </w:r>
      <w:r w:rsidR="002C0D7D">
        <w:rPr>
          <w:rFonts w:cstheme="minorHAnsi"/>
          <w:iCs/>
        </w:rPr>
        <w:fldChar w:fldCharType="end"/>
      </w:r>
      <w:r w:rsidR="002C0D7D">
        <w:rPr>
          <w:rFonts w:cstheme="minorHAnsi"/>
          <w:iCs/>
        </w:rPr>
        <w:fldChar w:fldCharType="end"/>
      </w:r>
      <w:r w:rsidR="0066496A">
        <w:rPr>
          <w:rFonts w:cstheme="minorHAnsi"/>
        </w:rPr>
        <w:t>:</w:t>
      </w:r>
    </w:p>
    <w:p w14:paraId="54A63F2C" w14:textId="1CBDD356" w:rsidR="0066496A" w:rsidRDefault="0066496A" w:rsidP="005C3100">
      <w:pPr>
        <w:pStyle w:val="MTDisplayEquation"/>
      </w:pPr>
      <w:r>
        <w:tab/>
      </w:r>
      <w:r w:rsidRPr="0066496A">
        <w:rPr>
          <w:position w:val="-18"/>
        </w:rPr>
        <w:object w:dxaOrig="7640" w:dyaOrig="480" w14:anchorId="2A4BAE34">
          <v:shape id="_x0000_i1051" type="#_x0000_t75" style="width:382.2pt;height:23.4pt" o:ole="">
            <v:imagedata r:id="rId60" o:title=""/>
          </v:shape>
          <o:OLEObject Type="Embed" ProgID="Equation.DSMT4" ShapeID="_x0000_i1051" DrawAspect="Content" ObjectID="_1736065867" r:id="rId6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26" w:name="ZEqnNum206728"/>
      <w:r>
        <w:instrText>(</w:instrText>
      </w:r>
      <w:r w:rsidR="002A7365">
        <w:fldChar w:fldCharType="begin"/>
      </w:r>
      <w:r w:rsidR="002A7365">
        <w:instrText xml:space="preserve"> SEQ MTEqn \c \* Arabic \* MERGEFORMAT </w:instrText>
      </w:r>
      <w:r w:rsidR="002A7365">
        <w:fldChar w:fldCharType="separate"/>
      </w:r>
      <w:r w:rsidR="007C7B62">
        <w:rPr>
          <w:noProof/>
        </w:rPr>
        <w:instrText>21</w:instrText>
      </w:r>
      <w:r w:rsidR="002A7365">
        <w:rPr>
          <w:noProof/>
        </w:rPr>
        <w:fldChar w:fldCharType="end"/>
      </w:r>
      <w:r>
        <w:instrText>)</w:instrText>
      </w:r>
      <w:bookmarkEnd w:id="26"/>
      <w:r>
        <w:fldChar w:fldCharType="end"/>
      </w:r>
    </w:p>
    <w:p w14:paraId="1EB99478" w14:textId="0E009984" w:rsidR="002E3939" w:rsidRDefault="004F548D" w:rsidP="002E3939">
      <w:pPr>
        <w:rPr>
          <w:rFonts w:cstheme="minorHAnsi"/>
        </w:rPr>
      </w:pPr>
      <w:r w:rsidRPr="002A4884">
        <w:t xml:space="preserve">where </w:t>
      </w:r>
      <w:r w:rsidRPr="002A4884">
        <w:rPr>
          <w:i/>
        </w:rPr>
        <w:t>expenditure</w:t>
      </w:r>
      <w:r w:rsidRPr="002A4884">
        <w:rPr>
          <w:i/>
          <w:vertAlign w:val="subscript"/>
        </w:rPr>
        <w:t>i</w:t>
      </w:r>
      <w:r>
        <w:rPr>
          <w:i/>
          <w:vertAlign w:val="superscript"/>
        </w:rPr>
        <w:t>LT</w:t>
      </w:r>
      <w:r w:rsidRPr="002A4884">
        <w:rPr>
          <w:i/>
          <w:vertAlign w:val="superscript"/>
        </w:rPr>
        <w:t>Ck</w:t>
      </w:r>
      <w:r w:rsidRPr="002A4884">
        <w:t xml:space="preserve"> </w:t>
      </w:r>
      <w:r>
        <w:t xml:space="preserve">is a </w:t>
      </w:r>
      <w:r w:rsidRPr="002A4884">
        <w:t xml:space="preserve">vector </w:t>
      </w:r>
      <w:r>
        <w:t xml:space="preserve">including two variables capturing the sub-components of </w:t>
      </w:r>
      <w:r w:rsidR="003558F2">
        <w:t>LT</w:t>
      </w:r>
      <w:r>
        <w:t xml:space="preserve">C expenditure </w:t>
      </w:r>
      <w:r w:rsidR="008D3A14">
        <w:t xml:space="preserve">per user </w:t>
      </w:r>
      <w:r>
        <w:t xml:space="preserve">that decrease and increase, respectively, in response to a change in </w:t>
      </w:r>
      <w:r w:rsidR="003558F2">
        <w:t>H</w:t>
      </w:r>
      <w:r>
        <w:t>C expenditure</w:t>
      </w:r>
      <w:r w:rsidR="008D3A14">
        <w:t xml:space="preserve"> per capita</w:t>
      </w:r>
      <w:r>
        <w:t>.</w:t>
      </w:r>
      <w:r w:rsidR="003558F2">
        <w:t xml:space="preserve"> </w:t>
      </w:r>
      <w:r w:rsidR="00682AB8">
        <w:t xml:space="preserve">Also </w:t>
      </w:r>
      <w:r w:rsidR="00682AB8">
        <w:fldChar w:fldCharType="begin"/>
      </w:r>
      <w:r w:rsidR="00682AB8">
        <w:instrText xml:space="preserve"> GOTOBUTTON ZEqnNum206728  \* MERGEFORMAT </w:instrText>
      </w:r>
      <w:r w:rsidR="002A7365">
        <w:fldChar w:fldCharType="begin"/>
      </w:r>
      <w:r w:rsidR="002A7365">
        <w:instrText xml:space="preserve"> REF ZEqnNum206728 \* Charformat \! \* MERGEFORMAT </w:instrText>
      </w:r>
      <w:r w:rsidR="002A7365">
        <w:fldChar w:fldCharType="separate"/>
      </w:r>
      <w:r w:rsidR="007C7B62">
        <w:instrText>(21)</w:instrText>
      </w:r>
      <w:r w:rsidR="002A7365">
        <w:fldChar w:fldCharType="end"/>
      </w:r>
      <w:r w:rsidR="00682AB8">
        <w:fldChar w:fldCharType="end"/>
      </w:r>
      <w:r w:rsidR="00682AB8">
        <w:t xml:space="preserve"> is estimated </w:t>
      </w:r>
      <w:r w:rsidR="00682AB8" w:rsidRPr="002A4884">
        <w:t>by 2SLS</w:t>
      </w:r>
      <w:r w:rsidR="00682AB8">
        <w:t xml:space="preserve"> with </w:t>
      </w:r>
      <w:r w:rsidR="00682AB8" w:rsidRPr="002A4884">
        <w:t>robust standard errors</w:t>
      </w:r>
      <w:r w:rsidR="00682AB8">
        <w:t>,</w:t>
      </w:r>
      <w:r w:rsidR="00682AB8" w:rsidRPr="002A4884">
        <w:t xml:space="preserve"> weighting for LA population.</w:t>
      </w:r>
      <w:r w:rsidR="001A5387">
        <w:t xml:space="preserve"> </w:t>
      </w:r>
      <w:r w:rsidR="00D32C76">
        <w:rPr>
          <w:rFonts w:cstheme="minorHAnsi"/>
        </w:rPr>
        <w:t xml:space="preserve">After accounting for changes in the </w:t>
      </w:r>
      <w:r w:rsidR="002D7687">
        <w:rPr>
          <w:rFonts w:cstheme="minorHAnsi"/>
        </w:rPr>
        <w:t xml:space="preserve">level and </w:t>
      </w:r>
      <w:r w:rsidR="00D32C76">
        <w:rPr>
          <w:rFonts w:cstheme="minorHAnsi"/>
        </w:rPr>
        <w:t>composition of LTC expenditure</w:t>
      </w:r>
      <w:r w:rsidR="00320AD3">
        <w:rPr>
          <w:rFonts w:cstheme="minorHAnsi"/>
        </w:rPr>
        <w:t>,</w:t>
      </w:r>
      <w:r w:rsidR="003558F2" w:rsidRPr="002A4884">
        <w:rPr>
          <w:rFonts w:cstheme="minorHAnsi"/>
        </w:rPr>
        <w:t xml:space="preserve"> </w:t>
      </w:r>
      <w:r w:rsidR="003558F2" w:rsidRPr="002B4B59">
        <w:rPr>
          <w:rFonts w:cstheme="minorHAnsi"/>
          <w:i/>
        </w:rPr>
        <w:t>β</w:t>
      </w:r>
      <w:r w:rsidR="003558F2">
        <w:rPr>
          <w:rFonts w:cstheme="minorHAnsi"/>
          <w:i/>
          <w:vertAlign w:val="subscript"/>
        </w:rPr>
        <w:t>4</w:t>
      </w:r>
      <w:r w:rsidR="003558F2" w:rsidRPr="002A4884">
        <w:rPr>
          <w:rFonts w:cstheme="minorHAnsi"/>
          <w:iCs/>
        </w:rPr>
        <w:t xml:space="preserve"> in</w:t>
      </w:r>
      <w:r w:rsidR="003558F2">
        <w:rPr>
          <w:rFonts w:cstheme="minorHAnsi"/>
          <w:iCs/>
        </w:rPr>
        <w:t xml:space="preserve"> </w:t>
      </w:r>
      <w:r w:rsidR="003558F2">
        <w:rPr>
          <w:rFonts w:cstheme="minorHAnsi"/>
        </w:rPr>
        <w:fldChar w:fldCharType="begin"/>
      </w:r>
      <w:r w:rsidR="003558F2">
        <w:rPr>
          <w:rFonts w:cstheme="minorHAnsi"/>
        </w:rPr>
        <w:instrText xml:space="preserve"> GOTOBUTTON ZEqnNum206728  \* MERGEFORMAT </w:instrText>
      </w:r>
      <w:r w:rsidR="003558F2">
        <w:rPr>
          <w:rFonts w:cstheme="minorHAnsi"/>
        </w:rPr>
        <w:fldChar w:fldCharType="begin"/>
      </w:r>
      <w:r w:rsidR="003558F2">
        <w:rPr>
          <w:rFonts w:cstheme="minorHAnsi"/>
        </w:rPr>
        <w:instrText xml:space="preserve"> REF ZEqnNum206728 \* Charformat \! \* MERGEFORMAT </w:instrText>
      </w:r>
      <w:r w:rsidR="003558F2">
        <w:rPr>
          <w:rFonts w:cstheme="minorHAnsi"/>
        </w:rPr>
        <w:fldChar w:fldCharType="separate"/>
      </w:r>
      <w:r w:rsidR="007C7B62" w:rsidRPr="007C7B62">
        <w:rPr>
          <w:rFonts w:cstheme="minorHAnsi"/>
        </w:rPr>
        <w:instrText>(21)</w:instrText>
      </w:r>
      <w:r w:rsidR="003558F2">
        <w:rPr>
          <w:rFonts w:cstheme="minorHAnsi"/>
        </w:rPr>
        <w:fldChar w:fldCharType="end"/>
      </w:r>
      <w:r w:rsidR="003558F2">
        <w:rPr>
          <w:rFonts w:cstheme="minorHAnsi"/>
        </w:rPr>
        <w:fldChar w:fldCharType="end"/>
      </w:r>
      <w:r w:rsidR="003558F2" w:rsidRPr="002A4884">
        <w:rPr>
          <w:rFonts w:cstheme="minorHAnsi"/>
          <w:iCs/>
        </w:rPr>
        <w:t xml:space="preserve"> </w:t>
      </w:r>
      <w:r w:rsidR="003558F2" w:rsidRPr="002A4884">
        <w:rPr>
          <w:rFonts w:cstheme="minorHAnsi"/>
        </w:rPr>
        <w:t>capture</w:t>
      </w:r>
      <w:r w:rsidR="003558F2">
        <w:rPr>
          <w:rFonts w:cstheme="minorHAnsi"/>
        </w:rPr>
        <w:t>s</w:t>
      </w:r>
      <w:r w:rsidR="003558F2" w:rsidRPr="002A4884">
        <w:rPr>
          <w:rFonts w:cstheme="minorHAnsi"/>
        </w:rPr>
        <w:t xml:space="preserve"> the </w:t>
      </w:r>
      <w:r w:rsidR="003558F2">
        <w:rPr>
          <w:rFonts w:cstheme="minorHAnsi"/>
        </w:rPr>
        <w:t xml:space="preserve">HC </w:t>
      </w:r>
      <w:r w:rsidR="003558F2" w:rsidRPr="002A4884">
        <w:rPr>
          <w:rFonts w:cstheme="minorHAnsi"/>
          <w:iCs/>
        </w:rPr>
        <w:t>direct</w:t>
      </w:r>
      <w:r w:rsidR="003558F2" w:rsidRPr="002A4884">
        <w:rPr>
          <w:rFonts w:cstheme="minorHAnsi"/>
        </w:rPr>
        <w:t xml:space="preserve"> </w:t>
      </w:r>
      <w:r w:rsidR="003558F2">
        <w:rPr>
          <w:rFonts w:cstheme="minorHAnsi"/>
        </w:rPr>
        <w:t xml:space="preserve">mortality </w:t>
      </w:r>
      <w:r w:rsidR="003558F2" w:rsidRPr="002A4884">
        <w:rPr>
          <w:rFonts w:cstheme="minorHAnsi"/>
        </w:rPr>
        <w:t>effect</w:t>
      </w:r>
      <w:r w:rsidR="00D32C76" w:rsidRPr="00D32C76">
        <w:rPr>
          <w:rFonts w:cstheme="minorHAnsi"/>
        </w:rPr>
        <w:t xml:space="preserve"> </w:t>
      </w:r>
      <w:r w:rsidR="00D32C76">
        <w:rPr>
          <w:rFonts w:cstheme="minorHAnsi"/>
        </w:rPr>
        <w:t xml:space="preserve">if there are no other unobserved factors relating to the channels for </w:t>
      </w:r>
      <w:r w:rsidR="00D32C76" w:rsidRPr="002A4884">
        <w:rPr>
          <w:rFonts w:cstheme="minorHAnsi"/>
        </w:rPr>
        <w:t xml:space="preserve">the </w:t>
      </w:r>
      <w:r w:rsidR="00D32C76">
        <w:rPr>
          <w:rFonts w:cstheme="minorHAnsi"/>
        </w:rPr>
        <w:t xml:space="preserve">HC </w:t>
      </w:r>
      <w:r w:rsidR="00D32C76" w:rsidRPr="002A4884">
        <w:rPr>
          <w:rFonts w:cstheme="minorHAnsi"/>
        </w:rPr>
        <w:t xml:space="preserve">indirect </w:t>
      </w:r>
      <w:r w:rsidR="00D32C76">
        <w:rPr>
          <w:rFonts w:cstheme="minorHAnsi"/>
        </w:rPr>
        <w:t xml:space="preserve">mortality </w:t>
      </w:r>
      <w:r w:rsidR="00D32C76" w:rsidRPr="002A4884">
        <w:rPr>
          <w:rFonts w:cstheme="minorHAnsi"/>
        </w:rPr>
        <w:t>effect</w:t>
      </w:r>
      <w:r w:rsidR="003558F2">
        <w:rPr>
          <w:rFonts w:cstheme="minorHAnsi"/>
        </w:rPr>
        <w:t>.</w:t>
      </w:r>
      <w:r w:rsidR="002D7687">
        <w:rPr>
          <w:rFonts w:cstheme="minorHAnsi"/>
        </w:rPr>
        <w:t xml:space="preserve"> </w:t>
      </w:r>
      <w:r w:rsidR="006F69EE">
        <w:rPr>
          <w:rFonts w:cstheme="minorHAnsi"/>
        </w:rPr>
        <w:t xml:space="preserve">Looking at </w:t>
      </w:r>
      <w:r w:rsidR="002D7687">
        <w:rPr>
          <w:rFonts w:cstheme="minorHAnsi"/>
        </w:rPr>
        <w:fldChar w:fldCharType="begin"/>
      </w:r>
      <w:r w:rsidR="002D7687">
        <w:rPr>
          <w:rFonts w:cstheme="minorHAnsi"/>
        </w:rPr>
        <w:instrText xml:space="preserve"> GOTOBUTTON ZEqnNum255055  \* MERGEFORMAT </w:instrText>
      </w:r>
      <w:r w:rsidR="002D7687">
        <w:rPr>
          <w:rFonts w:cstheme="minorHAnsi"/>
        </w:rPr>
        <w:fldChar w:fldCharType="begin"/>
      </w:r>
      <w:r w:rsidR="002D7687">
        <w:rPr>
          <w:rFonts w:cstheme="minorHAnsi"/>
        </w:rPr>
        <w:instrText xml:space="preserve"> REF ZEqnNum255055 \* Charformat \! \* MERGEFORMAT </w:instrText>
      </w:r>
      <w:r w:rsidR="002D7687">
        <w:rPr>
          <w:rFonts w:cstheme="minorHAnsi"/>
        </w:rPr>
        <w:fldChar w:fldCharType="separate"/>
      </w:r>
      <w:r w:rsidR="007C7B62" w:rsidRPr="007C7B62">
        <w:rPr>
          <w:rFonts w:cstheme="minorHAnsi"/>
        </w:rPr>
        <w:instrText>(13)</w:instrText>
      </w:r>
      <w:r w:rsidR="002D7687">
        <w:rPr>
          <w:rFonts w:cstheme="minorHAnsi"/>
        </w:rPr>
        <w:fldChar w:fldCharType="end"/>
      </w:r>
      <w:r w:rsidR="002D7687">
        <w:rPr>
          <w:rFonts w:cstheme="minorHAnsi"/>
        </w:rPr>
        <w:fldChar w:fldCharType="end"/>
      </w:r>
      <w:r w:rsidR="006F69EE">
        <w:rPr>
          <w:rFonts w:cstheme="minorHAnsi"/>
        </w:rPr>
        <w:t xml:space="preserve">, this means </w:t>
      </w:r>
      <w:r w:rsidR="002D7687">
        <w:rPr>
          <w:rFonts w:cstheme="minorHAnsi"/>
        </w:rPr>
        <w:t xml:space="preserve">that </w:t>
      </w:r>
      <w:r w:rsidR="002D7687" w:rsidRPr="002B4B59">
        <w:rPr>
          <w:rFonts w:cstheme="minorHAnsi"/>
          <w:i/>
        </w:rPr>
        <w:t>β</w:t>
      </w:r>
      <w:r w:rsidR="002D7687">
        <w:rPr>
          <w:rFonts w:cstheme="minorHAnsi"/>
          <w:i/>
          <w:vertAlign w:val="subscript"/>
        </w:rPr>
        <w:t>4</w:t>
      </w:r>
      <w:r w:rsidR="002D7687">
        <w:rPr>
          <w:rFonts w:cstheme="minorHAnsi"/>
        </w:rPr>
        <w:t xml:space="preserve"> captures </w:t>
      </w:r>
      <w:r w:rsidR="002D7687">
        <w:rPr>
          <w:rFonts w:cstheme="minorHAnsi"/>
          <w:i/>
        </w:rPr>
        <w:t>∂</w:t>
      </w:r>
      <w:r w:rsidR="002D7687">
        <w:rPr>
          <w:i/>
        </w:rPr>
        <w:t>g</w:t>
      </w:r>
      <w:r w:rsidR="002D7687">
        <w:t>/</w:t>
      </w:r>
      <w:r w:rsidR="002D7687">
        <w:rPr>
          <w:rFonts w:cstheme="minorHAnsi"/>
          <w:i/>
        </w:rPr>
        <w:t>∂</w:t>
      </w:r>
      <w:r w:rsidR="002D7687">
        <w:rPr>
          <w:i/>
        </w:rPr>
        <w:t>HC</w:t>
      </w:r>
      <w:r w:rsidR="002D7687" w:rsidRPr="008B3656">
        <w:rPr>
          <w:i/>
          <w:vertAlign w:val="subscript"/>
        </w:rPr>
        <w:t>i</w:t>
      </w:r>
      <w:r w:rsidR="002D7687">
        <w:rPr>
          <w:rFonts w:cstheme="minorHAnsi"/>
        </w:rPr>
        <w:t xml:space="preserve"> if </w:t>
      </w:r>
      <w:r w:rsidR="002D7687" w:rsidRPr="00160118">
        <w:rPr>
          <w:i/>
        </w:rPr>
        <w:t>d</w:t>
      </w:r>
      <w:r w:rsidR="002D7687">
        <w:rPr>
          <w:rFonts w:cstheme="minorHAnsi"/>
          <w:i/>
        </w:rPr>
        <w:t>LT</w:t>
      </w:r>
      <w:r w:rsidR="002D7687" w:rsidRPr="00CE6383">
        <w:rPr>
          <w:rFonts w:cstheme="minorHAnsi"/>
          <w:i/>
        </w:rPr>
        <w:t>C</w:t>
      </w:r>
      <w:r w:rsidR="002D7687" w:rsidRPr="00160118">
        <w:rPr>
          <w:i/>
          <w:vertAlign w:val="subscript"/>
        </w:rPr>
        <w:t>i</w:t>
      </w:r>
      <w:r w:rsidR="002D7687">
        <w:t>/</w:t>
      </w:r>
      <w:r w:rsidR="002D7687" w:rsidRPr="00160118">
        <w:rPr>
          <w:i/>
        </w:rPr>
        <w:t>d</w:t>
      </w:r>
      <w:r w:rsidR="002D7687">
        <w:rPr>
          <w:i/>
        </w:rPr>
        <w:t>H</w:t>
      </w:r>
      <w:r w:rsidR="002D7687" w:rsidRPr="00160118">
        <w:rPr>
          <w:i/>
        </w:rPr>
        <w:t>C</w:t>
      </w:r>
      <w:r w:rsidR="002D7687" w:rsidRPr="00160118">
        <w:rPr>
          <w:i/>
          <w:vertAlign w:val="subscript"/>
        </w:rPr>
        <w:t>i</w:t>
      </w:r>
      <w:r w:rsidR="002D7687" w:rsidRPr="002D7687">
        <w:t xml:space="preserve"> and </w:t>
      </w:r>
      <w:r w:rsidR="002D7687" w:rsidRPr="00160118">
        <w:rPr>
          <w:i/>
        </w:rPr>
        <w:t>d</w:t>
      </w:r>
      <w:r w:rsidR="002D7687">
        <w:rPr>
          <w:rFonts w:cstheme="minorHAnsi"/>
        </w:rPr>
        <w:t>θ</w:t>
      </w:r>
      <w:r w:rsidR="002D7687" w:rsidRPr="00160118">
        <w:rPr>
          <w:i/>
          <w:vertAlign w:val="subscript"/>
        </w:rPr>
        <w:t>i</w:t>
      </w:r>
      <w:r w:rsidR="002D7687">
        <w:t>/</w:t>
      </w:r>
      <w:r w:rsidR="002D7687" w:rsidRPr="00160118">
        <w:rPr>
          <w:i/>
        </w:rPr>
        <w:t>d</w:t>
      </w:r>
      <w:r w:rsidR="002D7687">
        <w:rPr>
          <w:i/>
        </w:rPr>
        <w:t>H</w:t>
      </w:r>
      <w:r w:rsidR="002D7687" w:rsidRPr="00160118">
        <w:rPr>
          <w:i/>
        </w:rPr>
        <w:t>C</w:t>
      </w:r>
      <w:r w:rsidR="002D7687" w:rsidRPr="00160118">
        <w:rPr>
          <w:i/>
          <w:vertAlign w:val="subscript"/>
        </w:rPr>
        <w:t>i</w:t>
      </w:r>
      <w:r w:rsidR="002D7687">
        <w:rPr>
          <w:rFonts w:cstheme="minorHAnsi"/>
        </w:rPr>
        <w:t xml:space="preserve"> can be accounted for and if </w:t>
      </w:r>
      <w:r w:rsidR="002D7687">
        <w:rPr>
          <w:rFonts w:cstheme="minorHAnsi"/>
          <w:i/>
        </w:rPr>
        <w:t>∂</w:t>
      </w:r>
      <w:r w:rsidR="002D7687">
        <w:rPr>
          <w:i/>
        </w:rPr>
        <w:t>g</w:t>
      </w:r>
      <w:r w:rsidR="002D7687">
        <w:t>/</w:t>
      </w:r>
      <w:r w:rsidR="002D7687">
        <w:rPr>
          <w:rFonts w:cstheme="minorHAnsi"/>
          <w:i/>
        </w:rPr>
        <w:t>∂</w:t>
      </w:r>
      <w:r w:rsidR="002D7687">
        <w:rPr>
          <w:i/>
        </w:rPr>
        <w:t>LTC</w:t>
      </w:r>
      <w:r w:rsidR="002D7687" w:rsidRPr="008B3656">
        <w:rPr>
          <w:i/>
          <w:vertAlign w:val="subscript"/>
        </w:rPr>
        <w:t>i</w:t>
      </w:r>
      <w:r w:rsidR="002D7687">
        <w:rPr>
          <w:i/>
          <w:vertAlign w:val="superscript"/>
        </w:rPr>
        <w:t>low</w:t>
      </w:r>
      <w:r w:rsidR="002D7687" w:rsidRPr="00CE6383">
        <w:rPr>
          <w:rFonts w:cstheme="minorHAnsi"/>
        </w:rPr>
        <w:t xml:space="preserve"> and </w:t>
      </w:r>
      <w:r w:rsidR="002D7687">
        <w:rPr>
          <w:rFonts w:cstheme="minorHAnsi"/>
          <w:i/>
        </w:rPr>
        <w:t>∂</w:t>
      </w:r>
      <w:r w:rsidR="002D7687">
        <w:rPr>
          <w:i/>
        </w:rPr>
        <w:t>g</w:t>
      </w:r>
      <w:r w:rsidR="002D7687">
        <w:t>/</w:t>
      </w:r>
      <w:r w:rsidR="002D7687">
        <w:rPr>
          <w:rFonts w:cstheme="minorHAnsi"/>
          <w:i/>
        </w:rPr>
        <w:t>∂</w:t>
      </w:r>
      <w:r w:rsidR="002D7687">
        <w:rPr>
          <w:i/>
        </w:rPr>
        <w:t>LTC</w:t>
      </w:r>
      <w:r w:rsidR="002D7687" w:rsidRPr="008B3656">
        <w:rPr>
          <w:i/>
          <w:vertAlign w:val="subscript"/>
        </w:rPr>
        <w:t>i</w:t>
      </w:r>
      <w:r w:rsidR="002D7687" w:rsidRPr="005B6EF3">
        <w:rPr>
          <w:i/>
          <w:vertAlign w:val="superscript"/>
        </w:rPr>
        <w:t>high</w:t>
      </w:r>
      <w:r w:rsidR="002D7687" w:rsidRPr="002D7687">
        <w:rPr>
          <w:rFonts w:cstheme="minorHAnsi"/>
        </w:rPr>
        <w:t xml:space="preserve"> </w:t>
      </w:r>
      <w:r w:rsidR="002D7687">
        <w:rPr>
          <w:rFonts w:cstheme="minorHAnsi"/>
        </w:rPr>
        <w:t>are not impacted by HC expenditure.</w:t>
      </w:r>
      <w:r w:rsidR="003558F2">
        <w:rPr>
          <w:rFonts w:cstheme="minorHAnsi"/>
        </w:rPr>
        <w:t xml:space="preserve"> </w:t>
      </w:r>
      <w:r w:rsidR="006F69EE">
        <w:rPr>
          <w:rFonts w:cstheme="minorHAnsi"/>
        </w:rPr>
        <w:t xml:space="preserve">Under these assumptions, </w:t>
      </w:r>
      <w:r w:rsidR="006F69EE">
        <w:rPr>
          <w:rFonts w:cstheme="minorHAnsi"/>
        </w:rPr>
        <w:lastRenderedPageBreak/>
        <w:t>t</w:t>
      </w:r>
      <w:r w:rsidR="00D32C76">
        <w:rPr>
          <w:rFonts w:cstheme="minorHAnsi"/>
        </w:rPr>
        <w:t>his can then be compared with the HC total mortality effect,</w:t>
      </w:r>
      <w:r w:rsidR="00D32C76" w:rsidRPr="00AF3E1E">
        <w:rPr>
          <w:i/>
        </w:rPr>
        <w:t xml:space="preserve"> </w:t>
      </w:r>
      <w:r w:rsidR="00D32C76">
        <w:rPr>
          <w:rFonts w:cstheme="minorHAnsi"/>
          <w:i/>
        </w:rPr>
        <w:t>β</w:t>
      </w:r>
      <w:r w:rsidR="00D32C76">
        <w:rPr>
          <w:rFonts w:cstheme="minorHAnsi"/>
          <w:i/>
          <w:vertAlign w:val="subscript"/>
        </w:rPr>
        <w:t>1</w:t>
      </w:r>
      <w:r w:rsidR="00113129">
        <w:rPr>
          <w:rFonts w:cstheme="minorHAnsi"/>
        </w:rPr>
        <w:t xml:space="preserve">, </w:t>
      </w:r>
      <w:r w:rsidR="00D32C76">
        <w:rPr>
          <w:rFonts w:cstheme="minorHAnsi"/>
        </w:rPr>
        <w:t xml:space="preserve">to estimate </w:t>
      </w:r>
      <w:r w:rsidR="00113129">
        <w:rPr>
          <w:rFonts w:cstheme="minorHAnsi"/>
        </w:rPr>
        <w:t>t</w:t>
      </w:r>
      <w:r w:rsidR="003558F2">
        <w:rPr>
          <w:rFonts w:cstheme="minorHAnsi"/>
        </w:rPr>
        <w:t xml:space="preserve">he HC indirect </w:t>
      </w:r>
      <w:r w:rsidR="008D3A14">
        <w:rPr>
          <w:rFonts w:cstheme="minorHAnsi"/>
        </w:rPr>
        <w:t xml:space="preserve">mortality </w:t>
      </w:r>
      <w:r w:rsidR="003558F2">
        <w:rPr>
          <w:rFonts w:cstheme="minorHAnsi"/>
        </w:rPr>
        <w:t>effect.</w:t>
      </w:r>
    </w:p>
    <w:p w14:paraId="7BD2F988" w14:textId="17C87966" w:rsidR="009E2A76" w:rsidRPr="002A4884" w:rsidRDefault="009E2A76" w:rsidP="00C72A0E">
      <w:pPr>
        <w:pStyle w:val="Heading2"/>
      </w:pPr>
      <w:bookmarkStart w:id="27" w:name="_Ref88221332"/>
      <w:r w:rsidRPr="002A4884">
        <w:t>IV approach</w:t>
      </w:r>
      <w:bookmarkEnd w:id="27"/>
    </w:p>
    <w:p w14:paraId="020F2254" w14:textId="45EA10C2" w:rsidR="003220C6" w:rsidRDefault="00D73965" w:rsidP="003220C6">
      <w:r>
        <w:t>W</w:t>
      </w:r>
      <w:r w:rsidR="00815A0E">
        <w:t xml:space="preserve">e use the DFT index, the age-cost index, and the MFF index as instruments for HC expenditure </w:t>
      </w:r>
      <w:r>
        <w:t>and council tax base per user as the primary instrument for LTC expenditure</w:t>
      </w:r>
      <w:r w:rsidR="00815A0E">
        <w:t xml:space="preserve">. </w:t>
      </w:r>
      <w:r w:rsidR="003220C6">
        <w:fldChar w:fldCharType="begin"/>
      </w:r>
      <w:r w:rsidR="00157743">
        <w:instrText xml:space="preserve"> ADDIN EN.CITE &lt;EndNote&gt;&lt;Cite AuthorYear="1"&gt;&lt;Author&gt;Martin&lt;/Author&gt;&lt;Year&gt;2021&lt;/Year&gt;&lt;RecNum&gt;557&lt;/RecNum&gt;&lt;DisplayText&gt;Martin et al. (2021a)&lt;/DisplayText&gt;&lt;record&gt;&lt;rec-number&gt;557&lt;/rec-number&gt;&lt;foreign-keys&gt;&lt;key app="EN" db-id="r920as25hw5rrve2fa8psvr8e0dxvzxa200s" timestamp="1635512941" guid="c7b76bbf-4485-46dd-8311-a9cb5ef97d71"&gt;557&lt;/key&gt;&lt;/foreign-keys&gt;&lt;ref-type name="Journal Article"&gt;17&lt;/ref-type&gt;&lt;contributors&gt;&lt;authors&gt;&lt;author&gt;Martin, Stephen&lt;/author&gt;&lt;author&gt;Lomas, James&lt;/author&gt;&lt;author&gt;Claxton, Karl&lt;/author&gt;&lt;author&gt;Longo, Francesco&lt;/author&gt;&lt;/authors&gt;&lt;/contributors&gt;&lt;titles&gt;&lt;title&gt;How effective is marginal healthcare expenditure? New evidence from England for 2003/04 to 2012/13&lt;/title&gt;&lt;secondary-title&gt;Applied Health Economics and Health Policy&lt;/secondary-title&gt;&lt;/titles&gt;&lt;periodical&gt;&lt;full-title&gt;Applied Health Economics and Health Policy&lt;/full-title&gt;&lt;/periodical&gt;&lt;pages&gt;1-19&lt;/pages&gt;&lt;dates&gt;&lt;year&gt;2021&lt;/year&gt;&lt;/dates&gt;&lt;isbn&gt;1179-1896&lt;/isbn&gt;&lt;urls&gt;&lt;/urls&gt;&lt;/record&gt;&lt;/Cite&gt;&lt;/EndNote&gt;</w:instrText>
      </w:r>
      <w:r w:rsidR="003220C6">
        <w:fldChar w:fldCharType="separate"/>
      </w:r>
      <w:r w:rsidR="00EA2F63">
        <w:rPr>
          <w:noProof/>
        </w:rPr>
        <w:t>Martin et al. (2021a)</w:t>
      </w:r>
      <w:r w:rsidR="003220C6">
        <w:fldChar w:fldCharType="end"/>
      </w:r>
      <w:r w:rsidR="003220C6">
        <w:t xml:space="preserve"> discuss the validity of </w:t>
      </w:r>
      <w:r w:rsidR="00815A0E">
        <w:t>the three instruments</w:t>
      </w:r>
      <w:r>
        <w:t xml:space="preserve"> for HC expenditure</w:t>
      </w:r>
      <w:r w:rsidR="00815A0E">
        <w:t xml:space="preserve"> </w:t>
      </w:r>
      <w:r w:rsidR="003220C6">
        <w:t>in the context of a regression where the dependent variable is age-standardised mortality</w:t>
      </w:r>
      <w:r w:rsidR="00815A0E">
        <w:t xml:space="preserve"> like in this study</w:t>
      </w:r>
      <w:r w:rsidR="003220C6">
        <w:t xml:space="preserve">. </w:t>
      </w:r>
      <w:r w:rsidR="00C903A3">
        <w:t>In sum, t</w:t>
      </w:r>
      <w:r w:rsidR="003220C6" w:rsidRPr="002A4884">
        <w:t xml:space="preserve">hese </w:t>
      </w:r>
      <w:r w:rsidR="003220C6">
        <w:t xml:space="preserve">instruments </w:t>
      </w:r>
      <w:r w:rsidR="003220C6" w:rsidRPr="002A4884">
        <w:t xml:space="preserve">are argued to be </w:t>
      </w:r>
      <w:r w:rsidR="003220C6">
        <w:t xml:space="preserve">relevant (i.e. </w:t>
      </w:r>
      <w:r w:rsidR="003220C6" w:rsidRPr="002A4884">
        <w:t>correlated with HC expenditure</w:t>
      </w:r>
      <w:r w:rsidR="003220C6">
        <w:t>)</w:t>
      </w:r>
      <w:r w:rsidR="003220C6" w:rsidRPr="002A4884">
        <w:t xml:space="preserve"> because they determine the </w:t>
      </w:r>
      <w:r w:rsidR="003220C6">
        <w:t xml:space="preserve">amount of </w:t>
      </w:r>
      <w:r w:rsidR="003220C6" w:rsidRPr="002A4884">
        <w:t xml:space="preserve">HC funding available to CCGs. </w:t>
      </w:r>
      <w:r w:rsidR="003220C6">
        <w:t>T</w:t>
      </w:r>
      <w:r w:rsidR="003220C6" w:rsidRPr="00422715">
        <w:t>he DFT index reflect</w:t>
      </w:r>
      <w:r w:rsidR="003220C6">
        <w:t>s</w:t>
      </w:r>
      <w:r w:rsidR="003220C6" w:rsidRPr="00422715">
        <w:t xml:space="preserve"> various policy choices </w:t>
      </w:r>
      <w:r w:rsidR="003220C6">
        <w:t>which can be argued to be independent from age-standardised mortality or other health outcomes</w:t>
      </w:r>
      <w:r w:rsidR="003220C6" w:rsidRPr="00422715">
        <w:t xml:space="preserve"> </w:t>
      </w:r>
      <w:r w:rsidR="003220C6">
        <w:fldChar w:fldCharType="begin"/>
      </w:r>
      <w:r w:rsidR="00157743">
        <w:instrText xml:space="preserve"> ADDIN EN.CITE &lt;EndNote&gt;&lt;Cite&gt;&lt;Author&gt;Carr-Hill&lt;/Author&gt;&lt;Year&gt;1997&lt;/Year&gt;&lt;RecNum&gt;545&lt;/RecNum&gt;&lt;DisplayText&gt;(Carr-Hill et al., 1997)&lt;/DisplayText&gt;&lt;record&gt;&lt;rec-number&gt;545&lt;/rec-number&gt;&lt;foreign-keys&gt;&lt;key app="EN" db-id="r920as25hw5rrve2fa8psvr8e0dxvzxa200s" timestamp="1613127742" guid="77e91b07-df7e-467c-a9b7-74bd1a785a95"&gt;545&lt;/key&gt;&lt;/foreign-keys&gt;&lt;ref-type name="Journal Article"&gt;17&lt;/ref-type&gt;&lt;contributors&gt;&lt;authors&gt;&lt;author&gt;Carr-Hill, Roy A&lt;/author&gt;&lt;author&gt;Hardman, Geoffrey&lt;/author&gt;&lt;author&gt;Martin, Stephen&lt;/author&gt;&lt;author&gt;Peacock, Stuart&lt;/author&gt;&lt;author&gt;Sheldon, Trevor A&lt;/author&gt;&lt;author&gt;Smith, Peter C&lt;/author&gt;&lt;/authors&gt;&lt;/contributors&gt;&lt;titles&gt;&lt;title&gt;A new formula for distributing hospital funds in England&lt;/title&gt;&lt;secondary-title&gt;Interfaces&lt;/secondary-title&gt;&lt;/titles&gt;&lt;periodical&gt;&lt;full-title&gt;Interfaces&lt;/full-title&gt;&lt;/periodical&gt;&lt;pages&gt;53-70&lt;/pages&gt;&lt;volume&gt;27&lt;/volume&gt;&lt;number&gt;1&lt;/number&gt;&lt;dates&gt;&lt;year&gt;1997&lt;/year&gt;&lt;/dates&gt;&lt;isbn&gt;0092-2102&lt;/isbn&gt;&lt;urls&gt;&lt;/urls&gt;&lt;/record&gt;&lt;/Cite&gt;&lt;/EndNote&gt;</w:instrText>
      </w:r>
      <w:r w:rsidR="003220C6">
        <w:fldChar w:fldCharType="separate"/>
      </w:r>
      <w:r w:rsidR="003220C6">
        <w:rPr>
          <w:noProof/>
        </w:rPr>
        <w:t>(Carr-Hill et al., 1997)</w:t>
      </w:r>
      <w:r w:rsidR="003220C6">
        <w:fldChar w:fldCharType="end"/>
      </w:r>
      <w:r w:rsidR="003220C6">
        <w:t>.</w:t>
      </w:r>
      <w:r w:rsidR="006364C6">
        <w:rPr>
          <w:rStyle w:val="FootnoteReference"/>
        </w:rPr>
        <w:footnoteReference w:id="9"/>
      </w:r>
      <w:r w:rsidR="003220C6">
        <w:t xml:space="preserve"> In addition, </w:t>
      </w:r>
      <w:r w:rsidR="003220C6" w:rsidRPr="00422715">
        <w:t>conditional on our controls</w:t>
      </w:r>
      <w:r w:rsidR="003220C6">
        <w:t xml:space="preserve"> for health needs</w:t>
      </w:r>
      <w:r w:rsidR="003220C6" w:rsidRPr="00422715">
        <w:t xml:space="preserve">, the DFT index </w:t>
      </w:r>
      <w:r w:rsidR="003220C6">
        <w:t xml:space="preserve">is unlikely to </w:t>
      </w:r>
      <w:r w:rsidR="003220C6" w:rsidRPr="00422715">
        <w:t xml:space="preserve">be correlated with unobserved determinants of </w:t>
      </w:r>
      <w:r w:rsidR="003220C6">
        <w:t xml:space="preserve">age-standardised </w:t>
      </w:r>
      <w:r w:rsidR="003220C6" w:rsidRPr="00422715">
        <w:t>mortality.</w:t>
      </w:r>
      <w:r w:rsidR="003220C6">
        <w:t xml:space="preserve"> The age-cost index</w:t>
      </w:r>
      <w:r w:rsidR="00815A0E">
        <w:t xml:space="preserve"> captures the impact of the age and gender profile of the local population on</w:t>
      </w:r>
      <w:r w:rsidR="00583C96">
        <w:t xml:space="preserve"> the HC costs</w:t>
      </w:r>
      <w:r>
        <w:t>.</w:t>
      </w:r>
      <w:r w:rsidR="003B60E1">
        <w:t xml:space="preserve"> Importantly</w:t>
      </w:r>
      <w:r w:rsidR="003220C6">
        <w:t>,</w:t>
      </w:r>
      <w:r w:rsidR="00583C96">
        <w:t xml:space="preserve"> </w:t>
      </w:r>
      <w:r w:rsidR="003B60E1">
        <w:t>a</w:t>
      </w:r>
      <w:r w:rsidR="00583C96">
        <w:t>s our mortality indicator is age</w:t>
      </w:r>
      <w:r w:rsidR="003B60E1">
        <w:t>-</w:t>
      </w:r>
      <w:r w:rsidR="00583C96">
        <w:t>standardised</w:t>
      </w:r>
      <w:r w:rsidR="003B60E1">
        <w:t xml:space="preserve">, any correlation between </w:t>
      </w:r>
      <w:r>
        <w:t xml:space="preserve">this and </w:t>
      </w:r>
      <w:r w:rsidR="003B60E1">
        <w:t>the age-cost index</w:t>
      </w:r>
      <w:r w:rsidR="009622D1">
        <w:t xml:space="preserve"> </w:t>
      </w:r>
      <w:r w:rsidR="003B60E1">
        <w:t xml:space="preserve">cannot occur via age. </w:t>
      </w:r>
      <w:r w:rsidR="009622D1">
        <w:t>On the other hand,</w:t>
      </w:r>
      <w:r w:rsidR="003220C6">
        <w:t xml:space="preserve"> the MFF index reflects HC labour and capital prices in each locality. Both age-cost and MFF index may capture differences in costs across LAs only imperfectly. We have no reason to believe that errors in these adjustments will have a direct effect on age-standardised mortality. Moreover, conditional on health needs, these errors are unlikely to be correlated with unobserved factors impacting age-standardised mortality </w:t>
      </w:r>
      <w:r w:rsidR="003220C6">
        <w:fldChar w:fldCharType="begin"/>
      </w:r>
      <w:r w:rsidR="00157743">
        <w:instrText xml:space="preserve"> ADDIN EN.CITE &lt;EndNote&gt;&lt;Cite&gt;&lt;Author&gt;Propper&lt;/Author&gt;&lt;Year&gt;2010&lt;/Year&gt;&lt;RecNum&gt;546&lt;/RecNum&gt;&lt;DisplayText&gt;(Propper and Van Reenen, 2010)&lt;/DisplayText&gt;&lt;record&gt;&lt;rec-number&gt;546&lt;/rec-number&gt;&lt;foreign-keys&gt;&lt;key app="EN" db-id="r920as25hw5rrve2fa8psvr8e0dxvzxa200s" timestamp="1613128402" guid="9a77ff5c-3cc5-49cf-bfc4-9f5a0b42d53f"&gt;546&lt;/key&gt;&lt;/foreign-keys&gt;&lt;ref-type name="Journal Article"&gt;17&lt;/ref-type&gt;&lt;contributors&gt;&lt;authors&gt;&lt;author&gt;Propper, Carol&lt;/author&gt;&lt;author&gt;Van Reenen, John&lt;/author&gt;&lt;/authors&gt;&lt;/contributors&gt;&lt;titles&gt;&lt;title&gt;Can pay regulation kill? Panel data evidence on the effect of labor markets on hospital performance&lt;/title&gt;&lt;secondary-title&gt;Journal of Political Economy&lt;/secondary-title&gt;&lt;/titles&gt;&lt;periodical&gt;&lt;full-title&gt;Journal of Political Economy&lt;/full-title&gt;&lt;/periodical&gt;&lt;pages&gt;222-273&lt;/pages&gt;&lt;volume&gt;118&lt;/volume&gt;&lt;number&gt;2&lt;/number&gt;&lt;dates&gt;&lt;year&gt;2010&lt;/year&gt;&lt;/dates&gt;&lt;isbn&gt;0022-3808&lt;/isbn&gt;&lt;urls&gt;&lt;/urls&gt;&lt;/record&gt;&lt;/Cite&gt;&lt;/EndNote&gt;</w:instrText>
      </w:r>
      <w:r w:rsidR="003220C6">
        <w:fldChar w:fldCharType="separate"/>
      </w:r>
      <w:r w:rsidR="003220C6">
        <w:rPr>
          <w:noProof/>
        </w:rPr>
        <w:t>(Propper and Van Reenen, 2010)</w:t>
      </w:r>
      <w:r w:rsidR="003220C6">
        <w:fldChar w:fldCharType="end"/>
      </w:r>
      <w:r w:rsidR="003220C6">
        <w:t>.</w:t>
      </w:r>
      <w:r>
        <w:t xml:space="preserve"> Therefore, the only plausible pattern for these adjustment errors to impact mortality is via HC expenditure.</w:t>
      </w:r>
    </w:p>
    <w:p w14:paraId="19A4A831" w14:textId="1FFAAA6F" w:rsidR="003220C6" w:rsidRDefault="003220C6" w:rsidP="003220C6">
      <w:r>
        <w:t xml:space="preserve">Similarly, we argue that these instruments </w:t>
      </w:r>
      <w:r w:rsidR="00A427F8">
        <w:t xml:space="preserve">for HC expenditure per capita </w:t>
      </w:r>
      <w:r>
        <w:t xml:space="preserve">are equally valid when used in regression </w:t>
      </w:r>
      <w:r>
        <w:rPr>
          <w:iCs/>
        </w:rPr>
        <w:fldChar w:fldCharType="begin"/>
      </w:r>
      <w:r>
        <w:rPr>
          <w:iCs/>
        </w:rPr>
        <w:instrText xml:space="preserve"> GOTOBUTTON ZEqnNum123026  \* MERGEFORMAT </w:instrText>
      </w:r>
      <w:r>
        <w:rPr>
          <w:iCs/>
        </w:rPr>
        <w:fldChar w:fldCharType="begin"/>
      </w:r>
      <w:r>
        <w:rPr>
          <w:iCs/>
        </w:rPr>
        <w:instrText xml:space="preserve"> REF ZEqnNum123026 \* Charformat \! \* MERGEFORMAT </w:instrText>
      </w:r>
      <w:r>
        <w:rPr>
          <w:iCs/>
        </w:rPr>
        <w:fldChar w:fldCharType="separate"/>
      </w:r>
      <w:r w:rsidR="007C7B62" w:rsidRPr="007C7B62">
        <w:rPr>
          <w:iCs/>
        </w:rPr>
        <w:instrText>(19)</w:instrText>
      </w:r>
      <w:r>
        <w:rPr>
          <w:iCs/>
        </w:rPr>
        <w:fldChar w:fldCharType="end"/>
      </w:r>
      <w:r>
        <w:rPr>
          <w:iCs/>
        </w:rPr>
        <w:fldChar w:fldCharType="end"/>
      </w:r>
      <w:r>
        <w:t xml:space="preserve">, where the dependent variable is LTC expenditure per user or one of its sub-categories. This is because English LAs in 2014/15 experienced low integration between HC and LTC </w:t>
      </w:r>
      <w:r w:rsidR="000752BB">
        <w:t>funding</w:t>
      </w:r>
      <w:r>
        <w:t xml:space="preserve"> </w:t>
      </w:r>
      <w:r w:rsidR="000752BB">
        <w:t xml:space="preserve">systems </w:t>
      </w:r>
      <w:r>
        <w:t xml:space="preserve">and, therefore, expenditure in these two sectors were driven by </w:t>
      </w:r>
      <w:r w:rsidR="000752BB">
        <w:t xml:space="preserve">mostly </w:t>
      </w:r>
      <w:r>
        <w:t xml:space="preserve">independent decision-making processes. Therefore, </w:t>
      </w:r>
      <w:r w:rsidR="00E22DAE">
        <w:t xml:space="preserve">conditional on observed needs, </w:t>
      </w:r>
      <w:r>
        <w:t>elements of the funding rules in one sector are unlikely</w:t>
      </w:r>
      <w:r w:rsidR="002C30EF">
        <w:t xml:space="preserve"> </w:t>
      </w:r>
      <w:r>
        <w:t xml:space="preserve">to have a direct impact on expenditure in the other sector. This implies that instruments for HC expenditure are likely to be </w:t>
      </w:r>
      <w:r w:rsidR="00E22DAE">
        <w:t xml:space="preserve">conditionally </w:t>
      </w:r>
      <w:r>
        <w:t xml:space="preserve">exogenous in regression </w:t>
      </w:r>
      <w:r>
        <w:rPr>
          <w:iCs/>
        </w:rPr>
        <w:fldChar w:fldCharType="begin"/>
      </w:r>
      <w:r>
        <w:rPr>
          <w:iCs/>
        </w:rPr>
        <w:instrText xml:space="preserve"> GOTOBUTTON ZEqnNum123026  \* MERGEFORMAT </w:instrText>
      </w:r>
      <w:r>
        <w:rPr>
          <w:iCs/>
        </w:rPr>
        <w:fldChar w:fldCharType="begin"/>
      </w:r>
      <w:r>
        <w:rPr>
          <w:iCs/>
        </w:rPr>
        <w:instrText xml:space="preserve"> REF ZEqnNum123026 \* Charformat \! \* MERGEFORMAT </w:instrText>
      </w:r>
      <w:r>
        <w:rPr>
          <w:iCs/>
        </w:rPr>
        <w:fldChar w:fldCharType="separate"/>
      </w:r>
      <w:r w:rsidR="007C7B62" w:rsidRPr="007C7B62">
        <w:rPr>
          <w:iCs/>
        </w:rPr>
        <w:instrText>(19)</w:instrText>
      </w:r>
      <w:r>
        <w:rPr>
          <w:iCs/>
        </w:rPr>
        <w:fldChar w:fldCharType="end"/>
      </w:r>
      <w:r>
        <w:rPr>
          <w:iCs/>
        </w:rPr>
        <w:fldChar w:fldCharType="end"/>
      </w:r>
      <w:r>
        <w:rPr>
          <w:iCs/>
        </w:rPr>
        <w:t xml:space="preserve"> </w:t>
      </w:r>
      <w:r>
        <w:t>and likely to impact LTC expenditures only via HC expenditure.</w:t>
      </w:r>
    </w:p>
    <w:p w14:paraId="5941C0CA" w14:textId="559DEE82" w:rsidR="009E2A76" w:rsidRPr="002A4884" w:rsidRDefault="00C903A3" w:rsidP="00AF437E">
      <w:r>
        <w:t>T</w:t>
      </w:r>
      <w:r w:rsidR="003220C6" w:rsidRPr="002A4884">
        <w:t>he council tax base</w:t>
      </w:r>
      <w:r w:rsidR="003220C6">
        <w:t xml:space="preserve"> per user</w:t>
      </w:r>
      <w:r w:rsidR="00D73965">
        <w:t xml:space="preserve"> is measured as </w:t>
      </w:r>
      <w:r w:rsidR="00D73965" w:rsidRPr="002A4884">
        <w:t>the standardised number of domestic properties per user</w:t>
      </w:r>
      <w:r w:rsidR="00D73965">
        <w:t>.</w:t>
      </w:r>
      <w:r w:rsidR="00B028B3">
        <w:rPr>
          <w:rStyle w:val="FootnoteReference"/>
        </w:rPr>
        <w:footnoteReference w:id="10"/>
      </w:r>
      <w:r w:rsidR="00D73965">
        <w:t xml:space="preserve"> This</w:t>
      </w:r>
      <w:r w:rsidR="003220C6" w:rsidRPr="002A4884">
        <w:t xml:space="preserve"> is argued to be correlated with LTC expenditure </w:t>
      </w:r>
      <w:r w:rsidR="003220C6">
        <w:t xml:space="preserve">per user </w:t>
      </w:r>
      <w:r w:rsidR="003220C6" w:rsidRPr="002A4884">
        <w:t xml:space="preserve">because it is a key </w:t>
      </w:r>
      <w:r w:rsidR="003220C6" w:rsidRPr="002A4884">
        <w:lastRenderedPageBreak/>
        <w:t xml:space="preserve">determinant of the funding available to LAs for the provision of local services including LTC. In addition, it is </w:t>
      </w:r>
      <w:r w:rsidR="00020480">
        <w:t xml:space="preserve">likely to be </w:t>
      </w:r>
      <w:r w:rsidR="003220C6" w:rsidRPr="002A4884">
        <w:t>exogenous conditional on socio-economic factors</w:t>
      </w:r>
      <w:r w:rsidR="00020480">
        <w:t>. This is</w:t>
      </w:r>
      <w:r w:rsidR="003220C6" w:rsidRPr="002A4884">
        <w:t xml:space="preserve"> because it reflects the historical urban development across LAs</w:t>
      </w:r>
      <w:r w:rsidR="003220C6">
        <w:t xml:space="preserve"> (e.g. tangible cultural heritage)</w:t>
      </w:r>
      <w:r w:rsidR="003220C6" w:rsidRPr="002A4884">
        <w:t xml:space="preserve"> which is</w:t>
      </w:r>
      <w:r w:rsidR="003220C6">
        <w:t xml:space="preserve"> unlikely to be</w:t>
      </w:r>
      <w:r w:rsidR="003220C6" w:rsidRPr="002A4884">
        <w:t xml:space="preserve"> correlated with </w:t>
      </w:r>
      <w:r w:rsidR="003220C6">
        <w:t xml:space="preserve">LTC outcomes and needs. </w:t>
      </w:r>
      <w:r w:rsidR="00AB32A2" w:rsidRPr="00AB32A2">
        <w:t>The</w:t>
      </w:r>
      <w:r w:rsidR="0044659B">
        <w:t>refore</w:t>
      </w:r>
      <w:r w:rsidR="00020480">
        <w:t xml:space="preserve">, conditionally on our </w:t>
      </w:r>
      <w:r w:rsidR="00150D47">
        <w:t>controls</w:t>
      </w:r>
      <w:r w:rsidR="0044659B">
        <w:t>, the</w:t>
      </w:r>
      <w:r w:rsidR="00AB32A2" w:rsidRPr="00AB32A2">
        <w:t xml:space="preserve"> council tax base per user </w:t>
      </w:r>
      <w:r w:rsidR="00020480">
        <w:t xml:space="preserve">is argued </w:t>
      </w:r>
      <w:r w:rsidR="00AB32A2" w:rsidRPr="00AB32A2">
        <w:t xml:space="preserve">to impact </w:t>
      </w:r>
      <w:r w:rsidR="00AB32A2">
        <w:t xml:space="preserve">our dependent variables </w:t>
      </w:r>
      <w:r w:rsidR="00AB32A2" w:rsidRPr="00AB32A2">
        <w:t xml:space="preserve">only </w:t>
      </w:r>
      <w:r w:rsidR="00AB32A2">
        <w:t xml:space="preserve">via </w:t>
      </w:r>
      <w:r w:rsidR="00AB32A2" w:rsidRPr="00AB32A2">
        <w:t>LTC expenditure</w:t>
      </w:r>
      <w:r w:rsidR="005932E4">
        <w:t xml:space="preserve"> per user</w:t>
      </w:r>
      <w:r w:rsidR="00AB32A2" w:rsidRPr="00AB32A2">
        <w:t>.</w:t>
      </w:r>
      <w:r w:rsidR="00AB32A2">
        <w:t xml:space="preserve"> However, u</w:t>
      </w:r>
      <w:r w:rsidR="003220C6">
        <w:t xml:space="preserve">nlike </w:t>
      </w:r>
      <w:r w:rsidR="003220C6">
        <w:fldChar w:fldCharType="begin"/>
      </w:r>
      <w:r w:rsidR="00F472F8">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3220C6">
        <w:fldChar w:fldCharType="separate"/>
      </w:r>
      <w:r w:rsidR="003220C6">
        <w:rPr>
          <w:noProof/>
        </w:rPr>
        <w:t>Longo et al. (2021)</w:t>
      </w:r>
      <w:r w:rsidR="003220C6">
        <w:fldChar w:fldCharType="end"/>
      </w:r>
      <w:r w:rsidR="003220C6">
        <w:t xml:space="preserve">, </w:t>
      </w:r>
      <w:r w:rsidR="00B50D86">
        <w:t xml:space="preserve">for whom the dependent variable is a LTC-specific measure of user quality of life </w:t>
      </w:r>
      <w:r w:rsidR="00B50D86">
        <w:fldChar w:fldCharType="begin"/>
      </w:r>
      <w:r w:rsidR="00F472F8">
        <w:instrText xml:space="preserve"> ADDIN EN.CITE &lt;EndNote&gt;&lt;Cite&gt;&lt;Author&gt;Netten&lt;/Author&gt;&lt;Year&gt;2012&lt;/Year&gt;&lt;RecNum&gt;1&lt;/RecNum&gt;&lt;DisplayText&gt;(Netten et al., 2012)&lt;/DisplayText&gt;&lt;record&gt;&lt;rec-number&gt;1&lt;/rec-number&gt;&lt;foreign-keys&gt;&lt;key app="EN" db-id="r920as25hw5rrve2fa8psvr8e0dxvzxa200s" timestamp="1548780873" guid="7e6ca872-13ea-4f2f-8869-bc98638028cd"&gt;1&lt;/key&gt;&lt;/foreign-keys&gt;&lt;ref-type name="Journal Article"&gt;17&lt;/ref-type&gt;&lt;contributors&gt;&lt;authors&gt;&lt;author&gt;Netten, Ann&lt;/author&gt;&lt;author&gt;Burge, Peter&lt;/author&gt;&lt;author&gt;Malley, Juliette&lt;/author&gt;&lt;author&gt;Potoglou, Dimitris&lt;/author&gt;&lt;author&gt;Towers, Ann-Marie&lt;/author&gt;&lt;author&gt;Brazier, John&lt;/author&gt;&lt;author&gt;Flynn, Terry&lt;/author&gt;&lt;author&gt;Forder, Julien %J Health Technology Assessment&lt;/author&gt;&lt;/authors&gt;&lt;/contributors&gt;&lt;titles&gt;&lt;title&gt;Outcomes of social care for adults: developing a preference-weighted measure&lt;/title&gt;&lt;/titles&gt;&lt;pages&gt;1-166&lt;/pages&gt;&lt;volume&gt;16&lt;/volume&gt;&lt;number&gt;16&lt;/number&gt;&lt;dates&gt;&lt;year&gt;2012&lt;/year&gt;&lt;/dates&gt;&lt;isbn&gt;1366-5278&lt;/isbn&gt;&lt;urls&gt;&lt;/urls&gt;&lt;/record&gt;&lt;/Cite&gt;&lt;/EndNote&gt;</w:instrText>
      </w:r>
      <w:r w:rsidR="00B50D86">
        <w:fldChar w:fldCharType="separate"/>
      </w:r>
      <w:r w:rsidR="00B50D86">
        <w:rPr>
          <w:noProof/>
        </w:rPr>
        <w:t>(Netten et al., 2012)</w:t>
      </w:r>
      <w:r w:rsidR="00B50D86">
        <w:fldChar w:fldCharType="end"/>
      </w:r>
      <w:r w:rsidR="00B50D86">
        <w:t xml:space="preserve">, </w:t>
      </w:r>
      <w:r w:rsidR="003220C6">
        <w:t>our dependent variables are age-standardised mortality</w:t>
      </w:r>
      <w:r w:rsidR="00E22DAE">
        <w:t>,</w:t>
      </w:r>
      <w:r w:rsidR="00B50D86">
        <w:t xml:space="preserve"> in regression </w:t>
      </w:r>
      <w:r w:rsidR="00B50D86">
        <w:rPr>
          <w:iCs/>
        </w:rPr>
        <w:fldChar w:fldCharType="begin"/>
      </w:r>
      <w:r w:rsidR="00B50D86">
        <w:rPr>
          <w:iCs/>
        </w:rPr>
        <w:instrText xml:space="preserve"> GOTOBUTTON ZEqnNum977296  \* MERGEFORMAT </w:instrText>
      </w:r>
      <w:r w:rsidR="00B50D86">
        <w:rPr>
          <w:iCs/>
        </w:rPr>
        <w:fldChar w:fldCharType="begin"/>
      </w:r>
      <w:r w:rsidR="00B50D86">
        <w:rPr>
          <w:iCs/>
        </w:rPr>
        <w:instrText xml:space="preserve"> REF ZEqnNum977296 \* Charformat \! \* MERGEFORMAT </w:instrText>
      </w:r>
      <w:r w:rsidR="00B50D86">
        <w:rPr>
          <w:iCs/>
        </w:rPr>
        <w:fldChar w:fldCharType="separate"/>
      </w:r>
      <w:r w:rsidR="007C7B62" w:rsidRPr="007C7B62">
        <w:rPr>
          <w:iCs/>
        </w:rPr>
        <w:instrText>(14)</w:instrText>
      </w:r>
      <w:r w:rsidR="00B50D86">
        <w:rPr>
          <w:iCs/>
        </w:rPr>
        <w:fldChar w:fldCharType="end"/>
      </w:r>
      <w:r w:rsidR="00B50D86">
        <w:rPr>
          <w:iCs/>
        </w:rPr>
        <w:fldChar w:fldCharType="end"/>
      </w:r>
      <w:r w:rsidR="00B50D86">
        <w:rPr>
          <w:iCs/>
        </w:rPr>
        <w:t xml:space="preserve">, </w:t>
      </w:r>
      <w:r w:rsidR="00B50D86">
        <w:fldChar w:fldCharType="begin"/>
      </w:r>
      <w:r w:rsidR="00B50D86">
        <w:instrText xml:space="preserve"> GOTOBUTTON ZEqnNum338866  \* MERGEFORMAT </w:instrText>
      </w:r>
      <w:r w:rsidR="002A7365">
        <w:fldChar w:fldCharType="begin"/>
      </w:r>
      <w:r w:rsidR="002A7365">
        <w:instrText xml:space="preserve"> REF ZEqnNum338866 \* Charformat \! \* MERGEFORMAT </w:instrText>
      </w:r>
      <w:r w:rsidR="002A7365">
        <w:fldChar w:fldCharType="separate"/>
      </w:r>
      <w:r w:rsidR="007C7B62" w:rsidRPr="002A4884">
        <w:instrText>(</w:instrText>
      </w:r>
      <w:r w:rsidR="007C7B62">
        <w:instrText>17</w:instrText>
      </w:r>
      <w:r w:rsidR="007C7B62" w:rsidRPr="002A4884">
        <w:instrText>)</w:instrText>
      </w:r>
      <w:r w:rsidR="002A7365">
        <w:fldChar w:fldCharType="end"/>
      </w:r>
      <w:r w:rsidR="00B50D86">
        <w:fldChar w:fldCharType="end"/>
      </w:r>
      <w:r w:rsidR="00B50D86">
        <w:rPr>
          <w:iCs/>
        </w:rPr>
        <w:t xml:space="preserve">, </w:t>
      </w:r>
      <w:r w:rsidR="00B50D86">
        <w:rPr>
          <w:iCs/>
        </w:rPr>
        <w:fldChar w:fldCharType="begin"/>
      </w:r>
      <w:r w:rsidR="00B50D86">
        <w:rPr>
          <w:iCs/>
        </w:rPr>
        <w:instrText xml:space="preserve"> GOTOBUTTON ZEqnNum133350  \* MERGEFORMAT </w:instrText>
      </w:r>
      <w:r w:rsidR="00B50D86">
        <w:rPr>
          <w:iCs/>
        </w:rPr>
        <w:fldChar w:fldCharType="begin"/>
      </w:r>
      <w:r w:rsidR="00B50D86">
        <w:rPr>
          <w:iCs/>
        </w:rPr>
        <w:instrText xml:space="preserve"> REF ZEqnNum133350 \* Charformat \! \* MERGEFORMAT </w:instrText>
      </w:r>
      <w:r w:rsidR="00B50D86">
        <w:rPr>
          <w:iCs/>
        </w:rPr>
        <w:fldChar w:fldCharType="separate"/>
      </w:r>
      <w:r w:rsidR="007C7B62" w:rsidRPr="007C7B62">
        <w:rPr>
          <w:iCs/>
        </w:rPr>
        <w:instrText>(20)</w:instrText>
      </w:r>
      <w:r w:rsidR="00B50D86">
        <w:rPr>
          <w:iCs/>
        </w:rPr>
        <w:fldChar w:fldCharType="end"/>
      </w:r>
      <w:r w:rsidR="00B50D86">
        <w:rPr>
          <w:iCs/>
        </w:rPr>
        <w:fldChar w:fldCharType="end"/>
      </w:r>
      <w:r w:rsidR="00B50D86">
        <w:rPr>
          <w:iCs/>
        </w:rPr>
        <w:t xml:space="preserve"> and </w:t>
      </w:r>
      <w:r w:rsidR="00B50D86">
        <w:fldChar w:fldCharType="begin"/>
      </w:r>
      <w:r w:rsidR="00B50D86">
        <w:instrText xml:space="preserve"> GOTOBUTTON ZEqnNum206728  \* MERGEFORMAT </w:instrText>
      </w:r>
      <w:r w:rsidR="002A7365">
        <w:fldChar w:fldCharType="begin"/>
      </w:r>
      <w:r w:rsidR="002A7365">
        <w:instrText xml:space="preserve"> REF ZEqnNum206728 \* Charformat \! \* MERGEFORMAT </w:instrText>
      </w:r>
      <w:r w:rsidR="002A7365">
        <w:fldChar w:fldCharType="separate"/>
      </w:r>
      <w:r w:rsidR="007C7B62">
        <w:instrText>(21)</w:instrText>
      </w:r>
      <w:r w:rsidR="002A7365">
        <w:fldChar w:fldCharType="end"/>
      </w:r>
      <w:r w:rsidR="00B50D86">
        <w:fldChar w:fldCharType="end"/>
      </w:r>
      <w:r w:rsidR="00B50D86">
        <w:t xml:space="preserve">, </w:t>
      </w:r>
      <w:r w:rsidR="003220C6">
        <w:t>and HC expenditure per capita variables</w:t>
      </w:r>
      <w:r w:rsidR="00E22DAE">
        <w:t>,</w:t>
      </w:r>
      <w:r w:rsidR="00B50D86">
        <w:t xml:space="preserve"> in regression </w:t>
      </w:r>
      <w:r w:rsidR="00B50D86">
        <w:fldChar w:fldCharType="begin"/>
      </w:r>
      <w:r w:rsidR="00B50D86">
        <w:instrText xml:space="preserve"> GOTOBUTTON ZEqnNum910952  \* MERGEFORMAT </w:instrText>
      </w:r>
      <w:r w:rsidR="002A7365">
        <w:fldChar w:fldCharType="begin"/>
      </w:r>
      <w:r w:rsidR="002A7365">
        <w:instrText xml:space="preserve"> REF ZEqnNum910952 \* Charformat \! \* MERGEFORMAT </w:instrText>
      </w:r>
      <w:r w:rsidR="002A7365">
        <w:fldChar w:fldCharType="separate"/>
      </w:r>
      <w:r w:rsidR="007C7B62" w:rsidRPr="002A4884">
        <w:instrText>(</w:instrText>
      </w:r>
      <w:r w:rsidR="007C7B62">
        <w:instrText>18</w:instrText>
      </w:r>
      <w:r w:rsidR="007C7B62" w:rsidRPr="002A4884">
        <w:instrText>)</w:instrText>
      </w:r>
      <w:r w:rsidR="002A7365">
        <w:fldChar w:fldCharType="end"/>
      </w:r>
      <w:r w:rsidR="00B50D86">
        <w:fldChar w:fldCharType="end"/>
      </w:r>
      <w:r w:rsidR="003220C6">
        <w:t xml:space="preserve">. This implies that the council tax base per user </w:t>
      </w:r>
      <w:r w:rsidR="00AB32A2">
        <w:t xml:space="preserve">can </w:t>
      </w:r>
      <w:r w:rsidR="003220C6">
        <w:t xml:space="preserve">potentially </w:t>
      </w:r>
      <w:r w:rsidR="00AB32A2">
        <w:t xml:space="preserve">determine the </w:t>
      </w:r>
      <w:r w:rsidR="001E2830">
        <w:t>spending</w:t>
      </w:r>
      <w:r w:rsidR="005932E4">
        <w:t xml:space="preserve"> level</w:t>
      </w:r>
      <w:r w:rsidR="00AB32A2">
        <w:t xml:space="preserve"> </w:t>
      </w:r>
      <w:r w:rsidR="00E35A97">
        <w:t>o</w:t>
      </w:r>
      <w:r w:rsidR="00AB32A2">
        <w:t>f</w:t>
      </w:r>
      <w:r w:rsidR="003220C6">
        <w:t xml:space="preserve"> LA non-LTC services which might impact mortality</w:t>
      </w:r>
      <w:r w:rsidR="00E8296C">
        <w:t xml:space="preserve"> and HC expenditure</w:t>
      </w:r>
      <w:r w:rsidR="003220C6">
        <w:t xml:space="preserve">. The </w:t>
      </w:r>
      <w:r w:rsidR="003220C6">
        <w:fldChar w:fldCharType="begin"/>
      </w:r>
      <w:r w:rsidR="00157743">
        <w:instrText xml:space="preserve"> ADDIN EN.CITE &lt;EndNote&gt;&lt;Cite AuthorYear="1"&gt;&lt;Author&gt;Local Government Association&lt;/Author&gt;&lt;Year&gt;2017&lt;/Year&gt;&lt;RecNum&gt;468&lt;/RecNum&gt;&lt;DisplayText&gt;Local Government Association (2017)&lt;/DisplayText&gt;&lt;record&gt;&lt;rec-number&gt;468&lt;/rec-number&gt;&lt;foreign-keys&gt;&lt;key app="EN" db-id="r920as25hw5rrve2fa8psvr8e0dxvzxa200s" timestamp="1611584031" guid="62329b01-29ef-4014-96f9-63e3c7d26554"&gt;468&lt;/key&gt;&lt;/foreign-keys&gt;&lt;ref-type name="Web Page"&gt;12&lt;/ref-type&gt;&lt;contributors&gt;&lt;authors&gt;&lt;author&gt;Local Government Association,&lt;/author&gt;&lt;/authors&gt;&lt;/contributors&gt;&lt;titles&gt;&lt;title&gt;How is £1 of your council tax spent?&lt;/title&gt;&lt;/titles&gt;&lt;volume&gt;2021&lt;/volume&gt;&lt;number&gt;25 January&lt;/number&gt;&lt;dates&gt;&lt;year&gt;2017&lt;/year&gt;&lt;/dates&gt;&lt;urls&gt;&lt;related-urls&gt;&lt;url&gt;https://www.local.gov.uk/sites/default/files/documents/A4%20STATIC%20IMAGE_04_1.pdf&lt;/url&gt;&lt;/related-urls&gt;&lt;/urls&gt;&lt;/record&gt;&lt;/Cite&gt;&lt;/EndNote&gt;</w:instrText>
      </w:r>
      <w:r w:rsidR="003220C6">
        <w:fldChar w:fldCharType="separate"/>
      </w:r>
      <w:r w:rsidR="003220C6">
        <w:rPr>
          <w:noProof/>
        </w:rPr>
        <w:t>Local Government Association (2017)</w:t>
      </w:r>
      <w:r w:rsidR="003220C6">
        <w:fldChar w:fldCharType="end"/>
      </w:r>
      <w:r w:rsidR="003220C6">
        <w:t xml:space="preserve"> suggests that council tax revenues </w:t>
      </w:r>
      <w:r w:rsidR="00E55255">
        <w:t xml:space="preserve">mostly </w:t>
      </w:r>
      <w:r w:rsidR="003220C6">
        <w:t xml:space="preserve">fund LTC services and, to a lesser extent, education, transport, housing, cultural, environmental and planning services on top of police and fire rescue services. Therefore, we test the robustness of our results to controlling for these LA expenditures. </w:t>
      </w:r>
      <w:r w:rsidR="003B6D6B">
        <w:t>W</w:t>
      </w:r>
      <w:r w:rsidR="003220C6">
        <w:t xml:space="preserve">e test </w:t>
      </w:r>
      <w:r w:rsidR="003B6D6B">
        <w:t xml:space="preserve">also </w:t>
      </w:r>
      <w:r w:rsidR="003220C6" w:rsidRPr="002A4884">
        <w:t xml:space="preserve">instruments’ relevance </w:t>
      </w:r>
      <w:r w:rsidR="003220C6">
        <w:t>using the common rule</w:t>
      </w:r>
      <w:r w:rsidR="009973CE">
        <w:t xml:space="preserve"> </w:t>
      </w:r>
      <w:r w:rsidR="00C72356">
        <w:t>of</w:t>
      </w:r>
      <w:r w:rsidR="009973CE">
        <w:t xml:space="preserve"> </w:t>
      </w:r>
      <w:r w:rsidR="00C72356">
        <w:t>thumb</w:t>
      </w:r>
      <w:r w:rsidR="003220C6">
        <w:t xml:space="preserve"> of </w:t>
      </w:r>
      <w:r w:rsidR="003220C6" w:rsidRPr="002A4884">
        <w:t>a</w:t>
      </w:r>
      <w:r w:rsidR="003220C6">
        <w:t xml:space="preserve"> first-s</w:t>
      </w:r>
      <w:r w:rsidR="00A339E1">
        <w:t>t</w:t>
      </w:r>
      <w:r w:rsidR="003220C6">
        <w:t xml:space="preserve">age </w:t>
      </w:r>
      <w:r w:rsidR="003220C6" w:rsidRPr="002A4884">
        <w:t xml:space="preserve">F-statistic greater than 10 </w:t>
      </w:r>
      <w:r w:rsidR="003220C6" w:rsidRPr="002A4884">
        <w:fldChar w:fldCharType="begin"/>
      </w:r>
      <w:r w:rsidR="00F472F8">
        <w:instrText xml:space="preserve"> ADDIN EN.CITE &lt;EndNote&gt;&lt;Cite&gt;&lt;Author&gt;Staiger&lt;/Author&gt;&lt;Year&gt;1994&lt;/Year&gt;&lt;RecNum&gt;132&lt;/RecNum&gt;&lt;DisplayText&gt;(Staiger and Stock, 1994)&lt;/DisplayText&gt;&lt;record&gt;&lt;rec-number&gt;132&lt;/rec-number&gt;&lt;foreign-keys&gt;&lt;key app="EN" db-id="r920as25hw5rrve2fa8psvr8e0dxvzxa200s" timestamp="1607688634" guid="b567e8e1-e95e-4dca-8430-c89f7c446a59"&gt;132&lt;/key&gt;&lt;/foreign-keys&gt;&lt;ref-type name="Report"&gt;27&lt;/ref-type&gt;&lt;contributors&gt;&lt;authors&gt;&lt;author&gt;Staiger, Douglas&lt;/author&gt;&lt;author&gt;Stock, James H&lt;/author&gt;&lt;/authors&gt;&lt;/contributors&gt;&lt;titles&gt;&lt;title&gt;Instrumental variables regression with weak instruments&lt;/title&gt;&lt;/titles&gt;&lt;dates&gt;&lt;year&gt;1994&lt;/year&gt;&lt;/dates&gt;&lt;publisher&gt;National Bureau of Economic Research&lt;/publisher&gt;&lt;isbn&gt;0898-2937&lt;/isbn&gt;&lt;urls&gt;&lt;/urls&gt;&lt;/record&gt;&lt;/Cite&gt;&lt;/EndNote&gt;</w:instrText>
      </w:r>
      <w:r w:rsidR="003220C6" w:rsidRPr="002A4884">
        <w:fldChar w:fldCharType="separate"/>
      </w:r>
      <w:r w:rsidR="003220C6" w:rsidRPr="002A4884">
        <w:rPr>
          <w:noProof/>
        </w:rPr>
        <w:t>(Staiger and Stock, 1994)</w:t>
      </w:r>
      <w:r w:rsidR="003220C6" w:rsidRPr="002A4884">
        <w:fldChar w:fldCharType="end"/>
      </w:r>
      <w:r w:rsidR="003220C6">
        <w:t xml:space="preserve">. Thanks to the availability of </w:t>
      </w:r>
      <w:r w:rsidR="003220C6" w:rsidRPr="002A4884">
        <w:t>multiple instruments</w:t>
      </w:r>
      <w:r w:rsidR="003220C6">
        <w:t>,</w:t>
      </w:r>
      <w:r w:rsidR="003220C6" w:rsidRPr="002A4884">
        <w:t xml:space="preserve"> </w:t>
      </w:r>
      <w:r w:rsidR="003220C6">
        <w:t xml:space="preserve">we </w:t>
      </w:r>
      <w:r w:rsidR="003220C6" w:rsidRPr="002A4884">
        <w:t xml:space="preserve">test </w:t>
      </w:r>
      <w:r w:rsidR="003220C6">
        <w:t xml:space="preserve">also </w:t>
      </w:r>
      <w:r w:rsidR="003220C6" w:rsidRPr="002A4884">
        <w:t>whether the</w:t>
      </w:r>
      <w:r w:rsidR="003220C6">
        <w:t xml:space="preserve">se </w:t>
      </w:r>
      <w:r w:rsidR="003220C6" w:rsidRPr="002A4884">
        <w:t xml:space="preserve">are likely to be exogenous using an over-identification test </w:t>
      </w:r>
      <w:r w:rsidR="003220C6" w:rsidRPr="002A4884">
        <w:fldChar w:fldCharType="begin"/>
      </w:r>
      <w:r w:rsidR="00F472F8">
        <w:instrText xml:space="preserve"> ADDIN EN.CITE &lt;EndNote&gt;&lt;Cite&gt;&lt;Author&gt;Sargan&lt;/Author&gt;&lt;Year&gt;1958&lt;/Year&gt;&lt;RecNum&gt;133&lt;/RecNum&gt;&lt;DisplayText&gt;(Sargan, 1958, Sargan, 1988)&lt;/DisplayText&gt;&lt;record&gt;&lt;rec-number&gt;133&lt;/rec-number&gt;&lt;foreign-keys&gt;&lt;key app="EN" db-id="r920as25hw5rrve2fa8psvr8e0dxvzxa200s" timestamp="1607688634" guid="656c0ab0-0634-4370-9ee5-260253aacada"&gt;133&lt;/key&gt;&lt;/foreign-keys&gt;&lt;ref-type name="Journal Article"&gt;17&lt;/ref-type&gt;&lt;contributors&gt;&lt;authors&gt;&lt;author&gt;Sargan, John D&lt;/author&gt;&lt;/authors&gt;&lt;/contributors&gt;&lt;titles&gt;&lt;title&gt;The estimation of economic relationships using instrumental variables&lt;/title&gt;&lt;secondary-title&gt;Econometrica: Journal of the Econometric Society&lt;/secondary-title&gt;&lt;/titles&gt;&lt;periodical&gt;&lt;full-title&gt;Econometrica: Journal of the Econometric Society&lt;/full-title&gt;&lt;/periodical&gt;&lt;pages&gt;393-415&lt;/pages&gt;&lt;dates&gt;&lt;year&gt;1958&lt;/year&gt;&lt;/dates&gt;&lt;isbn&gt;0012-9682&lt;/isbn&gt;&lt;urls&gt;&lt;/urls&gt;&lt;/record&gt;&lt;/Cite&gt;&lt;Cite&gt;&lt;Author&gt;Sargan&lt;/Author&gt;&lt;Year&gt;1988&lt;/Year&gt;&lt;RecNum&gt;134&lt;/RecNum&gt;&lt;record&gt;&lt;rec-number&gt;134&lt;/rec-number&gt;&lt;foreign-keys&gt;&lt;key app="EN" db-id="r920as25hw5rrve2fa8psvr8e0dxvzxa200s" timestamp="1607688634" guid="44a785d6-cb5e-4661-8a2d-c2e6c740f248"&gt;134&lt;/key&gt;&lt;/foreign-keys&gt;&lt;ref-type name="Journal Article"&gt;17&lt;/ref-type&gt;&lt;contributors&gt;&lt;authors&gt;&lt;author&gt;Sargan, John D&lt;/author&gt;&lt;/authors&gt;&lt;/contributors&gt;&lt;titles&gt;&lt;title&gt;Testing for misspecification after estimating using instrumental variables&lt;/title&gt;&lt;secondary-title&gt;Contributions to Econometrics: John Denis Sargan&lt;/secondary-title&gt;&lt;/titles&gt;&lt;periodical&gt;&lt;full-title&gt;Contributions to Econometrics: John Denis Sargan&lt;/full-title&gt;&lt;/periodical&gt;&lt;pages&gt;213-235&lt;/pages&gt;&lt;volume&gt;1&lt;/volume&gt;&lt;dates&gt;&lt;year&gt;1988&lt;/year&gt;&lt;/dates&gt;&lt;urls&gt;&lt;/urls&gt;&lt;/record&gt;&lt;/Cite&gt;&lt;/EndNote&gt;</w:instrText>
      </w:r>
      <w:r w:rsidR="003220C6" w:rsidRPr="002A4884">
        <w:fldChar w:fldCharType="separate"/>
      </w:r>
      <w:r w:rsidR="003220C6" w:rsidRPr="002A4884">
        <w:rPr>
          <w:noProof/>
        </w:rPr>
        <w:t>(Sargan, 1958, Sargan, 1988)</w:t>
      </w:r>
      <w:r w:rsidR="003220C6" w:rsidRPr="002A4884">
        <w:fldChar w:fldCharType="end"/>
      </w:r>
      <w:r w:rsidR="003220C6" w:rsidRPr="002A4884">
        <w:t>.</w:t>
      </w:r>
      <w:r w:rsidR="003B6D6B" w:rsidRPr="003B6D6B">
        <w:t xml:space="preserve"> </w:t>
      </w:r>
      <w:r w:rsidR="003B6D6B">
        <w:t>Finally, u</w:t>
      </w:r>
      <w:r w:rsidR="003B6D6B" w:rsidRPr="00F76A7A">
        <w:t>nder the potential outcome model framework (Rubin, 1974, Rubin, 1978)</w:t>
      </w:r>
      <w:r w:rsidR="003B6D6B">
        <w:t>, our estimates of the mortality effects have a local average treatment effect (LATE) interpretation. This is discussed, together with the required assumption of monotonicity, in Section A</w:t>
      </w:r>
      <w:r w:rsidR="00CC6286">
        <w:t>2</w:t>
      </w:r>
      <w:r w:rsidR="003B6D6B">
        <w:t xml:space="preserve"> of the Appendix.</w:t>
      </w:r>
    </w:p>
    <w:p w14:paraId="2681A9A4" w14:textId="62A4C054" w:rsidR="00BA7F9F" w:rsidRPr="002A4884" w:rsidRDefault="00073289" w:rsidP="00A65588">
      <w:pPr>
        <w:pStyle w:val="Heading1"/>
      </w:pPr>
      <w:bookmarkStart w:id="28" w:name="_Ref61875815"/>
      <w:r w:rsidRPr="002A4884">
        <w:t>D</w:t>
      </w:r>
      <w:r w:rsidR="00BA7F9F" w:rsidRPr="002A4884">
        <w:t>ata</w:t>
      </w:r>
      <w:bookmarkEnd w:id="28"/>
    </w:p>
    <w:p w14:paraId="1BB6B841" w14:textId="5E06EB12" w:rsidR="00993B16" w:rsidRPr="002A4884" w:rsidRDefault="00A65588" w:rsidP="00BA7F9F">
      <w:r w:rsidRPr="002A4884">
        <w:t>We collect</w:t>
      </w:r>
      <w:r w:rsidR="00261BD2">
        <w:t xml:space="preserve"> and construct</w:t>
      </w:r>
      <w:r w:rsidRPr="002A4884">
        <w:t xml:space="preserve"> </w:t>
      </w:r>
      <w:r w:rsidR="000D38BC">
        <w:t xml:space="preserve">LA </w:t>
      </w:r>
      <w:r w:rsidRPr="002A4884">
        <w:t xml:space="preserve">data for the financial year </w:t>
      </w:r>
      <w:r w:rsidR="004A5E78" w:rsidRPr="002A4884">
        <w:t>2014/15</w:t>
      </w:r>
      <w:r w:rsidRPr="002A4884">
        <w:t>,</w:t>
      </w:r>
      <w:r w:rsidR="00A76456" w:rsidRPr="002A4884">
        <w:t xml:space="preserve"> unless indicated otherwise</w:t>
      </w:r>
      <w:r w:rsidRPr="002A4884">
        <w:t xml:space="preserve">, </w:t>
      </w:r>
      <w:r w:rsidR="00261BD2">
        <w:t xml:space="preserve">using </w:t>
      </w:r>
      <w:r w:rsidR="00073289" w:rsidRPr="002A4884">
        <w:t>multiple sources</w:t>
      </w:r>
      <w:r w:rsidR="00A76456" w:rsidRPr="002A4884">
        <w:t xml:space="preserve"> </w:t>
      </w:r>
      <w:r w:rsidR="00926175" w:rsidRPr="002A4884">
        <w:t xml:space="preserve">as </w:t>
      </w:r>
      <w:r w:rsidR="00636ED9" w:rsidRPr="002A4884">
        <w:t>detail</w:t>
      </w:r>
      <w:r w:rsidR="00926175" w:rsidRPr="002A4884">
        <w:t>ed</w:t>
      </w:r>
      <w:r w:rsidR="00636ED9" w:rsidRPr="002A4884">
        <w:t xml:space="preserve"> in </w:t>
      </w:r>
      <w:r w:rsidR="00B54FE3" w:rsidRPr="002A4884">
        <w:fldChar w:fldCharType="begin"/>
      </w:r>
      <w:r w:rsidR="00B54FE3" w:rsidRPr="002A4884">
        <w:instrText xml:space="preserve"> REF _Ref46425622 \h  \* MERGEFORMAT </w:instrText>
      </w:r>
      <w:r w:rsidR="00B54FE3" w:rsidRPr="002A4884">
        <w:fldChar w:fldCharType="separate"/>
      </w:r>
      <w:r w:rsidR="007C7B62" w:rsidRPr="002A4884">
        <w:t>Table A</w:t>
      </w:r>
      <w:r w:rsidR="007C7B62">
        <w:t>1</w:t>
      </w:r>
      <w:r w:rsidR="00B54FE3" w:rsidRPr="002A4884">
        <w:fldChar w:fldCharType="end"/>
      </w:r>
      <w:r w:rsidR="00073289" w:rsidRPr="002A4884">
        <w:t>.</w:t>
      </w:r>
    </w:p>
    <w:p w14:paraId="192F3F02" w14:textId="69F92FBE" w:rsidR="00B70E58" w:rsidRPr="006B21FA" w:rsidRDefault="00B70E58" w:rsidP="00A65588">
      <w:pPr>
        <w:pStyle w:val="Heading2"/>
      </w:pPr>
      <w:bookmarkStart w:id="29" w:name="_Ref61604741"/>
      <w:r w:rsidRPr="006B21FA">
        <w:t>Mortality and expenditure</w:t>
      </w:r>
      <w:bookmarkEnd w:id="29"/>
    </w:p>
    <w:p w14:paraId="017287F7" w14:textId="181CF4F9" w:rsidR="00410C7E" w:rsidRPr="002A4884" w:rsidRDefault="00A04809" w:rsidP="00C71CED">
      <w:r w:rsidRPr="002A4884">
        <w:t xml:space="preserve">Our </w:t>
      </w:r>
      <w:r w:rsidR="002536A7" w:rsidRPr="002A4884">
        <w:t xml:space="preserve">key </w:t>
      </w:r>
      <w:r w:rsidR="00A67233" w:rsidRPr="002A4884">
        <w:t>dependent variable is</w:t>
      </w:r>
      <w:r w:rsidRPr="002A4884">
        <w:t xml:space="preserve"> </w:t>
      </w:r>
      <w:r w:rsidR="0080274E" w:rsidRPr="002A4884">
        <w:t>the 2015 age-standardised mortality rate for all causes including deaths at all ages.</w:t>
      </w:r>
      <w:r w:rsidR="00F40614" w:rsidRPr="002A4884">
        <w:t xml:space="preserve"> </w:t>
      </w:r>
      <w:r w:rsidR="00A67233" w:rsidRPr="002A4884">
        <w:t>O</w:t>
      </w:r>
      <w:r w:rsidR="002536A7" w:rsidRPr="002A4884">
        <w:t xml:space="preserve">ther </w:t>
      </w:r>
      <w:r w:rsidR="00A67233" w:rsidRPr="002A4884">
        <w:t>key variables are HC and L</w:t>
      </w:r>
      <w:r w:rsidR="002536A7" w:rsidRPr="002A4884">
        <w:t>T</w:t>
      </w:r>
      <w:r w:rsidR="00A67233" w:rsidRPr="002A4884">
        <w:t xml:space="preserve">C expenditure variables. </w:t>
      </w:r>
      <w:r w:rsidR="000E3E3C" w:rsidRPr="002A4884">
        <w:t>The HC expenditure variables</w:t>
      </w:r>
      <w:r w:rsidR="00030968">
        <w:t xml:space="preserve"> </w:t>
      </w:r>
      <w:r w:rsidR="00EE3AA9">
        <w:t>(</w:t>
      </w:r>
      <w:r w:rsidR="00DD558C">
        <w:t>relate to the financial year 2014/15 and</w:t>
      </w:r>
      <w:r w:rsidR="00EE3AA9">
        <w:t>)</w:t>
      </w:r>
      <w:r w:rsidR="00DD558C">
        <w:t xml:space="preserve"> </w:t>
      </w:r>
      <w:r w:rsidR="00030968">
        <w:t>are extracted from NHS England’s programme budgeting dataset</w:t>
      </w:r>
      <w:r w:rsidR="00A25655">
        <w:t xml:space="preserve"> and are mapped from CCGs to LAs</w:t>
      </w:r>
      <w:r w:rsidR="00DD558C">
        <w:t>.</w:t>
      </w:r>
      <w:r w:rsidR="00260B42">
        <w:rPr>
          <w:rStyle w:val="FootnoteReference"/>
        </w:rPr>
        <w:footnoteReference w:id="11"/>
      </w:r>
      <w:r w:rsidR="00DD558C">
        <w:t xml:space="preserve"> They</w:t>
      </w:r>
      <w:r w:rsidR="000E3E3C" w:rsidRPr="002A4884">
        <w:t xml:space="preserve"> </w:t>
      </w:r>
      <w:r w:rsidR="004A5E78" w:rsidRPr="002A4884">
        <w:t>includ</w:t>
      </w:r>
      <w:r w:rsidR="000E3E3C" w:rsidRPr="002A4884">
        <w:t xml:space="preserve">e </w:t>
      </w:r>
      <w:r w:rsidR="004A5E78" w:rsidRPr="002A4884">
        <w:t xml:space="preserve">total </w:t>
      </w:r>
      <w:r w:rsidR="000E3E3C" w:rsidRPr="002A4884">
        <w:t xml:space="preserve">HC </w:t>
      </w:r>
      <w:r w:rsidR="004A5E78" w:rsidRPr="002A4884">
        <w:t xml:space="preserve">expenditure, </w:t>
      </w:r>
      <w:r w:rsidR="007678AB" w:rsidRPr="002A4884">
        <w:t xml:space="preserve">expenditure for </w:t>
      </w:r>
      <w:r w:rsidR="004A5E78" w:rsidRPr="002A4884">
        <w:t xml:space="preserve">emergency </w:t>
      </w:r>
      <w:r w:rsidR="007678AB" w:rsidRPr="002A4884">
        <w:t>care</w:t>
      </w:r>
      <w:r w:rsidR="00030968">
        <w:t>,</w:t>
      </w:r>
      <w:r w:rsidR="00EB07BD" w:rsidRPr="002A4884">
        <w:t xml:space="preserve"> and for other forms of care</w:t>
      </w:r>
      <w:r w:rsidR="007678AB" w:rsidRPr="002A4884">
        <w:t xml:space="preserve">. In turn, emergency care expenditure includes expenditure for non-elective admissions, accident and emergency services, emergency transport and other emergency services (e.g. triage based in </w:t>
      </w:r>
      <w:r w:rsidR="0089770C" w:rsidRPr="002A4884">
        <w:t xml:space="preserve">accident and </w:t>
      </w:r>
      <w:r w:rsidR="007678AB" w:rsidRPr="002A4884">
        <w:t>emergency departments, walk-in-centres). Non-emergency care</w:t>
      </w:r>
      <w:r w:rsidR="0089770C" w:rsidRPr="002A4884">
        <w:t xml:space="preserve"> expenditure includes expenditure for day case and elective care, outpatient care, unbundled and high cost care (including diagnostic imaging, critical care and drugs and devices), and other secondary care services (e.g. planned procedures not carried out, outpatient visits not attended). Non-emergency care expenditure includes also primary care prescribing, direct access </w:t>
      </w:r>
      <w:r w:rsidR="00DD50D1" w:rsidRPr="002A4884">
        <w:t xml:space="preserve">to </w:t>
      </w:r>
      <w:r w:rsidR="0089770C" w:rsidRPr="002A4884">
        <w:t>diagnostic</w:t>
      </w:r>
      <w:r w:rsidR="00516835" w:rsidRPr="002A4884">
        <w:t xml:space="preserve"> imaging</w:t>
      </w:r>
      <w:r w:rsidR="00DD50D1" w:rsidRPr="002A4884">
        <w:t xml:space="preserve"> for suspected cancer patients</w:t>
      </w:r>
      <w:r w:rsidR="00516835" w:rsidRPr="002A4884">
        <w:t>, community and integrated care, and end-</w:t>
      </w:r>
      <w:r w:rsidR="00516835" w:rsidRPr="002A4884">
        <w:lastRenderedPageBreak/>
        <w:t>of-life care. Finally, it includes expenditure for running the HC service.</w:t>
      </w:r>
      <w:r w:rsidR="009B55F5" w:rsidRPr="002A4884">
        <w:t xml:space="preserve"> </w:t>
      </w:r>
    </w:p>
    <w:p w14:paraId="61DB5E78" w14:textId="7343F38D" w:rsidR="005665F6" w:rsidRPr="002A4884" w:rsidRDefault="009B55F5" w:rsidP="00C71CED">
      <w:r w:rsidRPr="002A4884">
        <w:t xml:space="preserve">The LTC expenditure variables capture total LTC expenditure and expenditure for all sub-sectors including residential, nursing care and community care, social support, short-term care (e.g. </w:t>
      </w:r>
      <w:r w:rsidR="00C71CED" w:rsidRPr="002A4884">
        <w:t xml:space="preserve">vision rehabilitation, other </w:t>
      </w:r>
      <w:r w:rsidRPr="002A4884">
        <w:t>reablement</w:t>
      </w:r>
      <w:r w:rsidR="00313B76" w:rsidRPr="002A4884">
        <w:t xml:space="preserve"> services</w:t>
      </w:r>
      <w:r w:rsidR="00C71CED" w:rsidRPr="002A4884">
        <w:t xml:space="preserve"> to improve independence</w:t>
      </w:r>
      <w:r w:rsidRPr="002A4884">
        <w:t xml:space="preserve">), equipment and adaptations, and universal information and early support services. We analyse </w:t>
      </w:r>
      <w:r w:rsidR="008C1E3C">
        <w:t xml:space="preserve">also </w:t>
      </w:r>
      <w:r w:rsidRPr="002A4884">
        <w:t>expenditure for social care activities (e.g. frontline assessment of new users, review of existing users) and for commissioning and service delivery (</w:t>
      </w:r>
      <w:r w:rsidR="00C71CED" w:rsidRPr="002A4884">
        <w:t>e.g. strategic business direction, business planning</w:t>
      </w:r>
      <w:r w:rsidRPr="002A4884">
        <w:t>)</w:t>
      </w:r>
      <w:r w:rsidR="004A5E78" w:rsidRPr="002A4884">
        <w:t xml:space="preserve">. </w:t>
      </w:r>
      <w:r w:rsidRPr="002A4884">
        <w:t xml:space="preserve">All </w:t>
      </w:r>
      <w:r w:rsidR="00636ED9" w:rsidRPr="002A4884">
        <w:t xml:space="preserve">LTC expenditure </w:t>
      </w:r>
      <w:r w:rsidRPr="002A4884">
        <w:t xml:space="preserve">variables are </w:t>
      </w:r>
      <w:r w:rsidR="00F153A5" w:rsidRPr="002A4884">
        <w:t>defined</w:t>
      </w:r>
      <w:r w:rsidR="00073289" w:rsidRPr="002A4884">
        <w:t xml:space="preserve"> as </w:t>
      </w:r>
      <w:r w:rsidR="00DC3942" w:rsidRPr="002A4884">
        <w:t xml:space="preserve">gross </w:t>
      </w:r>
      <w:r w:rsidR="00073289" w:rsidRPr="002A4884">
        <w:t>expenditure minus capital charges</w:t>
      </w:r>
      <w:r w:rsidR="006056C7">
        <w:t xml:space="preserve">. </w:t>
      </w:r>
      <w:r w:rsidR="00F95E55">
        <w:t>G</w:t>
      </w:r>
      <w:r w:rsidR="00E26B2E">
        <w:t xml:space="preserve">ross expenditure </w:t>
      </w:r>
      <w:r w:rsidR="00F95E55">
        <w:t xml:space="preserve">includes </w:t>
      </w:r>
      <w:r w:rsidR="0004378B">
        <w:t xml:space="preserve">user contributions </w:t>
      </w:r>
      <w:r w:rsidR="00F95E55">
        <w:t xml:space="preserve">but it excludes income </w:t>
      </w:r>
      <w:r w:rsidR="00073289" w:rsidRPr="00963560">
        <w:t>from the NHS</w:t>
      </w:r>
      <w:r w:rsidR="00DC3942" w:rsidRPr="00963560">
        <w:t xml:space="preserve"> to</w:t>
      </w:r>
      <w:r w:rsidR="00DC3942" w:rsidRPr="002A4884">
        <w:t xml:space="preserve"> avoid double counting</w:t>
      </w:r>
      <w:r w:rsidR="007F0523" w:rsidRPr="002A4884">
        <w:t xml:space="preserve"> with HC expenditure</w:t>
      </w:r>
      <w:r w:rsidR="00636ED9" w:rsidRPr="002A4884">
        <w:t>.</w:t>
      </w:r>
      <w:r w:rsidR="000B5EF8">
        <w:rPr>
          <w:rStyle w:val="FootnoteReference"/>
        </w:rPr>
        <w:footnoteReference w:id="12"/>
      </w:r>
      <w:r w:rsidR="00636ED9" w:rsidRPr="002A4884">
        <w:t xml:space="preserve"> HC expenditure per capita and LTC expenditure per user variables are obtained by </w:t>
      </w:r>
      <w:r w:rsidR="00073289" w:rsidRPr="002A4884">
        <w:t>divid</w:t>
      </w:r>
      <w:r w:rsidR="00F153A5" w:rsidRPr="002A4884">
        <w:t xml:space="preserve">ing </w:t>
      </w:r>
      <w:r w:rsidR="00636ED9" w:rsidRPr="002A4884">
        <w:t xml:space="preserve">the expenditure variables </w:t>
      </w:r>
      <w:r w:rsidR="00073289" w:rsidRPr="002A4884">
        <w:t>by</w:t>
      </w:r>
      <w:r w:rsidRPr="002A4884">
        <w:t>, respectively,</w:t>
      </w:r>
      <w:r w:rsidR="00073289" w:rsidRPr="002A4884">
        <w:t xml:space="preserve"> </w:t>
      </w:r>
      <w:r w:rsidR="00636ED9" w:rsidRPr="002A4884">
        <w:t xml:space="preserve">population and </w:t>
      </w:r>
      <w:r w:rsidR="00073289" w:rsidRPr="002A4884">
        <w:t xml:space="preserve">number of </w:t>
      </w:r>
      <w:r w:rsidR="00EE293E" w:rsidRPr="002A4884">
        <w:t>LTC</w:t>
      </w:r>
      <w:r w:rsidR="005665F6" w:rsidRPr="002A4884">
        <w:t xml:space="preserve"> </w:t>
      </w:r>
      <w:r w:rsidR="00073289" w:rsidRPr="002A4884">
        <w:t>users</w:t>
      </w:r>
      <w:r w:rsidR="00F7747D" w:rsidRPr="002A4884">
        <w:t xml:space="preserve"> across LAs</w:t>
      </w:r>
      <w:r w:rsidR="00073289" w:rsidRPr="002A4884">
        <w:t>.</w:t>
      </w:r>
      <w:r w:rsidR="00EE38D0">
        <w:t xml:space="preserve"> </w:t>
      </w:r>
      <w:r w:rsidR="00EE38D0">
        <w:fldChar w:fldCharType="begin"/>
      </w:r>
      <w:r w:rsidR="00EE38D0">
        <w:instrText xml:space="preserve"> REF _Ref88837020 \h </w:instrText>
      </w:r>
      <w:r w:rsidR="00EE38D0">
        <w:fldChar w:fldCharType="separate"/>
      </w:r>
      <w:r w:rsidR="007C7B62" w:rsidRPr="002A4884">
        <w:t xml:space="preserve">Table </w:t>
      </w:r>
      <w:r w:rsidR="007C7B62">
        <w:rPr>
          <w:noProof/>
        </w:rPr>
        <w:t>1</w:t>
      </w:r>
      <w:r w:rsidR="00EE38D0">
        <w:fldChar w:fldCharType="end"/>
      </w:r>
      <w:r w:rsidR="00EE38D0">
        <w:t xml:space="preserve"> includes descriptive statistics for these expenditure variables.</w:t>
      </w:r>
    </w:p>
    <w:p w14:paraId="5526BD61" w14:textId="3E3E238C" w:rsidR="00B70E58" w:rsidRPr="002A4884" w:rsidRDefault="00B70E58" w:rsidP="004A2761">
      <w:pPr>
        <w:pStyle w:val="Heading2"/>
      </w:pPr>
      <w:r w:rsidRPr="002A4884">
        <w:t>Control</w:t>
      </w:r>
      <w:r w:rsidR="00DF7B50" w:rsidRPr="002A4884">
        <w:t>s</w:t>
      </w:r>
      <w:r w:rsidRPr="002A4884">
        <w:t xml:space="preserve"> and instruments</w:t>
      </w:r>
    </w:p>
    <w:p w14:paraId="490BB8A8" w14:textId="1568254B" w:rsidR="008B0106" w:rsidRPr="002A4884" w:rsidRDefault="00F24D84" w:rsidP="00BA7F9F">
      <w:r>
        <w:t>As our instruments are valid conditional</w:t>
      </w:r>
      <w:r w:rsidR="0070393E">
        <w:t xml:space="preserve">ly on observed HC and LTC needs and socio-economic status </w:t>
      </w:r>
      <w:r w:rsidR="00112441">
        <w:t xml:space="preserve">as discussed in Section </w:t>
      </w:r>
      <w:r w:rsidR="008559F2">
        <w:fldChar w:fldCharType="begin"/>
      </w:r>
      <w:r w:rsidR="008559F2">
        <w:instrText xml:space="preserve"> REF _Ref88221332 \r \h </w:instrText>
      </w:r>
      <w:r w:rsidR="008559F2">
        <w:fldChar w:fldCharType="separate"/>
      </w:r>
      <w:r w:rsidR="007C7B62">
        <w:t>2.4</w:t>
      </w:r>
      <w:r w:rsidR="008559F2">
        <w:fldChar w:fldCharType="end"/>
      </w:r>
      <w:r>
        <w:t>, w</w:t>
      </w:r>
      <w:r w:rsidR="00DC3942" w:rsidRPr="002A4884">
        <w:t xml:space="preserve">e control for several </w:t>
      </w:r>
      <w:r w:rsidR="00DF5EF0" w:rsidRPr="002A4884">
        <w:t>covariates</w:t>
      </w:r>
      <w:r w:rsidR="00E61A7A" w:rsidRPr="002A4884">
        <w:t xml:space="preserve"> </w:t>
      </w:r>
      <w:r w:rsidR="00EC6686" w:rsidRPr="002A4884">
        <w:t>capturing</w:t>
      </w:r>
      <w:r w:rsidR="0070393E">
        <w:t xml:space="preserve"> these factors</w:t>
      </w:r>
      <w:r w:rsidR="00D12D88" w:rsidRPr="002A4884">
        <w:t xml:space="preserve">. </w:t>
      </w:r>
      <w:r w:rsidR="006621B6">
        <w:t>We capture d</w:t>
      </w:r>
      <w:r w:rsidR="00D12D88" w:rsidRPr="002A4884">
        <w:t xml:space="preserve">isability levels </w:t>
      </w:r>
      <w:r w:rsidR="006621B6">
        <w:t xml:space="preserve">using the proportion of people who are blind or partially sighted and deaf or hard of hearing, and </w:t>
      </w:r>
      <w:r w:rsidR="00D12D88" w:rsidRPr="002A4884">
        <w:t>the</w:t>
      </w:r>
      <w:r w:rsidR="004A2761" w:rsidRPr="002A4884">
        <w:t xml:space="preserve"> 2015 index of disability deprivation</w:t>
      </w:r>
      <w:r w:rsidR="006621B6">
        <w:t>.</w:t>
      </w:r>
      <w:r w:rsidR="00D12D88" w:rsidRPr="002A4884">
        <w:t xml:space="preserve"> We</w:t>
      </w:r>
      <w:r w:rsidR="00993B16" w:rsidRPr="002A4884">
        <w:t xml:space="preserve"> </w:t>
      </w:r>
      <w:r w:rsidR="00D12D88" w:rsidRPr="002A4884">
        <w:t xml:space="preserve">control for </w:t>
      </w:r>
      <w:r w:rsidR="00EC6686" w:rsidRPr="002A4884">
        <w:t xml:space="preserve">socio-economic </w:t>
      </w:r>
      <w:r w:rsidR="006621B6">
        <w:t xml:space="preserve">factors </w:t>
      </w:r>
      <w:r w:rsidR="00D12D88" w:rsidRPr="002A4884">
        <w:t xml:space="preserve">using </w:t>
      </w:r>
      <w:r w:rsidR="004A2761" w:rsidRPr="002A4884">
        <w:t>population density,</w:t>
      </w:r>
      <w:r w:rsidR="006621B6">
        <w:t xml:space="preserve"> the 2010 index of multiple deprivation,</w:t>
      </w:r>
      <w:r w:rsidR="004A2761" w:rsidRPr="002A4884">
        <w:t xml:space="preserve"> </w:t>
      </w:r>
      <w:r w:rsidR="00D12D88" w:rsidRPr="002A4884">
        <w:t xml:space="preserve">the </w:t>
      </w:r>
      <w:r w:rsidR="003857F5" w:rsidRPr="002A4884">
        <w:t xml:space="preserve">2015 </w:t>
      </w:r>
      <w:r w:rsidR="00D12D88" w:rsidRPr="002A4884">
        <w:t xml:space="preserve">index of education </w:t>
      </w:r>
      <w:r w:rsidR="004A2761" w:rsidRPr="002A4884">
        <w:t xml:space="preserve">and income </w:t>
      </w:r>
      <w:r w:rsidR="00D12D88" w:rsidRPr="002A4884">
        <w:t>deprivation</w:t>
      </w:r>
      <w:r w:rsidR="004A2761" w:rsidRPr="002A4884">
        <w:t>,</w:t>
      </w:r>
      <w:r w:rsidR="00D12D88" w:rsidRPr="002A4884">
        <w:t xml:space="preserve"> and the gross disposable household income per capita</w:t>
      </w:r>
      <w:r w:rsidR="00CA784B" w:rsidRPr="002A4884">
        <w:t xml:space="preserve"> </w:t>
      </w:r>
      <w:r w:rsidR="004A2761" w:rsidRPr="002A4884">
        <w:t>(</w:t>
      </w:r>
      <w:r w:rsidR="00CA784B" w:rsidRPr="002A4884">
        <w:t>averaged between 2014 and 2015</w:t>
      </w:r>
      <w:r w:rsidR="004A2761" w:rsidRPr="002A4884">
        <w:t>)</w:t>
      </w:r>
      <w:r w:rsidR="005665F6" w:rsidRPr="002A4884">
        <w:t xml:space="preserve">. </w:t>
      </w:r>
      <w:r w:rsidR="00265749">
        <w:t xml:space="preserve">As </w:t>
      </w:r>
      <w:r w:rsidR="00C17B8E">
        <w:fldChar w:fldCharType="begin"/>
      </w:r>
      <w:r w:rsidR="00C17B8E">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C17B8E">
        <w:fldChar w:fldCharType="separate"/>
      </w:r>
      <w:r w:rsidR="00C17B8E">
        <w:rPr>
          <w:noProof/>
        </w:rPr>
        <w:t>Longo et al. (2021)</w:t>
      </w:r>
      <w:r w:rsidR="00C17B8E">
        <w:fldChar w:fldCharType="end"/>
      </w:r>
      <w:r w:rsidR="00661607">
        <w:t xml:space="preserve"> suggests</w:t>
      </w:r>
      <w:r w:rsidR="00265749">
        <w:t>,</w:t>
      </w:r>
      <w:r w:rsidR="00661607">
        <w:t xml:space="preserve"> LTC expenditure per user is likely to capture both treatment intensity and eligibility effects, </w:t>
      </w:r>
      <w:r w:rsidR="00E33853">
        <w:t>but</w:t>
      </w:r>
      <w:r w:rsidR="00661607">
        <w:t xml:space="preserve"> this generates a downward bias on the overall effect. Therefore, </w:t>
      </w:r>
      <w:r w:rsidR="00394A43" w:rsidRPr="002A4884">
        <w:t xml:space="preserve">we control for eligibility levels through the type of LA </w:t>
      </w:r>
      <w:r w:rsidR="004A6B90">
        <w:t xml:space="preserve">(see Section </w:t>
      </w:r>
      <w:r w:rsidR="004A6B90">
        <w:fldChar w:fldCharType="begin"/>
      </w:r>
      <w:r w:rsidR="004A6B90">
        <w:instrText xml:space="preserve"> REF _Ref61441467 \r \h </w:instrText>
      </w:r>
      <w:r w:rsidR="004A6B90">
        <w:fldChar w:fldCharType="separate"/>
      </w:r>
      <w:r w:rsidR="007C7B62">
        <w:t>1.1</w:t>
      </w:r>
      <w:r w:rsidR="004A6B90">
        <w:fldChar w:fldCharType="end"/>
      </w:r>
      <w:r w:rsidR="004A6B90">
        <w:t>)</w:t>
      </w:r>
      <w:r w:rsidR="00661607">
        <w:t xml:space="preserve"> to identify the treatment intensity effect on mortality</w:t>
      </w:r>
      <w:r w:rsidR="00394A43" w:rsidRPr="002A4884">
        <w:t>.</w:t>
      </w:r>
      <w:r w:rsidR="00265749">
        <w:t xml:space="preserve"> </w:t>
      </w:r>
      <w:r w:rsidR="00993B16" w:rsidRPr="002A4884">
        <w:t xml:space="preserve">Other controls </w:t>
      </w:r>
      <w:r w:rsidR="00B818A7">
        <w:t xml:space="preserve">capture </w:t>
      </w:r>
      <w:r w:rsidR="00CB10C4" w:rsidRPr="002A4884">
        <w:t xml:space="preserve">some LTC users’ characteristics </w:t>
      </w:r>
      <w:r w:rsidR="00B818A7">
        <w:t xml:space="preserve">and these are </w:t>
      </w:r>
      <w:r w:rsidR="006621B6">
        <w:t xml:space="preserve">the proportion of female users and users aged 65 or older, </w:t>
      </w:r>
      <w:r w:rsidR="008B0106" w:rsidRPr="002A4884">
        <w:t xml:space="preserve">their </w:t>
      </w:r>
      <w:r w:rsidR="00CB10C4" w:rsidRPr="002A4884">
        <w:t>cognitive status</w:t>
      </w:r>
      <w:r w:rsidR="008B0106" w:rsidRPr="002A4884">
        <w:t>,</w:t>
      </w:r>
      <w:r w:rsidR="00CB10C4" w:rsidRPr="002A4884">
        <w:t xml:space="preserve"> measured </w:t>
      </w:r>
      <w:r w:rsidR="008B0106" w:rsidRPr="002A4884">
        <w:t xml:space="preserve">as </w:t>
      </w:r>
      <w:r w:rsidR="00CB10C4" w:rsidRPr="002A4884">
        <w:t xml:space="preserve">the proportion of </w:t>
      </w:r>
      <w:r w:rsidR="008B0106" w:rsidRPr="002A4884">
        <w:t xml:space="preserve">those </w:t>
      </w:r>
      <w:r w:rsidR="00CB10C4" w:rsidRPr="002A4884">
        <w:t xml:space="preserve">receiving </w:t>
      </w:r>
      <w:r w:rsidR="008559F2">
        <w:t xml:space="preserve">an easy-read version of the </w:t>
      </w:r>
      <w:r w:rsidR="006B5D7D">
        <w:t>A</w:t>
      </w:r>
      <w:r w:rsidR="008559F2" w:rsidRPr="002A4884">
        <w:t xml:space="preserve">dult </w:t>
      </w:r>
      <w:r w:rsidR="006B5D7D">
        <w:t>S</w:t>
      </w:r>
      <w:r w:rsidR="008559F2" w:rsidRPr="002A4884">
        <w:t xml:space="preserve">ocial </w:t>
      </w:r>
      <w:r w:rsidR="006B5D7D">
        <w:t>C</w:t>
      </w:r>
      <w:r w:rsidR="008559F2" w:rsidRPr="002A4884">
        <w:t xml:space="preserve">are </w:t>
      </w:r>
      <w:r w:rsidR="006B5D7D">
        <w:t>S</w:t>
      </w:r>
      <w:r w:rsidR="008559F2" w:rsidRPr="002A4884">
        <w:t>urvey</w:t>
      </w:r>
      <w:r w:rsidR="008559F2">
        <w:t xml:space="preserve"> questionnaire or </w:t>
      </w:r>
      <w:r w:rsidR="00CB10C4" w:rsidRPr="002A4884">
        <w:t>some form of help to complete the questionnaire</w:t>
      </w:r>
      <w:r w:rsidR="008B0106" w:rsidRPr="002A4884">
        <w:t>.</w:t>
      </w:r>
      <w:r w:rsidR="00836CEC" w:rsidRPr="002A4884">
        <w:t xml:space="preserve"> </w:t>
      </w:r>
      <w:r w:rsidR="008B0106" w:rsidRPr="002A4884">
        <w:t xml:space="preserve">We account also for </w:t>
      </w:r>
      <w:r w:rsidR="00836CEC" w:rsidRPr="002A4884">
        <w:t>informal unpaid care</w:t>
      </w:r>
      <w:r w:rsidR="00DF5EF0" w:rsidRPr="002A4884">
        <w:t>r</w:t>
      </w:r>
      <w:r w:rsidR="00836CEC" w:rsidRPr="002A4884">
        <w:t>s’</w:t>
      </w:r>
      <w:r w:rsidR="00DF5EF0" w:rsidRPr="002A4884">
        <w:t xml:space="preserve"> characteristics</w:t>
      </w:r>
      <w:r w:rsidR="00836CEC" w:rsidRPr="002A4884">
        <w:t xml:space="preserve"> </w:t>
      </w:r>
      <w:r w:rsidR="00B818A7">
        <w:t>as capture</w:t>
      </w:r>
      <w:r w:rsidR="00C044AC">
        <w:t>d</w:t>
      </w:r>
      <w:r w:rsidR="00B818A7">
        <w:t xml:space="preserve"> by </w:t>
      </w:r>
      <w:r w:rsidR="008559F2">
        <w:t xml:space="preserve">the proportion of female carers, carers aged 65 or older, </w:t>
      </w:r>
      <w:r w:rsidR="006B5D7D">
        <w:t xml:space="preserve">and carers </w:t>
      </w:r>
      <w:r w:rsidR="008559F2">
        <w:t>whose care recipient is aged 65 or older</w:t>
      </w:r>
      <w:r w:rsidR="006B5D7D">
        <w:t>. In addition</w:t>
      </w:r>
      <w:r w:rsidR="00C044AC">
        <w:t>,</w:t>
      </w:r>
      <w:r w:rsidR="006B5D7D">
        <w:t xml:space="preserve"> we control for the proportion of carers who </w:t>
      </w:r>
      <w:r w:rsidR="00FF0D9F">
        <w:t>are</w:t>
      </w:r>
      <w:r w:rsidR="006B5D7D">
        <w:t xml:space="preserve"> retired, those experiencing a clash between work and the caring role, and carers receiving help to complete their Survey of Adult Carers questionnaire</w:t>
      </w:r>
      <w:r w:rsidR="008559F2">
        <w:t>.</w:t>
      </w:r>
      <w:r w:rsidR="00394A43">
        <w:t xml:space="preserve"> </w:t>
      </w:r>
      <w:r w:rsidR="006B5D7D">
        <w:t>Finally</w:t>
      </w:r>
      <w:r w:rsidR="00394A43">
        <w:t>, we control for carer experience as measured by</w:t>
      </w:r>
      <w:r w:rsidR="008559F2">
        <w:t xml:space="preserve"> </w:t>
      </w:r>
      <w:r w:rsidR="004A2761" w:rsidRPr="002A4884">
        <w:t xml:space="preserve">the </w:t>
      </w:r>
      <w:r w:rsidR="00314FDF" w:rsidRPr="002A4884">
        <w:t xml:space="preserve">overall </w:t>
      </w:r>
      <w:r w:rsidR="00ED17C9" w:rsidRPr="002A4884">
        <w:t>time spent in the caring role</w:t>
      </w:r>
      <w:r w:rsidR="00394A43">
        <w:t>.</w:t>
      </w:r>
    </w:p>
    <w:p w14:paraId="0DE9F8EC" w14:textId="3620C0AB" w:rsidR="00BA7F9F" w:rsidRPr="002A4884" w:rsidRDefault="00896D34" w:rsidP="005C3100">
      <w:pPr>
        <w:pStyle w:val="Caption"/>
      </w:pPr>
      <w:r w:rsidRPr="002A4884">
        <w:t>O</w:t>
      </w:r>
      <w:r w:rsidR="00ED17C9" w:rsidRPr="002A4884">
        <w:t>ur instrument</w:t>
      </w:r>
      <w:r w:rsidRPr="002A4884">
        <w:t>s</w:t>
      </w:r>
      <w:r w:rsidR="00ED17C9" w:rsidRPr="002A4884">
        <w:t xml:space="preserve"> </w:t>
      </w:r>
      <w:r w:rsidR="00314FDF" w:rsidRPr="002A4884">
        <w:t xml:space="preserve">for HC </w:t>
      </w:r>
      <w:r w:rsidR="00836CEC" w:rsidRPr="002A4884">
        <w:t>expenditure</w:t>
      </w:r>
      <w:r w:rsidR="00314FDF" w:rsidRPr="002A4884">
        <w:t xml:space="preserve"> variables are </w:t>
      </w:r>
      <w:r w:rsidR="00836CEC" w:rsidRPr="002A4884">
        <w:t>the DFT index</w:t>
      </w:r>
      <w:r w:rsidR="00314FDF" w:rsidRPr="002A4884">
        <w:t>,</w:t>
      </w:r>
      <w:r w:rsidR="00836CEC" w:rsidRPr="002A4884">
        <w:t xml:space="preserve"> the </w:t>
      </w:r>
      <w:r w:rsidR="00BC687F" w:rsidRPr="002A4884">
        <w:t>age-</w:t>
      </w:r>
      <w:r w:rsidR="00074589">
        <w:t>cost</w:t>
      </w:r>
      <w:r w:rsidR="00836CEC" w:rsidRPr="002A4884">
        <w:t xml:space="preserve"> index </w:t>
      </w:r>
      <w:r w:rsidR="00314FDF" w:rsidRPr="002A4884">
        <w:t xml:space="preserve">and the MFF index. To instrument LTC </w:t>
      </w:r>
      <w:r w:rsidR="00ED17C9" w:rsidRPr="002A4884">
        <w:t xml:space="preserve">expenditure </w:t>
      </w:r>
      <w:r w:rsidR="00314FDF" w:rsidRPr="002A4884">
        <w:t xml:space="preserve">variables we use </w:t>
      </w:r>
      <w:r w:rsidRPr="002A4884">
        <w:t xml:space="preserve">the council </w:t>
      </w:r>
      <w:r w:rsidR="00314FDF" w:rsidRPr="002A4884">
        <w:t xml:space="preserve">tax </w:t>
      </w:r>
      <w:r w:rsidRPr="002A4884">
        <w:t>base per user</w:t>
      </w:r>
      <w:r w:rsidR="000B082B" w:rsidRPr="002A4884">
        <w:t xml:space="preserve"> which is </w:t>
      </w:r>
      <w:r w:rsidRPr="002A4884">
        <w:t xml:space="preserve">calculated as the </w:t>
      </w:r>
      <w:r w:rsidR="00F96246" w:rsidRPr="002A4884">
        <w:t xml:space="preserve">standardised </w:t>
      </w:r>
      <w:r w:rsidRPr="002A4884">
        <w:t xml:space="preserve">number of </w:t>
      </w:r>
      <w:r w:rsidR="00F11CB8" w:rsidRPr="002A4884">
        <w:t xml:space="preserve">domestic </w:t>
      </w:r>
      <w:r w:rsidRPr="002A4884">
        <w:t>properties</w:t>
      </w:r>
      <w:r w:rsidR="00F96246" w:rsidRPr="002A4884">
        <w:t xml:space="preserve"> per user.</w:t>
      </w:r>
      <w:r w:rsidR="000B082B" w:rsidRPr="002A4884">
        <w:t xml:space="preserve"> We use also the business rates</w:t>
      </w:r>
      <w:r w:rsidRPr="002A4884">
        <w:t xml:space="preserve"> </w:t>
      </w:r>
      <w:r w:rsidR="003860DB" w:rsidRPr="002A4884">
        <w:t xml:space="preserve">tax base per user, calculated as the number of </w:t>
      </w:r>
      <w:r w:rsidR="000B082B" w:rsidRPr="002A4884">
        <w:t>non-domestic properties</w:t>
      </w:r>
      <w:r w:rsidR="00F96246" w:rsidRPr="002A4884">
        <w:t xml:space="preserve"> per user</w:t>
      </w:r>
      <w:r w:rsidR="003860DB" w:rsidRPr="002A4884">
        <w:t xml:space="preserve"> adjusted by the proportion of business rates tax revenues retained locally</w:t>
      </w:r>
      <w:r w:rsidR="00F96246" w:rsidRPr="002A4884">
        <w:t>.</w:t>
      </w:r>
      <w:r w:rsidR="00314FDF" w:rsidRPr="002A4884">
        <w:t xml:space="preserve"> </w:t>
      </w:r>
      <w:r w:rsidR="000B082B" w:rsidRPr="002A4884">
        <w:t xml:space="preserve">Finally, </w:t>
      </w:r>
      <w:r w:rsidR="003860DB" w:rsidRPr="002A4884">
        <w:t xml:space="preserve">another instrument is </w:t>
      </w:r>
      <w:r w:rsidRPr="002A4884">
        <w:t xml:space="preserve">the </w:t>
      </w:r>
      <w:r w:rsidR="000F4241" w:rsidRPr="002A4884">
        <w:t xml:space="preserve">2013/14 </w:t>
      </w:r>
      <w:r w:rsidRPr="002A4884">
        <w:t>ACA index</w:t>
      </w:r>
      <w:r w:rsidR="00F96246" w:rsidRPr="002A4884">
        <w:t xml:space="preserve"> </w:t>
      </w:r>
      <w:r w:rsidR="00F96246" w:rsidRPr="002A4884">
        <w:fldChar w:fldCharType="begin"/>
      </w:r>
      <w:r w:rsidR="00F472F8">
        <w:instrText xml:space="preserve"> ADDIN EN.CITE &lt;EndNote&gt;&lt;Cite&gt;&lt;Author&gt;Longo&lt;/Author&gt;&lt;Year&gt;2021&lt;/Year&gt;&lt;RecNum&gt;119&lt;/RecNum&gt;&lt;DisplayText&gt;(Longo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rsidR="00F96246" w:rsidRPr="002A4884">
        <w:fldChar w:fldCharType="separate"/>
      </w:r>
      <w:r w:rsidR="0022188F">
        <w:rPr>
          <w:noProof/>
        </w:rPr>
        <w:t>(Longo et al., 2021)</w:t>
      </w:r>
      <w:r w:rsidR="00F96246" w:rsidRPr="002A4884">
        <w:fldChar w:fldCharType="end"/>
      </w:r>
      <w:r w:rsidR="005665F6" w:rsidRPr="002A4884">
        <w:t>.</w:t>
      </w:r>
      <w:r w:rsidR="00A01D82">
        <w:t xml:space="preserve"> All the variables described here are summarised in </w:t>
      </w:r>
      <w:r w:rsidR="002A45FA">
        <w:fldChar w:fldCharType="begin"/>
      </w:r>
      <w:r w:rsidR="002A45FA">
        <w:instrText xml:space="preserve"> REF _Ref88836994 \h </w:instrText>
      </w:r>
      <w:r w:rsidR="002A45FA">
        <w:fldChar w:fldCharType="separate"/>
      </w:r>
      <w:r w:rsidR="007C7B62">
        <w:t xml:space="preserve">Table </w:t>
      </w:r>
      <w:r w:rsidR="007C7B62">
        <w:rPr>
          <w:noProof/>
        </w:rPr>
        <w:t>2</w:t>
      </w:r>
      <w:r w:rsidR="002A45FA">
        <w:fldChar w:fldCharType="end"/>
      </w:r>
      <w:r w:rsidR="002A45FA">
        <w:t xml:space="preserve">, </w:t>
      </w:r>
      <w:r w:rsidR="00A01D82">
        <w:t xml:space="preserve">and a short description of these variables is in Section </w:t>
      </w:r>
      <w:r w:rsidR="002A45FA">
        <w:t>A</w:t>
      </w:r>
      <w:r w:rsidR="00147B8E">
        <w:t>3</w:t>
      </w:r>
      <w:r w:rsidR="00A01D82">
        <w:t xml:space="preserve"> of the Appendix.</w:t>
      </w:r>
    </w:p>
    <w:p w14:paraId="1DAFBCB8" w14:textId="6287CB78" w:rsidR="0078671B" w:rsidRDefault="007A3E95" w:rsidP="0078671B">
      <w:pPr>
        <w:pStyle w:val="Heading1"/>
      </w:pPr>
      <w:bookmarkStart w:id="30" w:name="_Ref61875832"/>
      <w:r w:rsidRPr="002A4884">
        <w:lastRenderedPageBreak/>
        <w:t>Results</w:t>
      </w:r>
      <w:bookmarkEnd w:id="30"/>
    </w:p>
    <w:p w14:paraId="06D2E220" w14:textId="35BD8E26" w:rsidR="00C855E9" w:rsidRPr="002A4884" w:rsidRDefault="0078671B" w:rsidP="00DE2320">
      <w:pPr>
        <w:pStyle w:val="Caption"/>
      </w:pPr>
      <w:r>
        <w:fldChar w:fldCharType="begin"/>
      </w:r>
      <w:r>
        <w:instrText xml:space="preserve"> REF _Ref94107644 \h </w:instrText>
      </w:r>
      <w:r>
        <w:fldChar w:fldCharType="separate"/>
      </w:r>
      <w:r w:rsidR="007C7B62" w:rsidRPr="002A4884">
        <w:t xml:space="preserve">Table </w:t>
      </w:r>
      <w:r w:rsidR="007C7B62">
        <w:rPr>
          <w:noProof/>
        </w:rPr>
        <w:t>3</w:t>
      </w:r>
      <w:r>
        <w:fldChar w:fldCharType="end"/>
      </w:r>
      <w:r>
        <w:t xml:space="preserve"> </w:t>
      </w:r>
      <w:r w:rsidR="00DE2320" w:rsidRPr="002A4884">
        <w:t xml:space="preserve">reports </w:t>
      </w:r>
      <w:r w:rsidR="003F1553" w:rsidRPr="002A4884">
        <w:t xml:space="preserve">HC and LTC </w:t>
      </w:r>
      <w:r w:rsidR="008740F2" w:rsidRPr="002A4884">
        <w:t xml:space="preserve">mortality effects estimated </w:t>
      </w:r>
      <w:r w:rsidR="00284D67" w:rsidRPr="002A4884">
        <w:t>by</w:t>
      </w:r>
      <w:r w:rsidR="008740F2" w:rsidRPr="002A4884">
        <w:t xml:space="preserve"> regression </w:t>
      </w:r>
      <w:r w:rsidR="008740F2" w:rsidRPr="002A4884">
        <w:fldChar w:fldCharType="begin"/>
      </w:r>
      <w:r w:rsidR="008740F2"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8740F2" w:rsidRPr="002A4884">
        <w:fldChar w:fldCharType="end"/>
      </w:r>
      <w:r w:rsidR="008740F2" w:rsidRPr="002A4884">
        <w:t xml:space="preserve"> in column 1</w:t>
      </w:r>
      <w:r w:rsidR="00284D67" w:rsidRPr="002A4884">
        <w:t>.</w:t>
      </w:r>
      <w:r w:rsidR="008740F2" w:rsidRPr="002A4884">
        <w:t xml:space="preserve"> </w:t>
      </w:r>
      <w:r w:rsidR="009F554C" w:rsidRPr="002A4884">
        <w:t>W</w:t>
      </w:r>
      <w:r w:rsidR="00DE2320" w:rsidRPr="002A4884">
        <w:t>e find that</w:t>
      </w:r>
      <w:r w:rsidR="002E36BB" w:rsidRPr="002A4884">
        <w:t xml:space="preserve"> a 1% increase in HC expenditure per capita and LTC expenditure per user reduce</w:t>
      </w:r>
      <w:r w:rsidR="00C855E9" w:rsidRPr="002A4884">
        <w:t>s</w:t>
      </w:r>
      <w:r w:rsidR="002E36BB" w:rsidRPr="002A4884">
        <w:t xml:space="preserve"> mortality</w:t>
      </w:r>
      <w:r w:rsidR="00544C29" w:rsidRPr="002A4884">
        <w:t>, on average,</w:t>
      </w:r>
      <w:r w:rsidR="002E36BB" w:rsidRPr="002A4884">
        <w:t xml:space="preserve"> by 0.</w:t>
      </w:r>
      <w:r w:rsidR="005601DF">
        <w:t>26</w:t>
      </w:r>
      <w:r w:rsidR="002E36BB" w:rsidRPr="002A4884">
        <w:t>% and 0.0</w:t>
      </w:r>
      <w:r w:rsidR="008740F2" w:rsidRPr="002A4884">
        <w:t>3</w:t>
      </w:r>
      <w:r w:rsidR="002E36BB" w:rsidRPr="002A4884">
        <w:t>%, respectively.</w:t>
      </w:r>
      <w:r w:rsidR="008740F2" w:rsidRPr="002A4884">
        <w:t xml:space="preserve"> These results are statistically significant at the </w:t>
      </w:r>
      <w:r w:rsidR="005601DF">
        <w:t>1</w:t>
      </w:r>
      <w:r w:rsidR="008740F2" w:rsidRPr="002A4884">
        <w:t>% level.</w:t>
      </w:r>
      <w:r w:rsidR="0045656F">
        <w:t xml:space="preserve"> These results are in line with the expectation that both HC and LTC expenditure may reduce mortality, but they do not provide any hint about the existence of indirect mortality effects.</w:t>
      </w:r>
      <w:r w:rsidR="002E36BB" w:rsidRPr="002A4884">
        <w:t xml:space="preserve"> </w:t>
      </w:r>
      <w:r w:rsidR="00185AD2">
        <w:t xml:space="preserve">For this reason, </w:t>
      </w:r>
      <w:r>
        <w:fldChar w:fldCharType="begin"/>
      </w:r>
      <w:r>
        <w:instrText xml:space="preserve"> REF _Ref94107644 \h </w:instrText>
      </w:r>
      <w:r>
        <w:fldChar w:fldCharType="separate"/>
      </w:r>
      <w:r w:rsidR="007C7B62" w:rsidRPr="002A4884">
        <w:t xml:space="preserve">Table </w:t>
      </w:r>
      <w:r w:rsidR="007C7B62">
        <w:rPr>
          <w:noProof/>
        </w:rPr>
        <w:t>3</w:t>
      </w:r>
      <w:r>
        <w:fldChar w:fldCharType="end"/>
      </w:r>
      <w:r>
        <w:t xml:space="preserve"> </w:t>
      </w:r>
      <w:r w:rsidR="00284D67" w:rsidRPr="002A4884">
        <w:t xml:space="preserve">reports, in column 2, the results from regression </w:t>
      </w:r>
      <w:r w:rsidR="00284D67" w:rsidRPr="002A4884">
        <w:fldChar w:fldCharType="begin"/>
      </w:r>
      <w:r w:rsidR="00284D67"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284D67" w:rsidRPr="002A4884">
        <w:fldChar w:fldCharType="end"/>
      </w:r>
      <w:r w:rsidR="00284D67" w:rsidRPr="002A4884">
        <w:t xml:space="preserve"> which tests whether indirect </w:t>
      </w:r>
      <w:r w:rsidR="009E47D1">
        <w:t xml:space="preserve">mortality </w:t>
      </w:r>
      <w:r w:rsidR="00284D67" w:rsidRPr="002A4884">
        <w:t>effects may exist. We</w:t>
      </w:r>
      <w:r w:rsidR="00C855E9" w:rsidRPr="002A4884">
        <w:t xml:space="preserve"> find that the interaction between HC expenditure and LTC expenditure is negative (</w:t>
      </w:r>
      <w:r w:rsidR="00284D67" w:rsidRPr="002A4884">
        <w:noBreakHyphen/>
      </w:r>
      <w:r w:rsidR="00C855E9" w:rsidRPr="002A4884">
        <w:t>0.3</w:t>
      </w:r>
      <w:r w:rsidR="005601DF">
        <w:t>04</w:t>
      </w:r>
      <w:r w:rsidR="00C855E9" w:rsidRPr="002A4884">
        <w:t xml:space="preserve">) and statistically significant at the 5% level. This suggests that </w:t>
      </w:r>
      <w:r w:rsidR="000D6095" w:rsidRPr="002A4884">
        <w:rPr>
          <w:iCs/>
        </w:rPr>
        <w:t>indirect</w:t>
      </w:r>
      <w:r w:rsidR="00C855E9" w:rsidRPr="002A4884">
        <w:t xml:space="preserve"> </w:t>
      </w:r>
      <w:r w:rsidR="009E47D1">
        <w:t xml:space="preserve">mortality </w:t>
      </w:r>
      <w:r w:rsidR="00C855E9" w:rsidRPr="002A4884">
        <w:t xml:space="preserve">effects </w:t>
      </w:r>
      <w:r w:rsidR="00284D67" w:rsidRPr="002A4884">
        <w:t xml:space="preserve">in either both or one direction </w:t>
      </w:r>
      <w:r w:rsidR="00C855E9" w:rsidRPr="002A4884">
        <w:t>are likely to exist.</w:t>
      </w:r>
    </w:p>
    <w:p w14:paraId="7AE0AFC3" w14:textId="75F2149D" w:rsidR="00F56078" w:rsidRPr="00F9087E" w:rsidRDefault="00FA653C" w:rsidP="003F212A">
      <w:pPr>
        <w:pStyle w:val="Caption"/>
        <w:rPr>
          <w:rFonts w:cstheme="minorHAnsi"/>
          <w:szCs w:val="24"/>
        </w:rPr>
      </w:pPr>
      <w:r>
        <w:t>I</w:t>
      </w:r>
      <w:r w:rsidR="000E565B">
        <w:t xml:space="preserve">n </w:t>
      </w:r>
      <w:r w:rsidR="000E565B" w:rsidRPr="002A4884">
        <w:t xml:space="preserve">regression </w:t>
      </w:r>
      <w:r w:rsidR="000E565B" w:rsidRPr="002A4884">
        <w:fldChar w:fldCharType="begin"/>
      </w:r>
      <w:r w:rsidR="000E565B"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0E565B" w:rsidRPr="002A4884">
        <w:fldChar w:fldCharType="end"/>
      </w:r>
      <w:r w:rsidR="000E565B">
        <w:t xml:space="preserve"> </w:t>
      </w:r>
      <w:r w:rsidR="00185AD2">
        <w:t>we use all three candidate instruments for HC expenditure as well as council tax base per user.</w:t>
      </w:r>
      <w:r w:rsidR="000E565B">
        <w:t xml:space="preserve"> In regression</w:t>
      </w:r>
      <w:r w:rsidR="000E565B" w:rsidRPr="000E565B">
        <w:t xml:space="preserve"> </w:t>
      </w:r>
      <w:r w:rsidR="000E565B" w:rsidRPr="002A4884">
        <w:fldChar w:fldCharType="begin"/>
      </w:r>
      <w:r w:rsidR="000E565B"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0E565B" w:rsidRPr="002A4884">
        <w:fldChar w:fldCharType="end"/>
      </w:r>
      <w:r w:rsidR="000E565B">
        <w:t xml:space="preserve">, we </w:t>
      </w:r>
      <w:r w:rsidR="007157E7">
        <w:t xml:space="preserve">add a fifth instrument obtained by multiplying </w:t>
      </w:r>
      <w:r w:rsidR="000E565B">
        <w:t xml:space="preserve">the DFT index </w:t>
      </w:r>
      <w:r w:rsidR="007157E7">
        <w:t>by</w:t>
      </w:r>
      <w:r w:rsidR="000E565B">
        <w:t xml:space="preserve"> the council tax per user</w:t>
      </w:r>
      <w:r w:rsidR="001D616A">
        <w:t>.</w:t>
      </w:r>
      <w:r w:rsidR="001D616A">
        <w:rPr>
          <w:rStyle w:val="FootnoteReference"/>
        </w:rPr>
        <w:footnoteReference w:id="13"/>
      </w:r>
      <w:r w:rsidR="00F56078" w:rsidRPr="002A4884">
        <w:t xml:space="preserve"> </w:t>
      </w:r>
      <w:r w:rsidR="0078671B">
        <w:fldChar w:fldCharType="begin"/>
      </w:r>
      <w:r w:rsidR="0078671B">
        <w:instrText xml:space="preserve"> REF _Ref94107644 \h </w:instrText>
      </w:r>
      <w:r w:rsidR="0078671B">
        <w:fldChar w:fldCharType="separate"/>
      </w:r>
      <w:r w:rsidR="007C7B62" w:rsidRPr="002A4884">
        <w:t xml:space="preserve">Table </w:t>
      </w:r>
      <w:r w:rsidR="007C7B62">
        <w:rPr>
          <w:noProof/>
        </w:rPr>
        <w:t>3</w:t>
      </w:r>
      <w:r w:rsidR="0078671B">
        <w:fldChar w:fldCharType="end"/>
      </w:r>
      <w:r w:rsidR="003E5DE6" w:rsidRPr="002A4884">
        <w:t xml:space="preserve"> reports the first</w:t>
      </w:r>
      <w:r w:rsidR="006763ED">
        <w:t>-</w:t>
      </w:r>
      <w:r w:rsidR="003E5DE6" w:rsidRPr="002A4884">
        <w:t>stage</w:t>
      </w:r>
      <w:r w:rsidR="006763ED" w:rsidRPr="006763ED">
        <w:t xml:space="preserve"> </w:t>
      </w:r>
      <w:r w:rsidR="006763ED" w:rsidRPr="007B642F">
        <w:t>Kleibergen-Paap</w:t>
      </w:r>
      <w:r w:rsidR="003E5DE6" w:rsidRPr="002A4884">
        <w:t xml:space="preserve"> F-statistic and the result of the over-identification test</w:t>
      </w:r>
      <w:r w:rsidR="00A02568">
        <w:t xml:space="preserve">. In addition, </w:t>
      </w:r>
      <w:r w:rsidR="00B75776">
        <w:t xml:space="preserve">key first-stage results of all regressions are reported in </w:t>
      </w:r>
      <w:r w:rsidR="00B75776">
        <w:fldChar w:fldCharType="begin"/>
      </w:r>
      <w:r w:rsidR="00B75776">
        <w:instrText xml:space="preserve"> REF _Ref89097895 \h </w:instrText>
      </w:r>
      <w:r w:rsidR="00B75776">
        <w:fldChar w:fldCharType="separate"/>
      </w:r>
      <w:r w:rsidR="007C7B62" w:rsidRPr="002A4884">
        <w:t>Table A</w:t>
      </w:r>
      <w:r w:rsidR="007C7B62">
        <w:rPr>
          <w:noProof/>
        </w:rPr>
        <w:t>2</w:t>
      </w:r>
      <w:r w:rsidR="00B75776">
        <w:fldChar w:fldCharType="end"/>
      </w:r>
      <w:r w:rsidR="00B75776">
        <w:t xml:space="preserve"> of the Appendix</w:t>
      </w:r>
      <w:r w:rsidR="003E5DE6" w:rsidRPr="002A4884">
        <w:t>.</w:t>
      </w:r>
      <w:r w:rsidR="006763ED">
        <w:t xml:space="preserve"> As a preliminary indication of weak instruments, we consider </w:t>
      </w:r>
      <w:r w:rsidR="007B642F">
        <w:t>the rule of thumb of a</w:t>
      </w:r>
      <w:r w:rsidR="006A65F5">
        <w:t>n</w:t>
      </w:r>
      <w:r w:rsidR="007B642F">
        <w:t xml:space="preserve"> F-statistic </w:t>
      </w:r>
      <w:r w:rsidR="006763ED">
        <w:t xml:space="preserve">lower </w:t>
      </w:r>
      <w:r w:rsidR="007B642F">
        <w:t>than 10</w:t>
      </w:r>
      <w:r w:rsidR="006763ED">
        <w:t>. On this basis, t</w:t>
      </w:r>
      <w:r w:rsidR="00F56078" w:rsidRPr="002A4884">
        <w:t>he F-statistic</w:t>
      </w:r>
      <w:r w:rsidR="007B642F">
        <w:t xml:space="preserve"> suggests that</w:t>
      </w:r>
      <w:r w:rsidR="006763ED">
        <w:t xml:space="preserve"> instruments are unlikely to be weak in </w:t>
      </w:r>
      <w:r w:rsidR="00F56078" w:rsidRPr="002A4884">
        <w:t xml:space="preserve">regression </w:t>
      </w:r>
      <w:r w:rsidR="00F56078" w:rsidRPr="002A4884">
        <w:fldChar w:fldCharType="begin"/>
      </w:r>
      <w:r w:rsidR="00F56078"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F56078" w:rsidRPr="002A4884">
        <w:fldChar w:fldCharType="end"/>
      </w:r>
      <w:r w:rsidR="00F56078" w:rsidRPr="002A4884">
        <w:t xml:space="preserve"> </w:t>
      </w:r>
      <w:r w:rsidR="006763ED">
        <w:t xml:space="preserve">but might be weak in </w:t>
      </w:r>
      <w:r w:rsidR="00F56078" w:rsidRPr="002A4884">
        <w:t xml:space="preserve">regression </w:t>
      </w:r>
      <w:r w:rsidR="00F56078" w:rsidRPr="002A4884">
        <w:fldChar w:fldCharType="begin"/>
      </w:r>
      <w:r w:rsidR="00F56078"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F56078" w:rsidRPr="002A4884">
        <w:fldChar w:fldCharType="end"/>
      </w:r>
      <w:r w:rsidR="00F56078" w:rsidRPr="002A4884">
        <w:t xml:space="preserve"> </w:t>
      </w:r>
      <w:r w:rsidR="007B642F">
        <w:t>(</w:t>
      </w:r>
      <w:r w:rsidR="00F56078" w:rsidRPr="002A4884">
        <w:t>column 2</w:t>
      </w:r>
      <w:r w:rsidR="006763ED">
        <w:t>)</w:t>
      </w:r>
      <w:r w:rsidR="00044DA1">
        <w:t>.</w:t>
      </w:r>
      <w:r w:rsidR="00044DA1" w:rsidRPr="00044DA1">
        <w:t xml:space="preserve"> </w:t>
      </w:r>
      <w:r w:rsidR="00044DA1">
        <w:t>Therefore</w:t>
      </w:r>
      <w:r w:rsidR="0040225B">
        <w:t xml:space="preserve">, following </w:t>
      </w:r>
      <w:r w:rsidR="0040225B">
        <w:fldChar w:fldCharType="begin"/>
      </w:r>
      <w:r w:rsidR="00157743">
        <w:instrText xml:space="preserve"> ADDIN EN.CITE &lt;EndNote&gt;&lt;Cite AuthorYear="1"&gt;&lt;Author&gt;Andrews&lt;/Author&gt;&lt;Year&gt;2018&lt;/Year&gt;&lt;RecNum&gt;547&lt;/RecNum&gt;&lt;DisplayText&gt;Andrews (2018)&lt;/DisplayText&gt;&lt;record&gt;&lt;rec-number&gt;547&lt;/rec-number&gt;&lt;foreign-keys&gt;&lt;key app="EN" db-id="r920as25hw5rrve2fa8psvr8e0dxvzxa200s" timestamp="1613143106" guid="f0d00094-2e93-4920-a114-a483d9df1f50"&gt;547&lt;/key&gt;&lt;/foreign-keys&gt;&lt;ref-type name="Journal Article"&gt;17&lt;/ref-type&gt;&lt;contributors&gt;&lt;authors&gt;&lt;author&gt;Andrews, Isaiah&lt;/author&gt;&lt;/authors&gt;&lt;/contributors&gt;&lt;titles&gt;&lt;title&gt;Valid two-step identification-robust confidence sets for GMM&lt;/title&gt;&lt;secondary-title&gt;Review of Economics and Statistics&lt;/secondary-title&gt;&lt;/titles&gt;&lt;periodical&gt;&lt;full-title&gt;Review of Economics and Statistics&lt;/full-title&gt;&lt;/periodical&gt;&lt;pages&gt;337-348&lt;/pages&gt;&lt;volume&gt;100&lt;/volume&gt;&lt;number&gt;2&lt;/number&gt;&lt;dates&gt;&lt;year&gt;2018&lt;/year&gt;&lt;/dates&gt;&lt;isbn&gt;0034-6535&lt;/isbn&gt;&lt;urls&gt;&lt;/urls&gt;&lt;/record&gt;&lt;/Cite&gt;&lt;/EndNote&gt;</w:instrText>
      </w:r>
      <w:r w:rsidR="0040225B">
        <w:fldChar w:fldCharType="separate"/>
      </w:r>
      <w:r w:rsidR="0040225B">
        <w:rPr>
          <w:noProof/>
        </w:rPr>
        <w:t>Andrews (2018)</w:t>
      </w:r>
      <w:r w:rsidR="0040225B">
        <w:fldChar w:fldCharType="end"/>
      </w:r>
      <w:r w:rsidR="0040225B">
        <w:t xml:space="preserve">, we </w:t>
      </w:r>
      <w:r w:rsidR="00097261">
        <w:t xml:space="preserve">run a two-step procedure </w:t>
      </w:r>
      <w:r w:rsidR="00B75776">
        <w:t xml:space="preserve">on </w:t>
      </w:r>
      <w:r w:rsidR="00B75776" w:rsidRPr="002A4884">
        <w:t xml:space="preserve">regression </w:t>
      </w:r>
      <w:r w:rsidR="00B75776" w:rsidRPr="002A4884">
        <w:fldChar w:fldCharType="begin"/>
      </w:r>
      <w:r w:rsidR="00B75776"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B75776" w:rsidRPr="002A4884">
        <w:fldChar w:fldCharType="end"/>
      </w:r>
      <w:r w:rsidR="00B75776">
        <w:t xml:space="preserve">. This procedure </w:t>
      </w:r>
      <w:r w:rsidR="00FE525B">
        <w:t xml:space="preserve">offers a </w:t>
      </w:r>
      <w:r w:rsidR="001366AF">
        <w:t xml:space="preserve">formal </w:t>
      </w:r>
      <w:r w:rsidR="00FE525B">
        <w:t>way to</w:t>
      </w:r>
      <w:r w:rsidR="006763ED">
        <w:t>, first,</w:t>
      </w:r>
      <w:r w:rsidR="00FE525B">
        <w:t xml:space="preserve"> test </w:t>
      </w:r>
      <w:r w:rsidR="006763ED">
        <w:t xml:space="preserve">instrument </w:t>
      </w:r>
      <w:r w:rsidR="00FE525B">
        <w:t>strength and</w:t>
      </w:r>
      <w:r w:rsidR="006763ED">
        <w:t>, after that,</w:t>
      </w:r>
      <w:r w:rsidR="00FE525B">
        <w:t xml:space="preserve"> estimates </w:t>
      </w:r>
      <w:r w:rsidR="001366AF">
        <w:t xml:space="preserve">weak-instrument-robust </w:t>
      </w:r>
      <w:r w:rsidR="0040225B">
        <w:t xml:space="preserve">confidence intervals </w:t>
      </w:r>
      <w:r w:rsidR="001366AF">
        <w:t xml:space="preserve">if </w:t>
      </w:r>
      <w:r w:rsidR="0040225B">
        <w:t>instruments</w:t>
      </w:r>
      <w:r w:rsidR="001366AF">
        <w:t xml:space="preserve"> are </w:t>
      </w:r>
      <w:r w:rsidR="00B75776">
        <w:t xml:space="preserve">tested to be </w:t>
      </w:r>
      <w:r w:rsidR="001366AF">
        <w:t>weak</w:t>
      </w:r>
      <w:r w:rsidR="00FE525B">
        <w:t xml:space="preserve">. </w:t>
      </w:r>
      <w:r w:rsidR="00B75776">
        <w:t xml:space="preserve">It suggests </w:t>
      </w:r>
      <w:r w:rsidR="00FE525B">
        <w:t xml:space="preserve">that our instruments </w:t>
      </w:r>
      <w:r w:rsidR="006763ED">
        <w:t xml:space="preserve">in </w:t>
      </w:r>
      <w:r w:rsidR="006763ED" w:rsidRPr="002A4884">
        <w:t xml:space="preserve">regression </w:t>
      </w:r>
      <w:r w:rsidR="006763ED" w:rsidRPr="002A4884">
        <w:fldChar w:fldCharType="begin"/>
      </w:r>
      <w:r w:rsidR="006763ED"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6763ED" w:rsidRPr="002A4884">
        <w:fldChar w:fldCharType="end"/>
      </w:r>
      <w:r w:rsidR="006763ED">
        <w:t xml:space="preserve"> </w:t>
      </w:r>
      <w:r w:rsidR="00FE525B">
        <w:t>are unlikely to be weak (</w:t>
      </w:r>
      <w:r w:rsidR="000700DD">
        <w:t xml:space="preserve">see </w:t>
      </w:r>
      <w:r w:rsidR="00044DA1">
        <w:t>Section</w:t>
      </w:r>
      <w:r w:rsidR="001366AF">
        <w:t xml:space="preserve"> A4</w:t>
      </w:r>
      <w:r w:rsidR="00044DA1">
        <w:t xml:space="preserve"> of the Appendix</w:t>
      </w:r>
      <w:r w:rsidR="00FE525B">
        <w:t xml:space="preserve"> </w:t>
      </w:r>
      <w:r w:rsidR="000700DD">
        <w:t xml:space="preserve">for </w:t>
      </w:r>
      <w:r w:rsidR="00FE525B">
        <w:t>more details)</w:t>
      </w:r>
      <w:r w:rsidR="0040225B">
        <w:t>. Moreover</w:t>
      </w:r>
      <w:r w:rsidR="00044DA1">
        <w:t xml:space="preserve">, </w:t>
      </w:r>
      <w:r w:rsidR="0040225B">
        <w:t>to address potential concerns on the validity of</w:t>
      </w:r>
      <w:r w:rsidR="00E96429">
        <w:t xml:space="preserve"> the</w:t>
      </w:r>
      <w:r w:rsidR="0040225B">
        <w:t xml:space="preserve"> council tax base per user in regression </w:t>
      </w:r>
      <w:r w:rsidR="0040225B" w:rsidRPr="002A4884">
        <w:fldChar w:fldCharType="begin"/>
      </w:r>
      <w:r w:rsidR="0040225B"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40225B" w:rsidRPr="002A4884">
        <w:fldChar w:fldCharType="end"/>
      </w:r>
      <w:r w:rsidR="00E33853">
        <w:t xml:space="preserve">, as discussed in Section </w:t>
      </w:r>
      <w:r w:rsidR="00E33853">
        <w:fldChar w:fldCharType="begin"/>
      </w:r>
      <w:r w:rsidR="00E33853">
        <w:instrText xml:space="preserve"> REF _Ref88221332 \r \h </w:instrText>
      </w:r>
      <w:r w:rsidR="00E33853">
        <w:fldChar w:fldCharType="separate"/>
      </w:r>
      <w:r w:rsidR="007C7B62">
        <w:t>2.4</w:t>
      </w:r>
      <w:r w:rsidR="00E33853">
        <w:fldChar w:fldCharType="end"/>
      </w:r>
      <w:r w:rsidR="0040225B">
        <w:t>, we estimate</w:t>
      </w:r>
      <w:r w:rsidR="008B341D">
        <w:t xml:space="preserve"> </w:t>
      </w:r>
      <w:r w:rsidR="008B341D" w:rsidRPr="002A4884">
        <w:fldChar w:fldCharType="begin"/>
      </w:r>
      <w:r w:rsidR="008B341D"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8B341D" w:rsidRPr="002A4884">
        <w:fldChar w:fldCharType="end"/>
      </w:r>
      <w:r w:rsidR="008B341D">
        <w:t xml:space="preserve"> with additional control</w:t>
      </w:r>
      <w:r w:rsidR="00E96429">
        <w:t>s</w:t>
      </w:r>
      <w:r w:rsidR="008B341D">
        <w:t xml:space="preserve"> capturing expenditure per capita for other services (e.g. education, police). We find that our results are robust as showed in </w:t>
      </w:r>
      <w:r w:rsidR="003F212A">
        <w:fldChar w:fldCharType="begin"/>
      </w:r>
      <w:r w:rsidR="003F212A">
        <w:instrText xml:space="preserve"> REF _Ref93917452 \h </w:instrText>
      </w:r>
      <w:r w:rsidR="003F212A">
        <w:fldChar w:fldCharType="separate"/>
      </w:r>
      <w:r w:rsidR="007C7B62" w:rsidRPr="002A4884">
        <w:t>Table A</w:t>
      </w:r>
      <w:r w:rsidR="007C7B62">
        <w:rPr>
          <w:noProof/>
        </w:rPr>
        <w:t>3</w:t>
      </w:r>
      <w:r w:rsidR="003F212A">
        <w:fldChar w:fldCharType="end"/>
      </w:r>
      <w:r w:rsidR="003F212A">
        <w:t xml:space="preserve"> </w:t>
      </w:r>
      <w:r w:rsidR="008B341D">
        <w:t>of the Appendix. Finally,</w:t>
      </w:r>
      <w:r w:rsidR="00F56078" w:rsidRPr="002A4884">
        <w:t xml:space="preserve"> </w:t>
      </w:r>
      <w:r w:rsidR="008B341D">
        <w:t>t</w:t>
      </w:r>
      <w:r w:rsidR="00F56078" w:rsidRPr="002A4884">
        <w:t>he over-identification test</w:t>
      </w:r>
      <w:r w:rsidR="008B341D">
        <w:t xml:space="preserve"> for </w:t>
      </w:r>
      <w:r w:rsidR="00F56078" w:rsidRPr="002A4884">
        <w:t>both regression</w:t>
      </w:r>
      <w:r w:rsidR="00BD3F6E" w:rsidRPr="002A4884">
        <w:t xml:space="preserve"> </w:t>
      </w:r>
      <w:r w:rsidR="00BD3F6E" w:rsidRPr="002A4884">
        <w:fldChar w:fldCharType="begin"/>
      </w:r>
      <w:r w:rsidR="00BD3F6E"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BD3F6E" w:rsidRPr="002A4884">
        <w:fldChar w:fldCharType="end"/>
      </w:r>
      <w:r w:rsidR="00BD3F6E" w:rsidRPr="002A4884">
        <w:t xml:space="preserve"> and </w:t>
      </w:r>
      <w:r w:rsidR="00BD3F6E" w:rsidRPr="002A4884">
        <w:fldChar w:fldCharType="begin"/>
      </w:r>
      <w:r w:rsidR="00BD3F6E" w:rsidRPr="002A4884">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BD3F6E" w:rsidRPr="002A4884">
        <w:fldChar w:fldCharType="end"/>
      </w:r>
      <w:r w:rsidR="00BD3F6E" w:rsidRPr="002A4884">
        <w:t xml:space="preserve">, </w:t>
      </w:r>
      <w:r w:rsidR="00F56078" w:rsidRPr="002A4884">
        <w:t>suggest</w:t>
      </w:r>
      <w:r w:rsidR="00BD3F6E" w:rsidRPr="002A4884">
        <w:t>s</w:t>
      </w:r>
      <w:r w:rsidR="00F56078" w:rsidRPr="002A4884">
        <w:t xml:space="preserve"> that </w:t>
      </w:r>
      <w:r w:rsidR="00554762">
        <w:t xml:space="preserve">the </w:t>
      </w:r>
      <w:r w:rsidR="00F56078" w:rsidRPr="002A4884">
        <w:t>instruments are likely to be exogenous</w:t>
      </w:r>
      <w:r w:rsidR="001164A0">
        <w:t>.</w:t>
      </w:r>
    </w:p>
    <w:p w14:paraId="40DC7252" w14:textId="5F0555F9" w:rsidR="00C662AB" w:rsidRPr="002A4884" w:rsidRDefault="00DC5535" w:rsidP="00BB17F6">
      <w:r>
        <w:t xml:space="preserve">The left panel of </w:t>
      </w:r>
      <w:r w:rsidR="00B63B3F" w:rsidRPr="002A4884">
        <w:fldChar w:fldCharType="begin"/>
      </w:r>
      <w:r w:rsidR="00B63B3F" w:rsidRPr="002A4884">
        <w:instrText xml:space="preserve"> REF _Ref59102740 \h </w:instrText>
      </w:r>
      <w:r w:rsidR="00B63B3F" w:rsidRPr="002A4884">
        <w:fldChar w:fldCharType="separate"/>
      </w:r>
      <w:r w:rsidR="007C7B62" w:rsidRPr="002A4884">
        <w:t xml:space="preserve">Table </w:t>
      </w:r>
      <w:r w:rsidR="007C7B62">
        <w:rPr>
          <w:noProof/>
        </w:rPr>
        <w:t>4</w:t>
      </w:r>
      <w:r w:rsidR="00B63B3F" w:rsidRPr="002A4884">
        <w:fldChar w:fldCharType="end"/>
      </w:r>
      <w:r w:rsidR="00B63B3F" w:rsidRPr="002A4884">
        <w:t xml:space="preserve"> includes the results </w:t>
      </w:r>
      <w:r w:rsidR="001653F2" w:rsidRPr="002A4884">
        <w:t xml:space="preserve">about the </w:t>
      </w:r>
      <w:r>
        <w:t xml:space="preserve">impact of </w:t>
      </w:r>
      <w:r w:rsidR="00B63B3F" w:rsidRPr="002A4884">
        <w:t>LTC</w:t>
      </w:r>
      <w:r>
        <w:t xml:space="preserve"> expenditure on level and composition of HC expenditure </w:t>
      </w:r>
      <w:r w:rsidR="00D900CD">
        <w:t>(see</w:t>
      </w:r>
      <w:r w:rsidR="000A3891">
        <w:t xml:space="preserve"> regression </w:t>
      </w:r>
      <w:r w:rsidR="000A3891">
        <w:fldChar w:fldCharType="begin"/>
      </w:r>
      <w:r w:rsidR="000A3891">
        <w:instrText xml:space="preserve"> GOTOBUTTON ZEqnNum910952  \* MERGEFORMAT </w:instrText>
      </w:r>
      <w:fldSimple w:instr=" REF ZEqnNum910952 \* Charformat \! \* MERGEFORMAT ">
        <w:r w:rsidR="007C7B62" w:rsidRPr="002A4884">
          <w:instrText>(</w:instrText>
        </w:r>
        <w:r w:rsidR="007C7B62">
          <w:instrText>18</w:instrText>
        </w:r>
        <w:r w:rsidR="007C7B62" w:rsidRPr="002A4884">
          <w:instrText>)</w:instrText>
        </w:r>
      </w:fldSimple>
      <w:r w:rsidR="000A3891">
        <w:fldChar w:fldCharType="end"/>
      </w:r>
      <w:r w:rsidR="00D900CD">
        <w:t xml:space="preserve"> </w:t>
      </w:r>
      <w:r w:rsidR="000A3891">
        <w:t xml:space="preserve">in </w:t>
      </w:r>
      <w:r w:rsidR="00D900CD">
        <w:t xml:space="preserve">Section </w:t>
      </w:r>
      <w:r w:rsidR="00D900CD">
        <w:fldChar w:fldCharType="begin"/>
      </w:r>
      <w:r w:rsidR="00D900CD">
        <w:instrText xml:space="preserve"> REF _Ref61529169 \r \h </w:instrText>
      </w:r>
      <w:r w:rsidR="00D900CD">
        <w:fldChar w:fldCharType="separate"/>
      </w:r>
      <w:r w:rsidR="007C7B62">
        <w:t>2.3.1</w:t>
      </w:r>
      <w:r w:rsidR="00D900CD">
        <w:fldChar w:fldCharType="end"/>
      </w:r>
      <w:r w:rsidR="00D900CD">
        <w:t>)</w:t>
      </w:r>
      <w:r>
        <w:t>.</w:t>
      </w:r>
      <w:r w:rsidR="00E84643" w:rsidRPr="002A4884">
        <w:t xml:space="preserve"> </w:t>
      </w:r>
      <w:r w:rsidR="00D57B0D" w:rsidRPr="002A4884">
        <w:t>W</w:t>
      </w:r>
      <w:r w:rsidR="00C200A7" w:rsidRPr="002A4884">
        <w:t xml:space="preserve">e find </w:t>
      </w:r>
      <w:r>
        <w:t xml:space="preserve">no effect of </w:t>
      </w:r>
      <w:r w:rsidR="00C200A7" w:rsidRPr="002A4884">
        <w:t xml:space="preserve">LTC expenditure </w:t>
      </w:r>
      <w:r>
        <w:t xml:space="preserve">on </w:t>
      </w:r>
      <w:r w:rsidR="00FD7C44">
        <w:t xml:space="preserve">the level of </w:t>
      </w:r>
      <w:r w:rsidR="00C200A7" w:rsidRPr="002A4884">
        <w:t>HC expenditure</w:t>
      </w:r>
      <w:r>
        <w:t>.</w:t>
      </w:r>
      <w:r w:rsidR="0003501C">
        <w:t xml:space="preserve"> T</w:t>
      </w:r>
      <w:r>
        <w:t xml:space="preserve">his result </w:t>
      </w:r>
      <w:r w:rsidR="00E33853">
        <w:t>is in line with our expectations related to the existence of</w:t>
      </w:r>
      <w:r w:rsidR="00A33A0F">
        <w:t xml:space="preserve"> </w:t>
      </w:r>
      <w:r w:rsidR="00E33853">
        <w:t>a</w:t>
      </w:r>
      <w:r>
        <w:t xml:space="preserve"> fixed </w:t>
      </w:r>
      <w:r w:rsidR="00A33A0F">
        <w:t>HC budget</w:t>
      </w:r>
      <w:r w:rsidR="00C200A7" w:rsidRPr="002A4884">
        <w:t>.</w:t>
      </w:r>
      <w:r w:rsidR="00CB2C80">
        <w:t xml:space="preserve"> </w:t>
      </w:r>
      <w:r w:rsidR="0008066D">
        <w:t xml:space="preserve">We then investigate whether and how the composition of HC expenditure changes in response to LTC expenditure by focusing on multiple HC sub-sectors. We find that </w:t>
      </w:r>
      <w:r w:rsidR="00C200A7" w:rsidRPr="002A4884">
        <w:t>a 1% increase in LTC expenditure reduces expenditure for non-elective admissions, accident and emergency services</w:t>
      </w:r>
      <w:r w:rsidR="002E1B91" w:rsidRPr="002A4884">
        <w:t xml:space="preserve">, </w:t>
      </w:r>
      <w:r w:rsidR="00BD772D">
        <w:t xml:space="preserve">unbundled </w:t>
      </w:r>
      <w:r w:rsidR="002E1B91" w:rsidRPr="002A4884">
        <w:t>critical care</w:t>
      </w:r>
      <w:r w:rsidR="00000351" w:rsidRPr="002A4884">
        <w:t>,</w:t>
      </w:r>
      <w:r w:rsidR="002E1B91" w:rsidRPr="002A4884">
        <w:t xml:space="preserve"> and </w:t>
      </w:r>
      <w:r w:rsidR="00BD772D">
        <w:t>direct access</w:t>
      </w:r>
      <w:r w:rsidR="00BD772D" w:rsidRPr="002A4884">
        <w:t xml:space="preserve"> </w:t>
      </w:r>
      <w:r w:rsidR="002E1B91" w:rsidRPr="002A4884">
        <w:t>diagnostic imaging by 0.0</w:t>
      </w:r>
      <w:r w:rsidR="00BD772D">
        <w:t>9</w:t>
      </w:r>
      <w:r w:rsidR="002E1B91" w:rsidRPr="002A4884">
        <w:t>%</w:t>
      </w:r>
      <w:r w:rsidR="00CB2C80">
        <w:t xml:space="preserve"> (</w:t>
      </w:r>
      <w:r w:rsidR="00BB7555">
        <w:t xml:space="preserve">statistically significant </w:t>
      </w:r>
      <w:r w:rsidR="00CB2C80">
        <w:t xml:space="preserve">at </w:t>
      </w:r>
      <w:r w:rsidR="00BD772D">
        <w:t>1</w:t>
      </w:r>
      <w:r w:rsidR="00CB2C80">
        <w:t>% level)</w:t>
      </w:r>
      <w:r w:rsidR="002E1B91" w:rsidRPr="002A4884">
        <w:t>, 0.</w:t>
      </w:r>
      <w:r w:rsidR="00BD772D">
        <w:t>09</w:t>
      </w:r>
      <w:r w:rsidR="002E1B91" w:rsidRPr="002A4884">
        <w:t>%</w:t>
      </w:r>
      <w:r w:rsidR="00CB2C80">
        <w:t xml:space="preserve"> (at</w:t>
      </w:r>
      <w:r w:rsidR="00BB7555">
        <w:t xml:space="preserve"> </w:t>
      </w:r>
      <w:r w:rsidR="00BD772D">
        <w:t>10</w:t>
      </w:r>
      <w:r w:rsidR="00BB7555">
        <w:t>% level</w:t>
      </w:r>
      <w:r w:rsidR="00CB2C80">
        <w:t>)</w:t>
      </w:r>
      <w:r w:rsidR="002E1B91" w:rsidRPr="002A4884">
        <w:t>, 0.1</w:t>
      </w:r>
      <w:r w:rsidR="00BD772D">
        <w:t>9</w:t>
      </w:r>
      <w:r w:rsidR="002E1B91" w:rsidRPr="002A4884">
        <w:t>%</w:t>
      </w:r>
      <w:r w:rsidR="00BB7555">
        <w:t xml:space="preserve"> (at 1% level)</w:t>
      </w:r>
      <w:r w:rsidR="002E1B91" w:rsidRPr="002A4884">
        <w:t xml:space="preserve"> and 0.</w:t>
      </w:r>
      <w:r w:rsidR="00BD772D">
        <w:t>31</w:t>
      </w:r>
      <w:r w:rsidR="002E1B91" w:rsidRPr="002A4884">
        <w:t>%</w:t>
      </w:r>
      <w:r w:rsidR="00BB7555">
        <w:t xml:space="preserve"> (at 1% level)</w:t>
      </w:r>
      <w:r w:rsidR="002E1B91" w:rsidRPr="002A4884">
        <w:t xml:space="preserve">, respectively. </w:t>
      </w:r>
      <w:r w:rsidR="00BB7555">
        <w:t>W</w:t>
      </w:r>
      <w:r w:rsidR="002E1B91" w:rsidRPr="002A4884">
        <w:t xml:space="preserve">e find </w:t>
      </w:r>
      <w:r w:rsidR="00A54BA5">
        <w:t xml:space="preserve">also </w:t>
      </w:r>
      <w:r w:rsidR="002E1B91" w:rsidRPr="002A4884">
        <w:t xml:space="preserve">that </w:t>
      </w:r>
      <w:r w:rsidR="00E84643" w:rsidRPr="002A4884">
        <w:t xml:space="preserve">a 1% increase in LTC expenditure increases expenditure for running the HC system and end of life </w:t>
      </w:r>
      <w:r w:rsidR="00302D99" w:rsidRPr="002A4884">
        <w:t>care</w:t>
      </w:r>
      <w:r w:rsidR="00E84643" w:rsidRPr="002A4884">
        <w:t xml:space="preserve"> by 0.11%</w:t>
      </w:r>
      <w:r w:rsidR="00BB7555">
        <w:t xml:space="preserve"> (statistically significant at 1% level)</w:t>
      </w:r>
      <w:r w:rsidR="00E84643" w:rsidRPr="002A4884">
        <w:t xml:space="preserve"> and 0.3</w:t>
      </w:r>
      <w:r w:rsidR="00BD772D">
        <w:t>2</w:t>
      </w:r>
      <w:r w:rsidR="00E84643" w:rsidRPr="002A4884">
        <w:t>%</w:t>
      </w:r>
      <w:r w:rsidR="00BB7555">
        <w:t xml:space="preserve"> (at 5% level)</w:t>
      </w:r>
      <w:r w:rsidR="00E84643" w:rsidRPr="002A4884">
        <w:t>, respectively.</w:t>
      </w:r>
      <w:r w:rsidR="00BD772D">
        <w:t xml:space="preserve"> In addition, for the </w:t>
      </w:r>
      <w:r w:rsidR="00BD772D">
        <w:lastRenderedPageBreak/>
        <w:t xml:space="preserve">HC sub-sectors not </w:t>
      </w:r>
      <w:r w:rsidR="007C642A">
        <w:t xml:space="preserve">showing </w:t>
      </w:r>
      <w:r w:rsidR="00BD772D">
        <w:t xml:space="preserve">any </w:t>
      </w:r>
      <w:r w:rsidR="00E33853">
        <w:t xml:space="preserve">statistical </w:t>
      </w:r>
      <w:r w:rsidR="00BD772D">
        <w:t xml:space="preserve">responsiveness </w:t>
      </w:r>
      <w:r w:rsidR="00E33853">
        <w:t>(</w:t>
      </w:r>
      <w:r w:rsidR="00D900CD">
        <w:t xml:space="preserve">even </w:t>
      </w:r>
      <w:r w:rsidR="00E33853">
        <w:t xml:space="preserve">weak at the 10% level) </w:t>
      </w:r>
      <w:r w:rsidR="00BD772D">
        <w:t>to LTC expenditure, we explore</w:t>
      </w:r>
      <w:r w:rsidR="007C642A">
        <w:t xml:space="preserve"> whether any response can be estimated when focusing on th</w:t>
      </w:r>
      <w:r w:rsidR="00964069">
        <w:t xml:space="preserve">e four </w:t>
      </w:r>
      <w:r w:rsidR="007C642A">
        <w:t xml:space="preserve">disease areas </w:t>
      </w:r>
      <w:r w:rsidR="00BE3E51">
        <w:t>attracting most HC funding</w:t>
      </w:r>
      <w:r w:rsidR="007C642A">
        <w:t>.</w:t>
      </w:r>
      <w:r w:rsidR="00964069">
        <w:t xml:space="preserve"> W</w:t>
      </w:r>
      <w:r w:rsidR="00E33853">
        <w:t>e argue that, w</w:t>
      </w:r>
      <w:r w:rsidR="00964069">
        <w:t xml:space="preserve">ithin each </w:t>
      </w:r>
      <w:r w:rsidR="00093370">
        <w:t xml:space="preserve">of these </w:t>
      </w:r>
      <w:r w:rsidR="00964069">
        <w:t>sub-sector</w:t>
      </w:r>
      <w:r w:rsidR="00093370">
        <w:t>s</w:t>
      </w:r>
      <w:r w:rsidR="00E33853">
        <w:t>,</w:t>
      </w:r>
      <w:r w:rsidR="00964069">
        <w:t xml:space="preserve"> only some disease areas can be responsive and this can be difficult to detect when </w:t>
      </w:r>
      <w:r w:rsidR="00093370">
        <w:t>focusing on all diseases. Therefore, f</w:t>
      </w:r>
      <w:r w:rsidR="007C642A">
        <w:t xml:space="preserve">or each </w:t>
      </w:r>
      <w:r w:rsidR="00093370">
        <w:t xml:space="preserve">of these </w:t>
      </w:r>
      <w:r w:rsidR="007C642A">
        <w:t>sub-sector</w:t>
      </w:r>
      <w:r w:rsidR="00093370">
        <w:t>s</w:t>
      </w:r>
      <w:r w:rsidR="007C642A">
        <w:t xml:space="preserve">, </w:t>
      </w:r>
      <w:r w:rsidR="00093370">
        <w:t xml:space="preserve">we focus on </w:t>
      </w:r>
      <w:r w:rsidR="007C642A">
        <w:t xml:space="preserve">the largest two disease areas, which include </w:t>
      </w:r>
      <w:r w:rsidR="007C642A" w:rsidRPr="002A4884">
        <w:t>cancer</w:t>
      </w:r>
      <w:r w:rsidR="007C642A">
        <w:t xml:space="preserve"> and </w:t>
      </w:r>
      <w:r w:rsidR="007C642A" w:rsidRPr="002A4884">
        <w:t>circulatory</w:t>
      </w:r>
      <w:r w:rsidR="007C642A">
        <w:t xml:space="preserve"> diseases, and the largest four disease areas, which include </w:t>
      </w:r>
      <w:r w:rsidR="00722194">
        <w:t xml:space="preserve">also </w:t>
      </w:r>
      <w:r w:rsidR="007C642A" w:rsidRPr="002A4884">
        <w:t>respiratory and gastro-intestinal disease</w:t>
      </w:r>
      <w:r w:rsidR="007C642A">
        <w:t>s.</w:t>
      </w:r>
      <w:r w:rsidR="00093370">
        <w:t xml:space="preserve"> We find that</w:t>
      </w:r>
      <w:r w:rsidR="00FE4318">
        <w:t xml:space="preserve"> </w:t>
      </w:r>
      <w:r w:rsidR="00FE4318" w:rsidRPr="002A4884">
        <w:t>a 1% increase in LTC expenditure increases expenditure for</w:t>
      </w:r>
      <w:r w:rsidR="00FE4318">
        <w:t xml:space="preserve"> outpatient care </w:t>
      </w:r>
      <w:r w:rsidR="0060109C">
        <w:t>in the largest two and four disease areas by 0.16% (statistically significant at 5% level) and 0.09% (at 10% level), respectively, and it reduces unbundled diagnostic imaging in the largest four disease areas by 0.76% (at the 5% level).</w:t>
      </w:r>
      <w:r w:rsidR="00BB7555">
        <w:t xml:space="preserve"> </w:t>
      </w:r>
      <w:r w:rsidR="006C49BE">
        <w:t>These results suggest that the composition of HC expenditure</w:t>
      </w:r>
      <w:r w:rsidR="00B6107A">
        <w:t xml:space="preserve"> </w:t>
      </w:r>
      <w:r w:rsidR="006C49BE">
        <w:t>change</w:t>
      </w:r>
      <w:r w:rsidR="00B6107A">
        <w:t>s</w:t>
      </w:r>
      <w:r w:rsidR="006C49BE">
        <w:t xml:space="preserve"> while </w:t>
      </w:r>
      <w:r w:rsidR="006A57A8">
        <w:t xml:space="preserve">its </w:t>
      </w:r>
      <w:r w:rsidR="006C49BE">
        <w:t>level remains constant</w:t>
      </w:r>
      <w:r w:rsidR="00B6107A">
        <w:t xml:space="preserve"> in response to LTC expenditure</w:t>
      </w:r>
      <w:r w:rsidR="006C49BE">
        <w:t xml:space="preserve">. </w:t>
      </w:r>
      <w:r w:rsidR="00B6107A">
        <w:t xml:space="preserve">Therefore, the LTC mortality effect estimated through </w:t>
      </w:r>
      <w:r w:rsidR="005F7345" w:rsidRPr="002A4884">
        <w:t xml:space="preserve">regression </w:t>
      </w:r>
      <w:r w:rsidR="005F7345" w:rsidRPr="002A4884">
        <w:fldChar w:fldCharType="begin"/>
      </w:r>
      <w:r w:rsidR="005F7345"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5F7345" w:rsidRPr="002A4884">
        <w:fldChar w:fldCharType="end"/>
      </w:r>
      <w:r w:rsidR="00402FC2">
        <w:t xml:space="preserve"> (</w:t>
      </w:r>
      <w:r w:rsidR="00BB7555" w:rsidRPr="002A4884">
        <w:noBreakHyphen/>
        <w:t>0.03</w:t>
      </w:r>
      <w:r w:rsidR="00A15CB7">
        <w:t>2</w:t>
      </w:r>
      <w:r w:rsidR="00402FC2">
        <w:t>)</w:t>
      </w:r>
      <w:r w:rsidR="005F7345">
        <w:t>,</w:t>
      </w:r>
      <w:r w:rsidR="00F02F06">
        <w:t xml:space="preserve"> is likely to capture both LTC direct and indirect </w:t>
      </w:r>
      <w:r w:rsidR="00A15CB7">
        <w:t xml:space="preserve">mortality </w:t>
      </w:r>
      <w:r w:rsidR="00F02F06">
        <w:t>effects</w:t>
      </w:r>
      <w:r w:rsidR="00A15CB7">
        <w:t>.</w:t>
      </w:r>
    </w:p>
    <w:p w14:paraId="5EC2762D" w14:textId="4EF3D9A5" w:rsidR="00812D20" w:rsidRPr="002A4884" w:rsidRDefault="00A15CB7" w:rsidP="005C3100">
      <w:pPr>
        <w:pStyle w:val="Caption"/>
      </w:pPr>
      <w:r>
        <w:t xml:space="preserve">The right panel of </w:t>
      </w:r>
      <w:r w:rsidR="001653F2" w:rsidRPr="002A4884">
        <w:fldChar w:fldCharType="begin"/>
      </w:r>
      <w:r w:rsidR="001653F2" w:rsidRPr="002A4884">
        <w:instrText xml:space="preserve"> REF _Ref59102740 \h </w:instrText>
      </w:r>
      <w:r w:rsidR="001653F2" w:rsidRPr="002A4884">
        <w:fldChar w:fldCharType="separate"/>
      </w:r>
      <w:r w:rsidR="007C7B62" w:rsidRPr="002A4884">
        <w:t xml:space="preserve">Table </w:t>
      </w:r>
      <w:r w:rsidR="007C7B62">
        <w:rPr>
          <w:noProof/>
        </w:rPr>
        <w:t>4</w:t>
      </w:r>
      <w:r w:rsidR="001653F2" w:rsidRPr="002A4884">
        <w:fldChar w:fldCharType="end"/>
      </w:r>
      <w:r w:rsidR="001653F2" w:rsidRPr="002A4884">
        <w:t xml:space="preserve"> includes the results about the </w:t>
      </w:r>
      <w:r>
        <w:t>effect of HC expenditure on</w:t>
      </w:r>
      <w:r w:rsidR="00D900CD">
        <w:t xml:space="preserve"> level and composition of</w:t>
      </w:r>
      <w:r>
        <w:t xml:space="preserve"> LTC expenditure </w:t>
      </w:r>
      <w:r w:rsidR="00D900CD">
        <w:t xml:space="preserve">(see </w:t>
      </w:r>
      <w:r w:rsidR="00DD4F0E">
        <w:t xml:space="preserve">regression </w:t>
      </w:r>
      <w:r w:rsidR="00DD4F0E">
        <w:fldChar w:fldCharType="begin"/>
      </w:r>
      <w:r w:rsidR="00DD4F0E">
        <w:instrText xml:space="preserve"> GOTOBUTTON ZEqnNum123026  \* MERGEFORMAT </w:instrText>
      </w:r>
      <w:fldSimple w:instr=" REF ZEqnNum123026 \* Charformat \! \* MERGEFORMAT ">
        <w:r w:rsidR="007C7B62" w:rsidRPr="002A4884">
          <w:instrText>(</w:instrText>
        </w:r>
        <w:r w:rsidR="007C7B62">
          <w:instrText>19</w:instrText>
        </w:r>
        <w:r w:rsidR="007C7B62" w:rsidRPr="002A4884">
          <w:instrText>)</w:instrText>
        </w:r>
      </w:fldSimple>
      <w:r w:rsidR="00DD4F0E">
        <w:fldChar w:fldCharType="end"/>
      </w:r>
      <w:r w:rsidR="00DD4F0E">
        <w:t xml:space="preserve"> in </w:t>
      </w:r>
      <w:r w:rsidR="00D900CD">
        <w:t xml:space="preserve">Section </w:t>
      </w:r>
      <w:r w:rsidR="00D900CD">
        <w:fldChar w:fldCharType="begin"/>
      </w:r>
      <w:r w:rsidR="00D900CD">
        <w:instrText xml:space="preserve"> REF _Ref61529169 \r \h </w:instrText>
      </w:r>
      <w:r w:rsidR="00D900CD">
        <w:fldChar w:fldCharType="separate"/>
      </w:r>
      <w:r w:rsidR="007C7B62">
        <w:t>2.3.1</w:t>
      </w:r>
      <w:r w:rsidR="00D900CD">
        <w:fldChar w:fldCharType="end"/>
      </w:r>
      <w:r w:rsidR="00D900CD">
        <w:t>)</w:t>
      </w:r>
      <w:r>
        <w:t>.</w:t>
      </w:r>
      <w:r w:rsidR="001653F2" w:rsidRPr="002A4884">
        <w:t xml:space="preserve"> In this case</w:t>
      </w:r>
      <w:r w:rsidR="003B2118" w:rsidRPr="002A4884">
        <w:t>,</w:t>
      </w:r>
      <w:r w:rsidR="00812D20" w:rsidRPr="002A4884">
        <w:t xml:space="preserve"> </w:t>
      </w:r>
      <w:r w:rsidR="003B2118" w:rsidRPr="002A4884">
        <w:t>we find that a 1% increase in HC expenditure per capita reduces LTC expenditure per user by 0.</w:t>
      </w:r>
      <w:r>
        <w:t>61</w:t>
      </w:r>
      <w:r w:rsidR="003B2118" w:rsidRPr="002A4884">
        <w:t>%. This effect is driven by reductions in expenditure</w:t>
      </w:r>
      <w:r w:rsidR="00C662AB" w:rsidRPr="002A4884">
        <w:t xml:space="preserve"> </w:t>
      </w:r>
      <w:r w:rsidR="003B2118" w:rsidRPr="002A4884">
        <w:t>for</w:t>
      </w:r>
      <w:r>
        <w:t xml:space="preserve"> </w:t>
      </w:r>
      <w:r w:rsidR="00043D41">
        <w:t>nursing</w:t>
      </w:r>
      <w:r>
        <w:t xml:space="preserve"> care,</w:t>
      </w:r>
      <w:r w:rsidR="003B2118" w:rsidRPr="002A4884">
        <w:t xml:space="preserve"> community</w:t>
      </w:r>
      <w:r>
        <w:t xml:space="preserve"> care, social support, and equipment and adaptations</w:t>
      </w:r>
      <w:r w:rsidR="003B2118" w:rsidRPr="002A4884">
        <w:t xml:space="preserve"> by </w:t>
      </w:r>
      <w:r>
        <w:t xml:space="preserve">1.20% (statistically significant at 10% level), </w:t>
      </w:r>
      <w:r w:rsidR="00C662AB" w:rsidRPr="002A4884">
        <w:t>1.10%</w:t>
      </w:r>
      <w:r w:rsidR="001B2163">
        <w:t xml:space="preserve"> (at 1% level)</w:t>
      </w:r>
      <w:r>
        <w:t>, 4.51% (at 5% level)</w:t>
      </w:r>
      <w:r w:rsidR="00C662AB" w:rsidRPr="002A4884">
        <w:t xml:space="preserve"> and </w:t>
      </w:r>
      <w:r>
        <w:t>3</w:t>
      </w:r>
      <w:r w:rsidR="00C662AB" w:rsidRPr="002A4884">
        <w:t>.</w:t>
      </w:r>
      <w:r>
        <w:t>46</w:t>
      </w:r>
      <w:r w:rsidR="00C662AB" w:rsidRPr="002A4884">
        <w:t>%</w:t>
      </w:r>
      <w:r w:rsidR="001B2163">
        <w:t xml:space="preserve"> (at 10% level)</w:t>
      </w:r>
      <w:r w:rsidR="00C662AB" w:rsidRPr="002A4884">
        <w:t>, respectively</w:t>
      </w:r>
      <w:r w:rsidR="003B2118" w:rsidRPr="002A4884">
        <w:t xml:space="preserve">. </w:t>
      </w:r>
      <w:r w:rsidR="00C662AB" w:rsidRPr="002A4884">
        <w:t>This finding suggests that</w:t>
      </w:r>
      <w:r w:rsidR="009A5B59">
        <w:t xml:space="preserve"> the effect of HC on the composition of LTC expenditure is likely to be strongly correlated with the effect of HC on the level of LTC expenditure because the effect of HC on expenditure for sub-sectors is in the same direction as total LTC expenditure.</w:t>
      </w:r>
      <w:r w:rsidR="00402FC2">
        <w:t xml:space="preserve"> Therefore, the HC mortality effect estimated through </w:t>
      </w:r>
      <w:r w:rsidR="00A30123">
        <w:t>regression</w:t>
      </w:r>
      <w:r w:rsidR="00402FC2">
        <w:t xml:space="preserve"> </w:t>
      </w:r>
      <w:r w:rsidR="00402FC2" w:rsidRPr="002A4884">
        <w:fldChar w:fldCharType="begin"/>
      </w:r>
      <w:r w:rsidR="00402FC2"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402FC2" w:rsidRPr="002A4884">
        <w:fldChar w:fldCharType="end"/>
      </w:r>
      <w:r w:rsidR="00402FC2">
        <w:rPr>
          <w:iCs/>
        </w:rPr>
        <w:t xml:space="preserve"> </w:t>
      </w:r>
      <w:r w:rsidR="0089236E">
        <w:rPr>
          <w:iCs/>
        </w:rPr>
        <w:t xml:space="preserve">and shown in </w:t>
      </w:r>
      <w:r w:rsidR="0078671B">
        <w:rPr>
          <w:iCs/>
        </w:rPr>
        <w:fldChar w:fldCharType="begin"/>
      </w:r>
      <w:r w:rsidR="0078671B">
        <w:rPr>
          <w:iCs/>
        </w:rPr>
        <w:instrText xml:space="preserve"> REF _Ref94107644 \h </w:instrText>
      </w:r>
      <w:r w:rsidR="0078671B">
        <w:rPr>
          <w:iCs/>
        </w:rPr>
      </w:r>
      <w:r w:rsidR="0078671B">
        <w:rPr>
          <w:iCs/>
        </w:rPr>
        <w:fldChar w:fldCharType="separate"/>
      </w:r>
      <w:r w:rsidR="007C7B62" w:rsidRPr="002A4884">
        <w:t xml:space="preserve">Table </w:t>
      </w:r>
      <w:r w:rsidR="007C7B62">
        <w:rPr>
          <w:noProof/>
        </w:rPr>
        <w:t>3</w:t>
      </w:r>
      <w:r w:rsidR="0078671B">
        <w:rPr>
          <w:iCs/>
        </w:rPr>
        <w:fldChar w:fldCharType="end"/>
      </w:r>
      <w:r w:rsidR="0089236E">
        <w:rPr>
          <w:iCs/>
        </w:rPr>
        <w:t xml:space="preserve"> </w:t>
      </w:r>
      <w:r w:rsidR="00402FC2">
        <w:rPr>
          <w:iCs/>
        </w:rPr>
        <w:t>(</w:t>
      </w:r>
      <w:r w:rsidR="0048480F" w:rsidRPr="002A4884">
        <w:noBreakHyphen/>
        <w:t>0.</w:t>
      </w:r>
      <w:r w:rsidR="00402FC2">
        <w:t>257)</w:t>
      </w:r>
      <w:r w:rsidR="00A30123">
        <w:t>,</w:t>
      </w:r>
      <w:r w:rsidR="0048480F" w:rsidRPr="002A4884">
        <w:t xml:space="preserve"> is likely to only capture the HC direct </w:t>
      </w:r>
      <w:r w:rsidR="00402FC2">
        <w:t xml:space="preserve">mortality </w:t>
      </w:r>
      <w:r w:rsidR="0048480F" w:rsidRPr="002A4884">
        <w:t>effect.</w:t>
      </w:r>
      <w:r w:rsidR="003172DE" w:rsidRPr="002A4884">
        <w:t xml:space="preserve"> </w:t>
      </w:r>
      <w:r w:rsidR="00451E12">
        <w:fldChar w:fldCharType="begin"/>
      </w:r>
      <w:r w:rsidR="00451E12">
        <w:instrText xml:space="preserve"> REF _Ref89093911 \h </w:instrText>
      </w:r>
      <w:r w:rsidR="00451E12">
        <w:fldChar w:fldCharType="separate"/>
      </w:r>
      <w:r w:rsidR="007C7B62" w:rsidRPr="002A4884">
        <w:t>Table A</w:t>
      </w:r>
      <w:r w:rsidR="007C7B62">
        <w:rPr>
          <w:noProof/>
        </w:rPr>
        <w:t>4</w:t>
      </w:r>
      <w:r w:rsidR="00451E12">
        <w:fldChar w:fldCharType="end"/>
      </w:r>
      <w:r w:rsidR="00451E12">
        <w:t xml:space="preserve"> and </w:t>
      </w:r>
      <w:r w:rsidR="00451E12">
        <w:fldChar w:fldCharType="begin"/>
      </w:r>
      <w:r w:rsidR="00451E12">
        <w:instrText xml:space="preserve"> REF _Ref61533646 \h </w:instrText>
      </w:r>
      <w:r w:rsidR="00451E12">
        <w:fldChar w:fldCharType="separate"/>
      </w:r>
      <w:r w:rsidR="007C7B62" w:rsidRPr="002A4884">
        <w:t>Table A</w:t>
      </w:r>
      <w:r w:rsidR="007C7B62">
        <w:rPr>
          <w:noProof/>
        </w:rPr>
        <w:t>5</w:t>
      </w:r>
      <w:r w:rsidR="00451E12">
        <w:fldChar w:fldCharType="end"/>
      </w:r>
      <w:r w:rsidR="00451E12">
        <w:t xml:space="preserve"> </w:t>
      </w:r>
      <w:r w:rsidR="003172DE" w:rsidRPr="002A4884">
        <w:t xml:space="preserve">of the Appendix </w:t>
      </w:r>
      <w:r w:rsidR="00DB56E2" w:rsidRPr="002A4884">
        <w:t>show that</w:t>
      </w:r>
      <w:r w:rsidR="006623EB" w:rsidRPr="002A4884">
        <w:t xml:space="preserve"> instruments</w:t>
      </w:r>
      <w:r w:rsidR="00DB56E2" w:rsidRPr="002A4884">
        <w:t xml:space="preserve"> </w:t>
      </w:r>
      <w:r w:rsidR="006623EB" w:rsidRPr="002A4884">
        <w:t>are</w:t>
      </w:r>
      <w:r w:rsidR="00DB56E2" w:rsidRPr="002A4884">
        <w:t>, overall,</w:t>
      </w:r>
      <w:r w:rsidR="006623EB" w:rsidRPr="002A4884">
        <w:t xml:space="preserve"> likely to be relevant and exogenous</w:t>
      </w:r>
      <w:r w:rsidR="003172DE" w:rsidRPr="002A4884">
        <w:t>.</w:t>
      </w:r>
    </w:p>
    <w:p w14:paraId="255DCE35" w14:textId="08DCE1F2" w:rsidR="00FE71D8" w:rsidRDefault="00373DFD" w:rsidP="00BB17F6">
      <w:r w:rsidRPr="002A4884">
        <w:t xml:space="preserve">In sum, </w:t>
      </w:r>
      <w:r w:rsidR="00DC27DB">
        <w:t xml:space="preserve">from regression </w:t>
      </w:r>
      <w:r w:rsidR="00DC27DB" w:rsidRPr="002A4884">
        <w:fldChar w:fldCharType="begin"/>
      </w:r>
      <w:r w:rsidR="00DC27DB" w:rsidRPr="002A4884">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DC27DB" w:rsidRPr="002A4884">
        <w:fldChar w:fldCharType="end"/>
      </w:r>
      <w:r w:rsidR="00DC27DB">
        <w:t xml:space="preserve">, </w:t>
      </w:r>
      <w:r w:rsidR="0067618D" w:rsidRPr="002A4884">
        <w:t xml:space="preserve">while </w:t>
      </w:r>
      <w:r w:rsidRPr="002A4884">
        <w:t>the</w:t>
      </w:r>
      <w:r w:rsidR="0067618D" w:rsidRPr="002A4884">
        <w:t xml:space="preserve"> estimated HC mortality effect </w:t>
      </w:r>
      <w:r w:rsidR="00402FC2">
        <w:t xml:space="preserve">is likely to </w:t>
      </w:r>
      <w:r w:rsidR="00210168" w:rsidRPr="002A4884">
        <w:t xml:space="preserve">capture </w:t>
      </w:r>
      <w:r w:rsidR="0067618D" w:rsidRPr="002A4884">
        <w:t xml:space="preserve">only the HC </w:t>
      </w:r>
      <w:r w:rsidRPr="002A4884">
        <w:t xml:space="preserve">direct </w:t>
      </w:r>
      <w:r w:rsidR="000907C1">
        <w:t xml:space="preserve">mortality </w:t>
      </w:r>
      <w:r w:rsidRPr="002A4884">
        <w:t>effect</w:t>
      </w:r>
      <w:r w:rsidR="0067618D" w:rsidRPr="002A4884">
        <w:t xml:space="preserve">, the estimated LTC mortality effect </w:t>
      </w:r>
      <w:r w:rsidR="00402FC2">
        <w:t xml:space="preserve">is likely to </w:t>
      </w:r>
      <w:r w:rsidR="0067618D" w:rsidRPr="002A4884">
        <w:t xml:space="preserve">capture both LTC direct and indirect </w:t>
      </w:r>
      <w:r w:rsidR="009E47D1">
        <w:t xml:space="preserve">mortality </w:t>
      </w:r>
      <w:r w:rsidR="0067618D" w:rsidRPr="002A4884">
        <w:t xml:space="preserve">effects. To disentangle LTC direct and indirect </w:t>
      </w:r>
      <w:r w:rsidR="009E47D1">
        <w:t xml:space="preserve">mortality </w:t>
      </w:r>
      <w:r w:rsidR="0067618D" w:rsidRPr="002A4884">
        <w:t xml:space="preserve">effect we </w:t>
      </w:r>
      <w:r w:rsidRPr="002A4884">
        <w:t xml:space="preserve">use regression </w:t>
      </w:r>
      <w:r w:rsidRPr="002A4884">
        <w:fldChar w:fldCharType="begin"/>
      </w:r>
      <w:r w:rsidRPr="002A4884">
        <w:instrText xml:space="preserve"> GOTOBUTTON ZEqnNum133350  \* MERGEFORMAT </w:instrText>
      </w:r>
      <w:fldSimple w:instr=" REF ZEqnNum133350 \* Charformat \! \* MERGEFORMAT ">
        <w:r w:rsidR="007C7B62" w:rsidRPr="002A4884">
          <w:instrText>(</w:instrText>
        </w:r>
        <w:r w:rsidR="007C7B62">
          <w:instrText>20</w:instrText>
        </w:r>
        <w:r w:rsidR="007C7B62" w:rsidRPr="002A4884">
          <w:instrText>)</w:instrText>
        </w:r>
      </w:fldSimple>
      <w:r w:rsidRPr="002A4884">
        <w:fldChar w:fldCharType="end"/>
      </w:r>
      <w:r w:rsidRPr="002A4884">
        <w:t xml:space="preserve"> which controls for </w:t>
      </w:r>
      <w:r w:rsidR="00DC27DB">
        <w:t>the change in the composition of HC expenditure by including the portion of HC expenditure that decreases and increases, respectively, in response to a marginal change in LTC expenditure per user</w:t>
      </w:r>
      <w:r w:rsidR="00D900CD">
        <w:t xml:space="preserve"> (see Section </w:t>
      </w:r>
      <w:r w:rsidR="00D900CD">
        <w:fldChar w:fldCharType="begin"/>
      </w:r>
      <w:r w:rsidR="00D900CD">
        <w:instrText xml:space="preserve"> REF _Ref61529171 \r \h </w:instrText>
      </w:r>
      <w:r w:rsidR="00D900CD">
        <w:fldChar w:fldCharType="separate"/>
      </w:r>
      <w:r w:rsidR="007C7B62">
        <w:t>2.3.2</w:t>
      </w:r>
      <w:r w:rsidR="00D900CD">
        <w:fldChar w:fldCharType="end"/>
      </w:r>
      <w:r w:rsidR="00D900CD">
        <w:t>)</w:t>
      </w:r>
      <w:r w:rsidR="00DC27DB">
        <w:t xml:space="preserve">. We construct these two variables based on our results from </w:t>
      </w:r>
      <w:r w:rsidR="004A13AD">
        <w:t xml:space="preserve">regression </w:t>
      </w:r>
      <w:r w:rsidR="004A13AD">
        <w:fldChar w:fldCharType="begin"/>
      </w:r>
      <w:r w:rsidR="004A13AD">
        <w:instrText xml:space="preserve"> GOTOBUTTON ZEqnNum910952  \* MERGEFORMAT </w:instrText>
      </w:r>
      <w:fldSimple w:instr=" REF ZEqnNum910952 \* Charformat \! \* MERGEFORMAT ">
        <w:r w:rsidR="007C7B62" w:rsidRPr="002A4884">
          <w:instrText>(</w:instrText>
        </w:r>
        <w:r w:rsidR="007C7B62">
          <w:instrText>18</w:instrText>
        </w:r>
        <w:r w:rsidR="007C7B62" w:rsidRPr="002A4884">
          <w:instrText>)</w:instrText>
        </w:r>
      </w:fldSimple>
      <w:r w:rsidR="004A13AD">
        <w:fldChar w:fldCharType="end"/>
      </w:r>
      <w:r w:rsidR="004A13AD">
        <w:t xml:space="preserve"> presented above. </w:t>
      </w:r>
      <w:r w:rsidR="00AA67F2" w:rsidRPr="002A4884">
        <w:t>The portion of HC expenditure that decreas</w:t>
      </w:r>
      <w:r w:rsidR="001A7B54" w:rsidRPr="002A4884">
        <w:t xml:space="preserve">es </w:t>
      </w:r>
      <w:r w:rsidR="00AA67F2" w:rsidRPr="002A4884">
        <w:t xml:space="preserve">as a result of the effect of LTC expenditure </w:t>
      </w:r>
      <w:r w:rsidR="0067618D" w:rsidRPr="002A4884">
        <w:t>(simply</w:t>
      </w:r>
      <w:r w:rsidR="00210168" w:rsidRPr="002A4884">
        <w:t>,</w:t>
      </w:r>
      <w:r w:rsidR="0067618D" w:rsidRPr="002A4884">
        <w:t xml:space="preserve"> decreasing portion of HC expenditure) </w:t>
      </w:r>
      <w:r w:rsidR="00AA67F2" w:rsidRPr="002A4884">
        <w:t>is on average £</w:t>
      </w:r>
      <w:r w:rsidR="00554BA2">
        <w:t>254</w:t>
      </w:r>
      <w:r w:rsidR="00AA67F2" w:rsidRPr="002A4884">
        <w:t xml:space="preserve"> amounting to </w:t>
      </w:r>
      <w:r w:rsidR="0086484C">
        <w:t>20.2%</w:t>
      </w:r>
      <w:r w:rsidR="00AA67F2" w:rsidRPr="002A4884">
        <w:t xml:space="preserve"> of HC expenditure per capita. </w:t>
      </w:r>
      <w:r w:rsidR="00236F40" w:rsidRPr="002A4884">
        <w:t>T</w:t>
      </w:r>
      <w:r w:rsidR="00AA67F2" w:rsidRPr="002A4884">
        <w:t xml:space="preserve">his portion </w:t>
      </w:r>
      <w:r w:rsidR="00236F40" w:rsidRPr="002A4884">
        <w:t xml:space="preserve">includes </w:t>
      </w:r>
      <w:r w:rsidR="00AA67F2" w:rsidRPr="002A4884">
        <w:t xml:space="preserve">expenditure for non-elective admissions </w:t>
      </w:r>
      <w:r w:rsidR="00236F40" w:rsidRPr="002A4884">
        <w:t>(</w:t>
      </w:r>
      <w:r w:rsidR="008746B6">
        <w:t>£186 on average</w:t>
      </w:r>
      <w:r w:rsidR="00236F40" w:rsidRPr="002A4884">
        <w:t xml:space="preserve">), </w:t>
      </w:r>
      <w:r w:rsidR="00AA67F2" w:rsidRPr="002A4884">
        <w:t xml:space="preserve">accident and emergency </w:t>
      </w:r>
      <w:r w:rsidR="00236F40" w:rsidRPr="002A4884">
        <w:t>services (</w:t>
      </w:r>
      <w:r w:rsidR="008746B6">
        <w:t>£33</w:t>
      </w:r>
      <w:r w:rsidR="00236F40" w:rsidRPr="002A4884">
        <w:t>), unbundled diagnostic imaging</w:t>
      </w:r>
      <w:r w:rsidR="0086484C">
        <w:t xml:space="preserve"> for the largest four disease areas</w:t>
      </w:r>
      <w:r w:rsidR="00236F40" w:rsidRPr="002A4884">
        <w:t xml:space="preserve"> (</w:t>
      </w:r>
      <w:r w:rsidR="008746B6">
        <w:t>£4</w:t>
      </w:r>
      <w:r w:rsidR="00236F40" w:rsidRPr="002A4884">
        <w:t>)</w:t>
      </w:r>
      <w:r w:rsidR="0086484C">
        <w:t>,</w:t>
      </w:r>
      <w:r w:rsidR="00236F40" w:rsidRPr="002A4884">
        <w:t xml:space="preserve"> unbundled critical care (</w:t>
      </w:r>
      <w:r w:rsidR="008746B6">
        <w:t>£21</w:t>
      </w:r>
      <w:r w:rsidR="00236F40" w:rsidRPr="002A4884">
        <w:t>)</w:t>
      </w:r>
      <w:r w:rsidR="0086484C">
        <w:t>, and direct access diagnostic imaging (</w:t>
      </w:r>
      <w:r w:rsidR="008746B6">
        <w:t>£9</w:t>
      </w:r>
      <w:r w:rsidR="0086484C">
        <w:t>)</w:t>
      </w:r>
      <w:r w:rsidR="00AA67F2" w:rsidRPr="002A4884">
        <w:t>.</w:t>
      </w:r>
      <w:r w:rsidR="00236F40" w:rsidRPr="002A4884">
        <w:t xml:space="preserve"> The portion of HC expenditure that increases as a result of the effect of LTC expenditure (simply, the growing portion of health care </w:t>
      </w:r>
      <w:r w:rsidR="00E66CF9">
        <w:t>expenditure</w:t>
      </w:r>
      <w:r w:rsidR="00236F40" w:rsidRPr="002A4884">
        <w:t>) is on average £</w:t>
      </w:r>
      <w:r w:rsidR="00554BA2">
        <w:t>61</w:t>
      </w:r>
      <w:r w:rsidR="00236F40" w:rsidRPr="002A4884">
        <w:t xml:space="preserve"> equal to </w:t>
      </w:r>
      <w:r w:rsidR="00554BA2">
        <w:t>4</w:t>
      </w:r>
      <w:r w:rsidR="00236F40" w:rsidRPr="002A4884">
        <w:t xml:space="preserve">.8% of HC expenditure per capita. This </w:t>
      </w:r>
      <w:r w:rsidR="00FD78A8" w:rsidRPr="002A4884">
        <w:t xml:space="preserve">includes </w:t>
      </w:r>
      <w:r w:rsidR="00236F40" w:rsidRPr="002A4884">
        <w:t>expenditure</w:t>
      </w:r>
      <w:r w:rsidR="00FD78A8" w:rsidRPr="002A4884">
        <w:t xml:space="preserve"> </w:t>
      </w:r>
      <w:r w:rsidR="00236F40" w:rsidRPr="002A4884">
        <w:t>for outpatient activity</w:t>
      </w:r>
      <w:r w:rsidR="002B029A">
        <w:t xml:space="preserve"> in the largest four disease areas</w:t>
      </w:r>
      <w:r w:rsidR="00FD78A8" w:rsidRPr="002A4884">
        <w:t xml:space="preserve"> (</w:t>
      </w:r>
      <w:r w:rsidR="008746B6">
        <w:t>£26 on average</w:t>
      </w:r>
      <w:r w:rsidR="00FD78A8" w:rsidRPr="002A4884">
        <w:t>)</w:t>
      </w:r>
      <w:r w:rsidR="00236F40" w:rsidRPr="002A4884">
        <w:t xml:space="preserve">, </w:t>
      </w:r>
      <w:r w:rsidR="00FD78A8" w:rsidRPr="002A4884">
        <w:t>end of life care (</w:t>
      </w:r>
      <w:r w:rsidR="008746B6">
        <w:t>£10</w:t>
      </w:r>
      <w:r w:rsidR="00FD78A8" w:rsidRPr="002A4884">
        <w:t>)</w:t>
      </w:r>
      <w:r w:rsidR="002B029A">
        <w:t xml:space="preserve">, and </w:t>
      </w:r>
      <w:r w:rsidR="002B029A" w:rsidRPr="002A4884">
        <w:t>running the HC service (</w:t>
      </w:r>
      <w:r w:rsidR="008746B6">
        <w:t>£25</w:t>
      </w:r>
      <w:r w:rsidR="002B029A" w:rsidRPr="002A4884">
        <w:t>)</w:t>
      </w:r>
      <w:r w:rsidR="00236F40" w:rsidRPr="002A4884">
        <w:t>.</w:t>
      </w:r>
      <w:r w:rsidR="00C65E81" w:rsidRPr="002A4884">
        <w:t xml:space="preserve"> Finally, the portion of HC expenditure which is not impacted by LTC expenditure </w:t>
      </w:r>
      <w:r w:rsidR="008746B6">
        <w:t xml:space="preserve">is on average £942, i.e. </w:t>
      </w:r>
      <w:r w:rsidR="00C65E81" w:rsidRPr="002A4884">
        <w:t>7</w:t>
      </w:r>
      <w:r w:rsidR="002B029A">
        <w:t>4</w:t>
      </w:r>
      <w:r w:rsidR="00C65E81" w:rsidRPr="002A4884">
        <w:t>.9% of HC expenditure</w:t>
      </w:r>
      <w:r w:rsidR="008746B6">
        <w:t xml:space="preserve"> per capita</w:t>
      </w:r>
      <w:r w:rsidR="00C65E81" w:rsidRPr="002A4884">
        <w:t>.</w:t>
      </w:r>
      <w:r w:rsidR="004A13AD">
        <w:t xml:space="preserve"> Once constructed, the</w:t>
      </w:r>
      <w:r w:rsidR="008746B6">
        <w:t xml:space="preserve"> </w:t>
      </w:r>
      <w:r w:rsidR="008746B6" w:rsidRPr="002A4884">
        <w:t xml:space="preserve">decreasing </w:t>
      </w:r>
      <w:r w:rsidR="008746B6">
        <w:t xml:space="preserve">and growing </w:t>
      </w:r>
      <w:r w:rsidR="008746B6" w:rsidRPr="002A4884">
        <w:t xml:space="preserve">portion of HC expenditure </w:t>
      </w:r>
      <w:r w:rsidR="004A13AD">
        <w:t>are used in</w:t>
      </w:r>
      <w:r w:rsidR="004A13AD" w:rsidRPr="004A13AD">
        <w:t xml:space="preserve"> </w:t>
      </w:r>
      <w:r w:rsidR="004A13AD" w:rsidRPr="002A4884">
        <w:t xml:space="preserve">regression </w:t>
      </w:r>
      <w:r w:rsidR="004A13AD" w:rsidRPr="002A4884">
        <w:fldChar w:fldCharType="begin"/>
      </w:r>
      <w:r w:rsidR="004A13AD" w:rsidRPr="002A4884">
        <w:instrText xml:space="preserve"> GOTOBUTTON ZEqnNum133350  \* MERGEFORMAT </w:instrText>
      </w:r>
      <w:fldSimple w:instr=" REF ZEqnNum133350 \* Charformat \! \* MERGEFORMAT ">
        <w:r w:rsidR="007C7B62" w:rsidRPr="002A4884">
          <w:instrText>(</w:instrText>
        </w:r>
        <w:r w:rsidR="007C7B62">
          <w:instrText>20</w:instrText>
        </w:r>
        <w:r w:rsidR="007C7B62" w:rsidRPr="002A4884">
          <w:instrText>)</w:instrText>
        </w:r>
      </w:fldSimple>
      <w:r w:rsidR="004A13AD" w:rsidRPr="002A4884">
        <w:fldChar w:fldCharType="end"/>
      </w:r>
      <w:r w:rsidR="001366AF">
        <w:t xml:space="preserve"> to control for the change in the </w:t>
      </w:r>
      <w:r w:rsidR="001366AF">
        <w:lastRenderedPageBreak/>
        <w:t>composition of HC expenditure</w:t>
      </w:r>
      <w:r w:rsidR="004A13AD">
        <w:t xml:space="preserve">. This model has three endogenous variables (decreasing and increasing portion of HC expenditure per capita and LTC expenditure </w:t>
      </w:r>
      <w:r w:rsidR="008746B6">
        <w:t xml:space="preserve">per </w:t>
      </w:r>
      <w:r w:rsidR="004A13AD">
        <w:t>user) and the four usual instruments.</w:t>
      </w:r>
      <w:r w:rsidR="001366AF">
        <w:t xml:space="preserve"> </w:t>
      </w:r>
      <w:r w:rsidR="008E1AC6" w:rsidRPr="002A4884">
        <w:fldChar w:fldCharType="begin"/>
      </w:r>
      <w:r w:rsidR="008E1AC6" w:rsidRPr="002A4884">
        <w:instrText xml:space="preserve"> REF _Ref59196629 \h </w:instrText>
      </w:r>
      <w:r w:rsidR="008E1AC6" w:rsidRPr="002A4884">
        <w:fldChar w:fldCharType="separate"/>
      </w:r>
      <w:r w:rsidR="007C7B62" w:rsidRPr="002A4884">
        <w:t xml:space="preserve">Table </w:t>
      </w:r>
      <w:r w:rsidR="007C7B62">
        <w:rPr>
          <w:noProof/>
        </w:rPr>
        <w:t>5</w:t>
      </w:r>
      <w:r w:rsidR="008E1AC6" w:rsidRPr="002A4884">
        <w:fldChar w:fldCharType="end"/>
      </w:r>
      <w:r w:rsidR="008E1AC6" w:rsidRPr="002A4884">
        <w:t xml:space="preserve"> shows t</w:t>
      </w:r>
      <w:r w:rsidR="009B5CAE" w:rsidRPr="002A4884">
        <w:t>he results</w:t>
      </w:r>
      <w:r w:rsidR="00A2674A">
        <w:t>. We find that</w:t>
      </w:r>
      <w:r w:rsidR="00B8027F" w:rsidRPr="002A4884">
        <w:t xml:space="preserve"> once we account for the change in the composition of HC expenditure, </w:t>
      </w:r>
      <w:r w:rsidR="004E397D" w:rsidRPr="002A4884">
        <w:t>the LTC mor</w:t>
      </w:r>
      <w:r w:rsidR="00391D70">
        <w:t>t</w:t>
      </w:r>
      <w:r w:rsidR="004E397D" w:rsidRPr="002A4884">
        <w:t xml:space="preserve">ality </w:t>
      </w:r>
      <w:r w:rsidR="0041726B" w:rsidRPr="002A4884">
        <w:t xml:space="preserve">effect </w:t>
      </w:r>
      <w:r w:rsidR="004E397D" w:rsidRPr="002A4884">
        <w:t xml:space="preserve">is no longer statistically significant. This suggests that the whole </w:t>
      </w:r>
      <w:r w:rsidR="0041726B" w:rsidRPr="002A4884">
        <w:t xml:space="preserve">LTC </w:t>
      </w:r>
      <w:r w:rsidR="004E397D" w:rsidRPr="002A4884">
        <w:t xml:space="preserve">mortality effect </w:t>
      </w:r>
      <w:r w:rsidR="00313687">
        <w:t xml:space="preserve">estimated through </w:t>
      </w:r>
      <w:r w:rsidR="00313687">
        <w:fldChar w:fldCharType="begin"/>
      </w:r>
      <w:r w:rsidR="00313687">
        <w:instrText xml:space="preserve"> GOTOBUTTON ZEqnNum977296  \* MERGEFORMAT </w:instrText>
      </w:r>
      <w:fldSimple w:instr=" REF ZEqnNum977296 \* Charformat \! \* MERGEFORMAT ">
        <w:r w:rsidR="007C7B62" w:rsidRPr="002A4884">
          <w:instrText>(</w:instrText>
        </w:r>
        <w:r w:rsidR="007C7B62">
          <w:instrText>14</w:instrText>
        </w:r>
        <w:r w:rsidR="007C7B62" w:rsidRPr="002A4884">
          <w:instrText>)</w:instrText>
        </w:r>
      </w:fldSimple>
      <w:r w:rsidR="00313687">
        <w:fldChar w:fldCharType="end"/>
      </w:r>
      <w:r w:rsidR="00313687">
        <w:t xml:space="preserve"> </w:t>
      </w:r>
      <w:r w:rsidR="004E397D" w:rsidRPr="002A4884">
        <w:t>is</w:t>
      </w:r>
      <w:r w:rsidR="003728A4">
        <w:t xml:space="preserve"> likely to be</w:t>
      </w:r>
      <w:r w:rsidR="004E397D" w:rsidRPr="002A4884">
        <w:t xml:space="preserve"> indirect.</w:t>
      </w:r>
      <w:r w:rsidR="00A24AD8" w:rsidRPr="002A4884">
        <w:t xml:space="preserve"> In addition, </w:t>
      </w:r>
      <w:r w:rsidR="00313687">
        <w:t xml:space="preserve">we find </w:t>
      </w:r>
      <w:r w:rsidR="00FB1A42" w:rsidRPr="002A4884">
        <w:t xml:space="preserve">that </w:t>
      </w:r>
      <w:r w:rsidR="00421EF3" w:rsidRPr="002A4884">
        <w:t xml:space="preserve">a 1% increase in the growing portion of HC expenditure </w:t>
      </w:r>
      <w:r w:rsidR="00132565">
        <w:t xml:space="preserve">has a </w:t>
      </w:r>
      <w:r w:rsidR="00421EF3" w:rsidRPr="002A4884">
        <w:t xml:space="preserve">statistically significant </w:t>
      </w:r>
      <w:r w:rsidR="00313687">
        <w:t>(at 5%)</w:t>
      </w:r>
      <w:r w:rsidR="00421EF3" w:rsidRPr="002A4884">
        <w:t xml:space="preserve"> mortality</w:t>
      </w:r>
      <w:r w:rsidR="00132565">
        <w:t xml:space="preserve"> effect (</w:t>
      </w:r>
      <w:r w:rsidR="00421EF3" w:rsidRPr="002A4884">
        <w:t>0.</w:t>
      </w:r>
      <w:r w:rsidR="00313687">
        <w:t>16</w:t>
      </w:r>
      <w:r w:rsidR="00421EF3" w:rsidRPr="002A4884">
        <w:t>%</w:t>
      </w:r>
      <w:r w:rsidR="00132565">
        <w:t xml:space="preserve"> reduction)</w:t>
      </w:r>
      <w:r w:rsidR="00313687">
        <w:t>, while there is no statistical effect of the decreasing portion of HC expenditure</w:t>
      </w:r>
      <w:r w:rsidR="00FB1A42" w:rsidRPr="002A4884">
        <w:t xml:space="preserve">. </w:t>
      </w:r>
      <w:r w:rsidR="00DA165F">
        <w:t>T</w:t>
      </w:r>
      <w:r w:rsidR="00BE2B46" w:rsidRPr="002A4884">
        <w:t xml:space="preserve">he first-stage F-statistic is below 10 </w:t>
      </w:r>
      <w:r w:rsidR="00313687">
        <w:t xml:space="preserve">also in this case, but </w:t>
      </w:r>
      <w:r w:rsidR="000700DD">
        <w:t xml:space="preserve">the </w:t>
      </w:r>
      <w:r w:rsidR="001366AF">
        <w:t xml:space="preserve">formal test </w:t>
      </w:r>
      <w:r w:rsidR="000700DD">
        <w:t xml:space="preserve">suggested by </w:t>
      </w:r>
      <w:r w:rsidR="000700DD">
        <w:fldChar w:fldCharType="begin"/>
      </w:r>
      <w:r w:rsidR="00157743">
        <w:instrText xml:space="preserve"> ADDIN EN.CITE &lt;EndNote&gt;&lt;Cite AuthorYear="1"&gt;&lt;Author&gt;Andrews&lt;/Author&gt;&lt;Year&gt;2018&lt;/Year&gt;&lt;RecNum&gt;547&lt;/RecNum&gt;&lt;DisplayText&gt;Andrews (2018)&lt;/DisplayText&gt;&lt;record&gt;&lt;rec-number&gt;547&lt;/rec-number&gt;&lt;foreign-keys&gt;&lt;key app="EN" db-id="r920as25hw5rrve2fa8psvr8e0dxvzxa200s" timestamp="1613143106" guid="f0d00094-2e93-4920-a114-a483d9df1f50"&gt;547&lt;/key&gt;&lt;/foreign-keys&gt;&lt;ref-type name="Journal Article"&gt;17&lt;/ref-type&gt;&lt;contributors&gt;&lt;authors&gt;&lt;author&gt;Andrews, Isaiah&lt;/author&gt;&lt;/authors&gt;&lt;/contributors&gt;&lt;titles&gt;&lt;title&gt;Valid two-step identification-robust confidence sets for GMM&lt;/title&gt;&lt;secondary-title&gt;Review of Economics and Statistics&lt;/secondary-title&gt;&lt;/titles&gt;&lt;periodical&gt;&lt;full-title&gt;Review of Economics and Statistics&lt;/full-title&gt;&lt;/periodical&gt;&lt;pages&gt;337-348&lt;/pages&gt;&lt;volume&gt;100&lt;/volume&gt;&lt;number&gt;2&lt;/number&gt;&lt;dates&gt;&lt;year&gt;2018&lt;/year&gt;&lt;/dates&gt;&lt;isbn&gt;0034-6535&lt;/isbn&gt;&lt;urls&gt;&lt;/urls&gt;&lt;/record&gt;&lt;/Cite&gt;&lt;/EndNote&gt;</w:instrText>
      </w:r>
      <w:r w:rsidR="000700DD">
        <w:fldChar w:fldCharType="separate"/>
      </w:r>
      <w:r w:rsidR="000700DD">
        <w:rPr>
          <w:noProof/>
        </w:rPr>
        <w:t>Andrews (2018)</w:t>
      </w:r>
      <w:r w:rsidR="000700DD">
        <w:fldChar w:fldCharType="end"/>
      </w:r>
      <w:r w:rsidR="000700DD">
        <w:t xml:space="preserve"> </w:t>
      </w:r>
      <w:r w:rsidR="001366AF">
        <w:t>indicates</w:t>
      </w:r>
      <w:r w:rsidR="000700DD">
        <w:t xml:space="preserve"> that our instruments are unlikely to be weak</w:t>
      </w:r>
      <w:r w:rsidR="00313687">
        <w:t xml:space="preserve"> </w:t>
      </w:r>
      <w:r w:rsidR="000700DD">
        <w:t xml:space="preserve">(see </w:t>
      </w:r>
      <w:r w:rsidR="00313687">
        <w:t xml:space="preserve">Section </w:t>
      </w:r>
      <w:r w:rsidR="000700DD">
        <w:t>A</w:t>
      </w:r>
      <w:r w:rsidR="001366AF">
        <w:t>4</w:t>
      </w:r>
      <w:r w:rsidR="00313687">
        <w:t xml:space="preserve"> of the Appendix</w:t>
      </w:r>
      <w:r w:rsidR="000700DD">
        <w:t xml:space="preserve"> for more details)</w:t>
      </w:r>
      <w:r w:rsidR="005D373D">
        <w:t>.</w:t>
      </w:r>
    </w:p>
    <w:p w14:paraId="5A54E0EE" w14:textId="31AF5B07" w:rsidR="00D501C1" w:rsidRDefault="0034760E" w:rsidP="00042041">
      <w:pPr>
        <w:pStyle w:val="Heading2"/>
      </w:pPr>
      <w:r>
        <w:t>D</w:t>
      </w:r>
      <w:r w:rsidR="00E5666A">
        <w:t>irect and indirect</w:t>
      </w:r>
      <w:r w:rsidR="00D501C1">
        <w:t xml:space="preserve"> </w:t>
      </w:r>
      <w:r w:rsidR="00147B8E">
        <w:t xml:space="preserve">effects on </w:t>
      </w:r>
      <w:r w:rsidR="00417120">
        <w:t>mortality</w:t>
      </w:r>
    </w:p>
    <w:p w14:paraId="77D88B6E" w14:textId="3D2E8BC1" w:rsidR="00DC034F" w:rsidRDefault="00DB469A" w:rsidP="00BB17F6">
      <w:r>
        <w:t>The results discussed above</w:t>
      </w:r>
      <w:r w:rsidR="00B025AC">
        <w:t xml:space="preserve"> are summarised in</w:t>
      </w:r>
      <w:r w:rsidR="00AE3B7D">
        <w:t xml:space="preserve"> </w:t>
      </w:r>
      <w:r w:rsidR="00AE3B7D">
        <w:fldChar w:fldCharType="begin"/>
      </w:r>
      <w:r w:rsidR="00AE3B7D">
        <w:instrText xml:space="preserve"> REF _Ref93677654 \h </w:instrText>
      </w:r>
      <w:r w:rsidR="00AE3B7D">
        <w:fldChar w:fldCharType="separate"/>
      </w:r>
      <w:r w:rsidR="007C7B62" w:rsidRPr="002A4884">
        <w:t xml:space="preserve">Table </w:t>
      </w:r>
      <w:r w:rsidR="007C7B62">
        <w:rPr>
          <w:noProof/>
        </w:rPr>
        <w:t>6</w:t>
      </w:r>
      <w:r w:rsidR="00AE3B7D">
        <w:fldChar w:fldCharType="end"/>
      </w:r>
      <w:r w:rsidR="00B025AC">
        <w:t xml:space="preserve">. They </w:t>
      </w:r>
      <w:r>
        <w:t xml:space="preserve">suggest that </w:t>
      </w:r>
      <w:r w:rsidR="00D54659">
        <w:t xml:space="preserve">LTC expenditure is likely to have an indirect mortality effect only, whereas </w:t>
      </w:r>
      <w:r>
        <w:t xml:space="preserve">HC expenditure may have both direct and indirect mortality effects. This Section provides some back-of-the-envelope calculations to quantify these potential effects. </w:t>
      </w:r>
      <w:r w:rsidR="00B07A45">
        <w:t xml:space="preserve">Our findings suggest </w:t>
      </w:r>
      <w:r w:rsidR="00B91B40">
        <w:t xml:space="preserve">that </w:t>
      </w:r>
      <w:r w:rsidR="00B07A45">
        <w:t xml:space="preserve">an </w:t>
      </w:r>
      <w:r w:rsidR="00D54659" w:rsidRPr="002A4884">
        <w:t>increas</w:t>
      </w:r>
      <w:r w:rsidR="00B07A45">
        <w:t xml:space="preserve">e </w:t>
      </w:r>
      <w:r w:rsidR="00D54659">
        <w:t xml:space="preserve">in </w:t>
      </w:r>
      <w:r w:rsidR="00B07A45">
        <w:t xml:space="preserve">LTC </w:t>
      </w:r>
      <w:r w:rsidR="00D54659" w:rsidRPr="002A4884">
        <w:t>expenditure by 10%, i.e. by £863 (=</w:t>
      </w:r>
      <w:r w:rsidR="002B4C2A">
        <w:t xml:space="preserve"> </w:t>
      </w:r>
      <w:r w:rsidR="00D54659" w:rsidRPr="002A4884">
        <w:t xml:space="preserve">£8,633 </w:t>
      </w:r>
      <w:r w:rsidR="00D54659" w:rsidRPr="002A4884">
        <w:rPr>
          <w:rFonts w:cstheme="minorHAnsi"/>
        </w:rPr>
        <w:t>x 10%</w:t>
      </w:r>
      <w:r w:rsidR="00D54659" w:rsidRPr="002A4884">
        <w:t>)</w:t>
      </w:r>
      <w:r w:rsidR="00D54659">
        <w:t xml:space="preserve">, </w:t>
      </w:r>
      <w:r w:rsidR="00D54659" w:rsidRPr="002A4884">
        <w:t xml:space="preserve">can </w:t>
      </w:r>
      <w:r w:rsidR="00D54659" w:rsidRPr="002B4C2A">
        <w:rPr>
          <w:i/>
        </w:rPr>
        <w:t>indirectly</w:t>
      </w:r>
      <w:r w:rsidR="00D54659" w:rsidRPr="002A4884">
        <w:t xml:space="preserve"> save more than 3 lives per million individuals</w:t>
      </w:r>
      <w:r w:rsidR="00D54659">
        <w:t xml:space="preserve"> </w:t>
      </w:r>
      <w:r w:rsidR="00D54659" w:rsidRPr="002A4884">
        <w:t>(=</w:t>
      </w:r>
      <w:r w:rsidR="002B4C2A">
        <w:t xml:space="preserve"> </w:t>
      </w:r>
      <w:r w:rsidR="00D54659" w:rsidRPr="002A4884">
        <w:t xml:space="preserve">1,010 deaths per million individuals </w:t>
      </w:r>
      <w:r w:rsidR="00D54659" w:rsidRPr="002A4884">
        <w:rPr>
          <w:rFonts w:cstheme="minorHAnsi"/>
        </w:rPr>
        <w:t>x -0.03</w:t>
      </w:r>
      <w:r w:rsidR="00D54659">
        <w:rPr>
          <w:rFonts w:cstheme="minorHAnsi"/>
        </w:rPr>
        <w:t>2</w:t>
      </w:r>
      <w:r w:rsidR="00D54659" w:rsidRPr="002A4884">
        <w:rPr>
          <w:rFonts w:cstheme="minorHAnsi"/>
        </w:rPr>
        <w:t>% x 10</w:t>
      </w:r>
      <w:r w:rsidR="00D54659" w:rsidRPr="002A4884">
        <w:t>)</w:t>
      </w:r>
      <w:r w:rsidR="00B07A45">
        <w:t xml:space="preserve"> in the average LA</w:t>
      </w:r>
      <w:r w:rsidR="00D54659">
        <w:t>.</w:t>
      </w:r>
    </w:p>
    <w:p w14:paraId="77991FB3" w14:textId="7318C388" w:rsidR="00D501C1" w:rsidRDefault="00521D02" w:rsidP="008E35F5">
      <w:r>
        <w:t xml:space="preserve">In </w:t>
      </w:r>
      <w:r w:rsidR="00DB469A">
        <w:t>the HC</w:t>
      </w:r>
      <w:r w:rsidR="002B4C2A">
        <w:t xml:space="preserve"> sector, our estimate of the </w:t>
      </w:r>
      <w:r w:rsidR="00DB469A">
        <w:t>direct mortality effect suggests that by increasing HC expenditure by</w:t>
      </w:r>
      <w:r w:rsidR="002B4C2A">
        <w:t xml:space="preserve"> 10%, i.e.</w:t>
      </w:r>
      <w:r w:rsidR="00DB469A">
        <w:t xml:space="preserve"> </w:t>
      </w:r>
      <w:r>
        <w:t xml:space="preserve">by </w:t>
      </w:r>
      <w:r w:rsidR="00DB469A">
        <w:t>£126</w:t>
      </w:r>
      <w:r w:rsidR="007816AC">
        <w:t xml:space="preserve"> (= £1,257 </w:t>
      </w:r>
      <w:r w:rsidR="007816AC" w:rsidRPr="002A4884">
        <w:rPr>
          <w:rFonts w:cstheme="minorHAnsi"/>
        </w:rPr>
        <w:t>x</w:t>
      </w:r>
      <w:r w:rsidR="007816AC">
        <w:rPr>
          <w:rFonts w:cstheme="minorHAnsi"/>
        </w:rPr>
        <w:t xml:space="preserve"> 10%</w:t>
      </w:r>
      <w:r w:rsidR="007816AC">
        <w:t xml:space="preserve">), </w:t>
      </w:r>
      <w:r w:rsidR="00DB469A">
        <w:t xml:space="preserve">26 lives </w:t>
      </w:r>
      <w:r w:rsidR="007816AC">
        <w:t xml:space="preserve">per million (= 1,010 deaths per million </w:t>
      </w:r>
      <w:r w:rsidR="007816AC" w:rsidRPr="002A4884">
        <w:rPr>
          <w:rFonts w:cstheme="minorHAnsi"/>
        </w:rPr>
        <w:t>x -0.</w:t>
      </w:r>
      <w:r w:rsidR="007816AC">
        <w:rPr>
          <w:rFonts w:cstheme="minorHAnsi"/>
        </w:rPr>
        <w:t>257</w:t>
      </w:r>
      <w:r w:rsidR="007816AC" w:rsidRPr="002A4884">
        <w:rPr>
          <w:rFonts w:cstheme="minorHAnsi"/>
        </w:rPr>
        <w:t>% x 10</w:t>
      </w:r>
      <w:r w:rsidR="007816AC">
        <w:t>)</w:t>
      </w:r>
      <w:r w:rsidR="00FF0D9F">
        <w:t xml:space="preserve"> can be saved in the average LA</w:t>
      </w:r>
      <w:r w:rsidR="007816AC">
        <w:t xml:space="preserve">. </w:t>
      </w:r>
      <w:r w:rsidR="0025565E">
        <w:t>Moreover, o</w:t>
      </w:r>
      <w:r w:rsidR="006C52B4">
        <w:t xml:space="preserve">ur </w:t>
      </w:r>
      <w:r w:rsidR="00A03145">
        <w:t>results</w:t>
      </w:r>
      <w:r w:rsidR="006C52B4">
        <w:t xml:space="preserve"> suggest that an </w:t>
      </w:r>
      <w:r w:rsidR="008E35F5">
        <w:t>HC indirect mortality effect</w:t>
      </w:r>
      <w:r w:rsidR="006C52B4">
        <w:t xml:space="preserve"> is unlikely to exist because, as </w:t>
      </w:r>
      <w:r w:rsidR="008E35F5">
        <w:t xml:space="preserve">LTC </w:t>
      </w:r>
      <w:r w:rsidR="006C52B4">
        <w:t>has no direct effect</w:t>
      </w:r>
      <w:r w:rsidR="008E35F5">
        <w:t xml:space="preserve"> on mortality</w:t>
      </w:r>
      <w:r w:rsidR="006C52B4">
        <w:t>,</w:t>
      </w:r>
      <w:r w:rsidR="008E35F5">
        <w:t xml:space="preserve"> the sub-categories of LTC expenditure are also unlikely to </w:t>
      </w:r>
      <w:r w:rsidR="006C52B4">
        <w:t>have a direct mortality effect</w:t>
      </w:r>
      <w:r w:rsidR="008E35F5">
        <w:t xml:space="preserve">. However, </w:t>
      </w:r>
      <w:r w:rsidR="00DC034F">
        <w:t>w</w:t>
      </w:r>
      <w:r w:rsidR="00365BDA">
        <w:t xml:space="preserve">e find that </w:t>
      </w:r>
      <w:r w:rsidR="00065BA4">
        <w:t xml:space="preserve">an increase in HC expenditure leads to lower LTC expenditure: </w:t>
      </w:r>
      <w:r w:rsidR="00365BDA" w:rsidRPr="00365BDA">
        <w:t>for every additional £126 per capita (=£1,257 x 10%) spent in HC services, the average LA can save £524 per user (=£8,633 x -0.607% x 10).</w:t>
      </w:r>
      <w:r w:rsidR="00DC034F">
        <w:t xml:space="preserve"> </w:t>
      </w:r>
      <w:r w:rsidR="00DC034F" w:rsidRPr="00365BDA">
        <w:t>In other words, investing an extra £42m (=£126 per capita x 333,083 people) generates savings for about £7.8m (=£524 per user x 14,885 users)</w:t>
      </w:r>
      <w:r w:rsidR="00DC034F">
        <w:t xml:space="preserve">. </w:t>
      </w:r>
      <w:r w:rsidR="008E35F5">
        <w:t>T</w:t>
      </w:r>
      <w:r w:rsidR="00365BDA">
        <w:t>h</w:t>
      </w:r>
      <w:r w:rsidR="002B4C2A">
        <w:t>e</w:t>
      </w:r>
      <w:r w:rsidR="008E35F5">
        <w:t>se</w:t>
      </w:r>
      <w:r w:rsidR="00DC034F">
        <w:t xml:space="preserve"> </w:t>
      </w:r>
      <w:r w:rsidR="00365BDA">
        <w:t>saving</w:t>
      </w:r>
      <w:r w:rsidR="002B4C2A">
        <w:t>s may</w:t>
      </w:r>
      <w:r w:rsidR="00365BDA">
        <w:t xml:space="preserve"> translate in </w:t>
      </w:r>
      <w:r w:rsidR="002065F8">
        <w:t xml:space="preserve">further </w:t>
      </w:r>
      <w:r w:rsidR="00680542">
        <w:t xml:space="preserve">mortality effects </w:t>
      </w:r>
      <w:r w:rsidR="00365BDA">
        <w:t>depend</w:t>
      </w:r>
      <w:r w:rsidR="002B4C2A">
        <w:t>ing</w:t>
      </w:r>
      <w:r w:rsidR="00C7705B">
        <w:t xml:space="preserve"> on</w:t>
      </w:r>
      <w:r w:rsidR="002B4C2A">
        <w:t xml:space="preserve"> </w:t>
      </w:r>
      <w:r w:rsidR="00365BDA">
        <w:t>LAs</w:t>
      </w:r>
      <w:r w:rsidR="002B4C2A">
        <w:t xml:space="preserve">’ </w:t>
      </w:r>
      <w:r w:rsidR="005E3186">
        <w:t xml:space="preserve">future </w:t>
      </w:r>
      <w:r w:rsidR="002B4C2A">
        <w:t>spending decisions</w:t>
      </w:r>
      <w:r w:rsidR="00365BDA">
        <w:t xml:space="preserve">. If spent on LTC services, </w:t>
      </w:r>
      <w:r w:rsidR="002B4C2A">
        <w:t xml:space="preserve">savings </w:t>
      </w:r>
      <w:r w:rsidR="00365BDA">
        <w:t xml:space="preserve">may favour the HC sector via the LTC indirect </w:t>
      </w:r>
      <w:r w:rsidR="009B5473">
        <w:t xml:space="preserve">mortality </w:t>
      </w:r>
      <w:r w:rsidR="00365BDA">
        <w:t xml:space="preserve">effect. On the other hand, it is unclear whether investing savings on other LA services </w:t>
      </w:r>
      <w:r w:rsidR="00365BDA" w:rsidRPr="002A4884">
        <w:t>(e.g. children</w:t>
      </w:r>
      <w:r w:rsidR="00C96DD5">
        <w:t xml:space="preserve"> </w:t>
      </w:r>
      <w:r w:rsidR="00365BDA" w:rsidRPr="002A4884">
        <w:t>s</w:t>
      </w:r>
      <w:r w:rsidR="00C96DD5">
        <w:t>ervices,</w:t>
      </w:r>
      <w:r w:rsidR="00365BDA" w:rsidRPr="002A4884">
        <w:t xml:space="preserve"> housing services)</w:t>
      </w:r>
      <w:r w:rsidR="00365BDA">
        <w:t xml:space="preserve"> </w:t>
      </w:r>
      <w:r w:rsidR="00365BDA" w:rsidRPr="002A4884">
        <w:t xml:space="preserve">may yield </w:t>
      </w:r>
      <w:r w:rsidR="008E35F5">
        <w:t xml:space="preserve">further </w:t>
      </w:r>
      <w:r w:rsidR="00B520F0">
        <w:t xml:space="preserve">mortality </w:t>
      </w:r>
      <w:r w:rsidR="00365BDA" w:rsidRPr="002A4884">
        <w:t>effect</w:t>
      </w:r>
      <w:r w:rsidR="008E35F5">
        <w:t>s</w:t>
      </w:r>
      <w:r w:rsidR="00365BDA">
        <w:t xml:space="preserve">: mortality effects </w:t>
      </w:r>
      <w:r w:rsidR="00365BDA" w:rsidRPr="002A4884">
        <w:t xml:space="preserve">of </w:t>
      </w:r>
      <w:r w:rsidR="00365BDA">
        <w:t xml:space="preserve">these </w:t>
      </w:r>
      <w:r w:rsidR="00365BDA" w:rsidRPr="002A4884">
        <w:t xml:space="preserve">other LA services are </w:t>
      </w:r>
      <w:r w:rsidR="002E53AB" w:rsidRPr="002A4884">
        <w:t>unexplored</w:t>
      </w:r>
      <w:r w:rsidR="00365BDA" w:rsidRPr="002A4884">
        <w:t>.</w:t>
      </w:r>
    </w:p>
    <w:p w14:paraId="1ED94915" w14:textId="3EC98492" w:rsidR="005B6F22" w:rsidRPr="002A4884" w:rsidRDefault="005B6F22" w:rsidP="00B61874">
      <w:pPr>
        <w:pStyle w:val="Heading1"/>
      </w:pPr>
      <w:bookmarkStart w:id="31" w:name="_Ref61875833"/>
      <w:r w:rsidRPr="002A4884">
        <w:t>Discussion</w:t>
      </w:r>
      <w:r w:rsidR="00B61874" w:rsidRPr="002A4884">
        <w:t xml:space="preserve"> and conclusions</w:t>
      </w:r>
      <w:bookmarkEnd w:id="31"/>
    </w:p>
    <w:p w14:paraId="48A3C0E1" w14:textId="6F869A32" w:rsidR="00DD50D1" w:rsidRDefault="00B61874" w:rsidP="00DD50D1">
      <w:r w:rsidRPr="002A4884">
        <w:t xml:space="preserve">This paper investigates whether interactions between the HC and LTC sector in England </w:t>
      </w:r>
      <w:r w:rsidR="00A8739B" w:rsidRPr="002A4884">
        <w:t xml:space="preserve">impact </w:t>
      </w:r>
      <w:r w:rsidRPr="002A4884">
        <w:t xml:space="preserve">mortality. </w:t>
      </w:r>
      <w:r w:rsidR="00CC0DFF" w:rsidRPr="002A4884">
        <w:t xml:space="preserve">Interactions </w:t>
      </w:r>
      <w:r w:rsidR="00A24AD8" w:rsidRPr="002A4884">
        <w:t xml:space="preserve">between these two sectors imply that expenditure decisions in one sector may have consequences on services in the other sector and, through the latter, on mortality. Our findings indicate that </w:t>
      </w:r>
      <w:r w:rsidR="00C53AC2" w:rsidRPr="002A4884">
        <w:t>any</w:t>
      </w:r>
      <w:r w:rsidR="00800288" w:rsidRPr="002A4884">
        <w:t xml:space="preserve"> LTC mortality </w:t>
      </w:r>
      <w:r w:rsidR="00A24AD8" w:rsidRPr="002A4884">
        <w:t xml:space="preserve">effect </w:t>
      </w:r>
      <w:r w:rsidR="00800288" w:rsidRPr="002A4884">
        <w:t xml:space="preserve">may run </w:t>
      </w:r>
      <w:r w:rsidR="00A24AD8" w:rsidRPr="002A4884">
        <w:t>through the HC sector. This is because</w:t>
      </w:r>
      <w:r w:rsidR="00F64C49" w:rsidRPr="002A4884">
        <w:t xml:space="preserve"> the LTC sector </w:t>
      </w:r>
      <w:r w:rsidR="00800288" w:rsidRPr="002A4884">
        <w:t xml:space="preserve">may </w:t>
      </w:r>
      <w:r w:rsidR="00A84976" w:rsidRPr="002A4884">
        <w:t>prevent</w:t>
      </w:r>
      <w:r w:rsidR="00F64C49" w:rsidRPr="002A4884">
        <w:t xml:space="preserve"> the use of </w:t>
      </w:r>
      <w:r w:rsidR="00042041">
        <w:t>emergency</w:t>
      </w:r>
      <w:r w:rsidR="00042041" w:rsidRPr="002A4884">
        <w:t xml:space="preserve"> </w:t>
      </w:r>
      <w:r w:rsidR="00F64C49" w:rsidRPr="002A4884">
        <w:t xml:space="preserve">services </w:t>
      </w:r>
      <w:r w:rsidR="00082AD1">
        <w:t>and</w:t>
      </w:r>
      <w:r w:rsidR="00B9386D">
        <w:t xml:space="preserve"> which </w:t>
      </w:r>
      <w:r w:rsidR="00082AD1">
        <w:t>potentially</w:t>
      </w:r>
      <w:r w:rsidR="00B9386D">
        <w:t xml:space="preserve"> have </w:t>
      </w:r>
      <w:r w:rsidR="00F64C49" w:rsidRPr="002A4884">
        <w:t>little or no effect on mortality enabling the HC sector to shift resources towards more effective</w:t>
      </w:r>
      <w:r w:rsidR="00020D3C">
        <w:t xml:space="preserve"> </w:t>
      </w:r>
      <w:r w:rsidR="00F64C49" w:rsidRPr="002A4884">
        <w:t>services</w:t>
      </w:r>
      <w:r w:rsidR="00082AD1">
        <w:t xml:space="preserve"> (e.g. outpatient activity)</w:t>
      </w:r>
      <w:r w:rsidR="00F64C49" w:rsidRPr="002A4884">
        <w:t xml:space="preserve">. </w:t>
      </w:r>
      <w:r w:rsidR="00186587" w:rsidRPr="002A4884">
        <w:t>T</w:t>
      </w:r>
      <w:r w:rsidR="00A17B91" w:rsidRPr="002A4884">
        <w:t xml:space="preserve">hrough this mechanism, the average LA can </w:t>
      </w:r>
      <w:r w:rsidR="00D8162D" w:rsidRPr="002A4884">
        <w:t xml:space="preserve">indirectly </w:t>
      </w:r>
      <w:r w:rsidR="00A17B91" w:rsidRPr="002A4884">
        <w:t>save</w:t>
      </w:r>
      <w:r w:rsidR="00D76255" w:rsidRPr="002A4884">
        <w:t xml:space="preserve"> on average</w:t>
      </w:r>
      <w:r w:rsidR="00A17B91" w:rsidRPr="002A4884">
        <w:t xml:space="preserve"> more than 3 lives per million individuals </w:t>
      </w:r>
      <w:r w:rsidR="00042041">
        <w:t>by</w:t>
      </w:r>
      <w:r w:rsidR="0065597A" w:rsidRPr="002A4884">
        <w:t xml:space="preserve"> increas</w:t>
      </w:r>
      <w:r w:rsidR="00042041">
        <w:t>ing</w:t>
      </w:r>
      <w:r w:rsidR="0065597A" w:rsidRPr="002A4884">
        <w:t xml:space="preserve"> </w:t>
      </w:r>
      <w:r w:rsidR="00A56D6A" w:rsidRPr="002A4884">
        <w:t xml:space="preserve">LTC expenditure per user </w:t>
      </w:r>
      <w:r w:rsidR="00A17B91" w:rsidRPr="002A4884">
        <w:t>by £863.</w:t>
      </w:r>
      <w:r w:rsidR="00B9386D">
        <w:t xml:space="preserve"> The absence of a </w:t>
      </w:r>
      <w:r w:rsidR="00382948">
        <w:t xml:space="preserve">LTC </w:t>
      </w:r>
      <w:r w:rsidR="00B9386D">
        <w:t xml:space="preserve">direct mortality effect may not be surprising since the primary goal of LTC is to improve quality rather than length of life </w:t>
      </w:r>
      <w:r w:rsidR="00B9386D">
        <w:fldChar w:fldCharType="begin"/>
      </w:r>
      <w:r w:rsidR="00F472F8">
        <w:instrText xml:space="preserve"> ADDIN EN.CITE &lt;EndNote&gt;&lt;Cite&gt;&lt;Author&gt;Fernandez&lt;/Author&gt;&lt;Year&gt;2011&lt;/Year&gt;&lt;RecNum&gt;94&lt;/RecNum&gt;&lt;DisplayText&gt;(Fernandez et al., 2011)&lt;/DisplayText&gt;&lt;record&gt;&lt;rec-number&gt;94&lt;/rec-number&gt;&lt;foreign-keys&gt;&lt;key app="EN" db-id="r920as25hw5rrve2fa8psvr8e0dxvzxa200s" timestamp="1594221033" guid="0fcd62ae-6869-4451-99ab-164120907a51"&gt;94&lt;/key&gt;&lt;/foreign-keys&gt;&lt;ref-type name="Book Section"&gt;5&lt;/ref-type&gt;&lt;contributors&gt;&lt;authors&gt;&lt;author&gt;Fernandez, Jose-Luis&lt;/author&gt;&lt;author&gt;Forder, Julien&lt;/author&gt;&lt;author&gt;Knapp, Martin&lt;/author&gt;&lt;/authors&gt;&lt;/contributors&gt;&lt;titles&gt;&lt;title&gt;Long-term care&lt;/title&gt;&lt;secondary-title&gt;The Oxford handbook of health economics&lt;/secondary-title&gt;&lt;/titles&gt;&lt;dates&gt;&lt;year&gt;2011&lt;/year&gt;&lt;/dates&gt;&lt;urls&gt;&lt;/urls&gt;&lt;/record&gt;&lt;/Cite&gt;&lt;/EndNote&gt;</w:instrText>
      </w:r>
      <w:r w:rsidR="00B9386D">
        <w:fldChar w:fldCharType="separate"/>
      </w:r>
      <w:r w:rsidR="00B9386D">
        <w:rPr>
          <w:noProof/>
        </w:rPr>
        <w:t>(Fernandez et al., 2011)</w:t>
      </w:r>
      <w:r w:rsidR="00B9386D">
        <w:fldChar w:fldCharType="end"/>
      </w:r>
      <w:r w:rsidR="00B9386D">
        <w:t>.</w:t>
      </w:r>
      <w:r w:rsidR="00E52CB1">
        <w:t xml:space="preserve"> </w:t>
      </w:r>
      <w:r w:rsidR="000D0ECD">
        <w:t>The</w:t>
      </w:r>
      <w:r w:rsidR="006344FD">
        <w:t xml:space="preserve"> e</w:t>
      </w:r>
      <w:r w:rsidR="000D0ECD">
        <w:t>s</w:t>
      </w:r>
      <w:r w:rsidR="006344FD">
        <w:t xml:space="preserve">timated </w:t>
      </w:r>
      <w:r w:rsidR="000D0ECD">
        <w:t>LTC mortality effect</w:t>
      </w:r>
      <w:r w:rsidR="00DF08C6">
        <w:t xml:space="preserve"> i</w:t>
      </w:r>
      <w:r w:rsidR="000D0ECD">
        <w:t xml:space="preserve">s likely to be net of the mortality </w:t>
      </w:r>
      <w:r w:rsidR="000D0ECD">
        <w:lastRenderedPageBreak/>
        <w:t xml:space="preserve">effects of privately funded LTC and informal care </w:t>
      </w:r>
      <w:r w:rsidR="00DF08C6">
        <w:t xml:space="preserve">as these are likely to have a </w:t>
      </w:r>
      <w:r w:rsidR="000D0ECD">
        <w:t xml:space="preserve">substitution relationship </w:t>
      </w:r>
      <w:r w:rsidR="00DF08C6">
        <w:t xml:space="preserve">with </w:t>
      </w:r>
      <w:r w:rsidR="000D0ECD">
        <w:t>publicly funded LTC.</w:t>
      </w:r>
      <w:r w:rsidR="006344FD">
        <w:t xml:space="preserve"> </w:t>
      </w:r>
      <w:r w:rsidR="00D76255" w:rsidRPr="002A4884">
        <w:t>In addition, our results suggest that</w:t>
      </w:r>
      <w:r w:rsidR="00C42909">
        <w:t xml:space="preserve"> only a </w:t>
      </w:r>
      <w:r w:rsidR="00382948">
        <w:t xml:space="preserve">HC direct </w:t>
      </w:r>
      <w:r w:rsidR="002133A3">
        <w:t xml:space="preserve">mortality </w:t>
      </w:r>
      <w:r w:rsidR="00382948">
        <w:t>effect</w:t>
      </w:r>
      <w:r w:rsidR="00C42909">
        <w:t xml:space="preserve"> is likely to exist. However</w:t>
      </w:r>
      <w:r w:rsidR="00382948">
        <w:t>,</w:t>
      </w:r>
      <w:r w:rsidR="00D76255" w:rsidRPr="002A4884">
        <w:t xml:space="preserve"> </w:t>
      </w:r>
      <w:r w:rsidR="00C42909">
        <w:t xml:space="preserve">an </w:t>
      </w:r>
      <w:r w:rsidR="00C42909" w:rsidRPr="002A4884">
        <w:t>additional £</w:t>
      </w:r>
      <w:r w:rsidR="00C42909">
        <w:t>42m</w:t>
      </w:r>
      <w:r w:rsidR="00C42909" w:rsidRPr="002A4884">
        <w:t xml:space="preserve"> spent in HC services</w:t>
      </w:r>
      <w:r w:rsidR="00C42909">
        <w:t xml:space="preserve"> is estimated to produce £7.8m of savings in the LTC sector. </w:t>
      </w:r>
      <w:r w:rsidR="00C67EB5">
        <w:t>These savings are likely to reflect a reduction in demand for LTC services</w:t>
      </w:r>
      <w:r w:rsidR="00D44981">
        <w:t xml:space="preserve">: </w:t>
      </w:r>
      <w:r w:rsidR="00341A3E">
        <w:t>by meeting health needs</w:t>
      </w:r>
      <w:r w:rsidR="00BE3E40">
        <w:t>,</w:t>
      </w:r>
      <w:r w:rsidR="00341A3E">
        <w:t xml:space="preserve"> </w:t>
      </w:r>
      <w:r w:rsidR="00D44981">
        <w:t xml:space="preserve">the additional HC services </w:t>
      </w:r>
      <w:r w:rsidR="00341A3E">
        <w:t>also address</w:t>
      </w:r>
      <w:r w:rsidR="00C67EB5">
        <w:t xml:space="preserve"> </w:t>
      </w:r>
      <w:r w:rsidR="000F44F4">
        <w:t xml:space="preserve">or prevent </w:t>
      </w:r>
      <w:r w:rsidR="00D44981">
        <w:t>care needs</w:t>
      </w:r>
      <w:r w:rsidR="00C67EB5">
        <w:t xml:space="preserve">. </w:t>
      </w:r>
      <w:r w:rsidR="00D44981">
        <w:t>T</w:t>
      </w:r>
      <w:r w:rsidR="00281FC8">
        <w:t xml:space="preserve">herefore, </w:t>
      </w:r>
      <w:r w:rsidR="009D071D">
        <w:t xml:space="preserve">in this case, </w:t>
      </w:r>
      <w:r w:rsidR="00D44981">
        <w:t xml:space="preserve">savings </w:t>
      </w:r>
      <w:r w:rsidR="009D071D">
        <w:t xml:space="preserve">are likely to </w:t>
      </w:r>
      <w:r w:rsidR="00D44981">
        <w:t xml:space="preserve">come with no health loss </w:t>
      </w:r>
      <w:r w:rsidR="00355A75">
        <w:t xml:space="preserve">due to </w:t>
      </w:r>
      <w:r w:rsidR="00D44981">
        <w:t>the LTC indirect mortality effect.</w:t>
      </w:r>
      <w:r w:rsidR="00E7701A">
        <w:t xml:space="preserve"> A health loss </w:t>
      </w:r>
      <w:r w:rsidR="00BE3E40">
        <w:t>via th</w:t>
      </w:r>
      <w:r w:rsidR="005A2B93">
        <w:t xml:space="preserve">e indirect effect </w:t>
      </w:r>
      <w:r w:rsidR="000F44F4">
        <w:t>would</w:t>
      </w:r>
      <w:r w:rsidR="00E7701A">
        <w:t xml:space="preserve"> exist </w:t>
      </w:r>
      <w:r w:rsidR="00341A3E">
        <w:t xml:space="preserve">only </w:t>
      </w:r>
      <w:r w:rsidR="00E7701A">
        <w:t xml:space="preserve">if </w:t>
      </w:r>
      <w:r w:rsidR="00355A75">
        <w:t xml:space="preserve">the additional HC services were, at least in part, funded by displacing </w:t>
      </w:r>
      <w:r w:rsidR="00E7701A">
        <w:t xml:space="preserve">LTC </w:t>
      </w:r>
      <w:r w:rsidR="00355A75">
        <w:t>services</w:t>
      </w:r>
      <w:r w:rsidR="00341A3E">
        <w:t>.</w:t>
      </w:r>
      <w:r w:rsidR="000F44F4" w:rsidRPr="000F44F4">
        <w:t xml:space="preserve"> </w:t>
      </w:r>
      <w:r w:rsidR="000F44F4">
        <w:t>This is because, f</w:t>
      </w:r>
      <w:r w:rsidR="000F44F4" w:rsidRPr="000F44F4">
        <w:t xml:space="preserve">or example, </w:t>
      </w:r>
      <w:r w:rsidR="000F44F4">
        <w:t xml:space="preserve">displacing </w:t>
      </w:r>
      <w:r w:rsidR="000F44F4" w:rsidRPr="000F44F4">
        <w:t xml:space="preserve">LTC services might increase demand </w:t>
      </w:r>
      <w:r w:rsidR="00F614A6">
        <w:t>in</w:t>
      </w:r>
      <w:r w:rsidR="000F44F4" w:rsidRPr="000F44F4">
        <w:t xml:space="preserve"> emergency </w:t>
      </w:r>
      <w:r w:rsidR="00F614A6">
        <w:t xml:space="preserve">departments </w:t>
      </w:r>
      <w:r w:rsidR="000F44F4" w:rsidRPr="000F44F4">
        <w:t>lead</w:t>
      </w:r>
      <w:r w:rsidR="000F44F4">
        <w:t>ing</w:t>
      </w:r>
      <w:r w:rsidR="000F44F4" w:rsidRPr="000F44F4">
        <w:t xml:space="preserve"> hospitals to reallocate resources from (more effective) </w:t>
      </w:r>
      <w:r w:rsidR="00F614A6" w:rsidRPr="000F44F4">
        <w:t xml:space="preserve">elective </w:t>
      </w:r>
      <w:r w:rsidR="000F44F4" w:rsidRPr="000F44F4">
        <w:t xml:space="preserve">to </w:t>
      </w:r>
      <w:r w:rsidR="00F614A6" w:rsidRPr="000F44F4">
        <w:t>(less effective)</w:t>
      </w:r>
      <w:r w:rsidR="00F614A6">
        <w:t xml:space="preserve"> </w:t>
      </w:r>
      <w:r w:rsidR="000F44F4" w:rsidRPr="000F44F4">
        <w:t xml:space="preserve">emergency </w:t>
      </w:r>
      <w:r w:rsidR="00F614A6">
        <w:t>services</w:t>
      </w:r>
      <w:r w:rsidR="000F44F4" w:rsidRPr="000F44F4">
        <w:t>.</w:t>
      </w:r>
      <w:r w:rsidR="00341A3E">
        <w:t xml:space="preserve"> This is, however, unlikely as the HC and LTC sectors in England</w:t>
      </w:r>
      <w:r w:rsidR="00BE3E40">
        <w:t>,</w:t>
      </w:r>
      <w:r w:rsidR="00BE3E40" w:rsidRPr="00BE3E40">
        <w:t xml:space="preserve"> </w:t>
      </w:r>
      <w:r w:rsidR="00BE3E40">
        <w:t>at the time of analysis,</w:t>
      </w:r>
      <w:r w:rsidR="00341A3E">
        <w:t xml:space="preserve"> </w:t>
      </w:r>
      <w:r w:rsidR="00BE3E40">
        <w:t xml:space="preserve">were </w:t>
      </w:r>
      <w:r w:rsidR="00341A3E">
        <w:t>mostly independent</w:t>
      </w:r>
      <w:r w:rsidR="00E7701A">
        <w:t xml:space="preserve">. </w:t>
      </w:r>
      <w:r w:rsidR="00C42909">
        <w:t xml:space="preserve">Therefore, further mortality effects may exist </w:t>
      </w:r>
      <w:r w:rsidR="00E9543B">
        <w:t>depend</w:t>
      </w:r>
      <w:r w:rsidR="00C42909">
        <w:t>ing</w:t>
      </w:r>
      <w:r w:rsidR="00E9543B">
        <w:t xml:space="preserve"> on </w:t>
      </w:r>
      <w:r w:rsidR="00184987">
        <w:t xml:space="preserve">how </w:t>
      </w:r>
      <w:r w:rsidR="00E9543B">
        <w:t>LA</w:t>
      </w:r>
      <w:r w:rsidR="00184987">
        <w:t xml:space="preserve">s decide to spend </w:t>
      </w:r>
      <w:r w:rsidR="00E9543B">
        <w:t>the</w:t>
      </w:r>
      <w:r w:rsidR="00C42909">
        <w:t>se</w:t>
      </w:r>
      <w:r w:rsidR="00E9543B">
        <w:t xml:space="preserve"> </w:t>
      </w:r>
      <w:r w:rsidR="00C42909">
        <w:t>savings</w:t>
      </w:r>
      <w:r w:rsidR="00D76255" w:rsidRPr="002A4884">
        <w:t>.</w:t>
      </w:r>
    </w:p>
    <w:p w14:paraId="184C58C8" w14:textId="44ACBA02" w:rsidR="007F6887" w:rsidRPr="002A4884" w:rsidRDefault="009C248E" w:rsidP="00B27DBB">
      <w:r>
        <w:t xml:space="preserve">A limitation of </w:t>
      </w:r>
      <w:r w:rsidR="00735215">
        <w:t>this</w:t>
      </w:r>
      <w:r>
        <w:t xml:space="preserve"> study is that there might be other unobserved factors relating to the channels for the indirect mortality effects, which we are unable to control for. </w:t>
      </w:r>
      <w:r w:rsidR="005A2BC2">
        <w:t>For example, c</w:t>
      </w:r>
      <w:r w:rsidR="005A2BC2">
        <w:rPr>
          <w:rFonts w:cstheme="minorHAnsi"/>
        </w:rPr>
        <w:t xml:space="preserve">hanges in the composition </w:t>
      </w:r>
      <w:r w:rsidR="00A64E52">
        <w:rPr>
          <w:rFonts w:cstheme="minorHAnsi"/>
        </w:rPr>
        <w:t>within</w:t>
      </w:r>
      <w:r w:rsidR="005A2BC2">
        <w:rPr>
          <w:rFonts w:cstheme="minorHAnsi"/>
        </w:rPr>
        <w:t xml:space="preserve"> the observed sub-components of HC expenditure may </w:t>
      </w:r>
      <w:r w:rsidR="00ED13C4">
        <w:rPr>
          <w:rFonts w:cstheme="minorHAnsi"/>
        </w:rPr>
        <w:t xml:space="preserve">impact the </w:t>
      </w:r>
      <w:r w:rsidR="00ED13C4" w:rsidRPr="00ED13C4">
        <w:rPr>
          <w:rFonts w:cstheme="minorHAnsi"/>
        </w:rPr>
        <w:t>effectiveness of HC expenditure</w:t>
      </w:r>
      <w:r w:rsidR="00ED13C4">
        <w:rPr>
          <w:rFonts w:cstheme="minorHAnsi"/>
        </w:rPr>
        <w:t xml:space="preserve">, </w:t>
      </w:r>
      <w:r w:rsidR="00735215">
        <w:rPr>
          <w:rFonts w:cstheme="minorHAnsi"/>
        </w:rPr>
        <w:t>one</w:t>
      </w:r>
      <w:r w:rsidR="00A64E52">
        <w:rPr>
          <w:rFonts w:cstheme="minorHAnsi"/>
        </w:rPr>
        <w:t xml:space="preserve"> </w:t>
      </w:r>
      <w:r>
        <w:rPr>
          <w:rFonts w:cstheme="minorHAnsi"/>
        </w:rPr>
        <w:t xml:space="preserve">possible </w:t>
      </w:r>
      <w:r w:rsidR="005A2BC2">
        <w:rPr>
          <w:rFonts w:cstheme="minorHAnsi"/>
        </w:rPr>
        <w:t xml:space="preserve">channel for the LTC indirect mortality effect. </w:t>
      </w:r>
      <w:r w:rsidR="007E2DF8">
        <w:rPr>
          <w:rFonts w:cstheme="minorHAnsi"/>
        </w:rPr>
        <w:t xml:space="preserve">Suppose </w:t>
      </w:r>
      <w:r w:rsidR="005A2BC2" w:rsidRPr="005A2BC2">
        <w:rPr>
          <w:rFonts w:cstheme="minorHAnsi"/>
        </w:rPr>
        <w:t xml:space="preserve">greater LTC expenditure means that </w:t>
      </w:r>
      <w:r w:rsidR="00E64515">
        <w:rPr>
          <w:rFonts w:cstheme="minorHAnsi"/>
        </w:rPr>
        <w:t xml:space="preserve">some </w:t>
      </w:r>
      <w:r w:rsidR="005A2BC2" w:rsidRPr="005A2BC2">
        <w:rPr>
          <w:rFonts w:cstheme="minorHAnsi"/>
        </w:rPr>
        <w:t>elective patients can be discharged more quickly,</w:t>
      </w:r>
      <w:r w:rsidR="007E2DF8">
        <w:rPr>
          <w:rFonts w:cstheme="minorHAnsi"/>
        </w:rPr>
        <w:t xml:space="preserve"> as </w:t>
      </w:r>
      <w:r>
        <w:rPr>
          <w:rFonts w:cstheme="minorHAnsi"/>
        </w:rPr>
        <w:t xml:space="preserve">some studies </w:t>
      </w:r>
      <w:r w:rsidR="007E2DF8">
        <w:rPr>
          <w:rFonts w:cstheme="minorHAnsi"/>
        </w:rPr>
        <w:t xml:space="preserve">suggest </w:t>
      </w:r>
      <w:r w:rsidR="00E64515" w:rsidRPr="009662D0">
        <w:fldChar w:fldCharType="begin"/>
      </w:r>
      <w:r w:rsidR="00E64515">
        <w:instrText xml:space="preserve"> ADDIN EN.CITE &lt;EndNote&gt;&lt;Cite&gt;&lt;Author&gt;Gaughan&lt;/Author&gt;&lt;Year&gt;2017&lt;/Year&gt;&lt;RecNum&gt;104&lt;/RecNum&gt;&lt;Prefix&gt;e.g. &lt;/Prefix&gt;&lt;DisplayText&gt;(e.g. Gaughan et al., 2017a)&lt;/DisplayText&gt;&lt;record&gt;&lt;rec-number&gt;104&lt;/rec-number&gt;&lt;foreign-keys&gt;&lt;key app="EN" db-id="r920as25hw5rrve2fa8psvr8e0dxvzxa200s" timestamp="1607688634" guid="1c9dd417-6c5d-4de2-a03a-03eb2843b230"&gt;104&lt;/key&gt;&lt;/foreign-keys&gt;&lt;ref-type name="Journal Article"&gt;17&lt;/ref-type&gt;&lt;contributors&gt;&lt;authors&gt;&lt;author&gt;Gaughan, James&lt;/author&gt;&lt;author&gt;Gravelle, Hugh&lt;/author&gt;&lt;author&gt;Santos, Rita&lt;/author&gt;&lt;author&gt;Siciliani, Luigi&lt;/author&gt;&lt;/authors&gt;&lt;/contributors&gt;&lt;titles&gt;&lt;title&gt;Long-term care provision, hospital bed blocking, and discharge destination for hip fracture and stroke patients&lt;/title&gt;&lt;secondary-title&gt;International journal of health economics and management&lt;/secondary-title&gt;&lt;/titles&gt;&lt;periodical&gt;&lt;full-title&gt;International journal of health economics and management&lt;/full-title&gt;&lt;/periodical&gt;&lt;pages&gt;311-331&lt;/pages&gt;&lt;volume&gt;17&lt;/volume&gt;&lt;number&gt;3&lt;/number&gt;&lt;dates&gt;&lt;year&gt;2017&lt;/year&gt;&lt;/dates&gt;&lt;isbn&gt;2199-9023&lt;/isbn&gt;&lt;urls&gt;&lt;/urls&gt;&lt;/record&gt;&lt;/Cite&gt;&lt;/EndNote&gt;</w:instrText>
      </w:r>
      <w:r w:rsidR="00E64515" w:rsidRPr="009662D0">
        <w:fldChar w:fldCharType="separate"/>
      </w:r>
      <w:r w:rsidR="00E64515">
        <w:rPr>
          <w:noProof/>
        </w:rPr>
        <w:t>(e.g. Gaughan et al., 2017a)</w:t>
      </w:r>
      <w:r w:rsidR="00E64515" w:rsidRPr="009662D0">
        <w:fldChar w:fldCharType="end"/>
      </w:r>
      <w:r w:rsidR="007E2DF8">
        <w:rPr>
          <w:rFonts w:cstheme="minorHAnsi"/>
        </w:rPr>
        <w:t>.</w:t>
      </w:r>
      <w:r w:rsidR="005A2BC2" w:rsidRPr="005A2BC2">
        <w:rPr>
          <w:rFonts w:cstheme="minorHAnsi"/>
        </w:rPr>
        <w:t xml:space="preserve"> </w:t>
      </w:r>
      <w:r w:rsidR="007E2DF8">
        <w:rPr>
          <w:rFonts w:cstheme="minorHAnsi"/>
        </w:rPr>
        <w:t>T</w:t>
      </w:r>
      <w:r w:rsidR="005A2BC2" w:rsidRPr="005A2BC2">
        <w:rPr>
          <w:rFonts w:cstheme="minorHAnsi"/>
        </w:rPr>
        <w:t>hen</w:t>
      </w:r>
      <w:r w:rsidR="007E2DF8">
        <w:rPr>
          <w:rFonts w:cstheme="minorHAnsi"/>
        </w:rPr>
        <w:t>,</w:t>
      </w:r>
      <w:r w:rsidR="005A2BC2" w:rsidRPr="005A2BC2">
        <w:rPr>
          <w:rFonts w:cstheme="minorHAnsi"/>
        </w:rPr>
        <w:t xml:space="preserve"> other elective patients will wait less and </w:t>
      </w:r>
      <w:r w:rsidR="00A64E52">
        <w:rPr>
          <w:rFonts w:cstheme="minorHAnsi"/>
        </w:rPr>
        <w:t xml:space="preserve">may </w:t>
      </w:r>
      <w:r w:rsidR="005A2BC2" w:rsidRPr="005A2BC2">
        <w:rPr>
          <w:rFonts w:cstheme="minorHAnsi"/>
        </w:rPr>
        <w:t xml:space="preserve">benefit more from treatment. </w:t>
      </w:r>
      <w:r w:rsidR="005A2BC2">
        <w:rPr>
          <w:rFonts w:cstheme="minorHAnsi"/>
        </w:rPr>
        <w:t xml:space="preserve">As we do not observe expenditure for monitoring and treating elective patients, </w:t>
      </w:r>
      <w:r w:rsidR="00ED13C4">
        <w:rPr>
          <w:rFonts w:cstheme="minorHAnsi"/>
        </w:rPr>
        <w:t xml:space="preserve">we are unable to control for this </w:t>
      </w:r>
      <w:r w:rsidR="00A64E52">
        <w:rPr>
          <w:rFonts w:cstheme="minorHAnsi"/>
        </w:rPr>
        <w:t xml:space="preserve">potential </w:t>
      </w:r>
      <w:r w:rsidR="00ED13C4">
        <w:rPr>
          <w:rFonts w:cstheme="minorHAnsi"/>
        </w:rPr>
        <w:t xml:space="preserve">channel. </w:t>
      </w:r>
      <w:r w:rsidR="00E64515">
        <w:rPr>
          <w:rFonts w:cstheme="minorHAnsi"/>
        </w:rPr>
        <w:t>In addition, o</w:t>
      </w:r>
      <w:r w:rsidR="00ED13C4" w:rsidRPr="00ED13C4">
        <w:rPr>
          <w:rFonts w:cstheme="minorHAnsi"/>
        </w:rPr>
        <w:t xml:space="preserve">ther </w:t>
      </w:r>
      <w:r w:rsidR="00ED13C4">
        <w:rPr>
          <w:rFonts w:cstheme="minorHAnsi"/>
        </w:rPr>
        <w:t xml:space="preserve">factors </w:t>
      </w:r>
      <w:r>
        <w:rPr>
          <w:rFonts w:cstheme="minorHAnsi"/>
        </w:rPr>
        <w:t xml:space="preserve">such as medication adherence </w:t>
      </w:r>
      <w:r w:rsidR="00ED13C4" w:rsidRPr="00ED13C4">
        <w:rPr>
          <w:rFonts w:cstheme="minorHAnsi"/>
        </w:rPr>
        <w:t>may impact the effectiveness of HC expenditure. For example, if greater LTC expenditure improves medication adherence, this may impact the effectiveness of drugs</w:t>
      </w:r>
      <w:r w:rsidR="00ED13C4">
        <w:rPr>
          <w:rFonts w:cstheme="minorHAnsi"/>
        </w:rPr>
        <w:t>.</w:t>
      </w:r>
      <w:r w:rsidR="004B32C2" w:rsidRPr="009662D0">
        <w:t xml:space="preserve"> </w:t>
      </w:r>
      <w:r w:rsidR="00FA081D">
        <w:t xml:space="preserve">As </w:t>
      </w:r>
      <w:r w:rsidR="004B32C2" w:rsidRPr="009662D0">
        <w:t xml:space="preserve">discussed in Section </w:t>
      </w:r>
      <w:r w:rsidR="004B32C2" w:rsidRPr="009662D0">
        <w:fldChar w:fldCharType="begin"/>
      </w:r>
      <w:r w:rsidR="004B32C2" w:rsidRPr="009662D0">
        <w:instrText xml:space="preserve"> REF _Ref61441595 \r \h </w:instrText>
      </w:r>
      <w:r w:rsidR="00E20B4E" w:rsidRPr="009662D0">
        <w:instrText xml:space="preserve"> \* MERGEFORMAT </w:instrText>
      </w:r>
      <w:r w:rsidR="004B32C2" w:rsidRPr="009662D0">
        <w:fldChar w:fldCharType="separate"/>
      </w:r>
      <w:r w:rsidR="007C7B62">
        <w:t>2.1</w:t>
      </w:r>
      <w:r w:rsidR="004B32C2" w:rsidRPr="009662D0">
        <w:fldChar w:fldCharType="end"/>
      </w:r>
      <w:r w:rsidR="004B32C2" w:rsidRPr="009662D0">
        <w:t xml:space="preserve">, </w:t>
      </w:r>
      <w:r w:rsidR="00A00E68" w:rsidRPr="009662D0">
        <w:t xml:space="preserve">no controls for </w:t>
      </w:r>
      <w:r w:rsidR="008811FE">
        <w:t xml:space="preserve">the </w:t>
      </w:r>
      <w:r>
        <w:t>possible</w:t>
      </w:r>
      <w:r w:rsidR="008811FE">
        <w:t xml:space="preserve"> channels generating the LTC indirect mortality effect impl</w:t>
      </w:r>
      <w:r w:rsidR="00210344">
        <w:t>ies</w:t>
      </w:r>
      <w:r w:rsidR="008811FE">
        <w:t xml:space="preserve"> that our estimate</w:t>
      </w:r>
      <w:r w:rsidR="00E64515">
        <w:t>d</w:t>
      </w:r>
      <w:r w:rsidR="008811FE">
        <w:t xml:space="preserve"> LTC direct mortality effect will be biased upwards</w:t>
      </w:r>
      <w:r w:rsidR="00D1631C">
        <w:t>:</w:t>
      </w:r>
      <w:r w:rsidR="006C7F84">
        <w:t xml:space="preserve"> </w:t>
      </w:r>
      <w:r w:rsidR="00D1631C">
        <w:t xml:space="preserve">it </w:t>
      </w:r>
      <w:r w:rsidR="006C7F84">
        <w:t xml:space="preserve">will capture </w:t>
      </w:r>
      <w:r w:rsidR="008811FE">
        <w:t xml:space="preserve">the </w:t>
      </w:r>
      <w:r w:rsidR="00210344">
        <w:t xml:space="preserve">direct effect as well as the </w:t>
      </w:r>
      <w:r w:rsidR="00D1631C">
        <w:t xml:space="preserve">portion of </w:t>
      </w:r>
      <w:r w:rsidR="008811FE">
        <w:t>indirect effect</w:t>
      </w:r>
      <w:r w:rsidR="00332050">
        <w:t xml:space="preserve"> which </w:t>
      </w:r>
      <w:r w:rsidR="00D1631C">
        <w:t xml:space="preserve">is not </w:t>
      </w:r>
      <w:r w:rsidR="00332050">
        <w:t>account</w:t>
      </w:r>
      <w:r w:rsidR="00D1631C">
        <w:t>ed</w:t>
      </w:r>
      <w:r w:rsidR="00332050">
        <w:t xml:space="preserve"> for</w:t>
      </w:r>
      <w:r w:rsidR="008811FE">
        <w:t>.</w:t>
      </w:r>
      <w:r w:rsidR="006C7F84">
        <w:t xml:space="preserve"> </w:t>
      </w:r>
      <w:r w:rsidR="00735215">
        <w:t>Hence,</w:t>
      </w:r>
      <w:r w:rsidR="00D1631C">
        <w:t xml:space="preserve"> </w:t>
      </w:r>
      <w:r w:rsidR="006C7F84">
        <w:t>the estimate</w:t>
      </w:r>
      <w:r w:rsidR="00D1631C">
        <w:t>d</w:t>
      </w:r>
      <w:r w:rsidR="006C7F84">
        <w:t xml:space="preserve"> LTC indirect mortality effect will be biased downwards as part of th</w:t>
      </w:r>
      <w:r w:rsidR="00D1631C">
        <w:t xml:space="preserve">e indirect </w:t>
      </w:r>
      <w:r w:rsidR="006C7F84">
        <w:t>effect will be captured by the</w:t>
      </w:r>
      <w:r w:rsidR="00EF42EC">
        <w:t xml:space="preserve"> (upwardly biased)</w:t>
      </w:r>
      <w:r w:rsidR="006C7F84">
        <w:t xml:space="preserve"> direct effect. </w:t>
      </w:r>
      <w:r w:rsidR="00302C5A">
        <w:t>But since</w:t>
      </w:r>
      <w:r w:rsidR="00627648">
        <w:t xml:space="preserve"> these biases will have the same size (and opposite sign)</w:t>
      </w:r>
      <w:r w:rsidR="004B32C2" w:rsidRPr="004B32C2">
        <w:t xml:space="preserve">, the LTC </w:t>
      </w:r>
      <w:r w:rsidR="00D1631C">
        <w:t xml:space="preserve">total </w:t>
      </w:r>
      <w:r w:rsidR="004B32C2" w:rsidRPr="004B32C2">
        <w:t>mortality effect remains unbiased.</w:t>
      </w:r>
      <w:r w:rsidR="00210344">
        <w:t xml:space="preserve"> </w:t>
      </w:r>
      <w:r w:rsidR="00826B67">
        <w:t>Moreover, t</w:t>
      </w:r>
      <w:r w:rsidR="00210344">
        <w:t xml:space="preserve">his study </w:t>
      </w:r>
      <w:r w:rsidR="00735215">
        <w:t>suggests that the</w:t>
      </w:r>
      <w:r w:rsidR="00210344">
        <w:t xml:space="preserve"> LTC indirect mortality effect</w:t>
      </w:r>
      <w:r w:rsidR="007C4E54">
        <w:t xml:space="preserve"> </w:t>
      </w:r>
      <w:r w:rsidR="00735215">
        <w:t xml:space="preserve">is </w:t>
      </w:r>
      <w:r w:rsidR="00210344">
        <w:t>as large as the LTC total mortality effect.</w:t>
      </w:r>
      <w:r w:rsidR="0093529A">
        <w:t xml:space="preserve"> Therefore, </w:t>
      </w:r>
      <w:r w:rsidR="00735215">
        <w:t xml:space="preserve">controlling for </w:t>
      </w:r>
      <w:r w:rsidR="00BA2029">
        <w:t xml:space="preserve">the </w:t>
      </w:r>
      <w:r w:rsidR="00735215">
        <w:t xml:space="preserve">changes in the </w:t>
      </w:r>
      <w:r w:rsidR="0043599C">
        <w:t xml:space="preserve">observable </w:t>
      </w:r>
      <w:r w:rsidR="00735215">
        <w:t xml:space="preserve">composition of HC expenditure </w:t>
      </w:r>
      <w:r w:rsidR="00D1631C">
        <w:t xml:space="preserve">is likely to </w:t>
      </w:r>
      <w:r w:rsidR="0093529A" w:rsidRPr="0093529A">
        <w:t xml:space="preserve">account </w:t>
      </w:r>
      <w:r w:rsidR="00564BF8">
        <w:t>for</w:t>
      </w:r>
      <w:r w:rsidR="0093529A" w:rsidRPr="0093529A">
        <w:t xml:space="preserve"> most</w:t>
      </w:r>
      <w:r w:rsidR="00564BF8">
        <w:t xml:space="preserve"> of the</w:t>
      </w:r>
      <w:r w:rsidR="0093529A" w:rsidRPr="0093529A">
        <w:t xml:space="preserve"> channels</w:t>
      </w:r>
      <w:r w:rsidR="0093529A">
        <w:t xml:space="preserve"> generating the LTC indirect mortality effect.</w:t>
      </w:r>
      <w:r w:rsidR="004B32C2">
        <w:t xml:space="preserve"> </w:t>
      </w:r>
      <w:r w:rsidR="00A87371">
        <w:t>One further limitation of this study is that</w:t>
      </w:r>
      <w:r w:rsidR="004B32C2">
        <w:t xml:space="preserve">, by </w:t>
      </w:r>
      <w:r w:rsidR="00826B67">
        <w:t xml:space="preserve">analysing </w:t>
      </w:r>
      <w:r w:rsidR="005A0A5D">
        <w:t xml:space="preserve">the effects of </w:t>
      </w:r>
      <w:r w:rsidR="004B32C2">
        <w:t xml:space="preserve">LTC expenditure for </w:t>
      </w:r>
      <w:r w:rsidR="005A0A5D" w:rsidRPr="005A0A5D">
        <w:rPr>
          <w:i/>
          <w:iCs/>
        </w:rPr>
        <w:t>all</w:t>
      </w:r>
      <w:r w:rsidR="005A0A5D">
        <w:t xml:space="preserve"> </w:t>
      </w:r>
      <w:r w:rsidR="004B32C2">
        <w:t>users</w:t>
      </w:r>
      <w:r w:rsidR="005A0A5D">
        <w:t>,</w:t>
      </w:r>
      <w:r w:rsidR="004B32C2">
        <w:t xml:space="preserve"> our estimates are unable to capture the</w:t>
      </w:r>
      <w:r w:rsidR="005A0A5D">
        <w:t xml:space="preserve"> potential heterogeneity of these effects driven by factors such as age or health condition.</w:t>
      </w:r>
      <w:r w:rsidR="007F6887">
        <w:t xml:space="preserve"> Finally, our </w:t>
      </w:r>
      <w:r w:rsidR="00095B72">
        <w:t xml:space="preserve">cross-sectional analysis uses a </w:t>
      </w:r>
      <w:r w:rsidR="009425EC">
        <w:t xml:space="preserve">sample of </w:t>
      </w:r>
      <w:r w:rsidR="005570F8">
        <w:t xml:space="preserve">146 </w:t>
      </w:r>
      <w:r w:rsidR="009425EC">
        <w:t xml:space="preserve">LAs which covers 96% of the population (146 out of 152 LAs). To reduce endogeneity concerns, it </w:t>
      </w:r>
      <w:r w:rsidR="00E52CB1">
        <w:t>includes</w:t>
      </w:r>
      <w:r w:rsidR="007F6887">
        <w:t xml:space="preserve"> several covariates</w:t>
      </w:r>
      <w:r w:rsidR="00E52CB1">
        <w:t xml:space="preserve"> (more than 30)</w:t>
      </w:r>
      <w:r w:rsidR="009425EC">
        <w:t xml:space="preserve"> but this </w:t>
      </w:r>
      <w:r w:rsidR="005570F8">
        <w:t xml:space="preserve">also </w:t>
      </w:r>
      <w:r w:rsidR="005A3611">
        <w:t>reduce</w:t>
      </w:r>
      <w:r w:rsidR="005570F8">
        <w:t>s</w:t>
      </w:r>
      <w:r w:rsidR="005A3611">
        <w:t xml:space="preserve"> </w:t>
      </w:r>
      <w:r w:rsidR="009425EC">
        <w:t xml:space="preserve">degrees of freedom and </w:t>
      </w:r>
      <w:r w:rsidR="005A3611">
        <w:t xml:space="preserve">statistical power. </w:t>
      </w:r>
      <w:r w:rsidR="005570F8">
        <w:t>Moreover, d</w:t>
      </w:r>
      <w:r w:rsidR="005A3611">
        <w:t xml:space="preserve">espite the high number of covariates, our cross-sectional analysis may still </w:t>
      </w:r>
      <w:r w:rsidR="007F6887" w:rsidRPr="007F6887">
        <w:t xml:space="preserve">bear some risks of endogeneity bias due to </w:t>
      </w:r>
      <w:r w:rsidR="005A3611">
        <w:t xml:space="preserve">potential </w:t>
      </w:r>
      <w:r w:rsidR="007F6887">
        <w:t>unobserv</w:t>
      </w:r>
      <w:r w:rsidR="00AE7E30">
        <w:t>able</w:t>
      </w:r>
      <w:r w:rsidR="007F6887">
        <w:t xml:space="preserve"> confounders</w:t>
      </w:r>
      <w:r w:rsidR="007F6887" w:rsidRPr="007F6887">
        <w:t>.</w:t>
      </w:r>
      <w:r w:rsidR="007F6887">
        <w:t xml:space="preserve"> </w:t>
      </w:r>
      <w:r w:rsidR="007F6887" w:rsidRPr="007F6887">
        <w:t xml:space="preserve">Future research could explore the </w:t>
      </w:r>
      <w:r w:rsidR="005570F8">
        <w:t xml:space="preserve">implementation of </w:t>
      </w:r>
      <w:r w:rsidR="005570F8" w:rsidRPr="007F6887">
        <w:t xml:space="preserve">panel data methods </w:t>
      </w:r>
      <w:r w:rsidR="005570F8">
        <w:t xml:space="preserve">to test the </w:t>
      </w:r>
      <w:r w:rsidR="007F6887" w:rsidRPr="007F6887">
        <w:t xml:space="preserve">sensitivity of </w:t>
      </w:r>
      <w:r w:rsidR="00E52CB1">
        <w:t xml:space="preserve">the current </w:t>
      </w:r>
      <w:r w:rsidR="007F6887" w:rsidRPr="007F6887">
        <w:t>results</w:t>
      </w:r>
      <w:r w:rsidR="005A3611">
        <w:t xml:space="preserve">. </w:t>
      </w:r>
      <w:r w:rsidR="009425EC">
        <w:t>These</w:t>
      </w:r>
      <w:r w:rsidR="005570F8">
        <w:t xml:space="preserve"> methods</w:t>
      </w:r>
      <w:r w:rsidR="005A3611">
        <w:t xml:space="preserve"> will provide greater statistical power through a larger number of observations and a way to control for time-invariant unobserved heterogeneity</w:t>
      </w:r>
      <w:r w:rsidR="007F6887">
        <w:t>.</w:t>
      </w:r>
    </w:p>
    <w:p w14:paraId="3B926A29" w14:textId="2FA9397C" w:rsidR="001A4750" w:rsidRPr="002A4884" w:rsidRDefault="009E03B1" w:rsidP="00DD50D1">
      <w:r>
        <w:t>Overall, o</w:t>
      </w:r>
      <w:r w:rsidR="00E25B58" w:rsidRPr="002A4884">
        <w:t xml:space="preserve">ur findings </w:t>
      </w:r>
      <w:r w:rsidR="00383570" w:rsidRPr="002A4884">
        <w:t>may have relevant implications for HC and LTC decision makers.</w:t>
      </w:r>
      <w:r w:rsidR="00DB7741" w:rsidRPr="002A4884">
        <w:t xml:space="preserve"> </w:t>
      </w:r>
      <w:r>
        <w:t>T</w:t>
      </w:r>
      <w:r w:rsidR="00DB7741" w:rsidRPr="002A4884">
        <w:t xml:space="preserve">hey </w:t>
      </w:r>
      <w:r w:rsidR="00DB7741" w:rsidRPr="002A4884">
        <w:lastRenderedPageBreak/>
        <w:t>suggest that b</w:t>
      </w:r>
      <w:r w:rsidR="007B4985" w:rsidRPr="002A4884">
        <w:t xml:space="preserve">udget decisions in the LTC sector </w:t>
      </w:r>
      <w:r w:rsidR="00383570" w:rsidRPr="002A4884">
        <w:t>may</w:t>
      </w:r>
      <w:r w:rsidR="007B4985" w:rsidRPr="002A4884">
        <w:t xml:space="preserve"> impact mortality through </w:t>
      </w:r>
      <w:r w:rsidR="00CC0DFF" w:rsidRPr="002A4884">
        <w:t xml:space="preserve">their effects on </w:t>
      </w:r>
      <w:r w:rsidR="007B4985" w:rsidRPr="002A4884">
        <w:t>the HC sector.</w:t>
      </w:r>
      <w:r w:rsidR="00383570" w:rsidRPr="002A4884">
        <w:t xml:space="preserve"> </w:t>
      </w:r>
      <w:r w:rsidR="00DB7741" w:rsidRPr="002A4884">
        <w:t>On the other hand, b</w:t>
      </w:r>
      <w:r w:rsidR="00383570" w:rsidRPr="002A4884">
        <w:t xml:space="preserve">udget decisions in the HC sector </w:t>
      </w:r>
      <w:r w:rsidR="00CC0DFF" w:rsidRPr="002A4884">
        <w:t xml:space="preserve">may </w:t>
      </w:r>
      <w:r w:rsidR="003C1347" w:rsidRPr="002A4884">
        <w:t>generate savings in the LTC sector</w:t>
      </w:r>
      <w:r w:rsidR="00CC0DFF" w:rsidRPr="002A4884">
        <w:t xml:space="preserve"> which may be used to improve other </w:t>
      </w:r>
      <w:r w:rsidR="00DB7741" w:rsidRPr="002A4884">
        <w:t>outcomes</w:t>
      </w:r>
      <w:r w:rsidR="001126FD" w:rsidRPr="002A4884">
        <w:t xml:space="preserve"> relevant to LAs (e.g. </w:t>
      </w:r>
      <w:r w:rsidR="00DB7741" w:rsidRPr="002A4884">
        <w:t>quality of life</w:t>
      </w:r>
      <w:r w:rsidR="001126FD" w:rsidRPr="002A4884">
        <w:t xml:space="preserve">). </w:t>
      </w:r>
      <w:r w:rsidR="00E320BF">
        <w:t>Alternatively, with a</w:t>
      </w:r>
      <w:r w:rsidR="003C1347" w:rsidRPr="002A4884">
        <w:t xml:space="preserve"> </w:t>
      </w:r>
      <w:r w:rsidR="001126FD" w:rsidRPr="002A4884">
        <w:t>pooled HC and LTC budget</w:t>
      </w:r>
      <w:r w:rsidR="00E320BF">
        <w:t xml:space="preserve"> the</w:t>
      </w:r>
      <w:r w:rsidR="009634AC">
        <w:t xml:space="preserve"> benefits of these</w:t>
      </w:r>
      <w:r w:rsidR="003C1347" w:rsidRPr="002A4884">
        <w:t xml:space="preserve"> saving</w:t>
      </w:r>
      <w:r w:rsidR="0088536D" w:rsidRPr="002A4884">
        <w:t>s</w:t>
      </w:r>
      <w:r w:rsidR="003C1347" w:rsidRPr="002A4884">
        <w:t xml:space="preserve"> could be</w:t>
      </w:r>
      <w:r w:rsidR="009634AC">
        <w:t xml:space="preserve"> shared between the sectors allowing</w:t>
      </w:r>
      <w:r w:rsidR="003C1347" w:rsidRPr="002A4884">
        <w:t xml:space="preserve"> invest</w:t>
      </w:r>
      <w:r w:rsidR="009634AC">
        <w:t>ment</w:t>
      </w:r>
      <w:r w:rsidR="003C1347" w:rsidRPr="002A4884">
        <w:t xml:space="preserve"> in HC services to improve health</w:t>
      </w:r>
      <w:r w:rsidR="001126FD" w:rsidRPr="002A4884">
        <w:t>.</w:t>
      </w:r>
      <w:r w:rsidR="003C1347" w:rsidRPr="002A4884">
        <w:t xml:space="preserve"> </w:t>
      </w:r>
      <w:r w:rsidR="000A4C80" w:rsidRPr="002A4884">
        <w:t xml:space="preserve">Therefore, moving towards an </w:t>
      </w:r>
      <w:r w:rsidR="003C1347" w:rsidRPr="002A4884">
        <w:t xml:space="preserve">operationally and financially </w:t>
      </w:r>
      <w:r w:rsidR="000A4C80" w:rsidRPr="002A4884">
        <w:t xml:space="preserve">integrated care system which enhances and coordinates more formally interactions </w:t>
      </w:r>
      <w:r w:rsidR="0035452A" w:rsidRPr="002A4884">
        <w:t xml:space="preserve">between the HC and LTC sector </w:t>
      </w:r>
      <w:r w:rsidR="00377D89">
        <w:t>appears to have</w:t>
      </w:r>
      <w:r w:rsidR="006A0F2F">
        <w:t xml:space="preserve"> the potential to</w:t>
      </w:r>
      <w:r w:rsidR="006A0F2F" w:rsidRPr="002A4884">
        <w:t xml:space="preserve"> </w:t>
      </w:r>
      <w:r w:rsidR="000A4C80" w:rsidRPr="002A4884">
        <w:t xml:space="preserve">improve </w:t>
      </w:r>
      <w:r w:rsidR="005E1855" w:rsidRPr="002A4884">
        <w:t xml:space="preserve">the </w:t>
      </w:r>
      <w:r w:rsidR="000A4C80" w:rsidRPr="002A4884">
        <w:t xml:space="preserve">marginal productivity </w:t>
      </w:r>
      <w:r w:rsidR="005E1855" w:rsidRPr="002A4884">
        <w:t xml:space="preserve">of </w:t>
      </w:r>
      <w:r w:rsidR="000A4C80" w:rsidRPr="002A4884">
        <w:t>both sectors.</w:t>
      </w:r>
    </w:p>
    <w:p w14:paraId="33715391" w14:textId="1766BC68" w:rsidR="00A84976" w:rsidRDefault="0036169C" w:rsidP="00DD50D1">
      <w:r w:rsidRPr="002A4884">
        <w:t>However, i</w:t>
      </w:r>
      <w:r w:rsidR="0072236F" w:rsidRPr="002A4884">
        <w:t xml:space="preserve">ntegrating sectors </w:t>
      </w:r>
      <w:r w:rsidR="002D706E" w:rsidRPr="002A4884">
        <w:t xml:space="preserve">of such a high complexity </w:t>
      </w:r>
      <w:r w:rsidR="0088536D" w:rsidRPr="002A4884">
        <w:t xml:space="preserve">can be a </w:t>
      </w:r>
      <w:r w:rsidR="0072236F" w:rsidRPr="002A4884">
        <w:t xml:space="preserve">demanding task for any country requiring substantial </w:t>
      </w:r>
      <w:r w:rsidRPr="002A4884">
        <w:t>resources and time</w:t>
      </w:r>
      <w:r w:rsidR="0072236F" w:rsidRPr="002A4884">
        <w:t xml:space="preserve">. </w:t>
      </w:r>
      <w:r w:rsidR="0035452A" w:rsidRPr="002A4884">
        <w:t>Moreover, l</w:t>
      </w:r>
      <w:r w:rsidRPr="002A4884">
        <w:t>earnings from c</w:t>
      </w:r>
      <w:r w:rsidR="00D31039" w:rsidRPr="002A4884">
        <w:t>urrent studies on integrate</w:t>
      </w:r>
      <w:r w:rsidR="001A4750" w:rsidRPr="002A4884">
        <w:t>d</w:t>
      </w:r>
      <w:r w:rsidR="00D31039" w:rsidRPr="002A4884">
        <w:t xml:space="preserve"> care models suggest</w:t>
      </w:r>
      <w:r w:rsidR="0088536D" w:rsidRPr="002A4884">
        <w:t xml:space="preserve"> that</w:t>
      </w:r>
      <w:r w:rsidR="0035452A" w:rsidRPr="002A4884">
        <w:t xml:space="preserve">, although pooling budgets may facilitate integration </w:t>
      </w:r>
      <w:r w:rsidR="0035452A" w:rsidRPr="002A4884">
        <w:fldChar w:fldCharType="begin"/>
      </w:r>
      <w:r w:rsidR="00157743">
        <w:instrText xml:space="preserve"> ADDIN EN.CITE &lt;EndNote&gt;&lt;Cite&gt;&lt;Author&gt;Stokes&lt;/Author&gt;&lt;Year&gt;2019&lt;/Year&gt;&lt;RecNum&gt;441&lt;/RecNum&gt;&lt;DisplayText&gt;(Stokes et al., 2019)&lt;/DisplayText&gt;&lt;record&gt;&lt;rec-number&gt;441&lt;/rec-number&gt;&lt;foreign-keys&gt;&lt;key app="EN" db-id="r920as25hw5rrve2fa8psvr8e0dxvzxa200s" timestamp="1610785582" guid="cd0c8f8e-2b6f-4dc8-aecc-289abbd46c1f"&gt;441&lt;/key&gt;&lt;/foreign-keys&gt;&lt;ref-type name="Journal Article"&gt;17&lt;/ref-type&gt;&lt;contributors&gt;&lt;authors&gt;&lt;author&gt;Stokes, Jonathan&lt;/author&gt;&lt;author&gt;Lau, Yiu-Shing&lt;/author&gt;&lt;author&gt;Kristensen, Søren Rud&lt;/author&gt;&lt;author&gt;Sutton, Matt&lt;/author&gt;&lt;/authors&gt;&lt;/contributors&gt;&lt;titles&gt;&lt;title&gt;Does pooling health &amp;amp; social care budgets reduce hospital use and lower costs?&lt;/title&gt;&lt;secondary-title&gt;Social Science &amp;amp; Medicine&lt;/secondary-title&gt;&lt;/titles&gt;&lt;periodical&gt;&lt;full-title&gt;Social Science &amp;amp; Medicine&lt;/full-title&gt;&lt;/periodical&gt;&lt;pages&gt;382-388&lt;/pages&gt;&lt;volume&gt;232&lt;/volume&gt;&lt;dates&gt;&lt;year&gt;2019&lt;/year&gt;&lt;/dates&gt;&lt;isbn&gt;0277-9536&lt;/isbn&gt;&lt;urls&gt;&lt;/urls&gt;&lt;/record&gt;&lt;/Cite&gt;&lt;/EndNote&gt;</w:instrText>
      </w:r>
      <w:r w:rsidR="0035452A" w:rsidRPr="002A4884">
        <w:fldChar w:fldCharType="separate"/>
      </w:r>
      <w:r w:rsidR="0035452A" w:rsidRPr="002A4884">
        <w:rPr>
          <w:noProof/>
        </w:rPr>
        <w:t>(Stokes et al., 2019)</w:t>
      </w:r>
      <w:r w:rsidR="0035452A" w:rsidRPr="002A4884">
        <w:fldChar w:fldCharType="end"/>
      </w:r>
      <w:r w:rsidR="0035452A" w:rsidRPr="002A4884">
        <w:t>,</w:t>
      </w:r>
      <w:r w:rsidR="0088536D" w:rsidRPr="002A4884">
        <w:t xml:space="preserve"> </w:t>
      </w:r>
      <w:r w:rsidRPr="002A4884">
        <w:t>t</w:t>
      </w:r>
      <w:r w:rsidR="002D706E" w:rsidRPr="002A4884">
        <w:t xml:space="preserve">he effects of </w:t>
      </w:r>
      <w:r w:rsidR="001A4750" w:rsidRPr="002A4884">
        <w:t>these</w:t>
      </w:r>
      <w:r w:rsidRPr="002A4884">
        <w:t xml:space="preserve"> </w:t>
      </w:r>
      <w:r w:rsidR="002D706E" w:rsidRPr="002A4884">
        <w:t xml:space="preserve">models (e.g. the effect of reducing emergency care activity) </w:t>
      </w:r>
      <w:r w:rsidR="0088536D" w:rsidRPr="002A4884">
        <w:t xml:space="preserve">are </w:t>
      </w:r>
      <w:r w:rsidR="00466197" w:rsidRPr="002A4884">
        <w:t>likely to</w:t>
      </w:r>
      <w:r w:rsidR="00D31039" w:rsidRPr="002A4884">
        <w:t xml:space="preserve"> be yielded </w:t>
      </w:r>
      <w:r w:rsidR="00E53C7E" w:rsidRPr="002A4884">
        <w:t xml:space="preserve">in the longer-term </w:t>
      </w:r>
      <w:r w:rsidR="00466197" w:rsidRPr="002A4884">
        <w:fldChar w:fldCharType="begin"/>
      </w:r>
      <w:r w:rsidR="00157743">
        <w:instrText xml:space="preserve"> ADDIN EN.CITE &lt;EndNote&gt;&lt;Cite&gt;&lt;Author&gt;Morciano&lt;/Author&gt;&lt;Year&gt;2020&lt;/Year&gt;&lt;RecNum&gt;439&lt;/RecNum&gt;&lt;DisplayText&gt;(Morciano et al., 2020)&lt;/DisplayText&gt;&lt;record&gt;&lt;rec-number&gt;439&lt;/rec-number&gt;&lt;foreign-keys&gt;&lt;key app="EN" db-id="r920as25hw5rrve2fa8psvr8e0dxvzxa200s" timestamp="1610785383" guid="7a1623b8-ac45-4923-9ea5-91be368aa7e3"&gt;439&lt;/key&gt;&lt;/foreign-keys&gt;&lt;ref-type name="Journal Article"&gt;17&lt;/ref-type&gt;&lt;contributors&gt;&lt;authors&gt;&lt;author&gt;Morciano, Marcello&lt;/author&gt;&lt;author&gt;Checkland, Katherine&lt;/author&gt;&lt;author&gt;Billings, Jenny&lt;/author&gt;&lt;author&gt;Coleman, Anna&lt;/author&gt;&lt;author&gt;Stokes, Jonathan&lt;/author&gt;&lt;author&gt;Tallack, Charles&lt;/author&gt;&lt;author&gt;Sutton, Matt&lt;/author&gt;&lt;/authors&gt;&lt;/contributors&gt;&lt;titles&gt;&lt;title&gt;New integrated care models in England associated with small reduction in hospital admissions in longer-term: a difference-in-differences analysis&lt;/title&gt;&lt;secondary-title&gt;Health Policy&lt;/secondary-title&gt;&lt;/titles&gt;&lt;periodical&gt;&lt;full-title&gt;Health policy&lt;/full-title&gt;&lt;/periodical&gt;&lt;dates&gt;&lt;year&gt;2020&lt;/year&gt;&lt;/dates&gt;&lt;isbn&gt;0168-8510&lt;/isbn&gt;&lt;urls&gt;&lt;/urls&gt;&lt;/record&gt;&lt;/Cite&gt;&lt;/EndNote&gt;</w:instrText>
      </w:r>
      <w:r w:rsidR="00466197" w:rsidRPr="002A4884">
        <w:fldChar w:fldCharType="separate"/>
      </w:r>
      <w:r w:rsidR="00466197" w:rsidRPr="002A4884">
        <w:rPr>
          <w:noProof/>
        </w:rPr>
        <w:t>(Morciano et al., 2020)</w:t>
      </w:r>
      <w:r w:rsidR="00466197" w:rsidRPr="002A4884">
        <w:fldChar w:fldCharType="end"/>
      </w:r>
      <w:r w:rsidR="00D31039" w:rsidRPr="002A4884">
        <w:t xml:space="preserve"> rather than in the short-run </w:t>
      </w:r>
      <w:r w:rsidR="00466197" w:rsidRPr="002A4884">
        <w:fldChar w:fldCharType="begin"/>
      </w:r>
      <w:r w:rsidR="00157743">
        <w:instrText xml:space="preserve"> ADDIN EN.CITE &lt;EndNote&gt;&lt;Cite&gt;&lt;Author&gt;Stokes&lt;/Author&gt;&lt;Year&gt;2020&lt;/Year&gt;&lt;RecNum&gt;440&lt;/RecNum&gt;&lt;DisplayText&gt;(Stokes et al., 2020)&lt;/DisplayText&gt;&lt;record&gt;&lt;rec-number&gt;440&lt;/rec-number&gt;&lt;foreign-keys&gt;&lt;key app="EN" db-id="r920as25hw5rrve2fa8psvr8e0dxvzxa200s" timestamp="1610785445" guid="008df14f-1ec9-431b-9cec-1843a08a21ef"&gt;440&lt;/key&gt;&lt;/foreign-keys&gt;&lt;ref-type name="Journal Article"&gt;17&lt;/ref-type&gt;&lt;contributors&gt;&lt;authors&gt;&lt;author&gt;Stokes, Jonathan&lt;/author&gt;&lt;author&gt;Shah, Vishalie&lt;/author&gt;&lt;author&gt;Goldzahl, Leontine&lt;/author&gt;&lt;author&gt;Kristensen, Søren Rud&lt;/author&gt;&lt;author&gt;Sutton, Matt&lt;/author&gt;&lt;/authors&gt;&lt;/contributors&gt;&lt;titles&gt;&lt;title&gt;Does prevention-focused integration lead to the triple aim? An evaluation of two new care models in England&lt;/title&gt;&lt;secondary-title&gt;Journal of Health Services Research &amp;amp; Policy&lt;/secondary-title&gt;&lt;/titles&gt;&lt;periodical&gt;&lt;full-title&gt;Journal of health services research &amp;amp; policy&lt;/full-title&gt;&lt;/periodical&gt;&lt;pages&gt;1355819620963500&lt;/pages&gt;&lt;dates&gt;&lt;year&gt;2020&lt;/year&gt;&lt;/dates&gt;&lt;isbn&gt;1355-8196&lt;/isbn&gt;&lt;urls&gt;&lt;/urls&gt;&lt;/record&gt;&lt;/Cite&gt;&lt;/EndNote&gt;</w:instrText>
      </w:r>
      <w:r w:rsidR="00466197" w:rsidRPr="002A4884">
        <w:fldChar w:fldCharType="separate"/>
      </w:r>
      <w:r w:rsidR="00466197" w:rsidRPr="002A4884">
        <w:rPr>
          <w:noProof/>
        </w:rPr>
        <w:t>(Stokes et al., 2020)</w:t>
      </w:r>
      <w:r w:rsidR="00466197" w:rsidRPr="002A4884">
        <w:fldChar w:fldCharType="end"/>
      </w:r>
      <w:r w:rsidR="00D31039" w:rsidRPr="002A4884">
        <w:t>.</w:t>
      </w:r>
      <w:r w:rsidRPr="002A4884">
        <w:t xml:space="preserve"> Building on this</w:t>
      </w:r>
      <w:r w:rsidR="0035452A" w:rsidRPr="002A4884">
        <w:t xml:space="preserve"> evidence</w:t>
      </w:r>
      <w:r w:rsidRPr="002A4884">
        <w:t>, o</w:t>
      </w:r>
      <w:r w:rsidR="00466197" w:rsidRPr="002A4884">
        <w:t>ur findings</w:t>
      </w:r>
      <w:r w:rsidR="00041CF8" w:rsidRPr="002A4884">
        <w:t xml:space="preserve"> </w:t>
      </w:r>
      <w:r w:rsidR="00466197" w:rsidRPr="002A4884">
        <w:t xml:space="preserve">suggest </w:t>
      </w:r>
      <w:r w:rsidR="0035452A" w:rsidRPr="002A4884">
        <w:t xml:space="preserve">that </w:t>
      </w:r>
      <w:r w:rsidR="00466197" w:rsidRPr="002A4884">
        <w:t>th</w:t>
      </w:r>
      <w:r w:rsidR="00CD33CC" w:rsidRPr="002A4884">
        <w:t xml:space="preserve">e implementation of </w:t>
      </w:r>
      <w:r w:rsidR="006268F6" w:rsidRPr="002A4884">
        <w:t xml:space="preserve">an </w:t>
      </w:r>
      <w:r w:rsidR="00466197" w:rsidRPr="002A4884">
        <w:t xml:space="preserve">integrated care </w:t>
      </w:r>
      <w:r w:rsidR="006268F6" w:rsidRPr="002A4884">
        <w:t xml:space="preserve">system </w:t>
      </w:r>
      <w:r w:rsidR="0035452A" w:rsidRPr="002A4884">
        <w:t>ha</w:t>
      </w:r>
      <w:r w:rsidR="00804F97">
        <w:t>s</w:t>
      </w:r>
      <w:r w:rsidR="0035452A" w:rsidRPr="002A4884">
        <w:t xml:space="preserve"> the potential to </w:t>
      </w:r>
      <w:r w:rsidR="00466197" w:rsidRPr="002A4884">
        <w:t>be</w:t>
      </w:r>
      <w:r w:rsidR="003627C8" w:rsidRPr="002A4884">
        <w:t xml:space="preserve"> </w:t>
      </w:r>
      <w:r w:rsidR="00466197" w:rsidRPr="002A4884">
        <w:t>financially sustainable and welfare</w:t>
      </w:r>
      <w:r w:rsidR="0035452A" w:rsidRPr="002A4884">
        <w:t>-</w:t>
      </w:r>
      <w:r w:rsidR="00466197" w:rsidRPr="002A4884">
        <w:t>enhancing</w:t>
      </w:r>
      <w:r w:rsidR="00432743" w:rsidRPr="002A4884">
        <w:t xml:space="preserve"> by reducing costs and improving outcomes</w:t>
      </w:r>
      <w:r w:rsidR="00466197" w:rsidRPr="002A4884">
        <w:t>.</w:t>
      </w:r>
      <w:r w:rsidR="000449E2" w:rsidRPr="002A4884">
        <w:t xml:space="preserve"> </w:t>
      </w:r>
      <w:r w:rsidR="00E805C0" w:rsidRPr="002A4884">
        <w:t>These implications may hold true also for countries with little integrated care arrangements</w:t>
      </w:r>
      <w:r w:rsidR="007966A6" w:rsidRPr="002A4884">
        <w:t xml:space="preserve"> since interactions between HC and LTC sector are likely to exist regardless of such arrangements</w:t>
      </w:r>
      <w:r w:rsidR="00E805C0" w:rsidRPr="002A4884">
        <w:t xml:space="preserve">. As discussed in Section </w:t>
      </w:r>
      <w:r w:rsidR="00E805C0" w:rsidRPr="002A4884">
        <w:fldChar w:fldCharType="begin"/>
      </w:r>
      <w:r w:rsidR="00E805C0" w:rsidRPr="002A4884">
        <w:instrText xml:space="preserve"> REF _Ref61441467 \r \h </w:instrText>
      </w:r>
      <w:r w:rsidR="00E805C0" w:rsidRPr="002A4884">
        <w:fldChar w:fldCharType="separate"/>
      </w:r>
      <w:r w:rsidR="007C7B62">
        <w:t>1.1</w:t>
      </w:r>
      <w:r w:rsidR="00E805C0" w:rsidRPr="002A4884">
        <w:fldChar w:fldCharType="end"/>
      </w:r>
      <w:r w:rsidR="00E805C0" w:rsidRPr="002A4884">
        <w:t>, o</w:t>
      </w:r>
      <w:r w:rsidR="00F06847" w:rsidRPr="002A4884">
        <w:t>ur analysis covers the financial year 2014/15 when no or little integrated care arrangements were in</w:t>
      </w:r>
      <w:r w:rsidR="00E805C0" w:rsidRPr="002A4884">
        <w:t xml:space="preserve"> place across English LAs.</w:t>
      </w:r>
    </w:p>
    <w:p w14:paraId="658C506C" w14:textId="4E4B1D7C" w:rsidR="0046260A" w:rsidRDefault="0046260A" w:rsidP="0046260A">
      <w:pPr>
        <w:pStyle w:val="Heading1"/>
        <w:numPr>
          <w:ilvl w:val="0"/>
          <w:numId w:val="0"/>
        </w:numPr>
        <w:ind w:left="360" w:hanging="360"/>
        <w:jc w:val="center"/>
      </w:pPr>
      <w:r>
        <w:t>Acknowledgment</w:t>
      </w:r>
    </w:p>
    <w:p w14:paraId="00B93D85" w14:textId="237AD8B8" w:rsidR="003B33E8" w:rsidRPr="002A4884" w:rsidRDefault="0046260A" w:rsidP="003B33E8">
      <w:pPr>
        <w:sectPr w:rsidR="003B33E8" w:rsidRPr="002A4884">
          <w:headerReference w:type="default" r:id="rId62"/>
          <w:footerReference w:type="default" r:id="rId63"/>
          <w:pgSz w:w="11906" w:h="16838"/>
          <w:pgMar w:top="1440" w:right="1440" w:bottom="1440" w:left="1440" w:header="708" w:footer="708" w:gutter="0"/>
          <w:cols w:space="708"/>
          <w:docGrid w:linePitch="360"/>
        </w:sectPr>
      </w:pPr>
      <w:r w:rsidRPr="0046260A">
        <w:t>This report is independent research funded by the National Institute for Health Research Policy Research Programme (NIHR PRP) through its Policy Research Unit in Economic Evaluation of Health &amp; Care Interventions (EEPRU, grant reference PR-PRU-1217-20401). The views expressed in this publication are those of the author(s) and not necessarily those of the NHS, the National Institute for Health Research or the Department of Health and Social Care.</w:t>
      </w:r>
      <w:r w:rsidR="00A048A7" w:rsidRPr="00A048A7">
        <w:t xml:space="preserve"> Declarations of interest: none</w:t>
      </w:r>
      <w:r w:rsidR="00A048A7">
        <w:t>.</w:t>
      </w:r>
      <w:r w:rsidR="00100EC3">
        <w:t xml:space="preserve"> We are grateful to two anonymous referees for their comments. In particular, we thank one anonymous referee for providing essential inputs </w:t>
      </w:r>
      <w:r w:rsidR="00E3437A">
        <w:t xml:space="preserve">on </w:t>
      </w:r>
      <w:r w:rsidR="00100EC3">
        <w:t xml:space="preserve">the theory model in Section </w:t>
      </w:r>
      <w:r w:rsidR="00E3437A">
        <w:fldChar w:fldCharType="begin"/>
      </w:r>
      <w:r w:rsidR="00E3437A">
        <w:instrText xml:space="preserve"> REF _Ref61441293 \r \h </w:instrText>
      </w:r>
      <w:r w:rsidR="00E3437A">
        <w:fldChar w:fldCharType="separate"/>
      </w:r>
      <w:r w:rsidR="007C7B62">
        <w:t>1.2</w:t>
      </w:r>
      <w:r w:rsidR="00E3437A">
        <w:fldChar w:fldCharType="end"/>
      </w:r>
      <w:r w:rsidR="00100EC3">
        <w:t xml:space="preserve">. A final ‘thank you’ to the participants of the 2022 EuHEA conference in Oslo and the </w:t>
      </w:r>
      <w:r w:rsidR="00E3437A">
        <w:t xml:space="preserve">virtual </w:t>
      </w:r>
      <w:r w:rsidR="00100EC3">
        <w:t>Public Sector Economics 2022 (Ageing and Long-Term Care) conference for their comments and questions. Finally, with this work we would like to pay tribute to our dear colleague</w:t>
      </w:r>
      <w:r w:rsidR="003052D7">
        <w:t xml:space="preserve"> and friend</w:t>
      </w:r>
      <w:r w:rsidR="00100EC3">
        <w:t xml:space="preserve"> Steve Martin who sadly passed</w:t>
      </w:r>
      <w:r w:rsidR="00E3437A">
        <w:t xml:space="preserve"> away in June 2022.</w:t>
      </w:r>
    </w:p>
    <w:p w14:paraId="09154352" w14:textId="77777777" w:rsidR="0055432F" w:rsidRPr="002A4884" w:rsidRDefault="0055432F" w:rsidP="0055432F">
      <w:pPr>
        <w:rPr>
          <w:b/>
          <w:bCs/>
        </w:rPr>
      </w:pPr>
      <w:r w:rsidRPr="002A4884">
        <w:rPr>
          <w:b/>
          <w:bCs/>
        </w:rPr>
        <w:lastRenderedPageBreak/>
        <w:t>Tables and figures</w:t>
      </w:r>
    </w:p>
    <w:p w14:paraId="69BFE031" w14:textId="7DD3E974" w:rsidR="00DD7F73" w:rsidRPr="002A4884" w:rsidRDefault="00DD7F73" w:rsidP="00DD7F73">
      <w:pPr>
        <w:pStyle w:val="Caption"/>
      </w:pPr>
      <w:bookmarkStart w:id="32" w:name="_Ref88837020"/>
      <w:bookmarkStart w:id="33" w:name="_Ref44690127"/>
      <w:r w:rsidRPr="002A4884">
        <w:t xml:space="preserve">Table </w:t>
      </w:r>
      <w:r w:rsidR="002A7365">
        <w:fldChar w:fldCharType="begin"/>
      </w:r>
      <w:r w:rsidR="002A7365">
        <w:instrText xml:space="preserve"> SEQ Table \* ARABIC </w:instrText>
      </w:r>
      <w:r w:rsidR="002A7365">
        <w:fldChar w:fldCharType="separate"/>
      </w:r>
      <w:r w:rsidR="007C7B62">
        <w:rPr>
          <w:noProof/>
        </w:rPr>
        <w:t>1</w:t>
      </w:r>
      <w:r w:rsidR="002A7365">
        <w:rPr>
          <w:noProof/>
        </w:rPr>
        <w:fldChar w:fldCharType="end"/>
      </w:r>
      <w:bookmarkEnd w:id="32"/>
      <w:r w:rsidRPr="002A4884">
        <w:t xml:space="preserve"> – Descriptive statistics on HC and LTC expenditure variables.</w:t>
      </w:r>
    </w:p>
    <w:tbl>
      <w:tblPr>
        <w:tblW w:w="13660" w:type="dxa"/>
        <w:tblLook w:val="04A0" w:firstRow="1" w:lastRow="0" w:firstColumn="1" w:lastColumn="0" w:noHBand="0" w:noVBand="1"/>
      </w:tblPr>
      <w:tblGrid>
        <w:gridCol w:w="6680"/>
        <w:gridCol w:w="262"/>
        <w:gridCol w:w="785"/>
        <w:gridCol w:w="992"/>
        <w:gridCol w:w="983"/>
        <w:gridCol w:w="262"/>
        <w:gridCol w:w="812"/>
        <w:gridCol w:w="1028"/>
        <w:gridCol w:w="262"/>
        <w:gridCol w:w="812"/>
        <w:gridCol w:w="1028"/>
      </w:tblGrid>
      <w:tr w:rsidR="00381A4D" w:rsidRPr="00381A4D" w14:paraId="3A5C5B2B" w14:textId="77777777" w:rsidTr="00381A4D">
        <w:trPr>
          <w:trHeight w:val="480"/>
        </w:trPr>
        <w:tc>
          <w:tcPr>
            <w:tcW w:w="6680" w:type="dxa"/>
            <w:vMerge w:val="restart"/>
            <w:tcBorders>
              <w:top w:val="single" w:sz="4" w:space="0" w:color="auto"/>
              <w:left w:val="nil"/>
              <w:bottom w:val="single" w:sz="4" w:space="0" w:color="000000"/>
              <w:right w:val="nil"/>
            </w:tcBorders>
            <w:shd w:val="clear" w:color="000000" w:fill="FFFFFF"/>
            <w:noWrap/>
            <w:vAlign w:val="center"/>
            <w:hideMark/>
          </w:tcPr>
          <w:p w14:paraId="72A1853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Variable</w:t>
            </w:r>
          </w:p>
        </w:tc>
        <w:tc>
          <w:tcPr>
            <w:tcW w:w="180" w:type="dxa"/>
            <w:tcBorders>
              <w:top w:val="single" w:sz="4" w:space="0" w:color="auto"/>
              <w:left w:val="nil"/>
              <w:bottom w:val="nil"/>
              <w:right w:val="nil"/>
            </w:tcBorders>
            <w:shd w:val="clear" w:color="000000" w:fill="FFFFFF"/>
            <w:vAlign w:val="center"/>
            <w:hideMark/>
          </w:tcPr>
          <w:p w14:paraId="3980C14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2760" w:type="dxa"/>
            <w:gridSpan w:val="3"/>
            <w:tcBorders>
              <w:top w:val="single" w:sz="4" w:space="0" w:color="auto"/>
              <w:left w:val="nil"/>
              <w:bottom w:val="single" w:sz="4" w:space="0" w:color="auto"/>
              <w:right w:val="nil"/>
            </w:tcBorders>
            <w:shd w:val="clear" w:color="000000" w:fill="FFFFFF"/>
            <w:vAlign w:val="center"/>
            <w:hideMark/>
          </w:tcPr>
          <w:p w14:paraId="1B84D93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Total</w:t>
            </w:r>
          </w:p>
        </w:tc>
        <w:tc>
          <w:tcPr>
            <w:tcW w:w="180" w:type="dxa"/>
            <w:tcBorders>
              <w:top w:val="single" w:sz="4" w:space="0" w:color="auto"/>
              <w:left w:val="nil"/>
              <w:bottom w:val="nil"/>
              <w:right w:val="nil"/>
            </w:tcBorders>
            <w:shd w:val="clear" w:color="000000" w:fill="FFFFFF"/>
            <w:vAlign w:val="center"/>
            <w:hideMark/>
          </w:tcPr>
          <w:p w14:paraId="528E64A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40" w:type="dxa"/>
            <w:gridSpan w:val="2"/>
            <w:tcBorders>
              <w:top w:val="single" w:sz="4" w:space="0" w:color="auto"/>
              <w:left w:val="nil"/>
              <w:bottom w:val="single" w:sz="4" w:space="0" w:color="auto"/>
              <w:right w:val="nil"/>
            </w:tcBorders>
            <w:shd w:val="clear" w:color="000000" w:fill="FFFFFF"/>
            <w:vAlign w:val="center"/>
            <w:hideMark/>
          </w:tcPr>
          <w:p w14:paraId="3BB7572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Largest two disease areas</w:t>
            </w:r>
          </w:p>
        </w:tc>
        <w:tc>
          <w:tcPr>
            <w:tcW w:w="180" w:type="dxa"/>
            <w:tcBorders>
              <w:top w:val="single" w:sz="4" w:space="0" w:color="auto"/>
              <w:left w:val="nil"/>
              <w:bottom w:val="nil"/>
              <w:right w:val="nil"/>
            </w:tcBorders>
            <w:shd w:val="clear" w:color="000000" w:fill="FFFFFF"/>
            <w:vAlign w:val="center"/>
            <w:hideMark/>
          </w:tcPr>
          <w:p w14:paraId="0397EEE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40" w:type="dxa"/>
            <w:gridSpan w:val="2"/>
            <w:tcBorders>
              <w:top w:val="single" w:sz="4" w:space="0" w:color="auto"/>
              <w:left w:val="nil"/>
              <w:bottom w:val="single" w:sz="4" w:space="0" w:color="auto"/>
              <w:right w:val="nil"/>
            </w:tcBorders>
            <w:shd w:val="clear" w:color="000000" w:fill="FFFFFF"/>
            <w:vAlign w:val="center"/>
            <w:hideMark/>
          </w:tcPr>
          <w:p w14:paraId="76B5DFE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Largest four disease areas</w:t>
            </w:r>
          </w:p>
        </w:tc>
      </w:tr>
      <w:tr w:rsidR="00381A4D" w:rsidRPr="00381A4D" w14:paraId="230084AE" w14:textId="77777777" w:rsidTr="00381A4D">
        <w:trPr>
          <w:trHeight w:val="229"/>
        </w:trPr>
        <w:tc>
          <w:tcPr>
            <w:tcW w:w="6680" w:type="dxa"/>
            <w:vMerge/>
            <w:tcBorders>
              <w:top w:val="single" w:sz="4" w:space="0" w:color="auto"/>
              <w:left w:val="nil"/>
              <w:bottom w:val="single" w:sz="4" w:space="0" w:color="000000"/>
              <w:right w:val="nil"/>
            </w:tcBorders>
            <w:vAlign w:val="center"/>
            <w:hideMark/>
          </w:tcPr>
          <w:p w14:paraId="042252F9" w14:textId="77777777" w:rsidR="00381A4D" w:rsidRPr="00381A4D" w:rsidRDefault="00381A4D" w:rsidP="00381A4D">
            <w:pPr>
              <w:widowControl/>
              <w:spacing w:after="0"/>
              <w:jc w:val="left"/>
              <w:rPr>
                <w:rFonts w:ascii="Calibri" w:eastAsia="Times New Roman" w:hAnsi="Calibri" w:cs="Calibri"/>
                <w:sz w:val="20"/>
                <w:szCs w:val="20"/>
                <w:lang w:eastAsia="en-GB"/>
              </w:rPr>
            </w:pPr>
          </w:p>
        </w:tc>
        <w:tc>
          <w:tcPr>
            <w:tcW w:w="180" w:type="dxa"/>
            <w:tcBorders>
              <w:top w:val="nil"/>
              <w:left w:val="nil"/>
              <w:bottom w:val="single" w:sz="4" w:space="0" w:color="auto"/>
              <w:right w:val="nil"/>
            </w:tcBorders>
            <w:shd w:val="clear" w:color="000000" w:fill="FFFFFF"/>
            <w:noWrap/>
            <w:vAlign w:val="center"/>
            <w:hideMark/>
          </w:tcPr>
          <w:p w14:paraId="33D5BF7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single" w:sz="4" w:space="0" w:color="auto"/>
              <w:right w:val="nil"/>
            </w:tcBorders>
            <w:shd w:val="clear" w:color="000000" w:fill="FFFFFF"/>
            <w:noWrap/>
            <w:vAlign w:val="center"/>
            <w:hideMark/>
          </w:tcPr>
          <w:p w14:paraId="2A1F547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Mean</w:t>
            </w:r>
          </w:p>
        </w:tc>
        <w:tc>
          <w:tcPr>
            <w:tcW w:w="992" w:type="dxa"/>
            <w:tcBorders>
              <w:top w:val="nil"/>
              <w:left w:val="nil"/>
              <w:bottom w:val="single" w:sz="4" w:space="0" w:color="auto"/>
              <w:right w:val="nil"/>
            </w:tcBorders>
            <w:shd w:val="clear" w:color="000000" w:fill="FFFFFF"/>
            <w:noWrap/>
            <w:vAlign w:val="center"/>
            <w:hideMark/>
          </w:tcPr>
          <w:p w14:paraId="0EF7DBA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Std dev</w:t>
            </w:r>
          </w:p>
        </w:tc>
        <w:tc>
          <w:tcPr>
            <w:tcW w:w="983" w:type="dxa"/>
            <w:tcBorders>
              <w:top w:val="nil"/>
              <w:left w:val="nil"/>
              <w:bottom w:val="single" w:sz="4" w:space="0" w:color="auto"/>
              <w:right w:val="nil"/>
            </w:tcBorders>
            <w:shd w:val="clear" w:color="000000" w:fill="FFFFFF"/>
            <w:noWrap/>
            <w:vAlign w:val="center"/>
            <w:hideMark/>
          </w:tcPr>
          <w:p w14:paraId="55B1822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Prop</w:t>
            </w:r>
          </w:p>
        </w:tc>
        <w:tc>
          <w:tcPr>
            <w:tcW w:w="180" w:type="dxa"/>
            <w:tcBorders>
              <w:top w:val="nil"/>
              <w:left w:val="nil"/>
              <w:bottom w:val="single" w:sz="4" w:space="0" w:color="auto"/>
              <w:right w:val="nil"/>
            </w:tcBorders>
            <w:shd w:val="clear" w:color="000000" w:fill="FFFFFF"/>
            <w:noWrap/>
            <w:vAlign w:val="center"/>
            <w:hideMark/>
          </w:tcPr>
          <w:p w14:paraId="15DA399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single" w:sz="4" w:space="0" w:color="auto"/>
              <w:right w:val="nil"/>
            </w:tcBorders>
            <w:shd w:val="clear" w:color="000000" w:fill="FFFFFF"/>
            <w:noWrap/>
            <w:vAlign w:val="center"/>
            <w:hideMark/>
          </w:tcPr>
          <w:p w14:paraId="6FE0AE5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Mean</w:t>
            </w:r>
          </w:p>
        </w:tc>
        <w:tc>
          <w:tcPr>
            <w:tcW w:w="1028" w:type="dxa"/>
            <w:tcBorders>
              <w:top w:val="nil"/>
              <w:left w:val="nil"/>
              <w:bottom w:val="single" w:sz="4" w:space="0" w:color="auto"/>
              <w:right w:val="nil"/>
            </w:tcBorders>
            <w:shd w:val="clear" w:color="000000" w:fill="FFFFFF"/>
            <w:noWrap/>
            <w:vAlign w:val="center"/>
            <w:hideMark/>
          </w:tcPr>
          <w:p w14:paraId="198C76C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Std dev</w:t>
            </w:r>
          </w:p>
        </w:tc>
        <w:tc>
          <w:tcPr>
            <w:tcW w:w="180" w:type="dxa"/>
            <w:tcBorders>
              <w:top w:val="nil"/>
              <w:left w:val="nil"/>
              <w:bottom w:val="single" w:sz="4" w:space="0" w:color="auto"/>
              <w:right w:val="nil"/>
            </w:tcBorders>
            <w:shd w:val="clear" w:color="000000" w:fill="FFFFFF"/>
            <w:noWrap/>
            <w:vAlign w:val="center"/>
            <w:hideMark/>
          </w:tcPr>
          <w:p w14:paraId="3CB574D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single" w:sz="4" w:space="0" w:color="auto"/>
              <w:right w:val="nil"/>
            </w:tcBorders>
            <w:shd w:val="clear" w:color="000000" w:fill="FFFFFF"/>
            <w:noWrap/>
            <w:vAlign w:val="center"/>
            <w:hideMark/>
          </w:tcPr>
          <w:p w14:paraId="1850B0C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Mean</w:t>
            </w:r>
          </w:p>
        </w:tc>
        <w:tc>
          <w:tcPr>
            <w:tcW w:w="1028" w:type="dxa"/>
            <w:tcBorders>
              <w:top w:val="nil"/>
              <w:left w:val="nil"/>
              <w:bottom w:val="single" w:sz="4" w:space="0" w:color="auto"/>
              <w:right w:val="nil"/>
            </w:tcBorders>
            <w:shd w:val="clear" w:color="000000" w:fill="FFFFFF"/>
            <w:noWrap/>
            <w:vAlign w:val="center"/>
            <w:hideMark/>
          </w:tcPr>
          <w:p w14:paraId="6A99A29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Std dev</w:t>
            </w:r>
          </w:p>
        </w:tc>
      </w:tr>
      <w:tr w:rsidR="00381A4D" w:rsidRPr="00381A4D" w14:paraId="13C3F03F" w14:textId="77777777" w:rsidTr="00381A4D">
        <w:trPr>
          <w:trHeight w:val="229"/>
        </w:trPr>
        <w:tc>
          <w:tcPr>
            <w:tcW w:w="6680" w:type="dxa"/>
            <w:tcBorders>
              <w:top w:val="nil"/>
              <w:left w:val="nil"/>
              <w:bottom w:val="nil"/>
              <w:right w:val="nil"/>
            </w:tcBorders>
            <w:shd w:val="clear" w:color="000000" w:fill="FFFFFF"/>
            <w:noWrap/>
            <w:vAlign w:val="center"/>
            <w:hideMark/>
          </w:tcPr>
          <w:p w14:paraId="65EED5A9"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w:t>
            </w:r>
          </w:p>
        </w:tc>
        <w:tc>
          <w:tcPr>
            <w:tcW w:w="180" w:type="dxa"/>
            <w:tcBorders>
              <w:top w:val="nil"/>
              <w:left w:val="nil"/>
              <w:bottom w:val="nil"/>
              <w:right w:val="nil"/>
            </w:tcBorders>
            <w:shd w:val="clear" w:color="000000" w:fill="FFFFFF"/>
            <w:noWrap/>
            <w:vAlign w:val="center"/>
            <w:hideMark/>
          </w:tcPr>
          <w:p w14:paraId="1687950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6A6DF9B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1,257</w:t>
            </w:r>
          </w:p>
        </w:tc>
        <w:tc>
          <w:tcPr>
            <w:tcW w:w="992" w:type="dxa"/>
            <w:tcBorders>
              <w:top w:val="nil"/>
              <w:left w:val="nil"/>
              <w:bottom w:val="nil"/>
              <w:right w:val="nil"/>
            </w:tcBorders>
            <w:shd w:val="clear" w:color="000000" w:fill="FFFFFF"/>
            <w:noWrap/>
            <w:vAlign w:val="center"/>
            <w:hideMark/>
          </w:tcPr>
          <w:p w14:paraId="18112A0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145</w:t>
            </w:r>
          </w:p>
        </w:tc>
        <w:tc>
          <w:tcPr>
            <w:tcW w:w="983" w:type="dxa"/>
            <w:tcBorders>
              <w:top w:val="nil"/>
              <w:left w:val="nil"/>
              <w:bottom w:val="nil"/>
              <w:right w:val="nil"/>
            </w:tcBorders>
            <w:shd w:val="clear" w:color="000000" w:fill="FFFFFF"/>
            <w:noWrap/>
            <w:vAlign w:val="center"/>
            <w:hideMark/>
          </w:tcPr>
          <w:p w14:paraId="6586653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100.0%</w:t>
            </w:r>
          </w:p>
        </w:tc>
        <w:tc>
          <w:tcPr>
            <w:tcW w:w="180" w:type="dxa"/>
            <w:tcBorders>
              <w:top w:val="nil"/>
              <w:left w:val="nil"/>
              <w:bottom w:val="nil"/>
              <w:right w:val="nil"/>
            </w:tcBorders>
            <w:shd w:val="clear" w:color="000000" w:fill="FFFFFF"/>
            <w:noWrap/>
            <w:vAlign w:val="center"/>
            <w:hideMark/>
          </w:tcPr>
          <w:p w14:paraId="6FE6204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A707B0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782CFA3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7088B43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775F1A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12C4678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4C6D0A02" w14:textId="77777777" w:rsidTr="00381A4D">
        <w:trPr>
          <w:trHeight w:val="229"/>
        </w:trPr>
        <w:tc>
          <w:tcPr>
            <w:tcW w:w="6680" w:type="dxa"/>
            <w:tcBorders>
              <w:top w:val="nil"/>
              <w:left w:val="nil"/>
              <w:bottom w:val="nil"/>
              <w:right w:val="nil"/>
            </w:tcBorders>
            <w:shd w:val="clear" w:color="000000" w:fill="FFFFFF"/>
            <w:noWrap/>
            <w:vAlign w:val="center"/>
            <w:hideMark/>
          </w:tcPr>
          <w:p w14:paraId="5EE46AB1"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emergency care</w:t>
            </w:r>
          </w:p>
        </w:tc>
        <w:tc>
          <w:tcPr>
            <w:tcW w:w="180" w:type="dxa"/>
            <w:tcBorders>
              <w:top w:val="nil"/>
              <w:left w:val="nil"/>
              <w:bottom w:val="nil"/>
              <w:right w:val="nil"/>
            </w:tcBorders>
            <w:shd w:val="clear" w:color="000000" w:fill="FFFFFF"/>
            <w:noWrap/>
            <w:vAlign w:val="center"/>
            <w:hideMark/>
          </w:tcPr>
          <w:p w14:paraId="7BDDDEE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09BDB65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276</w:t>
            </w:r>
          </w:p>
        </w:tc>
        <w:tc>
          <w:tcPr>
            <w:tcW w:w="992" w:type="dxa"/>
            <w:tcBorders>
              <w:top w:val="nil"/>
              <w:left w:val="nil"/>
              <w:bottom w:val="nil"/>
              <w:right w:val="nil"/>
            </w:tcBorders>
            <w:shd w:val="clear" w:color="000000" w:fill="FFFFFF"/>
            <w:noWrap/>
            <w:vAlign w:val="center"/>
            <w:hideMark/>
          </w:tcPr>
          <w:p w14:paraId="4E07E5E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36</w:t>
            </w:r>
          </w:p>
        </w:tc>
        <w:tc>
          <w:tcPr>
            <w:tcW w:w="983" w:type="dxa"/>
            <w:tcBorders>
              <w:top w:val="nil"/>
              <w:left w:val="nil"/>
              <w:bottom w:val="nil"/>
              <w:right w:val="nil"/>
            </w:tcBorders>
            <w:shd w:val="clear" w:color="000000" w:fill="FFFFFF"/>
            <w:noWrap/>
            <w:vAlign w:val="center"/>
            <w:hideMark/>
          </w:tcPr>
          <w:p w14:paraId="200C2D7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22.0%</w:t>
            </w:r>
          </w:p>
        </w:tc>
        <w:tc>
          <w:tcPr>
            <w:tcW w:w="180" w:type="dxa"/>
            <w:tcBorders>
              <w:top w:val="nil"/>
              <w:left w:val="nil"/>
              <w:bottom w:val="nil"/>
              <w:right w:val="nil"/>
            </w:tcBorders>
            <w:shd w:val="clear" w:color="000000" w:fill="FFFFFF"/>
            <w:noWrap/>
            <w:vAlign w:val="center"/>
            <w:hideMark/>
          </w:tcPr>
          <w:p w14:paraId="0E38A71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E6FD38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40</w:t>
            </w:r>
          </w:p>
        </w:tc>
        <w:tc>
          <w:tcPr>
            <w:tcW w:w="1028" w:type="dxa"/>
            <w:tcBorders>
              <w:top w:val="nil"/>
              <w:left w:val="nil"/>
              <w:bottom w:val="nil"/>
              <w:right w:val="nil"/>
            </w:tcBorders>
            <w:shd w:val="clear" w:color="000000" w:fill="FFFFFF"/>
            <w:noWrap/>
            <w:vAlign w:val="center"/>
            <w:hideMark/>
          </w:tcPr>
          <w:p w14:paraId="1313EE7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w:t>
            </w:r>
          </w:p>
        </w:tc>
        <w:tc>
          <w:tcPr>
            <w:tcW w:w="180" w:type="dxa"/>
            <w:tcBorders>
              <w:top w:val="nil"/>
              <w:left w:val="nil"/>
              <w:bottom w:val="nil"/>
              <w:right w:val="nil"/>
            </w:tcBorders>
            <w:shd w:val="clear" w:color="000000" w:fill="FFFFFF"/>
            <w:noWrap/>
            <w:vAlign w:val="center"/>
            <w:hideMark/>
          </w:tcPr>
          <w:p w14:paraId="7EB10D9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96283E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106</w:t>
            </w:r>
          </w:p>
        </w:tc>
        <w:tc>
          <w:tcPr>
            <w:tcW w:w="1028" w:type="dxa"/>
            <w:tcBorders>
              <w:top w:val="nil"/>
              <w:left w:val="nil"/>
              <w:bottom w:val="nil"/>
              <w:right w:val="nil"/>
            </w:tcBorders>
            <w:shd w:val="clear" w:color="000000" w:fill="FFFFFF"/>
            <w:noWrap/>
            <w:vAlign w:val="center"/>
            <w:hideMark/>
          </w:tcPr>
          <w:p w14:paraId="036B74D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16</w:t>
            </w:r>
          </w:p>
        </w:tc>
      </w:tr>
      <w:tr w:rsidR="00381A4D" w:rsidRPr="00381A4D" w14:paraId="3FCC42A5" w14:textId="77777777" w:rsidTr="00381A4D">
        <w:trPr>
          <w:trHeight w:val="229"/>
        </w:trPr>
        <w:tc>
          <w:tcPr>
            <w:tcW w:w="6680" w:type="dxa"/>
            <w:tcBorders>
              <w:top w:val="nil"/>
              <w:left w:val="nil"/>
              <w:bottom w:val="nil"/>
              <w:right w:val="nil"/>
            </w:tcBorders>
            <w:shd w:val="clear" w:color="000000" w:fill="FFFFFF"/>
            <w:noWrap/>
            <w:vAlign w:val="center"/>
            <w:hideMark/>
          </w:tcPr>
          <w:p w14:paraId="0E25BC48"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non-elective admissions</w:t>
            </w:r>
          </w:p>
        </w:tc>
        <w:tc>
          <w:tcPr>
            <w:tcW w:w="180" w:type="dxa"/>
            <w:tcBorders>
              <w:top w:val="nil"/>
              <w:left w:val="nil"/>
              <w:bottom w:val="nil"/>
              <w:right w:val="nil"/>
            </w:tcBorders>
            <w:shd w:val="clear" w:color="000000" w:fill="FFFFFF"/>
            <w:noWrap/>
            <w:vAlign w:val="center"/>
            <w:hideMark/>
          </w:tcPr>
          <w:p w14:paraId="58B4C98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2AA53DA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186</w:t>
            </w:r>
          </w:p>
        </w:tc>
        <w:tc>
          <w:tcPr>
            <w:tcW w:w="992" w:type="dxa"/>
            <w:tcBorders>
              <w:top w:val="nil"/>
              <w:left w:val="nil"/>
              <w:bottom w:val="nil"/>
              <w:right w:val="nil"/>
            </w:tcBorders>
            <w:shd w:val="clear" w:color="000000" w:fill="FFFFFF"/>
            <w:noWrap/>
            <w:vAlign w:val="center"/>
            <w:hideMark/>
          </w:tcPr>
          <w:p w14:paraId="203B0D2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30</w:t>
            </w:r>
          </w:p>
        </w:tc>
        <w:tc>
          <w:tcPr>
            <w:tcW w:w="983" w:type="dxa"/>
            <w:tcBorders>
              <w:top w:val="nil"/>
              <w:left w:val="nil"/>
              <w:bottom w:val="nil"/>
              <w:right w:val="nil"/>
            </w:tcBorders>
            <w:shd w:val="clear" w:color="000000" w:fill="FFFFFF"/>
            <w:noWrap/>
            <w:vAlign w:val="center"/>
            <w:hideMark/>
          </w:tcPr>
          <w:p w14:paraId="14756B9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14.8%</w:t>
            </w:r>
          </w:p>
        </w:tc>
        <w:tc>
          <w:tcPr>
            <w:tcW w:w="180" w:type="dxa"/>
            <w:tcBorders>
              <w:top w:val="nil"/>
              <w:left w:val="nil"/>
              <w:bottom w:val="nil"/>
              <w:right w:val="nil"/>
            </w:tcBorders>
            <w:shd w:val="clear" w:color="000000" w:fill="FFFFFF"/>
            <w:noWrap/>
            <w:vAlign w:val="center"/>
            <w:hideMark/>
          </w:tcPr>
          <w:p w14:paraId="77AC429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683551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32</w:t>
            </w:r>
          </w:p>
        </w:tc>
        <w:tc>
          <w:tcPr>
            <w:tcW w:w="1028" w:type="dxa"/>
            <w:tcBorders>
              <w:top w:val="nil"/>
              <w:left w:val="nil"/>
              <w:bottom w:val="nil"/>
              <w:right w:val="nil"/>
            </w:tcBorders>
            <w:shd w:val="clear" w:color="000000" w:fill="FFFFFF"/>
            <w:noWrap/>
            <w:vAlign w:val="center"/>
            <w:hideMark/>
          </w:tcPr>
          <w:p w14:paraId="176398F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w:t>
            </w:r>
          </w:p>
        </w:tc>
        <w:tc>
          <w:tcPr>
            <w:tcW w:w="180" w:type="dxa"/>
            <w:tcBorders>
              <w:top w:val="nil"/>
              <w:left w:val="nil"/>
              <w:bottom w:val="nil"/>
              <w:right w:val="nil"/>
            </w:tcBorders>
            <w:shd w:val="clear" w:color="000000" w:fill="FFFFFF"/>
            <w:noWrap/>
            <w:vAlign w:val="center"/>
            <w:hideMark/>
          </w:tcPr>
          <w:p w14:paraId="62F0E8A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F19C76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90</w:t>
            </w:r>
          </w:p>
        </w:tc>
        <w:tc>
          <w:tcPr>
            <w:tcW w:w="1028" w:type="dxa"/>
            <w:tcBorders>
              <w:top w:val="nil"/>
              <w:left w:val="nil"/>
              <w:bottom w:val="nil"/>
              <w:right w:val="nil"/>
            </w:tcBorders>
            <w:shd w:val="clear" w:color="000000" w:fill="FFFFFF"/>
            <w:noWrap/>
            <w:vAlign w:val="center"/>
            <w:hideMark/>
          </w:tcPr>
          <w:p w14:paraId="2B037C8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16</w:t>
            </w:r>
          </w:p>
        </w:tc>
      </w:tr>
      <w:tr w:rsidR="00381A4D" w:rsidRPr="00381A4D" w14:paraId="6334D7D3" w14:textId="77777777" w:rsidTr="00381A4D">
        <w:trPr>
          <w:trHeight w:val="229"/>
        </w:trPr>
        <w:tc>
          <w:tcPr>
            <w:tcW w:w="6680" w:type="dxa"/>
            <w:tcBorders>
              <w:top w:val="nil"/>
              <w:left w:val="nil"/>
              <w:bottom w:val="nil"/>
              <w:right w:val="nil"/>
            </w:tcBorders>
            <w:shd w:val="clear" w:color="000000" w:fill="FFFFFF"/>
            <w:noWrap/>
            <w:vAlign w:val="center"/>
            <w:hideMark/>
          </w:tcPr>
          <w:p w14:paraId="1A258F5B"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accident and emergency</w:t>
            </w:r>
          </w:p>
        </w:tc>
        <w:tc>
          <w:tcPr>
            <w:tcW w:w="180" w:type="dxa"/>
            <w:tcBorders>
              <w:top w:val="nil"/>
              <w:left w:val="nil"/>
              <w:bottom w:val="nil"/>
              <w:right w:val="nil"/>
            </w:tcBorders>
            <w:shd w:val="clear" w:color="000000" w:fill="FFFFFF"/>
            <w:noWrap/>
            <w:vAlign w:val="center"/>
            <w:hideMark/>
          </w:tcPr>
          <w:p w14:paraId="2DF9609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52FC369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33</w:t>
            </w:r>
          </w:p>
        </w:tc>
        <w:tc>
          <w:tcPr>
            <w:tcW w:w="992" w:type="dxa"/>
            <w:tcBorders>
              <w:top w:val="nil"/>
              <w:left w:val="nil"/>
              <w:bottom w:val="nil"/>
              <w:right w:val="nil"/>
            </w:tcBorders>
            <w:shd w:val="clear" w:color="000000" w:fill="FFFFFF"/>
            <w:noWrap/>
            <w:vAlign w:val="center"/>
            <w:hideMark/>
          </w:tcPr>
          <w:p w14:paraId="30C7D4C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w:t>
            </w:r>
          </w:p>
        </w:tc>
        <w:tc>
          <w:tcPr>
            <w:tcW w:w="983" w:type="dxa"/>
            <w:tcBorders>
              <w:top w:val="nil"/>
              <w:left w:val="nil"/>
              <w:bottom w:val="nil"/>
              <w:right w:val="nil"/>
            </w:tcBorders>
            <w:shd w:val="clear" w:color="000000" w:fill="FFFFFF"/>
            <w:noWrap/>
            <w:vAlign w:val="center"/>
            <w:hideMark/>
          </w:tcPr>
          <w:p w14:paraId="7D3A31B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2.6%</w:t>
            </w:r>
          </w:p>
        </w:tc>
        <w:tc>
          <w:tcPr>
            <w:tcW w:w="180" w:type="dxa"/>
            <w:tcBorders>
              <w:top w:val="nil"/>
              <w:left w:val="nil"/>
              <w:bottom w:val="nil"/>
              <w:right w:val="nil"/>
            </w:tcBorders>
            <w:shd w:val="clear" w:color="000000" w:fill="FFFFFF"/>
            <w:noWrap/>
            <w:vAlign w:val="center"/>
            <w:hideMark/>
          </w:tcPr>
          <w:p w14:paraId="3C92943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E4C241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c>
          <w:tcPr>
            <w:tcW w:w="1028" w:type="dxa"/>
            <w:tcBorders>
              <w:top w:val="nil"/>
              <w:left w:val="nil"/>
              <w:bottom w:val="nil"/>
              <w:right w:val="nil"/>
            </w:tcBorders>
            <w:shd w:val="clear" w:color="000000" w:fill="FFFFFF"/>
            <w:noWrap/>
            <w:vAlign w:val="center"/>
            <w:hideMark/>
          </w:tcPr>
          <w:p w14:paraId="2A11961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80" w:type="dxa"/>
            <w:tcBorders>
              <w:top w:val="nil"/>
              <w:left w:val="nil"/>
              <w:bottom w:val="nil"/>
              <w:right w:val="nil"/>
            </w:tcBorders>
            <w:shd w:val="clear" w:color="000000" w:fill="FFFFFF"/>
            <w:noWrap/>
            <w:vAlign w:val="center"/>
            <w:hideMark/>
          </w:tcPr>
          <w:p w14:paraId="7FB6F2D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88F658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w:t>
            </w:r>
          </w:p>
        </w:tc>
        <w:tc>
          <w:tcPr>
            <w:tcW w:w="1028" w:type="dxa"/>
            <w:tcBorders>
              <w:top w:val="nil"/>
              <w:left w:val="nil"/>
              <w:bottom w:val="nil"/>
              <w:right w:val="nil"/>
            </w:tcBorders>
            <w:shd w:val="clear" w:color="000000" w:fill="FFFFFF"/>
            <w:noWrap/>
            <w:vAlign w:val="center"/>
            <w:hideMark/>
          </w:tcPr>
          <w:p w14:paraId="20366E5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r>
      <w:tr w:rsidR="00381A4D" w:rsidRPr="00381A4D" w14:paraId="707706BC" w14:textId="77777777" w:rsidTr="00381A4D">
        <w:trPr>
          <w:trHeight w:val="229"/>
        </w:trPr>
        <w:tc>
          <w:tcPr>
            <w:tcW w:w="6680" w:type="dxa"/>
            <w:tcBorders>
              <w:top w:val="nil"/>
              <w:left w:val="nil"/>
              <w:bottom w:val="nil"/>
              <w:right w:val="nil"/>
            </w:tcBorders>
            <w:shd w:val="clear" w:color="000000" w:fill="FFFFFF"/>
            <w:noWrap/>
            <w:vAlign w:val="center"/>
            <w:hideMark/>
          </w:tcPr>
          <w:p w14:paraId="7D48A505"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emergency transport</w:t>
            </w:r>
          </w:p>
        </w:tc>
        <w:tc>
          <w:tcPr>
            <w:tcW w:w="180" w:type="dxa"/>
            <w:tcBorders>
              <w:top w:val="nil"/>
              <w:left w:val="nil"/>
              <w:bottom w:val="nil"/>
              <w:right w:val="nil"/>
            </w:tcBorders>
            <w:shd w:val="clear" w:color="000000" w:fill="FFFFFF"/>
            <w:noWrap/>
            <w:vAlign w:val="center"/>
            <w:hideMark/>
          </w:tcPr>
          <w:p w14:paraId="66EFBC2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16132B3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33</w:t>
            </w:r>
          </w:p>
        </w:tc>
        <w:tc>
          <w:tcPr>
            <w:tcW w:w="992" w:type="dxa"/>
            <w:tcBorders>
              <w:top w:val="nil"/>
              <w:left w:val="nil"/>
              <w:bottom w:val="nil"/>
              <w:right w:val="nil"/>
            </w:tcBorders>
            <w:shd w:val="clear" w:color="000000" w:fill="FFFFFF"/>
            <w:noWrap/>
            <w:vAlign w:val="center"/>
            <w:hideMark/>
          </w:tcPr>
          <w:p w14:paraId="786DDC8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w:t>
            </w:r>
          </w:p>
        </w:tc>
        <w:tc>
          <w:tcPr>
            <w:tcW w:w="983" w:type="dxa"/>
            <w:tcBorders>
              <w:top w:val="nil"/>
              <w:left w:val="nil"/>
              <w:bottom w:val="nil"/>
              <w:right w:val="nil"/>
            </w:tcBorders>
            <w:shd w:val="clear" w:color="000000" w:fill="FFFFFF"/>
            <w:noWrap/>
            <w:vAlign w:val="center"/>
            <w:hideMark/>
          </w:tcPr>
          <w:p w14:paraId="29B146E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2.6%</w:t>
            </w:r>
          </w:p>
        </w:tc>
        <w:tc>
          <w:tcPr>
            <w:tcW w:w="180" w:type="dxa"/>
            <w:tcBorders>
              <w:top w:val="nil"/>
              <w:left w:val="nil"/>
              <w:bottom w:val="nil"/>
              <w:right w:val="nil"/>
            </w:tcBorders>
            <w:shd w:val="clear" w:color="000000" w:fill="FFFFFF"/>
            <w:noWrap/>
            <w:vAlign w:val="center"/>
            <w:hideMark/>
          </w:tcPr>
          <w:p w14:paraId="10FA30D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930539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1028" w:type="dxa"/>
            <w:tcBorders>
              <w:top w:val="nil"/>
              <w:left w:val="nil"/>
              <w:bottom w:val="nil"/>
              <w:right w:val="nil"/>
            </w:tcBorders>
            <w:shd w:val="clear" w:color="000000" w:fill="FFFFFF"/>
            <w:noWrap/>
            <w:vAlign w:val="center"/>
            <w:hideMark/>
          </w:tcPr>
          <w:p w14:paraId="7E02A2A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80" w:type="dxa"/>
            <w:tcBorders>
              <w:top w:val="nil"/>
              <w:left w:val="nil"/>
              <w:bottom w:val="nil"/>
              <w:right w:val="nil"/>
            </w:tcBorders>
            <w:shd w:val="clear" w:color="000000" w:fill="FFFFFF"/>
            <w:noWrap/>
            <w:vAlign w:val="center"/>
            <w:hideMark/>
          </w:tcPr>
          <w:p w14:paraId="4626339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294E7F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11</w:t>
            </w:r>
          </w:p>
        </w:tc>
        <w:tc>
          <w:tcPr>
            <w:tcW w:w="1028" w:type="dxa"/>
            <w:tcBorders>
              <w:top w:val="nil"/>
              <w:left w:val="nil"/>
              <w:bottom w:val="nil"/>
              <w:right w:val="nil"/>
            </w:tcBorders>
            <w:shd w:val="clear" w:color="000000" w:fill="FFFFFF"/>
            <w:noWrap/>
            <w:vAlign w:val="center"/>
            <w:hideMark/>
          </w:tcPr>
          <w:p w14:paraId="6593C19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r>
      <w:tr w:rsidR="00381A4D" w:rsidRPr="00381A4D" w14:paraId="662A6C44" w14:textId="77777777" w:rsidTr="00381A4D">
        <w:trPr>
          <w:trHeight w:val="229"/>
        </w:trPr>
        <w:tc>
          <w:tcPr>
            <w:tcW w:w="6680" w:type="dxa"/>
            <w:tcBorders>
              <w:top w:val="nil"/>
              <w:left w:val="nil"/>
              <w:bottom w:val="nil"/>
              <w:right w:val="nil"/>
            </w:tcBorders>
            <w:shd w:val="clear" w:color="000000" w:fill="FFFFFF"/>
            <w:noWrap/>
            <w:vAlign w:val="center"/>
            <w:hideMark/>
          </w:tcPr>
          <w:p w14:paraId="214A59AD"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other emergency care expenditure</w:t>
            </w:r>
          </w:p>
        </w:tc>
        <w:tc>
          <w:tcPr>
            <w:tcW w:w="180" w:type="dxa"/>
            <w:tcBorders>
              <w:top w:val="nil"/>
              <w:left w:val="nil"/>
              <w:bottom w:val="nil"/>
              <w:right w:val="nil"/>
            </w:tcBorders>
            <w:shd w:val="clear" w:color="000000" w:fill="FFFFFF"/>
            <w:noWrap/>
            <w:vAlign w:val="center"/>
            <w:hideMark/>
          </w:tcPr>
          <w:p w14:paraId="3C5F139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267F8E9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24</w:t>
            </w:r>
          </w:p>
        </w:tc>
        <w:tc>
          <w:tcPr>
            <w:tcW w:w="992" w:type="dxa"/>
            <w:tcBorders>
              <w:top w:val="nil"/>
              <w:left w:val="nil"/>
              <w:bottom w:val="nil"/>
              <w:right w:val="nil"/>
            </w:tcBorders>
            <w:shd w:val="clear" w:color="000000" w:fill="FFFFFF"/>
            <w:noWrap/>
            <w:vAlign w:val="center"/>
            <w:hideMark/>
          </w:tcPr>
          <w:p w14:paraId="068D8DE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w:t>
            </w:r>
          </w:p>
        </w:tc>
        <w:tc>
          <w:tcPr>
            <w:tcW w:w="983" w:type="dxa"/>
            <w:tcBorders>
              <w:top w:val="nil"/>
              <w:left w:val="nil"/>
              <w:bottom w:val="nil"/>
              <w:right w:val="nil"/>
            </w:tcBorders>
            <w:shd w:val="clear" w:color="000000" w:fill="FFFFFF"/>
            <w:noWrap/>
            <w:vAlign w:val="center"/>
            <w:hideMark/>
          </w:tcPr>
          <w:p w14:paraId="7F88702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1.9%</w:t>
            </w:r>
          </w:p>
        </w:tc>
        <w:tc>
          <w:tcPr>
            <w:tcW w:w="180" w:type="dxa"/>
            <w:tcBorders>
              <w:top w:val="nil"/>
              <w:left w:val="nil"/>
              <w:bottom w:val="nil"/>
              <w:right w:val="nil"/>
            </w:tcBorders>
            <w:shd w:val="clear" w:color="000000" w:fill="FFFFFF"/>
            <w:noWrap/>
            <w:vAlign w:val="center"/>
            <w:hideMark/>
          </w:tcPr>
          <w:p w14:paraId="3042DD8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0399D2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028" w:type="dxa"/>
            <w:tcBorders>
              <w:top w:val="nil"/>
              <w:left w:val="nil"/>
              <w:bottom w:val="nil"/>
              <w:right w:val="nil"/>
            </w:tcBorders>
            <w:shd w:val="clear" w:color="000000" w:fill="FFFFFF"/>
            <w:noWrap/>
            <w:vAlign w:val="center"/>
            <w:hideMark/>
          </w:tcPr>
          <w:p w14:paraId="0D4D8BA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80" w:type="dxa"/>
            <w:tcBorders>
              <w:top w:val="nil"/>
              <w:left w:val="nil"/>
              <w:bottom w:val="nil"/>
              <w:right w:val="nil"/>
            </w:tcBorders>
            <w:shd w:val="clear" w:color="000000" w:fill="FFFFFF"/>
            <w:noWrap/>
            <w:vAlign w:val="center"/>
            <w:hideMark/>
          </w:tcPr>
          <w:p w14:paraId="72F2390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1830C2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2B75EDA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r>
      <w:tr w:rsidR="00381A4D" w:rsidRPr="00381A4D" w14:paraId="075B53FB" w14:textId="77777777" w:rsidTr="00381A4D">
        <w:trPr>
          <w:trHeight w:val="229"/>
        </w:trPr>
        <w:tc>
          <w:tcPr>
            <w:tcW w:w="6680" w:type="dxa"/>
            <w:tcBorders>
              <w:top w:val="nil"/>
              <w:left w:val="nil"/>
              <w:bottom w:val="nil"/>
              <w:right w:val="nil"/>
            </w:tcBorders>
            <w:shd w:val="clear" w:color="000000" w:fill="FFFFFF"/>
            <w:noWrap/>
            <w:vAlign w:val="center"/>
            <w:hideMark/>
          </w:tcPr>
          <w:p w14:paraId="048855AE"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non-emergency care</w:t>
            </w:r>
          </w:p>
        </w:tc>
        <w:tc>
          <w:tcPr>
            <w:tcW w:w="180" w:type="dxa"/>
            <w:tcBorders>
              <w:top w:val="nil"/>
              <w:left w:val="nil"/>
              <w:bottom w:val="nil"/>
              <w:right w:val="nil"/>
            </w:tcBorders>
            <w:shd w:val="clear" w:color="000000" w:fill="FFFFFF"/>
            <w:noWrap/>
            <w:vAlign w:val="center"/>
            <w:hideMark/>
          </w:tcPr>
          <w:p w14:paraId="7D4BBA0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5D2D1CE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981</w:t>
            </w:r>
          </w:p>
        </w:tc>
        <w:tc>
          <w:tcPr>
            <w:tcW w:w="992" w:type="dxa"/>
            <w:tcBorders>
              <w:top w:val="nil"/>
              <w:left w:val="nil"/>
              <w:bottom w:val="nil"/>
              <w:right w:val="nil"/>
            </w:tcBorders>
            <w:shd w:val="clear" w:color="000000" w:fill="FFFFFF"/>
            <w:noWrap/>
            <w:vAlign w:val="center"/>
            <w:hideMark/>
          </w:tcPr>
          <w:p w14:paraId="26BB7D5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125</w:t>
            </w:r>
          </w:p>
        </w:tc>
        <w:tc>
          <w:tcPr>
            <w:tcW w:w="983" w:type="dxa"/>
            <w:tcBorders>
              <w:top w:val="nil"/>
              <w:left w:val="nil"/>
              <w:bottom w:val="nil"/>
              <w:right w:val="nil"/>
            </w:tcBorders>
            <w:shd w:val="clear" w:color="000000" w:fill="FFFFFF"/>
            <w:noWrap/>
            <w:vAlign w:val="center"/>
            <w:hideMark/>
          </w:tcPr>
          <w:p w14:paraId="01C4A39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78.0%</w:t>
            </w:r>
          </w:p>
        </w:tc>
        <w:tc>
          <w:tcPr>
            <w:tcW w:w="180" w:type="dxa"/>
            <w:tcBorders>
              <w:top w:val="nil"/>
              <w:left w:val="nil"/>
              <w:bottom w:val="nil"/>
              <w:right w:val="nil"/>
            </w:tcBorders>
            <w:shd w:val="clear" w:color="000000" w:fill="FFFFFF"/>
            <w:noWrap/>
            <w:vAlign w:val="center"/>
            <w:hideMark/>
          </w:tcPr>
          <w:p w14:paraId="6FC48CA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255CB3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85</w:t>
            </w:r>
          </w:p>
        </w:tc>
        <w:tc>
          <w:tcPr>
            <w:tcW w:w="1028" w:type="dxa"/>
            <w:tcBorders>
              <w:top w:val="nil"/>
              <w:left w:val="nil"/>
              <w:bottom w:val="nil"/>
              <w:right w:val="nil"/>
            </w:tcBorders>
            <w:shd w:val="clear" w:color="000000" w:fill="FFFFFF"/>
            <w:noWrap/>
            <w:vAlign w:val="center"/>
            <w:hideMark/>
          </w:tcPr>
          <w:p w14:paraId="10623CB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16</w:t>
            </w:r>
          </w:p>
        </w:tc>
        <w:tc>
          <w:tcPr>
            <w:tcW w:w="180" w:type="dxa"/>
            <w:tcBorders>
              <w:top w:val="nil"/>
              <w:left w:val="nil"/>
              <w:bottom w:val="nil"/>
              <w:right w:val="nil"/>
            </w:tcBorders>
            <w:shd w:val="clear" w:color="000000" w:fill="FFFFFF"/>
            <w:noWrap/>
            <w:vAlign w:val="center"/>
            <w:hideMark/>
          </w:tcPr>
          <w:p w14:paraId="23C0581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4FFCD0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178</w:t>
            </w:r>
          </w:p>
        </w:tc>
        <w:tc>
          <w:tcPr>
            <w:tcW w:w="1028" w:type="dxa"/>
            <w:tcBorders>
              <w:top w:val="nil"/>
              <w:left w:val="nil"/>
              <w:bottom w:val="nil"/>
              <w:right w:val="nil"/>
            </w:tcBorders>
            <w:shd w:val="clear" w:color="000000" w:fill="FFFFFF"/>
            <w:noWrap/>
            <w:vAlign w:val="center"/>
            <w:hideMark/>
          </w:tcPr>
          <w:p w14:paraId="046A917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30</w:t>
            </w:r>
          </w:p>
        </w:tc>
      </w:tr>
      <w:tr w:rsidR="00381A4D" w:rsidRPr="00381A4D" w14:paraId="0F567C62" w14:textId="77777777" w:rsidTr="00381A4D">
        <w:trPr>
          <w:trHeight w:val="229"/>
        </w:trPr>
        <w:tc>
          <w:tcPr>
            <w:tcW w:w="6680" w:type="dxa"/>
            <w:tcBorders>
              <w:top w:val="nil"/>
              <w:left w:val="nil"/>
              <w:bottom w:val="nil"/>
              <w:right w:val="nil"/>
            </w:tcBorders>
            <w:shd w:val="clear" w:color="000000" w:fill="FFFFFF"/>
            <w:noWrap/>
            <w:vAlign w:val="center"/>
            <w:hideMark/>
          </w:tcPr>
          <w:p w14:paraId="55B17E2D"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day case and elective care</w:t>
            </w:r>
          </w:p>
        </w:tc>
        <w:tc>
          <w:tcPr>
            <w:tcW w:w="180" w:type="dxa"/>
            <w:tcBorders>
              <w:top w:val="nil"/>
              <w:left w:val="nil"/>
              <w:bottom w:val="nil"/>
              <w:right w:val="nil"/>
            </w:tcBorders>
            <w:shd w:val="clear" w:color="000000" w:fill="FFFFFF"/>
            <w:noWrap/>
            <w:vAlign w:val="center"/>
            <w:hideMark/>
          </w:tcPr>
          <w:p w14:paraId="154274D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3188420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141</w:t>
            </w:r>
          </w:p>
        </w:tc>
        <w:tc>
          <w:tcPr>
            <w:tcW w:w="992" w:type="dxa"/>
            <w:tcBorders>
              <w:top w:val="nil"/>
              <w:left w:val="nil"/>
              <w:bottom w:val="nil"/>
              <w:right w:val="nil"/>
            </w:tcBorders>
            <w:shd w:val="clear" w:color="000000" w:fill="FFFFFF"/>
            <w:noWrap/>
            <w:vAlign w:val="center"/>
            <w:hideMark/>
          </w:tcPr>
          <w:p w14:paraId="535ADB8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24</w:t>
            </w:r>
          </w:p>
        </w:tc>
        <w:tc>
          <w:tcPr>
            <w:tcW w:w="983" w:type="dxa"/>
            <w:tcBorders>
              <w:top w:val="nil"/>
              <w:left w:val="nil"/>
              <w:bottom w:val="nil"/>
              <w:right w:val="nil"/>
            </w:tcBorders>
            <w:shd w:val="clear" w:color="000000" w:fill="FFFFFF"/>
            <w:noWrap/>
            <w:vAlign w:val="center"/>
            <w:hideMark/>
          </w:tcPr>
          <w:p w14:paraId="5FA52FC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11.2%</w:t>
            </w:r>
          </w:p>
        </w:tc>
        <w:tc>
          <w:tcPr>
            <w:tcW w:w="180" w:type="dxa"/>
            <w:tcBorders>
              <w:top w:val="nil"/>
              <w:left w:val="nil"/>
              <w:bottom w:val="nil"/>
              <w:right w:val="nil"/>
            </w:tcBorders>
            <w:shd w:val="clear" w:color="000000" w:fill="FFFFFF"/>
            <w:noWrap/>
            <w:vAlign w:val="center"/>
            <w:hideMark/>
          </w:tcPr>
          <w:p w14:paraId="5F26955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63B552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31</w:t>
            </w:r>
          </w:p>
        </w:tc>
        <w:tc>
          <w:tcPr>
            <w:tcW w:w="1028" w:type="dxa"/>
            <w:tcBorders>
              <w:top w:val="nil"/>
              <w:left w:val="nil"/>
              <w:bottom w:val="nil"/>
              <w:right w:val="nil"/>
            </w:tcBorders>
            <w:shd w:val="clear" w:color="000000" w:fill="FFFFFF"/>
            <w:noWrap/>
            <w:vAlign w:val="center"/>
            <w:hideMark/>
          </w:tcPr>
          <w:p w14:paraId="0D3FE99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180" w:type="dxa"/>
            <w:tcBorders>
              <w:top w:val="nil"/>
              <w:left w:val="nil"/>
              <w:bottom w:val="nil"/>
              <w:right w:val="nil"/>
            </w:tcBorders>
            <w:shd w:val="clear" w:color="000000" w:fill="FFFFFF"/>
            <w:noWrap/>
            <w:vAlign w:val="center"/>
            <w:hideMark/>
          </w:tcPr>
          <w:p w14:paraId="67F0B61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887978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55</w:t>
            </w:r>
          </w:p>
        </w:tc>
        <w:tc>
          <w:tcPr>
            <w:tcW w:w="1028" w:type="dxa"/>
            <w:tcBorders>
              <w:top w:val="nil"/>
              <w:left w:val="nil"/>
              <w:bottom w:val="nil"/>
              <w:right w:val="nil"/>
            </w:tcBorders>
            <w:shd w:val="clear" w:color="000000" w:fill="FFFFFF"/>
            <w:noWrap/>
            <w:vAlign w:val="center"/>
            <w:hideMark/>
          </w:tcPr>
          <w:p w14:paraId="24CE09B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w:t>
            </w:r>
          </w:p>
        </w:tc>
      </w:tr>
      <w:tr w:rsidR="00381A4D" w:rsidRPr="00381A4D" w14:paraId="65CA0F8E" w14:textId="77777777" w:rsidTr="00381A4D">
        <w:trPr>
          <w:trHeight w:val="229"/>
        </w:trPr>
        <w:tc>
          <w:tcPr>
            <w:tcW w:w="6680" w:type="dxa"/>
            <w:tcBorders>
              <w:top w:val="nil"/>
              <w:left w:val="nil"/>
              <w:bottom w:val="nil"/>
              <w:right w:val="nil"/>
            </w:tcBorders>
            <w:shd w:val="clear" w:color="000000" w:fill="FFFFFF"/>
            <w:noWrap/>
            <w:vAlign w:val="center"/>
            <w:hideMark/>
          </w:tcPr>
          <w:p w14:paraId="03EE6E1B"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outpatient care</w:t>
            </w:r>
          </w:p>
        </w:tc>
        <w:tc>
          <w:tcPr>
            <w:tcW w:w="180" w:type="dxa"/>
            <w:tcBorders>
              <w:top w:val="nil"/>
              <w:left w:val="nil"/>
              <w:bottom w:val="nil"/>
              <w:right w:val="nil"/>
            </w:tcBorders>
            <w:shd w:val="clear" w:color="000000" w:fill="FFFFFF"/>
            <w:noWrap/>
            <w:vAlign w:val="center"/>
            <w:hideMark/>
          </w:tcPr>
          <w:p w14:paraId="6D02C59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1E64270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105</w:t>
            </w:r>
          </w:p>
        </w:tc>
        <w:tc>
          <w:tcPr>
            <w:tcW w:w="992" w:type="dxa"/>
            <w:tcBorders>
              <w:top w:val="nil"/>
              <w:left w:val="nil"/>
              <w:bottom w:val="nil"/>
              <w:right w:val="nil"/>
            </w:tcBorders>
            <w:shd w:val="clear" w:color="000000" w:fill="FFFFFF"/>
            <w:noWrap/>
            <w:vAlign w:val="center"/>
            <w:hideMark/>
          </w:tcPr>
          <w:p w14:paraId="0338F45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17</w:t>
            </w:r>
          </w:p>
        </w:tc>
        <w:tc>
          <w:tcPr>
            <w:tcW w:w="983" w:type="dxa"/>
            <w:tcBorders>
              <w:top w:val="nil"/>
              <w:left w:val="nil"/>
              <w:bottom w:val="nil"/>
              <w:right w:val="nil"/>
            </w:tcBorders>
            <w:shd w:val="clear" w:color="000000" w:fill="FFFFFF"/>
            <w:noWrap/>
            <w:vAlign w:val="center"/>
            <w:hideMark/>
          </w:tcPr>
          <w:p w14:paraId="3B031A3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8.3%</w:t>
            </w:r>
          </w:p>
        </w:tc>
        <w:tc>
          <w:tcPr>
            <w:tcW w:w="180" w:type="dxa"/>
            <w:tcBorders>
              <w:top w:val="nil"/>
              <w:left w:val="nil"/>
              <w:bottom w:val="nil"/>
              <w:right w:val="nil"/>
            </w:tcBorders>
            <w:shd w:val="clear" w:color="000000" w:fill="FFFFFF"/>
            <w:noWrap/>
            <w:vAlign w:val="center"/>
            <w:hideMark/>
          </w:tcPr>
          <w:p w14:paraId="011214B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DB2763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13</w:t>
            </w:r>
          </w:p>
        </w:tc>
        <w:tc>
          <w:tcPr>
            <w:tcW w:w="1028" w:type="dxa"/>
            <w:tcBorders>
              <w:top w:val="nil"/>
              <w:left w:val="nil"/>
              <w:bottom w:val="nil"/>
              <w:right w:val="nil"/>
            </w:tcBorders>
            <w:shd w:val="clear" w:color="000000" w:fill="FFFFFF"/>
            <w:noWrap/>
            <w:vAlign w:val="center"/>
            <w:hideMark/>
          </w:tcPr>
          <w:p w14:paraId="326D265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w:t>
            </w:r>
          </w:p>
        </w:tc>
        <w:tc>
          <w:tcPr>
            <w:tcW w:w="180" w:type="dxa"/>
            <w:tcBorders>
              <w:top w:val="nil"/>
              <w:left w:val="nil"/>
              <w:bottom w:val="nil"/>
              <w:right w:val="nil"/>
            </w:tcBorders>
            <w:shd w:val="clear" w:color="000000" w:fill="FFFFFF"/>
            <w:noWrap/>
            <w:vAlign w:val="center"/>
            <w:hideMark/>
          </w:tcPr>
          <w:p w14:paraId="2064DC9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86E79A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26</w:t>
            </w:r>
          </w:p>
        </w:tc>
        <w:tc>
          <w:tcPr>
            <w:tcW w:w="1028" w:type="dxa"/>
            <w:tcBorders>
              <w:top w:val="nil"/>
              <w:left w:val="nil"/>
              <w:bottom w:val="nil"/>
              <w:right w:val="nil"/>
            </w:tcBorders>
            <w:shd w:val="clear" w:color="000000" w:fill="FFFFFF"/>
            <w:noWrap/>
            <w:vAlign w:val="center"/>
            <w:hideMark/>
          </w:tcPr>
          <w:p w14:paraId="213E157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r>
      <w:tr w:rsidR="00381A4D" w:rsidRPr="00381A4D" w14:paraId="14BC0F91" w14:textId="77777777" w:rsidTr="00381A4D">
        <w:trPr>
          <w:trHeight w:val="229"/>
        </w:trPr>
        <w:tc>
          <w:tcPr>
            <w:tcW w:w="6680" w:type="dxa"/>
            <w:tcBorders>
              <w:top w:val="nil"/>
              <w:left w:val="nil"/>
              <w:bottom w:val="nil"/>
              <w:right w:val="nil"/>
            </w:tcBorders>
            <w:shd w:val="clear" w:color="000000" w:fill="FFFFFF"/>
            <w:noWrap/>
            <w:vAlign w:val="center"/>
            <w:hideMark/>
          </w:tcPr>
          <w:p w14:paraId="13C3A390"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unbundled diagnostic imaging</w:t>
            </w:r>
          </w:p>
        </w:tc>
        <w:tc>
          <w:tcPr>
            <w:tcW w:w="180" w:type="dxa"/>
            <w:tcBorders>
              <w:top w:val="nil"/>
              <w:left w:val="nil"/>
              <w:bottom w:val="nil"/>
              <w:right w:val="nil"/>
            </w:tcBorders>
            <w:shd w:val="clear" w:color="000000" w:fill="FFFFFF"/>
            <w:noWrap/>
            <w:vAlign w:val="center"/>
            <w:hideMark/>
          </w:tcPr>
          <w:p w14:paraId="5366912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20DB1D5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12</w:t>
            </w:r>
          </w:p>
        </w:tc>
        <w:tc>
          <w:tcPr>
            <w:tcW w:w="992" w:type="dxa"/>
            <w:tcBorders>
              <w:top w:val="nil"/>
              <w:left w:val="nil"/>
              <w:bottom w:val="nil"/>
              <w:right w:val="nil"/>
            </w:tcBorders>
            <w:shd w:val="clear" w:color="000000" w:fill="FFFFFF"/>
            <w:noWrap/>
            <w:vAlign w:val="center"/>
            <w:hideMark/>
          </w:tcPr>
          <w:p w14:paraId="110292B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w:t>
            </w:r>
          </w:p>
        </w:tc>
        <w:tc>
          <w:tcPr>
            <w:tcW w:w="983" w:type="dxa"/>
            <w:tcBorders>
              <w:top w:val="nil"/>
              <w:left w:val="nil"/>
              <w:bottom w:val="nil"/>
              <w:right w:val="nil"/>
            </w:tcBorders>
            <w:shd w:val="clear" w:color="000000" w:fill="FFFFFF"/>
            <w:noWrap/>
            <w:vAlign w:val="center"/>
            <w:hideMark/>
          </w:tcPr>
          <w:p w14:paraId="2AC2473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0.9%</w:t>
            </w:r>
          </w:p>
        </w:tc>
        <w:tc>
          <w:tcPr>
            <w:tcW w:w="180" w:type="dxa"/>
            <w:tcBorders>
              <w:top w:val="nil"/>
              <w:left w:val="nil"/>
              <w:bottom w:val="nil"/>
              <w:right w:val="nil"/>
            </w:tcBorders>
            <w:shd w:val="clear" w:color="000000" w:fill="FFFFFF"/>
            <w:noWrap/>
            <w:vAlign w:val="center"/>
            <w:hideMark/>
          </w:tcPr>
          <w:p w14:paraId="7A33350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985B61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39A76FE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c>
          <w:tcPr>
            <w:tcW w:w="180" w:type="dxa"/>
            <w:tcBorders>
              <w:top w:val="nil"/>
              <w:left w:val="nil"/>
              <w:bottom w:val="nil"/>
              <w:right w:val="nil"/>
            </w:tcBorders>
            <w:shd w:val="clear" w:color="000000" w:fill="FFFFFF"/>
            <w:noWrap/>
            <w:vAlign w:val="center"/>
            <w:hideMark/>
          </w:tcPr>
          <w:p w14:paraId="677C480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5E347D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w:t>
            </w:r>
          </w:p>
        </w:tc>
        <w:tc>
          <w:tcPr>
            <w:tcW w:w="1028" w:type="dxa"/>
            <w:tcBorders>
              <w:top w:val="nil"/>
              <w:left w:val="nil"/>
              <w:bottom w:val="nil"/>
              <w:right w:val="nil"/>
            </w:tcBorders>
            <w:shd w:val="clear" w:color="000000" w:fill="FFFFFF"/>
            <w:noWrap/>
            <w:vAlign w:val="center"/>
            <w:hideMark/>
          </w:tcPr>
          <w:p w14:paraId="1B472DF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w:t>
            </w:r>
          </w:p>
        </w:tc>
      </w:tr>
      <w:tr w:rsidR="00381A4D" w:rsidRPr="00381A4D" w14:paraId="5DE0087B" w14:textId="77777777" w:rsidTr="00381A4D">
        <w:trPr>
          <w:trHeight w:val="229"/>
        </w:trPr>
        <w:tc>
          <w:tcPr>
            <w:tcW w:w="6680" w:type="dxa"/>
            <w:tcBorders>
              <w:top w:val="nil"/>
              <w:left w:val="nil"/>
              <w:bottom w:val="nil"/>
              <w:right w:val="nil"/>
            </w:tcBorders>
            <w:shd w:val="clear" w:color="000000" w:fill="FFFFFF"/>
            <w:noWrap/>
            <w:vAlign w:val="center"/>
            <w:hideMark/>
          </w:tcPr>
          <w:p w14:paraId="0DADDA30"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unbundled critical care</w:t>
            </w:r>
          </w:p>
        </w:tc>
        <w:tc>
          <w:tcPr>
            <w:tcW w:w="180" w:type="dxa"/>
            <w:tcBorders>
              <w:top w:val="nil"/>
              <w:left w:val="nil"/>
              <w:bottom w:val="nil"/>
              <w:right w:val="nil"/>
            </w:tcBorders>
            <w:shd w:val="clear" w:color="000000" w:fill="FFFFFF"/>
            <w:noWrap/>
            <w:vAlign w:val="center"/>
            <w:hideMark/>
          </w:tcPr>
          <w:p w14:paraId="619812D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2218A7A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21</w:t>
            </w:r>
          </w:p>
        </w:tc>
        <w:tc>
          <w:tcPr>
            <w:tcW w:w="992" w:type="dxa"/>
            <w:tcBorders>
              <w:top w:val="nil"/>
              <w:left w:val="nil"/>
              <w:bottom w:val="nil"/>
              <w:right w:val="nil"/>
            </w:tcBorders>
            <w:shd w:val="clear" w:color="000000" w:fill="FFFFFF"/>
            <w:noWrap/>
            <w:vAlign w:val="center"/>
            <w:hideMark/>
          </w:tcPr>
          <w:p w14:paraId="26E4F68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983" w:type="dxa"/>
            <w:tcBorders>
              <w:top w:val="nil"/>
              <w:left w:val="nil"/>
              <w:bottom w:val="nil"/>
              <w:right w:val="nil"/>
            </w:tcBorders>
            <w:shd w:val="clear" w:color="000000" w:fill="FFFFFF"/>
            <w:noWrap/>
            <w:vAlign w:val="center"/>
            <w:hideMark/>
          </w:tcPr>
          <w:p w14:paraId="38D1933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1.7%</w:t>
            </w:r>
          </w:p>
        </w:tc>
        <w:tc>
          <w:tcPr>
            <w:tcW w:w="180" w:type="dxa"/>
            <w:tcBorders>
              <w:top w:val="nil"/>
              <w:left w:val="nil"/>
              <w:bottom w:val="nil"/>
              <w:right w:val="nil"/>
            </w:tcBorders>
            <w:shd w:val="clear" w:color="000000" w:fill="FFFFFF"/>
            <w:noWrap/>
            <w:vAlign w:val="center"/>
            <w:hideMark/>
          </w:tcPr>
          <w:p w14:paraId="5B09BBC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F76E6B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w:t>
            </w:r>
          </w:p>
        </w:tc>
        <w:tc>
          <w:tcPr>
            <w:tcW w:w="1028" w:type="dxa"/>
            <w:tcBorders>
              <w:top w:val="nil"/>
              <w:left w:val="nil"/>
              <w:bottom w:val="nil"/>
              <w:right w:val="nil"/>
            </w:tcBorders>
            <w:shd w:val="clear" w:color="000000" w:fill="FFFFFF"/>
            <w:noWrap/>
            <w:vAlign w:val="center"/>
            <w:hideMark/>
          </w:tcPr>
          <w:p w14:paraId="2F7CDCC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c>
          <w:tcPr>
            <w:tcW w:w="180" w:type="dxa"/>
            <w:tcBorders>
              <w:top w:val="nil"/>
              <w:left w:val="nil"/>
              <w:bottom w:val="nil"/>
              <w:right w:val="nil"/>
            </w:tcBorders>
            <w:shd w:val="clear" w:color="000000" w:fill="FFFFFF"/>
            <w:noWrap/>
            <w:vAlign w:val="center"/>
            <w:hideMark/>
          </w:tcPr>
          <w:p w14:paraId="642DCAC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BC8248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13</w:t>
            </w:r>
          </w:p>
        </w:tc>
        <w:tc>
          <w:tcPr>
            <w:tcW w:w="1028" w:type="dxa"/>
            <w:tcBorders>
              <w:top w:val="nil"/>
              <w:left w:val="nil"/>
              <w:bottom w:val="nil"/>
              <w:right w:val="nil"/>
            </w:tcBorders>
            <w:shd w:val="clear" w:color="000000" w:fill="FFFFFF"/>
            <w:noWrap/>
            <w:vAlign w:val="center"/>
            <w:hideMark/>
          </w:tcPr>
          <w:p w14:paraId="582D534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w:t>
            </w:r>
          </w:p>
        </w:tc>
      </w:tr>
      <w:tr w:rsidR="00381A4D" w:rsidRPr="00381A4D" w14:paraId="14C04C7D" w14:textId="77777777" w:rsidTr="00381A4D">
        <w:trPr>
          <w:trHeight w:val="229"/>
        </w:trPr>
        <w:tc>
          <w:tcPr>
            <w:tcW w:w="6680" w:type="dxa"/>
            <w:tcBorders>
              <w:top w:val="nil"/>
              <w:left w:val="nil"/>
              <w:bottom w:val="nil"/>
              <w:right w:val="nil"/>
            </w:tcBorders>
            <w:shd w:val="clear" w:color="000000" w:fill="FFFFFF"/>
            <w:noWrap/>
            <w:vAlign w:val="center"/>
            <w:hideMark/>
          </w:tcPr>
          <w:p w14:paraId="76B23A09"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unbundled drugs and devices</w:t>
            </w:r>
          </w:p>
        </w:tc>
        <w:tc>
          <w:tcPr>
            <w:tcW w:w="180" w:type="dxa"/>
            <w:tcBorders>
              <w:top w:val="nil"/>
              <w:left w:val="nil"/>
              <w:bottom w:val="nil"/>
              <w:right w:val="nil"/>
            </w:tcBorders>
            <w:shd w:val="clear" w:color="000000" w:fill="FFFFFF"/>
            <w:noWrap/>
            <w:vAlign w:val="center"/>
            <w:hideMark/>
          </w:tcPr>
          <w:p w14:paraId="2E6965E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1C781C4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25</w:t>
            </w:r>
          </w:p>
        </w:tc>
        <w:tc>
          <w:tcPr>
            <w:tcW w:w="992" w:type="dxa"/>
            <w:tcBorders>
              <w:top w:val="nil"/>
              <w:left w:val="nil"/>
              <w:bottom w:val="nil"/>
              <w:right w:val="nil"/>
            </w:tcBorders>
            <w:shd w:val="clear" w:color="000000" w:fill="FFFFFF"/>
            <w:noWrap/>
            <w:vAlign w:val="center"/>
            <w:hideMark/>
          </w:tcPr>
          <w:p w14:paraId="46E187D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w:t>
            </w:r>
          </w:p>
        </w:tc>
        <w:tc>
          <w:tcPr>
            <w:tcW w:w="983" w:type="dxa"/>
            <w:tcBorders>
              <w:top w:val="nil"/>
              <w:left w:val="nil"/>
              <w:bottom w:val="nil"/>
              <w:right w:val="nil"/>
            </w:tcBorders>
            <w:shd w:val="clear" w:color="000000" w:fill="FFFFFF"/>
            <w:noWrap/>
            <w:vAlign w:val="center"/>
            <w:hideMark/>
          </w:tcPr>
          <w:p w14:paraId="552517D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2.0%</w:t>
            </w:r>
          </w:p>
        </w:tc>
        <w:tc>
          <w:tcPr>
            <w:tcW w:w="180" w:type="dxa"/>
            <w:tcBorders>
              <w:top w:val="nil"/>
              <w:left w:val="nil"/>
              <w:bottom w:val="nil"/>
              <w:right w:val="nil"/>
            </w:tcBorders>
            <w:shd w:val="clear" w:color="000000" w:fill="FFFFFF"/>
            <w:noWrap/>
            <w:vAlign w:val="center"/>
            <w:hideMark/>
          </w:tcPr>
          <w:p w14:paraId="0B10CA6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E30D05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51B48E8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80" w:type="dxa"/>
            <w:tcBorders>
              <w:top w:val="nil"/>
              <w:left w:val="nil"/>
              <w:bottom w:val="nil"/>
              <w:right w:val="nil"/>
            </w:tcBorders>
            <w:shd w:val="clear" w:color="000000" w:fill="FFFFFF"/>
            <w:noWrap/>
            <w:vAlign w:val="center"/>
            <w:hideMark/>
          </w:tcPr>
          <w:p w14:paraId="16CD192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54BB36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w:t>
            </w:r>
          </w:p>
        </w:tc>
        <w:tc>
          <w:tcPr>
            <w:tcW w:w="1028" w:type="dxa"/>
            <w:tcBorders>
              <w:top w:val="nil"/>
              <w:left w:val="nil"/>
              <w:bottom w:val="nil"/>
              <w:right w:val="nil"/>
            </w:tcBorders>
            <w:shd w:val="clear" w:color="000000" w:fill="FFFFFF"/>
            <w:noWrap/>
            <w:vAlign w:val="center"/>
            <w:hideMark/>
          </w:tcPr>
          <w:p w14:paraId="542E716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r>
      <w:tr w:rsidR="00381A4D" w:rsidRPr="00381A4D" w14:paraId="1729A5A7" w14:textId="77777777" w:rsidTr="00381A4D">
        <w:trPr>
          <w:trHeight w:val="229"/>
        </w:trPr>
        <w:tc>
          <w:tcPr>
            <w:tcW w:w="6680" w:type="dxa"/>
            <w:tcBorders>
              <w:top w:val="nil"/>
              <w:left w:val="nil"/>
              <w:bottom w:val="nil"/>
              <w:right w:val="nil"/>
            </w:tcBorders>
            <w:shd w:val="clear" w:color="000000" w:fill="FFFFFF"/>
            <w:noWrap/>
            <w:vAlign w:val="center"/>
            <w:hideMark/>
          </w:tcPr>
          <w:p w14:paraId="30431E5E"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other secondary care</w:t>
            </w:r>
          </w:p>
        </w:tc>
        <w:tc>
          <w:tcPr>
            <w:tcW w:w="180" w:type="dxa"/>
            <w:tcBorders>
              <w:top w:val="nil"/>
              <w:left w:val="nil"/>
              <w:bottom w:val="nil"/>
              <w:right w:val="nil"/>
            </w:tcBorders>
            <w:shd w:val="clear" w:color="000000" w:fill="FFFFFF"/>
            <w:noWrap/>
            <w:vAlign w:val="center"/>
            <w:hideMark/>
          </w:tcPr>
          <w:p w14:paraId="19F0D68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47623BA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40</w:t>
            </w:r>
          </w:p>
        </w:tc>
        <w:tc>
          <w:tcPr>
            <w:tcW w:w="992" w:type="dxa"/>
            <w:tcBorders>
              <w:top w:val="nil"/>
              <w:left w:val="nil"/>
              <w:bottom w:val="nil"/>
              <w:right w:val="nil"/>
            </w:tcBorders>
            <w:shd w:val="clear" w:color="000000" w:fill="FFFFFF"/>
            <w:noWrap/>
            <w:vAlign w:val="center"/>
            <w:hideMark/>
          </w:tcPr>
          <w:p w14:paraId="1E983EC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29</w:t>
            </w:r>
          </w:p>
        </w:tc>
        <w:tc>
          <w:tcPr>
            <w:tcW w:w="983" w:type="dxa"/>
            <w:tcBorders>
              <w:top w:val="nil"/>
              <w:left w:val="nil"/>
              <w:bottom w:val="nil"/>
              <w:right w:val="nil"/>
            </w:tcBorders>
            <w:shd w:val="clear" w:color="000000" w:fill="FFFFFF"/>
            <w:noWrap/>
            <w:vAlign w:val="center"/>
            <w:hideMark/>
          </w:tcPr>
          <w:p w14:paraId="51AC42F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3.2%</w:t>
            </w:r>
          </w:p>
        </w:tc>
        <w:tc>
          <w:tcPr>
            <w:tcW w:w="180" w:type="dxa"/>
            <w:tcBorders>
              <w:top w:val="nil"/>
              <w:left w:val="nil"/>
              <w:bottom w:val="nil"/>
              <w:right w:val="nil"/>
            </w:tcBorders>
            <w:shd w:val="clear" w:color="000000" w:fill="FFFFFF"/>
            <w:noWrap/>
            <w:vAlign w:val="center"/>
            <w:hideMark/>
          </w:tcPr>
          <w:p w14:paraId="5891B0D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839B09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w:t>
            </w:r>
          </w:p>
        </w:tc>
        <w:tc>
          <w:tcPr>
            <w:tcW w:w="1028" w:type="dxa"/>
            <w:tcBorders>
              <w:top w:val="nil"/>
              <w:left w:val="nil"/>
              <w:bottom w:val="nil"/>
              <w:right w:val="nil"/>
            </w:tcBorders>
            <w:shd w:val="clear" w:color="000000" w:fill="FFFFFF"/>
            <w:noWrap/>
            <w:vAlign w:val="center"/>
            <w:hideMark/>
          </w:tcPr>
          <w:p w14:paraId="0837BF0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w:t>
            </w:r>
          </w:p>
        </w:tc>
        <w:tc>
          <w:tcPr>
            <w:tcW w:w="180" w:type="dxa"/>
            <w:tcBorders>
              <w:top w:val="nil"/>
              <w:left w:val="nil"/>
              <w:bottom w:val="nil"/>
              <w:right w:val="nil"/>
            </w:tcBorders>
            <w:shd w:val="clear" w:color="000000" w:fill="FFFFFF"/>
            <w:noWrap/>
            <w:vAlign w:val="center"/>
            <w:hideMark/>
          </w:tcPr>
          <w:p w14:paraId="5DA8889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58E192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1028" w:type="dxa"/>
            <w:tcBorders>
              <w:top w:val="nil"/>
              <w:left w:val="nil"/>
              <w:bottom w:val="nil"/>
              <w:right w:val="nil"/>
            </w:tcBorders>
            <w:shd w:val="clear" w:color="000000" w:fill="FFFFFF"/>
            <w:noWrap/>
            <w:vAlign w:val="center"/>
            <w:hideMark/>
          </w:tcPr>
          <w:p w14:paraId="5766A08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w:t>
            </w:r>
          </w:p>
        </w:tc>
      </w:tr>
      <w:tr w:rsidR="00381A4D" w:rsidRPr="00381A4D" w14:paraId="0BE06815" w14:textId="77777777" w:rsidTr="00381A4D">
        <w:trPr>
          <w:trHeight w:val="229"/>
        </w:trPr>
        <w:tc>
          <w:tcPr>
            <w:tcW w:w="6680" w:type="dxa"/>
            <w:tcBorders>
              <w:top w:val="nil"/>
              <w:left w:val="nil"/>
              <w:bottom w:val="nil"/>
              <w:right w:val="nil"/>
            </w:tcBorders>
            <w:shd w:val="clear" w:color="000000" w:fill="FFFFFF"/>
            <w:noWrap/>
            <w:vAlign w:val="center"/>
            <w:hideMark/>
          </w:tcPr>
          <w:p w14:paraId="33C4B124"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primary care prescribing</w:t>
            </w:r>
          </w:p>
        </w:tc>
        <w:tc>
          <w:tcPr>
            <w:tcW w:w="180" w:type="dxa"/>
            <w:tcBorders>
              <w:top w:val="nil"/>
              <w:left w:val="nil"/>
              <w:bottom w:val="nil"/>
              <w:right w:val="nil"/>
            </w:tcBorders>
            <w:shd w:val="clear" w:color="000000" w:fill="FFFFFF"/>
            <w:noWrap/>
            <w:vAlign w:val="center"/>
            <w:hideMark/>
          </w:tcPr>
          <w:p w14:paraId="1BCC71C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0D35552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151</w:t>
            </w:r>
          </w:p>
        </w:tc>
        <w:tc>
          <w:tcPr>
            <w:tcW w:w="992" w:type="dxa"/>
            <w:tcBorders>
              <w:top w:val="nil"/>
              <w:left w:val="nil"/>
              <w:bottom w:val="nil"/>
              <w:right w:val="nil"/>
            </w:tcBorders>
            <w:shd w:val="clear" w:color="000000" w:fill="FFFFFF"/>
            <w:noWrap/>
            <w:vAlign w:val="center"/>
            <w:hideMark/>
          </w:tcPr>
          <w:p w14:paraId="52118B8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28</w:t>
            </w:r>
          </w:p>
        </w:tc>
        <w:tc>
          <w:tcPr>
            <w:tcW w:w="983" w:type="dxa"/>
            <w:tcBorders>
              <w:top w:val="nil"/>
              <w:left w:val="nil"/>
              <w:bottom w:val="nil"/>
              <w:right w:val="nil"/>
            </w:tcBorders>
            <w:shd w:val="clear" w:color="000000" w:fill="FFFFFF"/>
            <w:noWrap/>
            <w:vAlign w:val="center"/>
            <w:hideMark/>
          </w:tcPr>
          <w:p w14:paraId="0623386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12.0%</w:t>
            </w:r>
          </w:p>
        </w:tc>
        <w:tc>
          <w:tcPr>
            <w:tcW w:w="180" w:type="dxa"/>
            <w:tcBorders>
              <w:top w:val="nil"/>
              <w:left w:val="nil"/>
              <w:bottom w:val="nil"/>
              <w:right w:val="nil"/>
            </w:tcBorders>
            <w:shd w:val="clear" w:color="000000" w:fill="FFFFFF"/>
            <w:noWrap/>
            <w:vAlign w:val="center"/>
            <w:hideMark/>
          </w:tcPr>
          <w:p w14:paraId="10387AC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1CADB3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23</w:t>
            </w:r>
          </w:p>
        </w:tc>
        <w:tc>
          <w:tcPr>
            <w:tcW w:w="1028" w:type="dxa"/>
            <w:tcBorders>
              <w:top w:val="nil"/>
              <w:left w:val="nil"/>
              <w:bottom w:val="nil"/>
              <w:right w:val="nil"/>
            </w:tcBorders>
            <w:shd w:val="clear" w:color="000000" w:fill="FFFFFF"/>
            <w:noWrap/>
            <w:vAlign w:val="center"/>
            <w:hideMark/>
          </w:tcPr>
          <w:p w14:paraId="3E48AC4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180" w:type="dxa"/>
            <w:tcBorders>
              <w:top w:val="nil"/>
              <w:left w:val="nil"/>
              <w:bottom w:val="nil"/>
              <w:right w:val="nil"/>
            </w:tcBorders>
            <w:shd w:val="clear" w:color="000000" w:fill="FFFFFF"/>
            <w:noWrap/>
            <w:vAlign w:val="center"/>
            <w:hideMark/>
          </w:tcPr>
          <w:p w14:paraId="05066E8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2CAC3C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57</w:t>
            </w:r>
          </w:p>
        </w:tc>
        <w:tc>
          <w:tcPr>
            <w:tcW w:w="1028" w:type="dxa"/>
            <w:tcBorders>
              <w:top w:val="nil"/>
              <w:left w:val="nil"/>
              <w:bottom w:val="nil"/>
              <w:right w:val="nil"/>
            </w:tcBorders>
            <w:shd w:val="clear" w:color="000000" w:fill="FFFFFF"/>
            <w:noWrap/>
            <w:vAlign w:val="center"/>
            <w:hideMark/>
          </w:tcPr>
          <w:p w14:paraId="17C56C8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15</w:t>
            </w:r>
          </w:p>
        </w:tc>
      </w:tr>
      <w:tr w:rsidR="00381A4D" w:rsidRPr="00381A4D" w14:paraId="44C27558" w14:textId="77777777" w:rsidTr="00381A4D">
        <w:trPr>
          <w:trHeight w:val="229"/>
        </w:trPr>
        <w:tc>
          <w:tcPr>
            <w:tcW w:w="6680" w:type="dxa"/>
            <w:tcBorders>
              <w:top w:val="nil"/>
              <w:left w:val="nil"/>
              <w:bottom w:val="nil"/>
              <w:right w:val="nil"/>
            </w:tcBorders>
            <w:shd w:val="clear" w:color="000000" w:fill="FFFFFF"/>
            <w:noWrap/>
            <w:vAlign w:val="center"/>
            <w:hideMark/>
          </w:tcPr>
          <w:p w14:paraId="3B05B197"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direct access diagnostic imaging</w:t>
            </w:r>
          </w:p>
        </w:tc>
        <w:tc>
          <w:tcPr>
            <w:tcW w:w="180" w:type="dxa"/>
            <w:tcBorders>
              <w:top w:val="nil"/>
              <w:left w:val="nil"/>
              <w:bottom w:val="nil"/>
              <w:right w:val="nil"/>
            </w:tcBorders>
            <w:shd w:val="clear" w:color="000000" w:fill="FFFFFF"/>
            <w:noWrap/>
            <w:vAlign w:val="center"/>
            <w:hideMark/>
          </w:tcPr>
          <w:p w14:paraId="647ABE0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53D8FA0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w:t>
            </w:r>
          </w:p>
        </w:tc>
        <w:tc>
          <w:tcPr>
            <w:tcW w:w="992" w:type="dxa"/>
            <w:tcBorders>
              <w:top w:val="nil"/>
              <w:left w:val="nil"/>
              <w:bottom w:val="nil"/>
              <w:right w:val="nil"/>
            </w:tcBorders>
            <w:shd w:val="clear" w:color="000000" w:fill="FFFFFF"/>
            <w:noWrap/>
            <w:vAlign w:val="center"/>
            <w:hideMark/>
          </w:tcPr>
          <w:p w14:paraId="45FC65B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983" w:type="dxa"/>
            <w:tcBorders>
              <w:top w:val="nil"/>
              <w:left w:val="nil"/>
              <w:bottom w:val="nil"/>
              <w:right w:val="nil"/>
            </w:tcBorders>
            <w:shd w:val="clear" w:color="000000" w:fill="FFFFFF"/>
            <w:noWrap/>
            <w:vAlign w:val="center"/>
            <w:hideMark/>
          </w:tcPr>
          <w:p w14:paraId="7ED7C7E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0.7%</w:t>
            </w:r>
          </w:p>
        </w:tc>
        <w:tc>
          <w:tcPr>
            <w:tcW w:w="180" w:type="dxa"/>
            <w:tcBorders>
              <w:top w:val="nil"/>
              <w:left w:val="nil"/>
              <w:bottom w:val="nil"/>
              <w:right w:val="nil"/>
            </w:tcBorders>
            <w:shd w:val="clear" w:color="000000" w:fill="FFFFFF"/>
            <w:noWrap/>
            <w:vAlign w:val="center"/>
            <w:hideMark/>
          </w:tcPr>
          <w:p w14:paraId="371D6E6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F21D60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028" w:type="dxa"/>
            <w:tcBorders>
              <w:top w:val="nil"/>
              <w:left w:val="nil"/>
              <w:bottom w:val="nil"/>
              <w:right w:val="nil"/>
            </w:tcBorders>
            <w:shd w:val="clear" w:color="000000" w:fill="FFFFFF"/>
            <w:noWrap/>
            <w:vAlign w:val="center"/>
            <w:hideMark/>
          </w:tcPr>
          <w:p w14:paraId="501C147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80" w:type="dxa"/>
            <w:tcBorders>
              <w:top w:val="nil"/>
              <w:left w:val="nil"/>
              <w:bottom w:val="nil"/>
              <w:right w:val="nil"/>
            </w:tcBorders>
            <w:shd w:val="clear" w:color="000000" w:fill="FFFFFF"/>
            <w:noWrap/>
            <w:vAlign w:val="center"/>
            <w:hideMark/>
          </w:tcPr>
          <w:p w14:paraId="60492DD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2711F9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78D5FFC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r>
      <w:tr w:rsidR="00381A4D" w:rsidRPr="00381A4D" w14:paraId="14C9F6D3" w14:textId="77777777" w:rsidTr="00381A4D">
        <w:trPr>
          <w:trHeight w:val="229"/>
        </w:trPr>
        <w:tc>
          <w:tcPr>
            <w:tcW w:w="6680" w:type="dxa"/>
            <w:tcBorders>
              <w:top w:val="nil"/>
              <w:left w:val="nil"/>
              <w:bottom w:val="nil"/>
              <w:right w:val="nil"/>
            </w:tcBorders>
            <w:shd w:val="clear" w:color="000000" w:fill="FFFFFF"/>
            <w:noWrap/>
            <w:vAlign w:val="center"/>
            <w:hideMark/>
          </w:tcPr>
          <w:p w14:paraId="731C9B24"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community and integrated care</w:t>
            </w:r>
          </w:p>
        </w:tc>
        <w:tc>
          <w:tcPr>
            <w:tcW w:w="180" w:type="dxa"/>
            <w:tcBorders>
              <w:top w:val="nil"/>
              <w:left w:val="nil"/>
              <w:bottom w:val="nil"/>
              <w:right w:val="nil"/>
            </w:tcBorders>
            <w:shd w:val="clear" w:color="000000" w:fill="FFFFFF"/>
            <w:noWrap/>
            <w:vAlign w:val="center"/>
            <w:hideMark/>
          </w:tcPr>
          <w:p w14:paraId="2B789CA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4D1F889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442</w:t>
            </w:r>
          </w:p>
        </w:tc>
        <w:tc>
          <w:tcPr>
            <w:tcW w:w="992" w:type="dxa"/>
            <w:tcBorders>
              <w:top w:val="nil"/>
              <w:left w:val="nil"/>
              <w:bottom w:val="nil"/>
              <w:right w:val="nil"/>
            </w:tcBorders>
            <w:shd w:val="clear" w:color="000000" w:fill="FFFFFF"/>
            <w:noWrap/>
            <w:vAlign w:val="center"/>
            <w:hideMark/>
          </w:tcPr>
          <w:p w14:paraId="4DC6F5D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84</w:t>
            </w:r>
          </w:p>
        </w:tc>
        <w:tc>
          <w:tcPr>
            <w:tcW w:w="983" w:type="dxa"/>
            <w:tcBorders>
              <w:top w:val="nil"/>
              <w:left w:val="nil"/>
              <w:bottom w:val="nil"/>
              <w:right w:val="nil"/>
            </w:tcBorders>
            <w:shd w:val="clear" w:color="000000" w:fill="FFFFFF"/>
            <w:noWrap/>
            <w:vAlign w:val="center"/>
            <w:hideMark/>
          </w:tcPr>
          <w:p w14:paraId="64D2512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35.2%</w:t>
            </w:r>
          </w:p>
        </w:tc>
        <w:tc>
          <w:tcPr>
            <w:tcW w:w="180" w:type="dxa"/>
            <w:tcBorders>
              <w:top w:val="nil"/>
              <w:left w:val="nil"/>
              <w:bottom w:val="nil"/>
              <w:right w:val="nil"/>
            </w:tcBorders>
            <w:shd w:val="clear" w:color="000000" w:fill="FFFFFF"/>
            <w:noWrap/>
            <w:vAlign w:val="center"/>
            <w:hideMark/>
          </w:tcPr>
          <w:p w14:paraId="737F743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B9B682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w:t>
            </w:r>
          </w:p>
        </w:tc>
        <w:tc>
          <w:tcPr>
            <w:tcW w:w="1028" w:type="dxa"/>
            <w:tcBorders>
              <w:top w:val="nil"/>
              <w:left w:val="nil"/>
              <w:bottom w:val="nil"/>
              <w:right w:val="nil"/>
            </w:tcBorders>
            <w:shd w:val="clear" w:color="000000" w:fill="FFFFFF"/>
            <w:noWrap/>
            <w:vAlign w:val="center"/>
            <w:hideMark/>
          </w:tcPr>
          <w:p w14:paraId="13F6B2B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w:t>
            </w:r>
          </w:p>
        </w:tc>
        <w:tc>
          <w:tcPr>
            <w:tcW w:w="180" w:type="dxa"/>
            <w:tcBorders>
              <w:top w:val="nil"/>
              <w:left w:val="nil"/>
              <w:bottom w:val="nil"/>
              <w:right w:val="nil"/>
            </w:tcBorders>
            <w:shd w:val="clear" w:color="000000" w:fill="FFFFFF"/>
            <w:noWrap/>
            <w:vAlign w:val="center"/>
            <w:hideMark/>
          </w:tcPr>
          <w:p w14:paraId="7A32487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6136D2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11</w:t>
            </w:r>
          </w:p>
        </w:tc>
        <w:tc>
          <w:tcPr>
            <w:tcW w:w="1028" w:type="dxa"/>
            <w:tcBorders>
              <w:top w:val="nil"/>
              <w:left w:val="nil"/>
              <w:bottom w:val="nil"/>
              <w:right w:val="nil"/>
            </w:tcBorders>
            <w:shd w:val="clear" w:color="000000" w:fill="FFFFFF"/>
            <w:noWrap/>
            <w:vAlign w:val="center"/>
            <w:hideMark/>
          </w:tcPr>
          <w:p w14:paraId="624F3C5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w:t>
            </w:r>
          </w:p>
        </w:tc>
      </w:tr>
      <w:tr w:rsidR="00381A4D" w:rsidRPr="00381A4D" w14:paraId="1124F29C" w14:textId="77777777" w:rsidTr="00381A4D">
        <w:trPr>
          <w:trHeight w:val="229"/>
        </w:trPr>
        <w:tc>
          <w:tcPr>
            <w:tcW w:w="6680" w:type="dxa"/>
            <w:tcBorders>
              <w:top w:val="nil"/>
              <w:left w:val="nil"/>
              <w:bottom w:val="nil"/>
              <w:right w:val="nil"/>
            </w:tcBorders>
            <w:shd w:val="clear" w:color="000000" w:fill="FFFFFF"/>
            <w:noWrap/>
            <w:vAlign w:val="center"/>
            <w:hideMark/>
          </w:tcPr>
          <w:p w14:paraId="230EB8BF"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end of life care</w:t>
            </w:r>
          </w:p>
        </w:tc>
        <w:tc>
          <w:tcPr>
            <w:tcW w:w="180" w:type="dxa"/>
            <w:tcBorders>
              <w:top w:val="nil"/>
              <w:left w:val="nil"/>
              <w:bottom w:val="nil"/>
              <w:right w:val="nil"/>
            </w:tcBorders>
            <w:shd w:val="clear" w:color="000000" w:fill="FFFFFF"/>
            <w:noWrap/>
            <w:vAlign w:val="center"/>
            <w:hideMark/>
          </w:tcPr>
          <w:p w14:paraId="06D244C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4BA5C53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10</w:t>
            </w:r>
          </w:p>
        </w:tc>
        <w:tc>
          <w:tcPr>
            <w:tcW w:w="992" w:type="dxa"/>
            <w:tcBorders>
              <w:top w:val="nil"/>
              <w:left w:val="nil"/>
              <w:bottom w:val="nil"/>
              <w:right w:val="nil"/>
            </w:tcBorders>
            <w:shd w:val="clear" w:color="000000" w:fill="FFFFFF"/>
            <w:noWrap/>
            <w:vAlign w:val="center"/>
            <w:hideMark/>
          </w:tcPr>
          <w:p w14:paraId="318B7B9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983" w:type="dxa"/>
            <w:tcBorders>
              <w:top w:val="nil"/>
              <w:left w:val="nil"/>
              <w:bottom w:val="nil"/>
              <w:right w:val="nil"/>
            </w:tcBorders>
            <w:shd w:val="clear" w:color="000000" w:fill="FFFFFF"/>
            <w:noWrap/>
            <w:vAlign w:val="center"/>
            <w:hideMark/>
          </w:tcPr>
          <w:p w14:paraId="4F10201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0.8%</w:t>
            </w:r>
          </w:p>
        </w:tc>
        <w:tc>
          <w:tcPr>
            <w:tcW w:w="180" w:type="dxa"/>
            <w:tcBorders>
              <w:top w:val="nil"/>
              <w:left w:val="nil"/>
              <w:bottom w:val="nil"/>
              <w:right w:val="nil"/>
            </w:tcBorders>
            <w:shd w:val="clear" w:color="000000" w:fill="FFFFFF"/>
            <w:noWrap/>
            <w:vAlign w:val="center"/>
            <w:hideMark/>
          </w:tcPr>
          <w:p w14:paraId="38AB4DC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ED45D3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54097D4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c>
          <w:tcPr>
            <w:tcW w:w="180" w:type="dxa"/>
            <w:tcBorders>
              <w:top w:val="nil"/>
              <w:left w:val="nil"/>
              <w:bottom w:val="nil"/>
              <w:right w:val="nil"/>
            </w:tcBorders>
            <w:shd w:val="clear" w:color="000000" w:fill="FFFFFF"/>
            <w:noWrap/>
            <w:vAlign w:val="center"/>
            <w:hideMark/>
          </w:tcPr>
          <w:p w14:paraId="0B179BE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3C5C77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w:t>
            </w:r>
          </w:p>
        </w:tc>
        <w:tc>
          <w:tcPr>
            <w:tcW w:w="1028" w:type="dxa"/>
            <w:tcBorders>
              <w:top w:val="nil"/>
              <w:left w:val="nil"/>
              <w:bottom w:val="nil"/>
              <w:right w:val="nil"/>
            </w:tcBorders>
            <w:shd w:val="clear" w:color="000000" w:fill="FFFFFF"/>
            <w:noWrap/>
            <w:vAlign w:val="center"/>
            <w:hideMark/>
          </w:tcPr>
          <w:p w14:paraId="7581D71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w:t>
            </w:r>
          </w:p>
        </w:tc>
      </w:tr>
      <w:tr w:rsidR="00381A4D" w:rsidRPr="00381A4D" w14:paraId="1A0A6A3A" w14:textId="77777777" w:rsidTr="00381A4D">
        <w:trPr>
          <w:trHeight w:val="229"/>
        </w:trPr>
        <w:tc>
          <w:tcPr>
            <w:tcW w:w="6680" w:type="dxa"/>
            <w:tcBorders>
              <w:top w:val="nil"/>
              <w:left w:val="nil"/>
              <w:bottom w:val="nil"/>
              <w:right w:val="nil"/>
            </w:tcBorders>
            <w:shd w:val="clear" w:color="000000" w:fill="FFFFFF"/>
            <w:noWrap/>
            <w:vAlign w:val="center"/>
            <w:hideMark/>
          </w:tcPr>
          <w:p w14:paraId="517C0424" w14:textId="77777777" w:rsidR="00381A4D" w:rsidRPr="00381A4D" w:rsidRDefault="00381A4D" w:rsidP="00381A4D">
            <w:pPr>
              <w:widowControl/>
              <w:spacing w:after="0"/>
              <w:ind w:firstLineChars="200" w:firstLine="4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Health care expenditure per capita for running costs</w:t>
            </w:r>
          </w:p>
        </w:tc>
        <w:tc>
          <w:tcPr>
            <w:tcW w:w="180" w:type="dxa"/>
            <w:tcBorders>
              <w:top w:val="nil"/>
              <w:left w:val="nil"/>
              <w:bottom w:val="nil"/>
              <w:right w:val="nil"/>
            </w:tcBorders>
            <w:shd w:val="clear" w:color="000000" w:fill="FFFFFF"/>
            <w:noWrap/>
            <w:vAlign w:val="center"/>
            <w:hideMark/>
          </w:tcPr>
          <w:p w14:paraId="1DB7BF2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2D2C3DF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25</w:t>
            </w:r>
          </w:p>
        </w:tc>
        <w:tc>
          <w:tcPr>
            <w:tcW w:w="992" w:type="dxa"/>
            <w:tcBorders>
              <w:top w:val="nil"/>
              <w:left w:val="nil"/>
              <w:bottom w:val="nil"/>
              <w:right w:val="nil"/>
            </w:tcBorders>
            <w:shd w:val="clear" w:color="000000" w:fill="FFFFFF"/>
            <w:noWrap/>
            <w:vAlign w:val="center"/>
            <w:hideMark/>
          </w:tcPr>
          <w:p w14:paraId="1551F29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w:t>
            </w:r>
          </w:p>
        </w:tc>
        <w:tc>
          <w:tcPr>
            <w:tcW w:w="983" w:type="dxa"/>
            <w:tcBorders>
              <w:top w:val="nil"/>
              <w:left w:val="nil"/>
              <w:bottom w:val="nil"/>
              <w:right w:val="nil"/>
            </w:tcBorders>
            <w:shd w:val="clear" w:color="000000" w:fill="FFFFFF"/>
            <w:noWrap/>
            <w:vAlign w:val="center"/>
            <w:hideMark/>
          </w:tcPr>
          <w:p w14:paraId="03D3633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2.0%</w:t>
            </w:r>
          </w:p>
        </w:tc>
        <w:tc>
          <w:tcPr>
            <w:tcW w:w="180" w:type="dxa"/>
            <w:tcBorders>
              <w:top w:val="nil"/>
              <w:left w:val="nil"/>
              <w:bottom w:val="nil"/>
              <w:right w:val="nil"/>
            </w:tcBorders>
            <w:shd w:val="clear" w:color="000000" w:fill="FFFFFF"/>
            <w:noWrap/>
            <w:vAlign w:val="center"/>
            <w:hideMark/>
          </w:tcPr>
          <w:p w14:paraId="5F930EB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7A7C65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028" w:type="dxa"/>
            <w:tcBorders>
              <w:top w:val="nil"/>
              <w:left w:val="nil"/>
              <w:bottom w:val="nil"/>
              <w:right w:val="nil"/>
            </w:tcBorders>
            <w:shd w:val="clear" w:color="000000" w:fill="FFFFFF"/>
            <w:noWrap/>
            <w:vAlign w:val="center"/>
            <w:hideMark/>
          </w:tcPr>
          <w:p w14:paraId="6A6FCA5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80" w:type="dxa"/>
            <w:tcBorders>
              <w:top w:val="nil"/>
              <w:left w:val="nil"/>
              <w:bottom w:val="nil"/>
              <w:right w:val="nil"/>
            </w:tcBorders>
            <w:shd w:val="clear" w:color="000000" w:fill="FFFFFF"/>
            <w:noWrap/>
            <w:vAlign w:val="center"/>
            <w:hideMark/>
          </w:tcPr>
          <w:p w14:paraId="5DB37A2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961E34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c>
          <w:tcPr>
            <w:tcW w:w="1028" w:type="dxa"/>
            <w:tcBorders>
              <w:top w:val="nil"/>
              <w:left w:val="nil"/>
              <w:bottom w:val="nil"/>
              <w:right w:val="nil"/>
            </w:tcBorders>
            <w:shd w:val="clear" w:color="000000" w:fill="FFFFFF"/>
            <w:noWrap/>
            <w:vAlign w:val="center"/>
            <w:hideMark/>
          </w:tcPr>
          <w:p w14:paraId="4B586AE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0</w:t>
            </w:r>
          </w:p>
        </w:tc>
      </w:tr>
      <w:tr w:rsidR="00381A4D" w:rsidRPr="00381A4D" w14:paraId="532DAB62" w14:textId="77777777" w:rsidTr="00381A4D">
        <w:trPr>
          <w:trHeight w:val="229"/>
        </w:trPr>
        <w:tc>
          <w:tcPr>
            <w:tcW w:w="6680" w:type="dxa"/>
            <w:tcBorders>
              <w:top w:val="nil"/>
              <w:left w:val="nil"/>
              <w:bottom w:val="nil"/>
              <w:right w:val="nil"/>
            </w:tcBorders>
            <w:shd w:val="clear" w:color="000000" w:fill="FFFFFF"/>
            <w:noWrap/>
            <w:vAlign w:val="center"/>
            <w:hideMark/>
          </w:tcPr>
          <w:p w14:paraId="1C99F708"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w:t>
            </w:r>
          </w:p>
        </w:tc>
        <w:tc>
          <w:tcPr>
            <w:tcW w:w="180" w:type="dxa"/>
            <w:tcBorders>
              <w:top w:val="nil"/>
              <w:left w:val="nil"/>
              <w:bottom w:val="nil"/>
              <w:right w:val="nil"/>
            </w:tcBorders>
            <w:shd w:val="clear" w:color="000000" w:fill="FFFFFF"/>
            <w:noWrap/>
            <w:vAlign w:val="center"/>
            <w:hideMark/>
          </w:tcPr>
          <w:p w14:paraId="59A6BE1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6CD6ECB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8,633</w:t>
            </w:r>
          </w:p>
        </w:tc>
        <w:tc>
          <w:tcPr>
            <w:tcW w:w="992" w:type="dxa"/>
            <w:tcBorders>
              <w:top w:val="nil"/>
              <w:left w:val="nil"/>
              <w:bottom w:val="nil"/>
              <w:right w:val="nil"/>
            </w:tcBorders>
            <w:shd w:val="clear" w:color="000000" w:fill="FFFFFF"/>
            <w:noWrap/>
            <w:vAlign w:val="center"/>
            <w:hideMark/>
          </w:tcPr>
          <w:p w14:paraId="0C4508F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3,709</w:t>
            </w:r>
          </w:p>
        </w:tc>
        <w:tc>
          <w:tcPr>
            <w:tcW w:w="983" w:type="dxa"/>
            <w:tcBorders>
              <w:top w:val="nil"/>
              <w:left w:val="nil"/>
              <w:bottom w:val="nil"/>
              <w:right w:val="nil"/>
            </w:tcBorders>
            <w:shd w:val="clear" w:color="000000" w:fill="FFFFFF"/>
            <w:noWrap/>
            <w:vAlign w:val="center"/>
            <w:hideMark/>
          </w:tcPr>
          <w:p w14:paraId="4F74F02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91.2%</w:t>
            </w:r>
          </w:p>
        </w:tc>
        <w:tc>
          <w:tcPr>
            <w:tcW w:w="180" w:type="dxa"/>
            <w:tcBorders>
              <w:top w:val="nil"/>
              <w:left w:val="nil"/>
              <w:bottom w:val="nil"/>
              <w:right w:val="nil"/>
            </w:tcBorders>
            <w:shd w:val="clear" w:color="000000" w:fill="FFFFFF"/>
            <w:noWrap/>
            <w:vAlign w:val="center"/>
            <w:hideMark/>
          </w:tcPr>
          <w:p w14:paraId="542EB40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EBD6DE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642DE5F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4FDC5DF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40EBFA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54DA3B9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177CCBB1" w14:textId="77777777" w:rsidTr="00381A4D">
        <w:trPr>
          <w:trHeight w:val="229"/>
        </w:trPr>
        <w:tc>
          <w:tcPr>
            <w:tcW w:w="6680" w:type="dxa"/>
            <w:tcBorders>
              <w:top w:val="nil"/>
              <w:left w:val="nil"/>
              <w:bottom w:val="nil"/>
              <w:right w:val="nil"/>
            </w:tcBorders>
            <w:shd w:val="clear" w:color="000000" w:fill="FFFFFF"/>
            <w:noWrap/>
            <w:vAlign w:val="center"/>
            <w:hideMark/>
          </w:tcPr>
          <w:p w14:paraId="1A14B508"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nursing care</w:t>
            </w:r>
          </w:p>
        </w:tc>
        <w:tc>
          <w:tcPr>
            <w:tcW w:w="180" w:type="dxa"/>
            <w:tcBorders>
              <w:top w:val="nil"/>
              <w:left w:val="nil"/>
              <w:bottom w:val="nil"/>
              <w:right w:val="nil"/>
            </w:tcBorders>
            <w:shd w:val="clear" w:color="000000" w:fill="FFFFFF"/>
            <w:noWrap/>
            <w:vAlign w:val="center"/>
            <w:hideMark/>
          </w:tcPr>
          <w:p w14:paraId="2771B2F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4FECB83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763</w:t>
            </w:r>
          </w:p>
        </w:tc>
        <w:tc>
          <w:tcPr>
            <w:tcW w:w="992" w:type="dxa"/>
            <w:tcBorders>
              <w:top w:val="nil"/>
              <w:left w:val="nil"/>
              <w:bottom w:val="nil"/>
              <w:right w:val="nil"/>
            </w:tcBorders>
            <w:shd w:val="clear" w:color="000000" w:fill="FFFFFF"/>
            <w:noWrap/>
            <w:vAlign w:val="center"/>
            <w:hideMark/>
          </w:tcPr>
          <w:p w14:paraId="47646FD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442</w:t>
            </w:r>
          </w:p>
        </w:tc>
        <w:tc>
          <w:tcPr>
            <w:tcW w:w="983" w:type="dxa"/>
            <w:tcBorders>
              <w:top w:val="nil"/>
              <w:left w:val="nil"/>
              <w:bottom w:val="nil"/>
              <w:right w:val="nil"/>
            </w:tcBorders>
            <w:shd w:val="clear" w:color="000000" w:fill="FFFFFF"/>
            <w:noWrap/>
            <w:vAlign w:val="center"/>
            <w:hideMark/>
          </w:tcPr>
          <w:p w14:paraId="73249FF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8.8%</w:t>
            </w:r>
          </w:p>
        </w:tc>
        <w:tc>
          <w:tcPr>
            <w:tcW w:w="180" w:type="dxa"/>
            <w:tcBorders>
              <w:top w:val="nil"/>
              <w:left w:val="nil"/>
              <w:bottom w:val="nil"/>
              <w:right w:val="nil"/>
            </w:tcBorders>
            <w:shd w:val="clear" w:color="000000" w:fill="FFFFFF"/>
            <w:noWrap/>
            <w:vAlign w:val="center"/>
            <w:hideMark/>
          </w:tcPr>
          <w:p w14:paraId="5F18C9E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506656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716C187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5AF4AD4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7A97C3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3C0E9BD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7CB9B1C1" w14:textId="77777777" w:rsidTr="00381A4D">
        <w:trPr>
          <w:trHeight w:val="229"/>
        </w:trPr>
        <w:tc>
          <w:tcPr>
            <w:tcW w:w="6680" w:type="dxa"/>
            <w:tcBorders>
              <w:top w:val="nil"/>
              <w:left w:val="nil"/>
              <w:bottom w:val="nil"/>
              <w:right w:val="nil"/>
            </w:tcBorders>
            <w:shd w:val="clear" w:color="000000" w:fill="FFFFFF"/>
            <w:noWrap/>
            <w:vAlign w:val="center"/>
            <w:hideMark/>
          </w:tcPr>
          <w:p w14:paraId="299EF734"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residential care</w:t>
            </w:r>
          </w:p>
        </w:tc>
        <w:tc>
          <w:tcPr>
            <w:tcW w:w="180" w:type="dxa"/>
            <w:tcBorders>
              <w:top w:val="nil"/>
              <w:left w:val="nil"/>
              <w:bottom w:val="nil"/>
              <w:right w:val="nil"/>
            </w:tcBorders>
            <w:shd w:val="clear" w:color="000000" w:fill="FFFFFF"/>
            <w:noWrap/>
            <w:vAlign w:val="center"/>
            <w:hideMark/>
          </w:tcPr>
          <w:p w14:paraId="527E5EA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55031C6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2,488</w:t>
            </w:r>
          </w:p>
        </w:tc>
        <w:tc>
          <w:tcPr>
            <w:tcW w:w="992" w:type="dxa"/>
            <w:tcBorders>
              <w:top w:val="nil"/>
              <w:left w:val="nil"/>
              <w:bottom w:val="nil"/>
              <w:right w:val="nil"/>
            </w:tcBorders>
            <w:shd w:val="clear" w:color="000000" w:fill="FFFFFF"/>
            <w:noWrap/>
            <w:vAlign w:val="center"/>
            <w:hideMark/>
          </w:tcPr>
          <w:p w14:paraId="7365FB3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1,112</w:t>
            </w:r>
          </w:p>
        </w:tc>
        <w:tc>
          <w:tcPr>
            <w:tcW w:w="983" w:type="dxa"/>
            <w:tcBorders>
              <w:top w:val="nil"/>
              <w:left w:val="nil"/>
              <w:bottom w:val="nil"/>
              <w:right w:val="nil"/>
            </w:tcBorders>
            <w:shd w:val="clear" w:color="000000" w:fill="FFFFFF"/>
            <w:noWrap/>
            <w:vAlign w:val="center"/>
            <w:hideMark/>
          </w:tcPr>
          <w:p w14:paraId="2A63CF6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28.8%</w:t>
            </w:r>
          </w:p>
        </w:tc>
        <w:tc>
          <w:tcPr>
            <w:tcW w:w="180" w:type="dxa"/>
            <w:tcBorders>
              <w:top w:val="nil"/>
              <w:left w:val="nil"/>
              <w:bottom w:val="nil"/>
              <w:right w:val="nil"/>
            </w:tcBorders>
            <w:shd w:val="clear" w:color="000000" w:fill="FFFFFF"/>
            <w:noWrap/>
            <w:vAlign w:val="center"/>
            <w:hideMark/>
          </w:tcPr>
          <w:p w14:paraId="5218EC5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130002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4983A32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5A15E83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57ADE9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25BA722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3AE3D7C1" w14:textId="77777777" w:rsidTr="00381A4D">
        <w:trPr>
          <w:trHeight w:val="229"/>
        </w:trPr>
        <w:tc>
          <w:tcPr>
            <w:tcW w:w="6680" w:type="dxa"/>
            <w:tcBorders>
              <w:top w:val="nil"/>
              <w:left w:val="nil"/>
              <w:bottom w:val="nil"/>
              <w:right w:val="nil"/>
            </w:tcBorders>
            <w:shd w:val="clear" w:color="000000" w:fill="FFFFFF"/>
            <w:noWrap/>
            <w:vAlign w:val="center"/>
            <w:hideMark/>
          </w:tcPr>
          <w:p w14:paraId="7AE541C7"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community care</w:t>
            </w:r>
          </w:p>
        </w:tc>
        <w:tc>
          <w:tcPr>
            <w:tcW w:w="180" w:type="dxa"/>
            <w:tcBorders>
              <w:top w:val="nil"/>
              <w:left w:val="nil"/>
              <w:bottom w:val="nil"/>
              <w:right w:val="nil"/>
            </w:tcBorders>
            <w:shd w:val="clear" w:color="000000" w:fill="FFFFFF"/>
            <w:noWrap/>
            <w:vAlign w:val="center"/>
            <w:hideMark/>
          </w:tcPr>
          <w:p w14:paraId="48197B7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14A3183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3,144</w:t>
            </w:r>
          </w:p>
        </w:tc>
        <w:tc>
          <w:tcPr>
            <w:tcW w:w="992" w:type="dxa"/>
            <w:tcBorders>
              <w:top w:val="nil"/>
              <w:left w:val="nil"/>
              <w:bottom w:val="nil"/>
              <w:right w:val="nil"/>
            </w:tcBorders>
            <w:shd w:val="clear" w:color="000000" w:fill="FFFFFF"/>
            <w:noWrap/>
            <w:vAlign w:val="center"/>
            <w:hideMark/>
          </w:tcPr>
          <w:p w14:paraId="4FE3E8F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1,426</w:t>
            </w:r>
          </w:p>
        </w:tc>
        <w:tc>
          <w:tcPr>
            <w:tcW w:w="983" w:type="dxa"/>
            <w:tcBorders>
              <w:top w:val="nil"/>
              <w:left w:val="nil"/>
              <w:bottom w:val="nil"/>
              <w:right w:val="nil"/>
            </w:tcBorders>
            <w:shd w:val="clear" w:color="000000" w:fill="FFFFFF"/>
            <w:noWrap/>
            <w:vAlign w:val="center"/>
            <w:hideMark/>
          </w:tcPr>
          <w:p w14:paraId="756D2B6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36.4%</w:t>
            </w:r>
          </w:p>
        </w:tc>
        <w:tc>
          <w:tcPr>
            <w:tcW w:w="180" w:type="dxa"/>
            <w:tcBorders>
              <w:top w:val="nil"/>
              <w:left w:val="nil"/>
              <w:bottom w:val="nil"/>
              <w:right w:val="nil"/>
            </w:tcBorders>
            <w:shd w:val="clear" w:color="000000" w:fill="FFFFFF"/>
            <w:noWrap/>
            <w:vAlign w:val="center"/>
            <w:hideMark/>
          </w:tcPr>
          <w:p w14:paraId="7827599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8A619F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373F775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18D2378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3A9C1C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327B2FC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4A0040D2" w14:textId="77777777" w:rsidTr="00381A4D">
        <w:trPr>
          <w:trHeight w:val="229"/>
        </w:trPr>
        <w:tc>
          <w:tcPr>
            <w:tcW w:w="6680" w:type="dxa"/>
            <w:tcBorders>
              <w:top w:val="nil"/>
              <w:left w:val="nil"/>
              <w:bottom w:val="nil"/>
              <w:right w:val="nil"/>
            </w:tcBorders>
            <w:shd w:val="clear" w:color="000000" w:fill="FFFFFF"/>
            <w:noWrap/>
            <w:vAlign w:val="center"/>
            <w:hideMark/>
          </w:tcPr>
          <w:p w14:paraId="51D8DC62"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social support</w:t>
            </w:r>
          </w:p>
        </w:tc>
        <w:tc>
          <w:tcPr>
            <w:tcW w:w="180" w:type="dxa"/>
            <w:tcBorders>
              <w:top w:val="nil"/>
              <w:left w:val="nil"/>
              <w:bottom w:val="nil"/>
              <w:right w:val="nil"/>
            </w:tcBorders>
            <w:shd w:val="clear" w:color="000000" w:fill="FFFFFF"/>
            <w:noWrap/>
            <w:vAlign w:val="center"/>
            <w:hideMark/>
          </w:tcPr>
          <w:p w14:paraId="078B6A3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0A76152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181</w:t>
            </w:r>
          </w:p>
        </w:tc>
        <w:tc>
          <w:tcPr>
            <w:tcW w:w="992" w:type="dxa"/>
            <w:tcBorders>
              <w:top w:val="nil"/>
              <w:left w:val="nil"/>
              <w:bottom w:val="nil"/>
              <w:right w:val="nil"/>
            </w:tcBorders>
            <w:shd w:val="clear" w:color="000000" w:fill="FFFFFF"/>
            <w:noWrap/>
            <w:vAlign w:val="center"/>
            <w:hideMark/>
          </w:tcPr>
          <w:p w14:paraId="6F1523F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175</w:t>
            </w:r>
          </w:p>
        </w:tc>
        <w:tc>
          <w:tcPr>
            <w:tcW w:w="983" w:type="dxa"/>
            <w:tcBorders>
              <w:top w:val="nil"/>
              <w:left w:val="nil"/>
              <w:bottom w:val="nil"/>
              <w:right w:val="nil"/>
            </w:tcBorders>
            <w:shd w:val="clear" w:color="000000" w:fill="FFFFFF"/>
            <w:noWrap/>
            <w:vAlign w:val="center"/>
            <w:hideMark/>
          </w:tcPr>
          <w:p w14:paraId="1912D06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2.1%</w:t>
            </w:r>
          </w:p>
        </w:tc>
        <w:tc>
          <w:tcPr>
            <w:tcW w:w="180" w:type="dxa"/>
            <w:tcBorders>
              <w:top w:val="nil"/>
              <w:left w:val="nil"/>
              <w:bottom w:val="nil"/>
              <w:right w:val="nil"/>
            </w:tcBorders>
            <w:shd w:val="clear" w:color="000000" w:fill="FFFFFF"/>
            <w:noWrap/>
            <w:vAlign w:val="center"/>
            <w:hideMark/>
          </w:tcPr>
          <w:p w14:paraId="01D175C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B9F366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05F68CE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5E88139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56579D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410077C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39817AC1" w14:textId="77777777" w:rsidTr="00381A4D">
        <w:trPr>
          <w:trHeight w:val="229"/>
        </w:trPr>
        <w:tc>
          <w:tcPr>
            <w:tcW w:w="6680" w:type="dxa"/>
            <w:tcBorders>
              <w:top w:val="nil"/>
              <w:left w:val="nil"/>
              <w:bottom w:val="nil"/>
              <w:right w:val="nil"/>
            </w:tcBorders>
            <w:shd w:val="clear" w:color="000000" w:fill="FFFFFF"/>
            <w:noWrap/>
            <w:vAlign w:val="center"/>
            <w:hideMark/>
          </w:tcPr>
          <w:p w14:paraId="06C39A39"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short term care</w:t>
            </w:r>
          </w:p>
        </w:tc>
        <w:tc>
          <w:tcPr>
            <w:tcW w:w="180" w:type="dxa"/>
            <w:tcBorders>
              <w:top w:val="nil"/>
              <w:left w:val="nil"/>
              <w:bottom w:val="nil"/>
              <w:right w:val="nil"/>
            </w:tcBorders>
            <w:shd w:val="clear" w:color="000000" w:fill="FFFFFF"/>
            <w:noWrap/>
            <w:vAlign w:val="center"/>
            <w:hideMark/>
          </w:tcPr>
          <w:p w14:paraId="19003FB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399851FA"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295</w:t>
            </w:r>
          </w:p>
        </w:tc>
        <w:tc>
          <w:tcPr>
            <w:tcW w:w="992" w:type="dxa"/>
            <w:tcBorders>
              <w:top w:val="nil"/>
              <w:left w:val="nil"/>
              <w:bottom w:val="nil"/>
              <w:right w:val="nil"/>
            </w:tcBorders>
            <w:shd w:val="clear" w:color="000000" w:fill="FFFFFF"/>
            <w:noWrap/>
            <w:vAlign w:val="center"/>
            <w:hideMark/>
          </w:tcPr>
          <w:p w14:paraId="238DB42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238</w:t>
            </w:r>
          </w:p>
        </w:tc>
        <w:tc>
          <w:tcPr>
            <w:tcW w:w="983" w:type="dxa"/>
            <w:tcBorders>
              <w:top w:val="nil"/>
              <w:left w:val="nil"/>
              <w:bottom w:val="nil"/>
              <w:right w:val="nil"/>
            </w:tcBorders>
            <w:shd w:val="clear" w:color="000000" w:fill="FFFFFF"/>
            <w:noWrap/>
            <w:vAlign w:val="center"/>
            <w:hideMark/>
          </w:tcPr>
          <w:p w14:paraId="0E44BE7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3.4%</w:t>
            </w:r>
          </w:p>
        </w:tc>
        <w:tc>
          <w:tcPr>
            <w:tcW w:w="180" w:type="dxa"/>
            <w:tcBorders>
              <w:top w:val="nil"/>
              <w:left w:val="nil"/>
              <w:bottom w:val="nil"/>
              <w:right w:val="nil"/>
            </w:tcBorders>
            <w:shd w:val="clear" w:color="000000" w:fill="FFFFFF"/>
            <w:noWrap/>
            <w:vAlign w:val="center"/>
            <w:hideMark/>
          </w:tcPr>
          <w:p w14:paraId="7E4CB37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F8D2E2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46304CE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4602553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628BF40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2E1D6A3D"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6798F1F3" w14:textId="77777777" w:rsidTr="00381A4D">
        <w:trPr>
          <w:trHeight w:val="229"/>
        </w:trPr>
        <w:tc>
          <w:tcPr>
            <w:tcW w:w="6680" w:type="dxa"/>
            <w:tcBorders>
              <w:top w:val="nil"/>
              <w:left w:val="nil"/>
              <w:bottom w:val="nil"/>
              <w:right w:val="nil"/>
            </w:tcBorders>
            <w:shd w:val="clear" w:color="000000" w:fill="FFFFFF"/>
            <w:noWrap/>
            <w:vAlign w:val="center"/>
            <w:hideMark/>
          </w:tcPr>
          <w:p w14:paraId="374F1ABA"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equipment and adaptations</w:t>
            </w:r>
          </w:p>
        </w:tc>
        <w:tc>
          <w:tcPr>
            <w:tcW w:w="180" w:type="dxa"/>
            <w:tcBorders>
              <w:top w:val="nil"/>
              <w:left w:val="nil"/>
              <w:bottom w:val="nil"/>
              <w:right w:val="nil"/>
            </w:tcBorders>
            <w:shd w:val="clear" w:color="000000" w:fill="FFFFFF"/>
            <w:noWrap/>
            <w:vAlign w:val="center"/>
            <w:hideMark/>
          </w:tcPr>
          <w:p w14:paraId="70C1188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3AD6CD6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140</w:t>
            </w:r>
          </w:p>
        </w:tc>
        <w:tc>
          <w:tcPr>
            <w:tcW w:w="992" w:type="dxa"/>
            <w:tcBorders>
              <w:top w:val="nil"/>
              <w:left w:val="nil"/>
              <w:bottom w:val="nil"/>
              <w:right w:val="nil"/>
            </w:tcBorders>
            <w:shd w:val="clear" w:color="000000" w:fill="FFFFFF"/>
            <w:noWrap/>
            <w:vAlign w:val="center"/>
            <w:hideMark/>
          </w:tcPr>
          <w:p w14:paraId="5D92EB0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130</w:t>
            </w:r>
          </w:p>
        </w:tc>
        <w:tc>
          <w:tcPr>
            <w:tcW w:w="983" w:type="dxa"/>
            <w:tcBorders>
              <w:top w:val="nil"/>
              <w:left w:val="nil"/>
              <w:bottom w:val="nil"/>
              <w:right w:val="nil"/>
            </w:tcBorders>
            <w:shd w:val="clear" w:color="000000" w:fill="FFFFFF"/>
            <w:noWrap/>
            <w:vAlign w:val="center"/>
            <w:hideMark/>
          </w:tcPr>
          <w:p w14:paraId="684EE94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1.6%</w:t>
            </w:r>
          </w:p>
        </w:tc>
        <w:tc>
          <w:tcPr>
            <w:tcW w:w="180" w:type="dxa"/>
            <w:tcBorders>
              <w:top w:val="nil"/>
              <w:left w:val="nil"/>
              <w:bottom w:val="nil"/>
              <w:right w:val="nil"/>
            </w:tcBorders>
            <w:shd w:val="clear" w:color="000000" w:fill="FFFFFF"/>
            <w:noWrap/>
            <w:vAlign w:val="center"/>
            <w:hideMark/>
          </w:tcPr>
          <w:p w14:paraId="3658D13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085F053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40571D5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690C713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1D5FF4B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053BF0F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67C243CC" w14:textId="77777777" w:rsidTr="00381A4D">
        <w:trPr>
          <w:trHeight w:val="229"/>
        </w:trPr>
        <w:tc>
          <w:tcPr>
            <w:tcW w:w="6680" w:type="dxa"/>
            <w:tcBorders>
              <w:top w:val="nil"/>
              <w:left w:val="nil"/>
              <w:bottom w:val="nil"/>
              <w:right w:val="nil"/>
            </w:tcBorders>
            <w:shd w:val="clear" w:color="000000" w:fill="FFFFFF"/>
            <w:noWrap/>
            <w:vAlign w:val="center"/>
            <w:hideMark/>
          </w:tcPr>
          <w:p w14:paraId="7186E186"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information and early support</w:t>
            </w:r>
          </w:p>
        </w:tc>
        <w:tc>
          <w:tcPr>
            <w:tcW w:w="180" w:type="dxa"/>
            <w:tcBorders>
              <w:top w:val="nil"/>
              <w:left w:val="nil"/>
              <w:bottom w:val="nil"/>
              <w:right w:val="nil"/>
            </w:tcBorders>
            <w:shd w:val="clear" w:color="000000" w:fill="FFFFFF"/>
            <w:noWrap/>
            <w:vAlign w:val="center"/>
            <w:hideMark/>
          </w:tcPr>
          <w:p w14:paraId="5E86C13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72B0798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130</w:t>
            </w:r>
          </w:p>
        </w:tc>
        <w:tc>
          <w:tcPr>
            <w:tcW w:w="992" w:type="dxa"/>
            <w:tcBorders>
              <w:top w:val="nil"/>
              <w:left w:val="nil"/>
              <w:bottom w:val="nil"/>
              <w:right w:val="nil"/>
            </w:tcBorders>
            <w:shd w:val="clear" w:color="000000" w:fill="FFFFFF"/>
            <w:noWrap/>
            <w:vAlign w:val="center"/>
            <w:hideMark/>
          </w:tcPr>
          <w:p w14:paraId="77343D7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120</w:t>
            </w:r>
          </w:p>
        </w:tc>
        <w:tc>
          <w:tcPr>
            <w:tcW w:w="983" w:type="dxa"/>
            <w:tcBorders>
              <w:top w:val="nil"/>
              <w:left w:val="nil"/>
              <w:bottom w:val="nil"/>
              <w:right w:val="nil"/>
            </w:tcBorders>
            <w:shd w:val="clear" w:color="000000" w:fill="FFFFFF"/>
            <w:noWrap/>
            <w:vAlign w:val="center"/>
            <w:hideMark/>
          </w:tcPr>
          <w:p w14:paraId="2A26C1E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1.5%</w:t>
            </w:r>
          </w:p>
        </w:tc>
        <w:tc>
          <w:tcPr>
            <w:tcW w:w="180" w:type="dxa"/>
            <w:tcBorders>
              <w:top w:val="nil"/>
              <w:left w:val="nil"/>
              <w:bottom w:val="nil"/>
              <w:right w:val="nil"/>
            </w:tcBorders>
            <w:shd w:val="clear" w:color="000000" w:fill="FFFFFF"/>
            <w:noWrap/>
            <w:vAlign w:val="center"/>
            <w:hideMark/>
          </w:tcPr>
          <w:p w14:paraId="2BE9229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9DFED3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0E9D31D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3F8D3E6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89EB0B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6AEED73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1D9208E0" w14:textId="77777777" w:rsidTr="00381A4D">
        <w:trPr>
          <w:trHeight w:val="229"/>
        </w:trPr>
        <w:tc>
          <w:tcPr>
            <w:tcW w:w="6680" w:type="dxa"/>
            <w:tcBorders>
              <w:top w:val="nil"/>
              <w:left w:val="nil"/>
              <w:bottom w:val="nil"/>
              <w:right w:val="nil"/>
            </w:tcBorders>
            <w:shd w:val="clear" w:color="000000" w:fill="FFFFFF"/>
            <w:noWrap/>
            <w:vAlign w:val="center"/>
            <w:hideMark/>
          </w:tcPr>
          <w:p w14:paraId="22AFD096"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social care activities</w:t>
            </w:r>
          </w:p>
        </w:tc>
        <w:tc>
          <w:tcPr>
            <w:tcW w:w="180" w:type="dxa"/>
            <w:tcBorders>
              <w:top w:val="nil"/>
              <w:left w:val="nil"/>
              <w:bottom w:val="nil"/>
              <w:right w:val="nil"/>
            </w:tcBorders>
            <w:shd w:val="clear" w:color="000000" w:fill="FFFFFF"/>
            <w:noWrap/>
            <w:vAlign w:val="center"/>
            <w:hideMark/>
          </w:tcPr>
          <w:p w14:paraId="4DE1DE69"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6D1E4CC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889</w:t>
            </w:r>
          </w:p>
        </w:tc>
        <w:tc>
          <w:tcPr>
            <w:tcW w:w="992" w:type="dxa"/>
            <w:tcBorders>
              <w:top w:val="nil"/>
              <w:left w:val="nil"/>
              <w:bottom w:val="nil"/>
              <w:right w:val="nil"/>
            </w:tcBorders>
            <w:shd w:val="clear" w:color="000000" w:fill="FFFFFF"/>
            <w:noWrap/>
            <w:vAlign w:val="center"/>
            <w:hideMark/>
          </w:tcPr>
          <w:p w14:paraId="3E73E740"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719</w:t>
            </w:r>
          </w:p>
        </w:tc>
        <w:tc>
          <w:tcPr>
            <w:tcW w:w="983" w:type="dxa"/>
            <w:tcBorders>
              <w:top w:val="nil"/>
              <w:left w:val="nil"/>
              <w:bottom w:val="nil"/>
              <w:right w:val="nil"/>
            </w:tcBorders>
            <w:shd w:val="clear" w:color="000000" w:fill="FFFFFF"/>
            <w:noWrap/>
            <w:vAlign w:val="center"/>
            <w:hideMark/>
          </w:tcPr>
          <w:p w14:paraId="7F7B596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10.3%</w:t>
            </w:r>
          </w:p>
        </w:tc>
        <w:tc>
          <w:tcPr>
            <w:tcW w:w="180" w:type="dxa"/>
            <w:tcBorders>
              <w:top w:val="nil"/>
              <w:left w:val="nil"/>
              <w:bottom w:val="nil"/>
              <w:right w:val="nil"/>
            </w:tcBorders>
            <w:shd w:val="clear" w:color="000000" w:fill="FFFFFF"/>
            <w:noWrap/>
            <w:vAlign w:val="center"/>
            <w:hideMark/>
          </w:tcPr>
          <w:p w14:paraId="3A2134A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26EEF20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37C7787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7A6648F8"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410A5212"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43FB5FA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4A12FF70" w14:textId="77777777" w:rsidTr="00381A4D">
        <w:trPr>
          <w:trHeight w:val="229"/>
        </w:trPr>
        <w:tc>
          <w:tcPr>
            <w:tcW w:w="6680" w:type="dxa"/>
            <w:tcBorders>
              <w:top w:val="nil"/>
              <w:left w:val="nil"/>
              <w:bottom w:val="nil"/>
              <w:right w:val="nil"/>
            </w:tcBorders>
            <w:shd w:val="clear" w:color="000000" w:fill="FFFFFF"/>
            <w:noWrap/>
            <w:vAlign w:val="center"/>
            <w:hideMark/>
          </w:tcPr>
          <w:p w14:paraId="066B467B" w14:textId="77777777" w:rsidR="00381A4D" w:rsidRPr="00381A4D" w:rsidRDefault="00381A4D" w:rsidP="00381A4D">
            <w:pPr>
              <w:widowControl/>
              <w:spacing w:after="0"/>
              <w:ind w:firstLineChars="100" w:firstLine="20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Long-term care expenditure per user for commissioning and service delivery</w:t>
            </w:r>
          </w:p>
        </w:tc>
        <w:tc>
          <w:tcPr>
            <w:tcW w:w="180" w:type="dxa"/>
            <w:tcBorders>
              <w:top w:val="nil"/>
              <w:left w:val="nil"/>
              <w:bottom w:val="nil"/>
              <w:right w:val="nil"/>
            </w:tcBorders>
            <w:shd w:val="clear" w:color="000000" w:fill="FFFFFF"/>
            <w:noWrap/>
            <w:vAlign w:val="center"/>
            <w:hideMark/>
          </w:tcPr>
          <w:p w14:paraId="5C7B8CA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785" w:type="dxa"/>
            <w:tcBorders>
              <w:top w:val="nil"/>
              <w:left w:val="nil"/>
              <w:bottom w:val="nil"/>
              <w:right w:val="nil"/>
            </w:tcBorders>
            <w:shd w:val="clear" w:color="000000" w:fill="FFFFFF"/>
            <w:noWrap/>
            <w:vAlign w:val="center"/>
            <w:hideMark/>
          </w:tcPr>
          <w:p w14:paraId="0ACF2CA6"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608</w:t>
            </w:r>
          </w:p>
        </w:tc>
        <w:tc>
          <w:tcPr>
            <w:tcW w:w="992" w:type="dxa"/>
            <w:tcBorders>
              <w:top w:val="nil"/>
              <w:left w:val="nil"/>
              <w:bottom w:val="nil"/>
              <w:right w:val="nil"/>
            </w:tcBorders>
            <w:shd w:val="clear" w:color="000000" w:fill="FFFFFF"/>
            <w:noWrap/>
            <w:vAlign w:val="center"/>
            <w:hideMark/>
          </w:tcPr>
          <w:p w14:paraId="48F09134"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701</w:t>
            </w:r>
          </w:p>
        </w:tc>
        <w:tc>
          <w:tcPr>
            <w:tcW w:w="983" w:type="dxa"/>
            <w:tcBorders>
              <w:top w:val="nil"/>
              <w:left w:val="nil"/>
              <w:bottom w:val="nil"/>
              <w:right w:val="nil"/>
            </w:tcBorders>
            <w:shd w:val="clear" w:color="000000" w:fill="FFFFFF"/>
            <w:noWrap/>
            <w:vAlign w:val="center"/>
            <w:hideMark/>
          </w:tcPr>
          <w:p w14:paraId="4FFF5ADF"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7.0%</w:t>
            </w:r>
          </w:p>
        </w:tc>
        <w:tc>
          <w:tcPr>
            <w:tcW w:w="180" w:type="dxa"/>
            <w:tcBorders>
              <w:top w:val="nil"/>
              <w:left w:val="nil"/>
              <w:bottom w:val="nil"/>
              <w:right w:val="nil"/>
            </w:tcBorders>
            <w:shd w:val="clear" w:color="000000" w:fill="FFFFFF"/>
            <w:noWrap/>
            <w:vAlign w:val="center"/>
            <w:hideMark/>
          </w:tcPr>
          <w:p w14:paraId="124DF4D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53B63E5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118324FE"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0" w:type="dxa"/>
            <w:tcBorders>
              <w:top w:val="nil"/>
              <w:left w:val="nil"/>
              <w:bottom w:val="nil"/>
              <w:right w:val="nil"/>
            </w:tcBorders>
            <w:shd w:val="clear" w:color="000000" w:fill="FFFFFF"/>
            <w:noWrap/>
            <w:vAlign w:val="center"/>
            <w:hideMark/>
          </w:tcPr>
          <w:p w14:paraId="6F2EE861"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812" w:type="dxa"/>
            <w:tcBorders>
              <w:top w:val="nil"/>
              <w:left w:val="nil"/>
              <w:bottom w:val="nil"/>
              <w:right w:val="nil"/>
            </w:tcBorders>
            <w:shd w:val="clear" w:color="000000" w:fill="FFFFFF"/>
            <w:noWrap/>
            <w:vAlign w:val="center"/>
            <w:hideMark/>
          </w:tcPr>
          <w:p w14:paraId="7595D5B5"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028" w:type="dxa"/>
            <w:tcBorders>
              <w:top w:val="nil"/>
              <w:left w:val="nil"/>
              <w:bottom w:val="nil"/>
              <w:right w:val="nil"/>
            </w:tcBorders>
            <w:shd w:val="clear" w:color="000000" w:fill="FFFFFF"/>
            <w:noWrap/>
            <w:vAlign w:val="center"/>
            <w:hideMark/>
          </w:tcPr>
          <w:p w14:paraId="1034865B"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r>
      <w:tr w:rsidR="00381A4D" w:rsidRPr="00381A4D" w14:paraId="45147C89" w14:textId="77777777" w:rsidTr="00381A4D">
        <w:trPr>
          <w:trHeight w:val="229"/>
        </w:trPr>
        <w:tc>
          <w:tcPr>
            <w:tcW w:w="6680" w:type="dxa"/>
            <w:tcBorders>
              <w:top w:val="single" w:sz="4" w:space="0" w:color="auto"/>
              <w:left w:val="nil"/>
              <w:bottom w:val="nil"/>
              <w:right w:val="nil"/>
            </w:tcBorders>
            <w:shd w:val="clear" w:color="000000" w:fill="FFFFFF"/>
            <w:noWrap/>
            <w:vAlign w:val="bottom"/>
            <w:hideMark/>
          </w:tcPr>
          <w:p w14:paraId="55DE563C"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Observations</w:t>
            </w:r>
          </w:p>
        </w:tc>
        <w:tc>
          <w:tcPr>
            <w:tcW w:w="180" w:type="dxa"/>
            <w:tcBorders>
              <w:top w:val="nil"/>
              <w:left w:val="nil"/>
              <w:bottom w:val="single" w:sz="4" w:space="0" w:color="auto"/>
              <w:right w:val="nil"/>
            </w:tcBorders>
            <w:shd w:val="clear" w:color="000000" w:fill="FFFFFF"/>
            <w:noWrap/>
            <w:vAlign w:val="center"/>
            <w:hideMark/>
          </w:tcPr>
          <w:p w14:paraId="4D9F20E0"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2760" w:type="dxa"/>
            <w:gridSpan w:val="3"/>
            <w:tcBorders>
              <w:top w:val="single" w:sz="4" w:space="0" w:color="auto"/>
              <w:left w:val="nil"/>
              <w:bottom w:val="single" w:sz="4" w:space="0" w:color="auto"/>
              <w:right w:val="nil"/>
            </w:tcBorders>
            <w:shd w:val="clear" w:color="000000" w:fill="FFFFFF"/>
            <w:noWrap/>
            <w:vAlign w:val="center"/>
            <w:hideMark/>
          </w:tcPr>
          <w:p w14:paraId="6CBD0C7C"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146</w:t>
            </w:r>
          </w:p>
        </w:tc>
        <w:tc>
          <w:tcPr>
            <w:tcW w:w="180" w:type="dxa"/>
            <w:tcBorders>
              <w:top w:val="nil"/>
              <w:left w:val="nil"/>
              <w:bottom w:val="single" w:sz="4" w:space="0" w:color="auto"/>
              <w:right w:val="nil"/>
            </w:tcBorders>
            <w:shd w:val="clear" w:color="000000" w:fill="FFFFFF"/>
            <w:noWrap/>
            <w:vAlign w:val="center"/>
            <w:hideMark/>
          </w:tcPr>
          <w:p w14:paraId="2B94EC75"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40" w:type="dxa"/>
            <w:gridSpan w:val="2"/>
            <w:tcBorders>
              <w:top w:val="single" w:sz="4" w:space="0" w:color="auto"/>
              <w:left w:val="nil"/>
              <w:bottom w:val="single" w:sz="4" w:space="0" w:color="auto"/>
              <w:right w:val="nil"/>
            </w:tcBorders>
            <w:shd w:val="clear" w:color="000000" w:fill="FFFFFF"/>
            <w:noWrap/>
            <w:vAlign w:val="center"/>
            <w:hideMark/>
          </w:tcPr>
          <w:p w14:paraId="0B3FFE47"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146</w:t>
            </w:r>
          </w:p>
        </w:tc>
        <w:tc>
          <w:tcPr>
            <w:tcW w:w="180" w:type="dxa"/>
            <w:tcBorders>
              <w:top w:val="nil"/>
              <w:left w:val="nil"/>
              <w:bottom w:val="single" w:sz="4" w:space="0" w:color="auto"/>
              <w:right w:val="nil"/>
            </w:tcBorders>
            <w:shd w:val="clear" w:color="000000" w:fill="FFFFFF"/>
            <w:noWrap/>
            <w:vAlign w:val="center"/>
            <w:hideMark/>
          </w:tcPr>
          <w:p w14:paraId="310A9EFE"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 </w:t>
            </w:r>
          </w:p>
        </w:tc>
        <w:tc>
          <w:tcPr>
            <w:tcW w:w="1840" w:type="dxa"/>
            <w:gridSpan w:val="2"/>
            <w:tcBorders>
              <w:top w:val="single" w:sz="4" w:space="0" w:color="auto"/>
              <w:left w:val="nil"/>
              <w:bottom w:val="single" w:sz="4" w:space="0" w:color="auto"/>
              <w:right w:val="nil"/>
            </w:tcBorders>
            <w:shd w:val="clear" w:color="000000" w:fill="FFFFFF"/>
            <w:noWrap/>
            <w:vAlign w:val="center"/>
            <w:hideMark/>
          </w:tcPr>
          <w:p w14:paraId="7F824EC3" w14:textId="77777777" w:rsidR="00381A4D" w:rsidRPr="00381A4D" w:rsidRDefault="00381A4D" w:rsidP="00381A4D">
            <w:pPr>
              <w:widowControl/>
              <w:spacing w:after="0"/>
              <w:jc w:val="center"/>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146</w:t>
            </w:r>
          </w:p>
        </w:tc>
      </w:tr>
      <w:tr w:rsidR="00381A4D" w:rsidRPr="00381A4D" w14:paraId="4AD8D084" w14:textId="77777777" w:rsidTr="00381A4D">
        <w:trPr>
          <w:trHeight w:val="229"/>
        </w:trPr>
        <w:tc>
          <w:tcPr>
            <w:tcW w:w="13660" w:type="dxa"/>
            <w:gridSpan w:val="11"/>
            <w:tcBorders>
              <w:top w:val="single" w:sz="4" w:space="0" w:color="auto"/>
              <w:left w:val="nil"/>
              <w:bottom w:val="single" w:sz="4" w:space="0" w:color="auto"/>
              <w:right w:val="nil"/>
            </w:tcBorders>
            <w:shd w:val="clear" w:color="000000" w:fill="FFFFFF"/>
            <w:noWrap/>
            <w:vAlign w:val="center"/>
            <w:hideMark/>
          </w:tcPr>
          <w:p w14:paraId="3DFA6A9D" w14:textId="77777777" w:rsidR="00381A4D" w:rsidRPr="00381A4D" w:rsidRDefault="00381A4D" w:rsidP="00381A4D">
            <w:pPr>
              <w:widowControl/>
              <w:spacing w:after="0"/>
              <w:jc w:val="left"/>
              <w:rPr>
                <w:rFonts w:ascii="Calibri" w:eastAsia="Times New Roman" w:hAnsi="Calibri" w:cs="Calibri"/>
                <w:sz w:val="20"/>
                <w:szCs w:val="20"/>
                <w:lang w:eastAsia="en-GB"/>
              </w:rPr>
            </w:pPr>
            <w:r w:rsidRPr="00381A4D">
              <w:rPr>
                <w:rFonts w:ascii="Calibri" w:eastAsia="Times New Roman" w:hAnsi="Calibri" w:cs="Calibri"/>
                <w:sz w:val="20"/>
                <w:szCs w:val="20"/>
                <w:lang w:eastAsia="en-GB"/>
              </w:rPr>
              <w:t>Std dev=standard deviation; Prop=proportion of total expenditure</w:t>
            </w:r>
          </w:p>
        </w:tc>
      </w:tr>
    </w:tbl>
    <w:p w14:paraId="540FFB90" w14:textId="77777777" w:rsidR="00DD7F73" w:rsidRPr="002A4884" w:rsidRDefault="00DD7F73" w:rsidP="00DD7F73">
      <w:pPr>
        <w:sectPr w:rsidR="00DD7F73" w:rsidRPr="002A4884" w:rsidSect="00F06781">
          <w:pgSz w:w="16838" w:h="11906" w:orient="landscape"/>
          <w:pgMar w:top="720" w:right="720" w:bottom="720" w:left="720" w:header="708" w:footer="708" w:gutter="0"/>
          <w:cols w:space="708"/>
          <w:docGrid w:linePitch="360"/>
        </w:sectPr>
      </w:pPr>
    </w:p>
    <w:p w14:paraId="3A790610" w14:textId="36005C16" w:rsidR="002A45FA" w:rsidRDefault="002A45FA" w:rsidP="002A45FA">
      <w:pPr>
        <w:pStyle w:val="Caption"/>
      </w:pPr>
      <w:bookmarkStart w:id="34" w:name="_Ref88836994"/>
      <w:r>
        <w:lastRenderedPageBreak/>
        <w:t xml:space="preserve">Table </w:t>
      </w:r>
      <w:r w:rsidR="002A7365">
        <w:fldChar w:fldCharType="begin"/>
      </w:r>
      <w:r w:rsidR="002A7365">
        <w:instrText xml:space="preserve"> SEQ Table \* ARABIC </w:instrText>
      </w:r>
      <w:r w:rsidR="002A7365">
        <w:fldChar w:fldCharType="separate"/>
      </w:r>
      <w:r w:rsidR="007C7B62">
        <w:rPr>
          <w:noProof/>
        </w:rPr>
        <w:t>2</w:t>
      </w:r>
      <w:r w:rsidR="002A7365">
        <w:rPr>
          <w:noProof/>
        </w:rPr>
        <w:fldChar w:fldCharType="end"/>
      </w:r>
      <w:bookmarkEnd w:id="33"/>
      <w:bookmarkEnd w:id="34"/>
      <w:r w:rsidR="0055432F" w:rsidRPr="002A4884">
        <w:t xml:space="preserve"> – Descriptive statistics.</w:t>
      </w:r>
    </w:p>
    <w:tbl>
      <w:tblPr>
        <w:tblW w:w="11115" w:type="dxa"/>
        <w:tblLook w:val="04A0" w:firstRow="1" w:lastRow="0" w:firstColumn="1" w:lastColumn="0" w:noHBand="0" w:noVBand="1"/>
      </w:tblPr>
      <w:tblGrid>
        <w:gridCol w:w="6475"/>
        <w:gridCol w:w="1160"/>
        <w:gridCol w:w="1160"/>
        <w:gridCol w:w="1160"/>
        <w:gridCol w:w="1160"/>
      </w:tblGrid>
      <w:tr w:rsidR="00B95973" w:rsidRPr="00B95973" w14:paraId="0E5D3C2B" w14:textId="77777777" w:rsidTr="00B95973">
        <w:trPr>
          <w:trHeight w:val="229"/>
        </w:trPr>
        <w:tc>
          <w:tcPr>
            <w:tcW w:w="6475" w:type="dxa"/>
            <w:tcBorders>
              <w:top w:val="single" w:sz="4" w:space="0" w:color="auto"/>
              <w:left w:val="nil"/>
              <w:bottom w:val="single" w:sz="4" w:space="0" w:color="auto"/>
              <w:right w:val="nil"/>
            </w:tcBorders>
            <w:shd w:val="clear" w:color="000000" w:fill="FFFFFF"/>
            <w:noWrap/>
            <w:vAlign w:val="center"/>
            <w:hideMark/>
          </w:tcPr>
          <w:p w14:paraId="06D939F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Variable</w:t>
            </w:r>
          </w:p>
        </w:tc>
        <w:tc>
          <w:tcPr>
            <w:tcW w:w="1160" w:type="dxa"/>
            <w:tcBorders>
              <w:top w:val="single" w:sz="4" w:space="0" w:color="auto"/>
              <w:left w:val="nil"/>
              <w:bottom w:val="single" w:sz="4" w:space="0" w:color="auto"/>
              <w:right w:val="nil"/>
            </w:tcBorders>
            <w:shd w:val="clear" w:color="000000" w:fill="FFFFFF"/>
            <w:noWrap/>
            <w:vAlign w:val="center"/>
            <w:hideMark/>
          </w:tcPr>
          <w:p w14:paraId="5692316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Mean</w:t>
            </w:r>
          </w:p>
        </w:tc>
        <w:tc>
          <w:tcPr>
            <w:tcW w:w="1160" w:type="dxa"/>
            <w:tcBorders>
              <w:top w:val="single" w:sz="4" w:space="0" w:color="auto"/>
              <w:left w:val="nil"/>
              <w:bottom w:val="single" w:sz="4" w:space="0" w:color="auto"/>
              <w:right w:val="nil"/>
            </w:tcBorders>
            <w:shd w:val="clear" w:color="000000" w:fill="FFFFFF"/>
            <w:noWrap/>
            <w:vAlign w:val="center"/>
            <w:hideMark/>
          </w:tcPr>
          <w:p w14:paraId="417EAA8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Std dev</w:t>
            </w:r>
          </w:p>
        </w:tc>
        <w:tc>
          <w:tcPr>
            <w:tcW w:w="1160" w:type="dxa"/>
            <w:tcBorders>
              <w:top w:val="single" w:sz="4" w:space="0" w:color="auto"/>
              <w:left w:val="nil"/>
              <w:bottom w:val="single" w:sz="4" w:space="0" w:color="auto"/>
              <w:right w:val="nil"/>
            </w:tcBorders>
            <w:shd w:val="clear" w:color="000000" w:fill="FFFFFF"/>
            <w:noWrap/>
            <w:vAlign w:val="center"/>
            <w:hideMark/>
          </w:tcPr>
          <w:p w14:paraId="336153B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Min</w:t>
            </w:r>
          </w:p>
        </w:tc>
        <w:tc>
          <w:tcPr>
            <w:tcW w:w="1160" w:type="dxa"/>
            <w:tcBorders>
              <w:top w:val="single" w:sz="4" w:space="0" w:color="auto"/>
              <w:left w:val="nil"/>
              <w:bottom w:val="single" w:sz="4" w:space="0" w:color="auto"/>
              <w:right w:val="nil"/>
            </w:tcBorders>
            <w:shd w:val="clear" w:color="000000" w:fill="FFFFFF"/>
            <w:noWrap/>
            <w:vAlign w:val="center"/>
            <w:hideMark/>
          </w:tcPr>
          <w:p w14:paraId="37D5565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Max</w:t>
            </w:r>
          </w:p>
        </w:tc>
      </w:tr>
      <w:tr w:rsidR="00B95973" w:rsidRPr="00B95973" w14:paraId="126213BE" w14:textId="77777777" w:rsidTr="00B95973">
        <w:trPr>
          <w:trHeight w:val="229"/>
        </w:trPr>
        <w:tc>
          <w:tcPr>
            <w:tcW w:w="6475" w:type="dxa"/>
            <w:tcBorders>
              <w:top w:val="nil"/>
              <w:left w:val="nil"/>
              <w:bottom w:val="nil"/>
              <w:right w:val="nil"/>
            </w:tcBorders>
            <w:shd w:val="clear" w:color="000000" w:fill="FFFFFF"/>
            <w:noWrap/>
            <w:vAlign w:val="center"/>
            <w:hideMark/>
          </w:tcPr>
          <w:p w14:paraId="29D9EFD3"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Mortality rate</w:t>
            </w:r>
          </w:p>
        </w:tc>
        <w:tc>
          <w:tcPr>
            <w:tcW w:w="1160" w:type="dxa"/>
            <w:tcBorders>
              <w:top w:val="nil"/>
              <w:left w:val="nil"/>
              <w:bottom w:val="nil"/>
              <w:right w:val="nil"/>
            </w:tcBorders>
            <w:shd w:val="clear" w:color="000000" w:fill="FFFFFF"/>
            <w:vAlign w:val="center"/>
            <w:hideMark/>
          </w:tcPr>
          <w:p w14:paraId="28D23FF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1,010</w:t>
            </w:r>
          </w:p>
        </w:tc>
        <w:tc>
          <w:tcPr>
            <w:tcW w:w="1160" w:type="dxa"/>
            <w:tcBorders>
              <w:top w:val="nil"/>
              <w:left w:val="nil"/>
              <w:bottom w:val="nil"/>
              <w:right w:val="nil"/>
            </w:tcBorders>
            <w:shd w:val="clear" w:color="000000" w:fill="FFFFFF"/>
            <w:vAlign w:val="center"/>
            <w:hideMark/>
          </w:tcPr>
          <w:p w14:paraId="24EC465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129</w:t>
            </w:r>
          </w:p>
        </w:tc>
        <w:tc>
          <w:tcPr>
            <w:tcW w:w="1160" w:type="dxa"/>
            <w:tcBorders>
              <w:top w:val="nil"/>
              <w:left w:val="nil"/>
              <w:bottom w:val="nil"/>
              <w:right w:val="nil"/>
            </w:tcBorders>
            <w:shd w:val="clear" w:color="000000" w:fill="FFFFFF"/>
            <w:vAlign w:val="center"/>
            <w:hideMark/>
          </w:tcPr>
          <w:p w14:paraId="175425A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542</w:t>
            </w:r>
          </w:p>
        </w:tc>
        <w:tc>
          <w:tcPr>
            <w:tcW w:w="1160" w:type="dxa"/>
            <w:tcBorders>
              <w:top w:val="nil"/>
              <w:left w:val="nil"/>
              <w:bottom w:val="nil"/>
              <w:right w:val="nil"/>
            </w:tcBorders>
            <w:shd w:val="clear" w:color="000000" w:fill="FFFFFF"/>
            <w:vAlign w:val="center"/>
            <w:hideMark/>
          </w:tcPr>
          <w:p w14:paraId="1234E5D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1,381</w:t>
            </w:r>
          </w:p>
        </w:tc>
      </w:tr>
      <w:tr w:rsidR="00B95973" w:rsidRPr="00B95973" w14:paraId="08795093" w14:textId="77777777" w:rsidTr="00B95973">
        <w:trPr>
          <w:trHeight w:val="229"/>
        </w:trPr>
        <w:tc>
          <w:tcPr>
            <w:tcW w:w="6475" w:type="dxa"/>
            <w:tcBorders>
              <w:top w:val="nil"/>
              <w:left w:val="nil"/>
              <w:bottom w:val="nil"/>
              <w:right w:val="nil"/>
            </w:tcBorders>
            <w:shd w:val="clear" w:color="000000" w:fill="FFFFFF"/>
            <w:noWrap/>
            <w:vAlign w:val="center"/>
            <w:hideMark/>
          </w:tcPr>
          <w:p w14:paraId="579C210F"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Public expenditure and activity</w:t>
            </w:r>
          </w:p>
        </w:tc>
        <w:tc>
          <w:tcPr>
            <w:tcW w:w="1160" w:type="dxa"/>
            <w:tcBorders>
              <w:top w:val="nil"/>
              <w:left w:val="nil"/>
              <w:bottom w:val="nil"/>
              <w:right w:val="nil"/>
            </w:tcBorders>
            <w:shd w:val="clear" w:color="000000" w:fill="FFFFFF"/>
            <w:vAlign w:val="center"/>
            <w:hideMark/>
          </w:tcPr>
          <w:p w14:paraId="1BAD2FC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vAlign w:val="center"/>
            <w:hideMark/>
          </w:tcPr>
          <w:p w14:paraId="5E0E3A9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vAlign w:val="center"/>
            <w:hideMark/>
          </w:tcPr>
          <w:p w14:paraId="62EA51C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vAlign w:val="center"/>
            <w:hideMark/>
          </w:tcPr>
          <w:p w14:paraId="5250FFF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34EBE36D" w14:textId="77777777" w:rsidTr="00B95973">
        <w:trPr>
          <w:trHeight w:val="229"/>
        </w:trPr>
        <w:tc>
          <w:tcPr>
            <w:tcW w:w="6475" w:type="dxa"/>
            <w:tcBorders>
              <w:top w:val="nil"/>
              <w:left w:val="nil"/>
              <w:bottom w:val="nil"/>
              <w:right w:val="nil"/>
            </w:tcBorders>
            <w:shd w:val="clear" w:color="000000" w:fill="FFFFFF"/>
            <w:noWrap/>
            <w:vAlign w:val="center"/>
            <w:hideMark/>
          </w:tcPr>
          <w:p w14:paraId="3114CBB4"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Health care expenditure (£000s)</w:t>
            </w:r>
          </w:p>
        </w:tc>
        <w:tc>
          <w:tcPr>
            <w:tcW w:w="1160" w:type="dxa"/>
            <w:tcBorders>
              <w:top w:val="nil"/>
              <w:left w:val="nil"/>
              <w:bottom w:val="nil"/>
              <w:right w:val="nil"/>
            </w:tcBorders>
            <w:shd w:val="clear" w:color="000000" w:fill="FFFFFF"/>
            <w:noWrap/>
            <w:vAlign w:val="center"/>
            <w:hideMark/>
          </w:tcPr>
          <w:p w14:paraId="05D789F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412,417</w:t>
            </w:r>
          </w:p>
        </w:tc>
        <w:tc>
          <w:tcPr>
            <w:tcW w:w="1160" w:type="dxa"/>
            <w:tcBorders>
              <w:top w:val="nil"/>
              <w:left w:val="nil"/>
              <w:bottom w:val="nil"/>
              <w:right w:val="nil"/>
            </w:tcBorders>
            <w:shd w:val="clear" w:color="000000" w:fill="FFFFFF"/>
            <w:noWrap/>
            <w:vAlign w:val="center"/>
            <w:hideMark/>
          </w:tcPr>
          <w:p w14:paraId="38D5815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275,171</w:t>
            </w:r>
          </w:p>
        </w:tc>
        <w:tc>
          <w:tcPr>
            <w:tcW w:w="1160" w:type="dxa"/>
            <w:tcBorders>
              <w:top w:val="nil"/>
              <w:left w:val="nil"/>
              <w:bottom w:val="nil"/>
              <w:right w:val="nil"/>
            </w:tcBorders>
            <w:shd w:val="clear" w:color="000000" w:fill="FFFFFF"/>
            <w:noWrap/>
            <w:vAlign w:val="center"/>
            <w:hideMark/>
          </w:tcPr>
          <w:p w14:paraId="71CF6C3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10,709</w:t>
            </w:r>
          </w:p>
        </w:tc>
        <w:tc>
          <w:tcPr>
            <w:tcW w:w="1160" w:type="dxa"/>
            <w:tcBorders>
              <w:top w:val="nil"/>
              <w:left w:val="nil"/>
              <w:bottom w:val="nil"/>
              <w:right w:val="nil"/>
            </w:tcBorders>
            <w:shd w:val="clear" w:color="000000" w:fill="FFFFFF"/>
            <w:noWrap/>
            <w:vAlign w:val="center"/>
            <w:hideMark/>
          </w:tcPr>
          <w:p w14:paraId="3D77B87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1,758,229</w:t>
            </w:r>
          </w:p>
        </w:tc>
      </w:tr>
      <w:tr w:rsidR="00B95973" w:rsidRPr="00B95973" w14:paraId="7FFD87AA" w14:textId="77777777" w:rsidTr="00B95973">
        <w:trPr>
          <w:trHeight w:val="229"/>
        </w:trPr>
        <w:tc>
          <w:tcPr>
            <w:tcW w:w="6475" w:type="dxa"/>
            <w:tcBorders>
              <w:top w:val="nil"/>
              <w:left w:val="nil"/>
              <w:bottom w:val="nil"/>
              <w:right w:val="nil"/>
            </w:tcBorders>
            <w:shd w:val="clear" w:color="000000" w:fill="FFFFFF"/>
            <w:noWrap/>
            <w:vAlign w:val="center"/>
            <w:hideMark/>
          </w:tcPr>
          <w:p w14:paraId="5880A9A8"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Population</w:t>
            </w:r>
          </w:p>
        </w:tc>
        <w:tc>
          <w:tcPr>
            <w:tcW w:w="1160" w:type="dxa"/>
            <w:tcBorders>
              <w:top w:val="nil"/>
              <w:left w:val="nil"/>
              <w:bottom w:val="nil"/>
              <w:right w:val="nil"/>
            </w:tcBorders>
            <w:shd w:val="clear" w:color="000000" w:fill="FFFFFF"/>
            <w:noWrap/>
            <w:vAlign w:val="center"/>
            <w:hideMark/>
          </w:tcPr>
          <w:p w14:paraId="5AF982C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333,083</w:t>
            </w:r>
          </w:p>
        </w:tc>
        <w:tc>
          <w:tcPr>
            <w:tcW w:w="1160" w:type="dxa"/>
            <w:tcBorders>
              <w:top w:val="nil"/>
              <w:left w:val="nil"/>
              <w:bottom w:val="nil"/>
              <w:right w:val="nil"/>
            </w:tcBorders>
            <w:shd w:val="clear" w:color="000000" w:fill="FFFFFF"/>
            <w:noWrap/>
            <w:vAlign w:val="center"/>
            <w:hideMark/>
          </w:tcPr>
          <w:p w14:paraId="311BB41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229,434</w:t>
            </w:r>
          </w:p>
        </w:tc>
        <w:tc>
          <w:tcPr>
            <w:tcW w:w="1160" w:type="dxa"/>
            <w:tcBorders>
              <w:top w:val="nil"/>
              <w:left w:val="nil"/>
              <w:bottom w:val="nil"/>
              <w:right w:val="nil"/>
            </w:tcBorders>
            <w:shd w:val="clear" w:color="000000" w:fill="FFFFFF"/>
            <w:noWrap/>
            <w:vAlign w:val="center"/>
            <w:hideMark/>
          </w:tcPr>
          <w:p w14:paraId="0ED9748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6,139</w:t>
            </w:r>
          </w:p>
        </w:tc>
        <w:tc>
          <w:tcPr>
            <w:tcW w:w="1160" w:type="dxa"/>
            <w:tcBorders>
              <w:top w:val="nil"/>
              <w:left w:val="nil"/>
              <w:bottom w:val="nil"/>
              <w:right w:val="nil"/>
            </w:tcBorders>
            <w:shd w:val="clear" w:color="000000" w:fill="FFFFFF"/>
            <w:noWrap/>
            <w:vAlign w:val="center"/>
            <w:hideMark/>
          </w:tcPr>
          <w:p w14:paraId="47576D0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1,509,301</w:t>
            </w:r>
          </w:p>
        </w:tc>
      </w:tr>
      <w:tr w:rsidR="00B95973" w:rsidRPr="00B95973" w14:paraId="3F1D9A2E" w14:textId="77777777" w:rsidTr="00B95973">
        <w:trPr>
          <w:trHeight w:val="229"/>
        </w:trPr>
        <w:tc>
          <w:tcPr>
            <w:tcW w:w="6475" w:type="dxa"/>
            <w:tcBorders>
              <w:top w:val="nil"/>
              <w:left w:val="nil"/>
              <w:bottom w:val="nil"/>
              <w:right w:val="nil"/>
            </w:tcBorders>
            <w:shd w:val="clear" w:color="000000" w:fill="FFFFFF"/>
            <w:noWrap/>
            <w:vAlign w:val="center"/>
            <w:hideMark/>
          </w:tcPr>
          <w:p w14:paraId="3C4A8FD3"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Health care expenditure per capita</w:t>
            </w:r>
          </w:p>
        </w:tc>
        <w:tc>
          <w:tcPr>
            <w:tcW w:w="1160" w:type="dxa"/>
            <w:tcBorders>
              <w:top w:val="nil"/>
              <w:left w:val="nil"/>
              <w:bottom w:val="nil"/>
              <w:right w:val="nil"/>
            </w:tcBorders>
            <w:shd w:val="clear" w:color="000000" w:fill="FFFFFF"/>
            <w:noWrap/>
            <w:vAlign w:val="center"/>
            <w:hideMark/>
          </w:tcPr>
          <w:p w14:paraId="137C704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1,257</w:t>
            </w:r>
          </w:p>
        </w:tc>
        <w:tc>
          <w:tcPr>
            <w:tcW w:w="1160" w:type="dxa"/>
            <w:tcBorders>
              <w:top w:val="nil"/>
              <w:left w:val="nil"/>
              <w:bottom w:val="nil"/>
              <w:right w:val="nil"/>
            </w:tcBorders>
            <w:shd w:val="clear" w:color="000000" w:fill="FFFFFF"/>
            <w:noWrap/>
            <w:vAlign w:val="center"/>
            <w:hideMark/>
          </w:tcPr>
          <w:p w14:paraId="27EC8A2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145</w:t>
            </w:r>
          </w:p>
        </w:tc>
        <w:tc>
          <w:tcPr>
            <w:tcW w:w="1160" w:type="dxa"/>
            <w:tcBorders>
              <w:top w:val="nil"/>
              <w:left w:val="nil"/>
              <w:bottom w:val="nil"/>
              <w:right w:val="nil"/>
            </w:tcBorders>
            <w:shd w:val="clear" w:color="000000" w:fill="FFFFFF"/>
            <w:noWrap/>
            <w:vAlign w:val="center"/>
            <w:hideMark/>
          </w:tcPr>
          <w:p w14:paraId="387D71C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979</w:t>
            </w:r>
          </w:p>
        </w:tc>
        <w:tc>
          <w:tcPr>
            <w:tcW w:w="1160" w:type="dxa"/>
            <w:tcBorders>
              <w:top w:val="nil"/>
              <w:left w:val="nil"/>
              <w:bottom w:val="nil"/>
              <w:right w:val="nil"/>
            </w:tcBorders>
            <w:shd w:val="clear" w:color="000000" w:fill="FFFFFF"/>
            <w:noWrap/>
            <w:vAlign w:val="center"/>
            <w:hideMark/>
          </w:tcPr>
          <w:p w14:paraId="3F83D20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1,744</w:t>
            </w:r>
          </w:p>
        </w:tc>
      </w:tr>
      <w:tr w:rsidR="00B95973" w:rsidRPr="00B95973" w14:paraId="29A68C1D" w14:textId="77777777" w:rsidTr="00B95973">
        <w:trPr>
          <w:trHeight w:val="229"/>
        </w:trPr>
        <w:tc>
          <w:tcPr>
            <w:tcW w:w="6475" w:type="dxa"/>
            <w:tcBorders>
              <w:top w:val="nil"/>
              <w:left w:val="nil"/>
              <w:bottom w:val="nil"/>
              <w:right w:val="nil"/>
            </w:tcBorders>
            <w:shd w:val="clear" w:color="000000" w:fill="FFFFFF"/>
            <w:noWrap/>
            <w:vAlign w:val="center"/>
            <w:hideMark/>
          </w:tcPr>
          <w:p w14:paraId="6DB0BAAA"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Long-term care expenditure (£000s)</w:t>
            </w:r>
          </w:p>
        </w:tc>
        <w:tc>
          <w:tcPr>
            <w:tcW w:w="1160" w:type="dxa"/>
            <w:tcBorders>
              <w:top w:val="nil"/>
              <w:left w:val="nil"/>
              <w:bottom w:val="nil"/>
              <w:right w:val="nil"/>
            </w:tcBorders>
            <w:shd w:val="clear" w:color="000000" w:fill="FFFFFF"/>
            <w:noWrap/>
            <w:vAlign w:val="center"/>
            <w:hideMark/>
          </w:tcPr>
          <w:p w14:paraId="2FF5F17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107,488</w:t>
            </w:r>
          </w:p>
        </w:tc>
        <w:tc>
          <w:tcPr>
            <w:tcW w:w="1160" w:type="dxa"/>
            <w:tcBorders>
              <w:top w:val="nil"/>
              <w:left w:val="nil"/>
              <w:bottom w:val="nil"/>
              <w:right w:val="nil"/>
            </w:tcBorders>
            <w:shd w:val="clear" w:color="000000" w:fill="FFFFFF"/>
            <w:noWrap/>
            <w:vAlign w:val="center"/>
            <w:hideMark/>
          </w:tcPr>
          <w:p w14:paraId="093C1BE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72,326</w:t>
            </w:r>
          </w:p>
        </w:tc>
        <w:tc>
          <w:tcPr>
            <w:tcW w:w="1160" w:type="dxa"/>
            <w:tcBorders>
              <w:top w:val="nil"/>
              <w:left w:val="nil"/>
              <w:bottom w:val="nil"/>
              <w:right w:val="nil"/>
            </w:tcBorders>
            <w:shd w:val="clear" w:color="000000" w:fill="FFFFFF"/>
            <w:noWrap/>
            <w:vAlign w:val="center"/>
            <w:hideMark/>
          </w:tcPr>
          <w:p w14:paraId="6207019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6,502</w:t>
            </w:r>
          </w:p>
        </w:tc>
        <w:tc>
          <w:tcPr>
            <w:tcW w:w="1160" w:type="dxa"/>
            <w:tcBorders>
              <w:top w:val="nil"/>
              <w:left w:val="nil"/>
              <w:bottom w:val="nil"/>
              <w:right w:val="nil"/>
            </w:tcBorders>
            <w:shd w:val="clear" w:color="000000" w:fill="FFFFFF"/>
            <w:noWrap/>
            <w:vAlign w:val="center"/>
            <w:hideMark/>
          </w:tcPr>
          <w:p w14:paraId="41D5298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437,516</w:t>
            </w:r>
          </w:p>
        </w:tc>
      </w:tr>
      <w:tr w:rsidR="00B95973" w:rsidRPr="00B95973" w14:paraId="78D36D08" w14:textId="77777777" w:rsidTr="00B95973">
        <w:trPr>
          <w:trHeight w:val="229"/>
        </w:trPr>
        <w:tc>
          <w:tcPr>
            <w:tcW w:w="6475" w:type="dxa"/>
            <w:tcBorders>
              <w:top w:val="nil"/>
              <w:left w:val="nil"/>
              <w:bottom w:val="nil"/>
              <w:right w:val="nil"/>
            </w:tcBorders>
            <w:shd w:val="clear" w:color="000000" w:fill="FFFFFF"/>
            <w:noWrap/>
            <w:vAlign w:val="center"/>
            <w:hideMark/>
          </w:tcPr>
          <w:p w14:paraId="755A023C"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Number of long-term care users</w:t>
            </w:r>
          </w:p>
        </w:tc>
        <w:tc>
          <w:tcPr>
            <w:tcW w:w="1160" w:type="dxa"/>
            <w:tcBorders>
              <w:top w:val="nil"/>
              <w:left w:val="nil"/>
              <w:bottom w:val="nil"/>
              <w:right w:val="nil"/>
            </w:tcBorders>
            <w:shd w:val="clear" w:color="000000" w:fill="FFFFFF"/>
            <w:noWrap/>
            <w:vAlign w:val="center"/>
            <w:hideMark/>
          </w:tcPr>
          <w:p w14:paraId="19149F8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14,885</w:t>
            </w:r>
          </w:p>
        </w:tc>
        <w:tc>
          <w:tcPr>
            <w:tcW w:w="1160" w:type="dxa"/>
            <w:tcBorders>
              <w:top w:val="nil"/>
              <w:left w:val="nil"/>
              <w:bottom w:val="nil"/>
              <w:right w:val="nil"/>
            </w:tcBorders>
            <w:shd w:val="clear" w:color="000000" w:fill="FFFFFF"/>
            <w:noWrap/>
            <w:vAlign w:val="center"/>
            <w:hideMark/>
          </w:tcPr>
          <w:p w14:paraId="4737B3F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12,316</w:t>
            </w:r>
          </w:p>
        </w:tc>
        <w:tc>
          <w:tcPr>
            <w:tcW w:w="1160" w:type="dxa"/>
            <w:tcBorders>
              <w:top w:val="nil"/>
              <w:left w:val="nil"/>
              <w:bottom w:val="nil"/>
              <w:right w:val="nil"/>
            </w:tcBorders>
            <w:shd w:val="clear" w:color="000000" w:fill="FFFFFF"/>
            <w:noWrap/>
            <w:vAlign w:val="center"/>
            <w:hideMark/>
          </w:tcPr>
          <w:p w14:paraId="3EFFC2A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270</w:t>
            </w:r>
          </w:p>
        </w:tc>
        <w:tc>
          <w:tcPr>
            <w:tcW w:w="1160" w:type="dxa"/>
            <w:tcBorders>
              <w:top w:val="nil"/>
              <w:left w:val="nil"/>
              <w:bottom w:val="nil"/>
              <w:right w:val="nil"/>
            </w:tcBorders>
            <w:shd w:val="clear" w:color="000000" w:fill="FFFFFF"/>
            <w:noWrap/>
            <w:vAlign w:val="center"/>
            <w:hideMark/>
          </w:tcPr>
          <w:p w14:paraId="74DA614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65,770</w:t>
            </w:r>
          </w:p>
        </w:tc>
      </w:tr>
      <w:tr w:rsidR="00B95973" w:rsidRPr="00B95973" w14:paraId="04D7C926" w14:textId="77777777" w:rsidTr="00B95973">
        <w:trPr>
          <w:trHeight w:val="229"/>
        </w:trPr>
        <w:tc>
          <w:tcPr>
            <w:tcW w:w="6475" w:type="dxa"/>
            <w:tcBorders>
              <w:top w:val="nil"/>
              <w:left w:val="nil"/>
              <w:bottom w:val="nil"/>
              <w:right w:val="nil"/>
            </w:tcBorders>
            <w:shd w:val="clear" w:color="000000" w:fill="FFFFFF"/>
            <w:noWrap/>
            <w:vAlign w:val="center"/>
            <w:hideMark/>
          </w:tcPr>
          <w:p w14:paraId="620AD699"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Long-term care expenditure per user</w:t>
            </w:r>
          </w:p>
        </w:tc>
        <w:tc>
          <w:tcPr>
            <w:tcW w:w="1160" w:type="dxa"/>
            <w:tcBorders>
              <w:top w:val="nil"/>
              <w:left w:val="nil"/>
              <w:bottom w:val="nil"/>
              <w:right w:val="nil"/>
            </w:tcBorders>
            <w:shd w:val="clear" w:color="000000" w:fill="FFFFFF"/>
            <w:noWrap/>
            <w:vAlign w:val="center"/>
            <w:hideMark/>
          </w:tcPr>
          <w:p w14:paraId="54D78DD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8,633</w:t>
            </w:r>
          </w:p>
        </w:tc>
        <w:tc>
          <w:tcPr>
            <w:tcW w:w="1160" w:type="dxa"/>
            <w:tcBorders>
              <w:top w:val="nil"/>
              <w:left w:val="nil"/>
              <w:bottom w:val="nil"/>
              <w:right w:val="nil"/>
            </w:tcBorders>
            <w:shd w:val="clear" w:color="000000" w:fill="FFFFFF"/>
            <w:noWrap/>
            <w:vAlign w:val="center"/>
            <w:hideMark/>
          </w:tcPr>
          <w:p w14:paraId="6C68436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3,709</w:t>
            </w:r>
          </w:p>
        </w:tc>
        <w:tc>
          <w:tcPr>
            <w:tcW w:w="1160" w:type="dxa"/>
            <w:tcBorders>
              <w:top w:val="nil"/>
              <w:left w:val="nil"/>
              <w:bottom w:val="nil"/>
              <w:right w:val="nil"/>
            </w:tcBorders>
            <w:shd w:val="clear" w:color="000000" w:fill="FFFFFF"/>
            <w:noWrap/>
            <w:vAlign w:val="center"/>
            <w:hideMark/>
          </w:tcPr>
          <w:p w14:paraId="76EF5E6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1,776</w:t>
            </w:r>
          </w:p>
        </w:tc>
        <w:tc>
          <w:tcPr>
            <w:tcW w:w="1160" w:type="dxa"/>
            <w:tcBorders>
              <w:top w:val="nil"/>
              <w:left w:val="nil"/>
              <w:bottom w:val="nil"/>
              <w:right w:val="nil"/>
            </w:tcBorders>
            <w:shd w:val="clear" w:color="000000" w:fill="FFFFFF"/>
            <w:noWrap/>
            <w:vAlign w:val="center"/>
            <w:hideMark/>
          </w:tcPr>
          <w:p w14:paraId="58064D7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28,451</w:t>
            </w:r>
          </w:p>
        </w:tc>
      </w:tr>
      <w:tr w:rsidR="00B95973" w:rsidRPr="00B95973" w14:paraId="1569E5E7" w14:textId="77777777" w:rsidTr="00B95973">
        <w:trPr>
          <w:trHeight w:val="229"/>
        </w:trPr>
        <w:tc>
          <w:tcPr>
            <w:tcW w:w="6475" w:type="dxa"/>
            <w:tcBorders>
              <w:top w:val="nil"/>
              <w:left w:val="nil"/>
              <w:bottom w:val="nil"/>
              <w:right w:val="nil"/>
            </w:tcBorders>
            <w:shd w:val="clear" w:color="000000" w:fill="FFFFFF"/>
            <w:noWrap/>
            <w:vAlign w:val="center"/>
            <w:hideMark/>
          </w:tcPr>
          <w:p w14:paraId="654C5945"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Covariates on local authority population</w:t>
            </w:r>
          </w:p>
        </w:tc>
        <w:tc>
          <w:tcPr>
            <w:tcW w:w="1160" w:type="dxa"/>
            <w:tcBorders>
              <w:top w:val="nil"/>
              <w:left w:val="nil"/>
              <w:bottom w:val="nil"/>
              <w:right w:val="nil"/>
            </w:tcBorders>
            <w:shd w:val="clear" w:color="000000" w:fill="FFFFFF"/>
            <w:noWrap/>
            <w:vAlign w:val="center"/>
            <w:hideMark/>
          </w:tcPr>
          <w:p w14:paraId="3D099B3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493423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106070F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5EDB12B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465D2CBD" w14:textId="77777777" w:rsidTr="00B95973">
        <w:trPr>
          <w:trHeight w:val="229"/>
        </w:trPr>
        <w:tc>
          <w:tcPr>
            <w:tcW w:w="6475" w:type="dxa"/>
            <w:tcBorders>
              <w:top w:val="nil"/>
              <w:left w:val="nil"/>
              <w:bottom w:val="nil"/>
              <w:right w:val="nil"/>
            </w:tcBorders>
            <w:shd w:val="clear" w:color="000000" w:fill="FFFFFF"/>
            <w:noWrap/>
            <w:vAlign w:val="center"/>
            <w:hideMark/>
          </w:tcPr>
          <w:p w14:paraId="1AA58638"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Disability</w:t>
            </w:r>
          </w:p>
        </w:tc>
        <w:tc>
          <w:tcPr>
            <w:tcW w:w="1160" w:type="dxa"/>
            <w:tcBorders>
              <w:top w:val="nil"/>
              <w:left w:val="nil"/>
              <w:bottom w:val="nil"/>
              <w:right w:val="nil"/>
            </w:tcBorders>
            <w:shd w:val="clear" w:color="000000" w:fill="FFFFFF"/>
            <w:noWrap/>
            <w:vAlign w:val="center"/>
            <w:hideMark/>
          </w:tcPr>
          <w:p w14:paraId="5B1AC7C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D6E979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06BAA9E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42154DF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23DE8860" w14:textId="77777777" w:rsidTr="00B95973">
        <w:trPr>
          <w:trHeight w:val="229"/>
        </w:trPr>
        <w:tc>
          <w:tcPr>
            <w:tcW w:w="6475" w:type="dxa"/>
            <w:tcBorders>
              <w:top w:val="nil"/>
              <w:left w:val="nil"/>
              <w:bottom w:val="nil"/>
              <w:right w:val="nil"/>
            </w:tcBorders>
            <w:shd w:val="clear" w:color="000000" w:fill="FFFFFF"/>
            <w:noWrap/>
            <w:vAlign w:val="center"/>
            <w:hideMark/>
          </w:tcPr>
          <w:p w14:paraId="7F8A1BF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people who are blind or partially sighted</w:t>
            </w:r>
          </w:p>
        </w:tc>
        <w:tc>
          <w:tcPr>
            <w:tcW w:w="1160" w:type="dxa"/>
            <w:tcBorders>
              <w:top w:val="nil"/>
              <w:left w:val="nil"/>
              <w:bottom w:val="nil"/>
              <w:right w:val="nil"/>
            </w:tcBorders>
            <w:shd w:val="clear" w:color="000000" w:fill="FFFFFF"/>
            <w:noWrap/>
            <w:vAlign w:val="center"/>
            <w:hideMark/>
          </w:tcPr>
          <w:p w14:paraId="70607DC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0.5%</w:t>
            </w:r>
          </w:p>
        </w:tc>
        <w:tc>
          <w:tcPr>
            <w:tcW w:w="1160" w:type="dxa"/>
            <w:tcBorders>
              <w:top w:val="nil"/>
              <w:left w:val="nil"/>
              <w:bottom w:val="nil"/>
              <w:right w:val="nil"/>
            </w:tcBorders>
            <w:shd w:val="clear" w:color="000000" w:fill="FFFFFF"/>
            <w:noWrap/>
            <w:vAlign w:val="center"/>
            <w:hideMark/>
          </w:tcPr>
          <w:p w14:paraId="40C5C5B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0.1%</w:t>
            </w:r>
          </w:p>
        </w:tc>
        <w:tc>
          <w:tcPr>
            <w:tcW w:w="1160" w:type="dxa"/>
            <w:tcBorders>
              <w:top w:val="nil"/>
              <w:left w:val="nil"/>
              <w:bottom w:val="nil"/>
              <w:right w:val="nil"/>
            </w:tcBorders>
            <w:shd w:val="clear" w:color="000000" w:fill="FFFFFF"/>
            <w:noWrap/>
            <w:vAlign w:val="center"/>
            <w:hideMark/>
          </w:tcPr>
          <w:p w14:paraId="7E3E942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0.1%</w:t>
            </w:r>
          </w:p>
        </w:tc>
        <w:tc>
          <w:tcPr>
            <w:tcW w:w="1160" w:type="dxa"/>
            <w:tcBorders>
              <w:top w:val="nil"/>
              <w:left w:val="nil"/>
              <w:bottom w:val="nil"/>
              <w:right w:val="nil"/>
            </w:tcBorders>
            <w:shd w:val="clear" w:color="000000" w:fill="FFFFFF"/>
            <w:noWrap/>
            <w:vAlign w:val="center"/>
            <w:hideMark/>
          </w:tcPr>
          <w:p w14:paraId="41C7AA5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1.3%</w:t>
            </w:r>
          </w:p>
        </w:tc>
      </w:tr>
      <w:tr w:rsidR="00B95973" w:rsidRPr="00B95973" w14:paraId="53C49473" w14:textId="77777777" w:rsidTr="00B95973">
        <w:trPr>
          <w:trHeight w:val="229"/>
        </w:trPr>
        <w:tc>
          <w:tcPr>
            <w:tcW w:w="6475" w:type="dxa"/>
            <w:tcBorders>
              <w:top w:val="nil"/>
              <w:left w:val="nil"/>
              <w:bottom w:val="nil"/>
              <w:right w:val="nil"/>
            </w:tcBorders>
            <w:shd w:val="clear" w:color="000000" w:fill="FFFFFF"/>
            <w:noWrap/>
            <w:vAlign w:val="center"/>
            <w:hideMark/>
          </w:tcPr>
          <w:p w14:paraId="2B228A44"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people who are deaf or hard of hearing 2010</w:t>
            </w:r>
          </w:p>
        </w:tc>
        <w:tc>
          <w:tcPr>
            <w:tcW w:w="1160" w:type="dxa"/>
            <w:tcBorders>
              <w:top w:val="nil"/>
              <w:left w:val="nil"/>
              <w:bottom w:val="nil"/>
              <w:right w:val="nil"/>
            </w:tcBorders>
            <w:shd w:val="clear" w:color="000000" w:fill="FFFFFF"/>
            <w:noWrap/>
            <w:vAlign w:val="center"/>
            <w:hideMark/>
          </w:tcPr>
          <w:p w14:paraId="671F1FC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0.4%</w:t>
            </w:r>
          </w:p>
        </w:tc>
        <w:tc>
          <w:tcPr>
            <w:tcW w:w="1160" w:type="dxa"/>
            <w:tcBorders>
              <w:top w:val="nil"/>
              <w:left w:val="nil"/>
              <w:bottom w:val="nil"/>
              <w:right w:val="nil"/>
            </w:tcBorders>
            <w:shd w:val="clear" w:color="000000" w:fill="FFFFFF"/>
            <w:noWrap/>
            <w:vAlign w:val="center"/>
            <w:hideMark/>
          </w:tcPr>
          <w:p w14:paraId="3013F82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0.3%</w:t>
            </w:r>
          </w:p>
        </w:tc>
        <w:tc>
          <w:tcPr>
            <w:tcW w:w="1160" w:type="dxa"/>
            <w:tcBorders>
              <w:top w:val="nil"/>
              <w:left w:val="nil"/>
              <w:bottom w:val="nil"/>
              <w:right w:val="nil"/>
            </w:tcBorders>
            <w:shd w:val="clear" w:color="000000" w:fill="FFFFFF"/>
            <w:noWrap/>
            <w:vAlign w:val="center"/>
            <w:hideMark/>
          </w:tcPr>
          <w:p w14:paraId="0923D39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w:t>
            </w:r>
          </w:p>
        </w:tc>
        <w:tc>
          <w:tcPr>
            <w:tcW w:w="1160" w:type="dxa"/>
            <w:tcBorders>
              <w:top w:val="nil"/>
              <w:left w:val="nil"/>
              <w:bottom w:val="nil"/>
              <w:right w:val="nil"/>
            </w:tcBorders>
            <w:shd w:val="clear" w:color="000000" w:fill="FFFFFF"/>
            <w:noWrap/>
            <w:vAlign w:val="center"/>
            <w:hideMark/>
          </w:tcPr>
          <w:p w14:paraId="3E796FD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1.6%</w:t>
            </w:r>
          </w:p>
        </w:tc>
      </w:tr>
      <w:tr w:rsidR="00B95973" w:rsidRPr="00B95973" w14:paraId="072365CF" w14:textId="77777777" w:rsidTr="00B95973">
        <w:trPr>
          <w:trHeight w:val="229"/>
        </w:trPr>
        <w:tc>
          <w:tcPr>
            <w:tcW w:w="6475" w:type="dxa"/>
            <w:tcBorders>
              <w:top w:val="nil"/>
              <w:left w:val="nil"/>
              <w:bottom w:val="nil"/>
              <w:right w:val="nil"/>
            </w:tcBorders>
            <w:shd w:val="clear" w:color="000000" w:fill="FFFFFF"/>
            <w:noWrap/>
            <w:vAlign w:val="center"/>
            <w:hideMark/>
          </w:tcPr>
          <w:p w14:paraId="377FD798"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Index of disability deprivation</w:t>
            </w:r>
          </w:p>
        </w:tc>
        <w:tc>
          <w:tcPr>
            <w:tcW w:w="1160" w:type="dxa"/>
            <w:tcBorders>
              <w:top w:val="nil"/>
              <w:left w:val="nil"/>
              <w:bottom w:val="nil"/>
              <w:right w:val="nil"/>
            </w:tcBorders>
            <w:shd w:val="clear" w:color="000000" w:fill="FFFFFF"/>
            <w:noWrap/>
            <w:vAlign w:val="center"/>
            <w:hideMark/>
          </w:tcPr>
          <w:p w14:paraId="3E7EB79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0.097</w:t>
            </w:r>
          </w:p>
        </w:tc>
        <w:tc>
          <w:tcPr>
            <w:tcW w:w="1160" w:type="dxa"/>
            <w:tcBorders>
              <w:top w:val="nil"/>
              <w:left w:val="nil"/>
              <w:bottom w:val="nil"/>
              <w:right w:val="nil"/>
            </w:tcBorders>
            <w:shd w:val="clear" w:color="000000" w:fill="FFFFFF"/>
            <w:noWrap/>
            <w:vAlign w:val="center"/>
            <w:hideMark/>
          </w:tcPr>
          <w:p w14:paraId="1E54E4E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0.631</w:t>
            </w:r>
          </w:p>
        </w:tc>
        <w:tc>
          <w:tcPr>
            <w:tcW w:w="1160" w:type="dxa"/>
            <w:tcBorders>
              <w:top w:val="nil"/>
              <w:left w:val="nil"/>
              <w:bottom w:val="nil"/>
              <w:right w:val="nil"/>
            </w:tcBorders>
            <w:shd w:val="clear" w:color="000000" w:fill="FFFFFF"/>
            <w:noWrap/>
            <w:vAlign w:val="center"/>
            <w:hideMark/>
          </w:tcPr>
          <w:p w14:paraId="39DD763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-1.801</w:t>
            </w:r>
          </w:p>
        </w:tc>
        <w:tc>
          <w:tcPr>
            <w:tcW w:w="1160" w:type="dxa"/>
            <w:tcBorders>
              <w:top w:val="nil"/>
              <w:left w:val="nil"/>
              <w:bottom w:val="nil"/>
              <w:right w:val="nil"/>
            </w:tcBorders>
            <w:shd w:val="clear" w:color="000000" w:fill="FFFFFF"/>
            <w:noWrap/>
            <w:vAlign w:val="center"/>
            <w:hideMark/>
          </w:tcPr>
          <w:p w14:paraId="000CD3B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1.509</w:t>
            </w:r>
          </w:p>
        </w:tc>
      </w:tr>
      <w:tr w:rsidR="00B95973" w:rsidRPr="00B95973" w14:paraId="5ACC6CB7" w14:textId="77777777" w:rsidTr="00B95973">
        <w:trPr>
          <w:trHeight w:val="229"/>
        </w:trPr>
        <w:tc>
          <w:tcPr>
            <w:tcW w:w="6475" w:type="dxa"/>
            <w:tcBorders>
              <w:top w:val="nil"/>
              <w:left w:val="nil"/>
              <w:bottom w:val="nil"/>
              <w:right w:val="nil"/>
            </w:tcBorders>
            <w:shd w:val="clear" w:color="000000" w:fill="FFFFFF"/>
            <w:noWrap/>
            <w:vAlign w:val="center"/>
            <w:hideMark/>
          </w:tcPr>
          <w:p w14:paraId="74056481"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Socio-economic status</w:t>
            </w:r>
          </w:p>
        </w:tc>
        <w:tc>
          <w:tcPr>
            <w:tcW w:w="1160" w:type="dxa"/>
            <w:tcBorders>
              <w:top w:val="nil"/>
              <w:left w:val="nil"/>
              <w:bottom w:val="nil"/>
              <w:right w:val="nil"/>
            </w:tcBorders>
            <w:shd w:val="clear" w:color="000000" w:fill="FFFFFF"/>
            <w:noWrap/>
            <w:vAlign w:val="center"/>
            <w:hideMark/>
          </w:tcPr>
          <w:p w14:paraId="0DED9A1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6F3D94C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882C05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B1975E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52401296" w14:textId="77777777" w:rsidTr="00B95973">
        <w:trPr>
          <w:trHeight w:val="229"/>
        </w:trPr>
        <w:tc>
          <w:tcPr>
            <w:tcW w:w="6475" w:type="dxa"/>
            <w:tcBorders>
              <w:top w:val="nil"/>
              <w:left w:val="nil"/>
              <w:bottom w:val="nil"/>
              <w:right w:val="nil"/>
            </w:tcBorders>
            <w:shd w:val="clear" w:color="000000" w:fill="FFFFFF"/>
            <w:noWrap/>
            <w:vAlign w:val="center"/>
            <w:hideMark/>
          </w:tcPr>
          <w:p w14:paraId="6F738DDB"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Population density</w:t>
            </w:r>
          </w:p>
        </w:tc>
        <w:tc>
          <w:tcPr>
            <w:tcW w:w="1160" w:type="dxa"/>
            <w:tcBorders>
              <w:top w:val="nil"/>
              <w:left w:val="nil"/>
              <w:bottom w:val="nil"/>
              <w:right w:val="nil"/>
            </w:tcBorders>
            <w:shd w:val="clear" w:color="000000" w:fill="FFFFFF"/>
            <w:noWrap/>
            <w:vAlign w:val="center"/>
            <w:hideMark/>
          </w:tcPr>
          <w:p w14:paraId="3F16018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0.269</w:t>
            </w:r>
          </w:p>
        </w:tc>
        <w:tc>
          <w:tcPr>
            <w:tcW w:w="1160" w:type="dxa"/>
            <w:tcBorders>
              <w:top w:val="nil"/>
              <w:left w:val="nil"/>
              <w:bottom w:val="nil"/>
              <w:right w:val="nil"/>
            </w:tcBorders>
            <w:shd w:val="clear" w:color="000000" w:fill="FFFFFF"/>
            <w:noWrap/>
            <w:vAlign w:val="center"/>
            <w:hideMark/>
          </w:tcPr>
          <w:p w14:paraId="4A461C6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0.314</w:t>
            </w:r>
          </w:p>
        </w:tc>
        <w:tc>
          <w:tcPr>
            <w:tcW w:w="1160" w:type="dxa"/>
            <w:tcBorders>
              <w:top w:val="nil"/>
              <w:left w:val="nil"/>
              <w:bottom w:val="nil"/>
              <w:right w:val="nil"/>
            </w:tcBorders>
            <w:shd w:val="clear" w:color="000000" w:fill="FFFFFF"/>
            <w:noWrap/>
            <w:vAlign w:val="center"/>
            <w:hideMark/>
          </w:tcPr>
          <w:p w14:paraId="7EBD166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0.006</w:t>
            </w:r>
          </w:p>
        </w:tc>
        <w:tc>
          <w:tcPr>
            <w:tcW w:w="1160" w:type="dxa"/>
            <w:tcBorders>
              <w:top w:val="nil"/>
              <w:left w:val="nil"/>
              <w:bottom w:val="nil"/>
              <w:right w:val="nil"/>
            </w:tcBorders>
            <w:shd w:val="clear" w:color="000000" w:fill="FFFFFF"/>
            <w:noWrap/>
            <w:vAlign w:val="center"/>
            <w:hideMark/>
          </w:tcPr>
          <w:p w14:paraId="3712407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1.490</w:t>
            </w:r>
          </w:p>
        </w:tc>
      </w:tr>
      <w:tr w:rsidR="00B95973" w:rsidRPr="00B95973" w14:paraId="1A621A6C" w14:textId="77777777" w:rsidTr="00B95973">
        <w:trPr>
          <w:trHeight w:val="229"/>
        </w:trPr>
        <w:tc>
          <w:tcPr>
            <w:tcW w:w="6475" w:type="dxa"/>
            <w:tcBorders>
              <w:top w:val="nil"/>
              <w:left w:val="nil"/>
              <w:bottom w:val="nil"/>
              <w:right w:val="nil"/>
            </w:tcBorders>
            <w:shd w:val="clear" w:color="000000" w:fill="FFFFFF"/>
            <w:noWrap/>
            <w:vAlign w:val="center"/>
            <w:hideMark/>
          </w:tcPr>
          <w:p w14:paraId="7F15D9E8"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Index of multiple deprivation 2010</w:t>
            </w:r>
          </w:p>
        </w:tc>
        <w:tc>
          <w:tcPr>
            <w:tcW w:w="1160" w:type="dxa"/>
            <w:tcBorders>
              <w:top w:val="nil"/>
              <w:left w:val="nil"/>
              <w:bottom w:val="nil"/>
              <w:right w:val="nil"/>
            </w:tcBorders>
            <w:shd w:val="clear" w:color="000000" w:fill="FFFFFF"/>
            <w:noWrap/>
            <w:vAlign w:val="center"/>
            <w:hideMark/>
          </w:tcPr>
          <w:p w14:paraId="04559C2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23.421</w:t>
            </w:r>
          </w:p>
        </w:tc>
        <w:tc>
          <w:tcPr>
            <w:tcW w:w="1160" w:type="dxa"/>
            <w:tcBorders>
              <w:top w:val="nil"/>
              <w:left w:val="nil"/>
              <w:bottom w:val="nil"/>
              <w:right w:val="nil"/>
            </w:tcBorders>
            <w:shd w:val="clear" w:color="000000" w:fill="FFFFFF"/>
            <w:noWrap/>
            <w:vAlign w:val="center"/>
            <w:hideMark/>
          </w:tcPr>
          <w:p w14:paraId="6355772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8.575</w:t>
            </w:r>
          </w:p>
        </w:tc>
        <w:tc>
          <w:tcPr>
            <w:tcW w:w="1160" w:type="dxa"/>
            <w:tcBorders>
              <w:top w:val="nil"/>
              <w:left w:val="nil"/>
              <w:bottom w:val="nil"/>
              <w:right w:val="nil"/>
            </w:tcBorders>
            <w:shd w:val="clear" w:color="000000" w:fill="FFFFFF"/>
            <w:noWrap/>
            <w:vAlign w:val="center"/>
            <w:hideMark/>
          </w:tcPr>
          <w:p w14:paraId="60C85F2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5.447</w:t>
            </w:r>
          </w:p>
        </w:tc>
        <w:tc>
          <w:tcPr>
            <w:tcW w:w="1160" w:type="dxa"/>
            <w:tcBorders>
              <w:top w:val="nil"/>
              <w:left w:val="nil"/>
              <w:bottom w:val="nil"/>
              <w:right w:val="nil"/>
            </w:tcBorders>
            <w:shd w:val="clear" w:color="000000" w:fill="FFFFFF"/>
            <w:noWrap/>
            <w:vAlign w:val="center"/>
            <w:hideMark/>
          </w:tcPr>
          <w:p w14:paraId="01F7CC3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43.447</w:t>
            </w:r>
          </w:p>
        </w:tc>
      </w:tr>
      <w:tr w:rsidR="00B95973" w:rsidRPr="00B95973" w14:paraId="440689AD" w14:textId="77777777" w:rsidTr="00B95973">
        <w:trPr>
          <w:trHeight w:val="229"/>
        </w:trPr>
        <w:tc>
          <w:tcPr>
            <w:tcW w:w="6475" w:type="dxa"/>
            <w:tcBorders>
              <w:top w:val="nil"/>
              <w:left w:val="nil"/>
              <w:bottom w:val="nil"/>
              <w:right w:val="nil"/>
            </w:tcBorders>
            <w:shd w:val="clear" w:color="000000" w:fill="FFFFFF"/>
            <w:noWrap/>
            <w:vAlign w:val="center"/>
            <w:hideMark/>
          </w:tcPr>
          <w:p w14:paraId="409C5CCE"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Index of education deprivation</w:t>
            </w:r>
          </w:p>
        </w:tc>
        <w:tc>
          <w:tcPr>
            <w:tcW w:w="1160" w:type="dxa"/>
            <w:tcBorders>
              <w:top w:val="nil"/>
              <w:left w:val="nil"/>
              <w:bottom w:val="nil"/>
              <w:right w:val="nil"/>
            </w:tcBorders>
            <w:shd w:val="clear" w:color="000000" w:fill="FFFFFF"/>
            <w:noWrap/>
            <w:vAlign w:val="center"/>
            <w:hideMark/>
          </w:tcPr>
          <w:p w14:paraId="49A124D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21.900</w:t>
            </w:r>
          </w:p>
        </w:tc>
        <w:tc>
          <w:tcPr>
            <w:tcW w:w="1160" w:type="dxa"/>
            <w:tcBorders>
              <w:top w:val="nil"/>
              <w:left w:val="nil"/>
              <w:bottom w:val="nil"/>
              <w:right w:val="nil"/>
            </w:tcBorders>
            <w:shd w:val="clear" w:color="000000" w:fill="FFFFFF"/>
            <w:noWrap/>
            <w:vAlign w:val="center"/>
            <w:hideMark/>
          </w:tcPr>
          <w:p w14:paraId="460E924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8.518</w:t>
            </w:r>
          </w:p>
        </w:tc>
        <w:tc>
          <w:tcPr>
            <w:tcW w:w="1160" w:type="dxa"/>
            <w:tcBorders>
              <w:top w:val="nil"/>
              <w:left w:val="nil"/>
              <w:bottom w:val="nil"/>
              <w:right w:val="nil"/>
            </w:tcBorders>
            <w:shd w:val="clear" w:color="000000" w:fill="FFFFFF"/>
            <w:noWrap/>
            <w:vAlign w:val="center"/>
            <w:hideMark/>
          </w:tcPr>
          <w:p w14:paraId="380DE57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3.928</w:t>
            </w:r>
          </w:p>
        </w:tc>
        <w:tc>
          <w:tcPr>
            <w:tcW w:w="1160" w:type="dxa"/>
            <w:tcBorders>
              <w:top w:val="nil"/>
              <w:left w:val="nil"/>
              <w:bottom w:val="nil"/>
              <w:right w:val="nil"/>
            </w:tcBorders>
            <w:shd w:val="clear" w:color="000000" w:fill="FFFFFF"/>
            <w:noWrap/>
            <w:vAlign w:val="center"/>
            <w:hideMark/>
          </w:tcPr>
          <w:p w14:paraId="0829BB6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44.199</w:t>
            </w:r>
          </w:p>
        </w:tc>
      </w:tr>
      <w:tr w:rsidR="00B95973" w:rsidRPr="00B95973" w14:paraId="45AA3ECE" w14:textId="77777777" w:rsidTr="00B95973">
        <w:trPr>
          <w:trHeight w:val="229"/>
        </w:trPr>
        <w:tc>
          <w:tcPr>
            <w:tcW w:w="6475" w:type="dxa"/>
            <w:tcBorders>
              <w:top w:val="nil"/>
              <w:left w:val="nil"/>
              <w:bottom w:val="nil"/>
              <w:right w:val="nil"/>
            </w:tcBorders>
            <w:shd w:val="clear" w:color="000000" w:fill="FFFFFF"/>
            <w:noWrap/>
            <w:vAlign w:val="center"/>
            <w:hideMark/>
          </w:tcPr>
          <w:p w14:paraId="49DC7AFA"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of people who are income deprived</w:t>
            </w:r>
          </w:p>
        </w:tc>
        <w:tc>
          <w:tcPr>
            <w:tcW w:w="1160" w:type="dxa"/>
            <w:tcBorders>
              <w:top w:val="nil"/>
              <w:left w:val="nil"/>
              <w:bottom w:val="nil"/>
              <w:right w:val="nil"/>
            </w:tcBorders>
            <w:shd w:val="clear" w:color="000000" w:fill="FFFFFF"/>
            <w:noWrap/>
            <w:vAlign w:val="center"/>
            <w:hideMark/>
          </w:tcPr>
          <w:p w14:paraId="2A66AD7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15.7%</w:t>
            </w:r>
          </w:p>
        </w:tc>
        <w:tc>
          <w:tcPr>
            <w:tcW w:w="1160" w:type="dxa"/>
            <w:tcBorders>
              <w:top w:val="nil"/>
              <w:left w:val="nil"/>
              <w:bottom w:val="nil"/>
              <w:right w:val="nil"/>
            </w:tcBorders>
            <w:shd w:val="clear" w:color="000000" w:fill="FFFFFF"/>
            <w:noWrap/>
            <w:vAlign w:val="center"/>
            <w:hideMark/>
          </w:tcPr>
          <w:p w14:paraId="4018EC7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5.0%</w:t>
            </w:r>
          </w:p>
        </w:tc>
        <w:tc>
          <w:tcPr>
            <w:tcW w:w="1160" w:type="dxa"/>
            <w:tcBorders>
              <w:top w:val="nil"/>
              <w:left w:val="nil"/>
              <w:bottom w:val="nil"/>
              <w:right w:val="nil"/>
            </w:tcBorders>
            <w:shd w:val="clear" w:color="000000" w:fill="FFFFFF"/>
            <w:noWrap/>
            <w:vAlign w:val="center"/>
            <w:hideMark/>
          </w:tcPr>
          <w:p w14:paraId="173398D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5.2%</w:t>
            </w:r>
          </w:p>
        </w:tc>
        <w:tc>
          <w:tcPr>
            <w:tcW w:w="1160" w:type="dxa"/>
            <w:tcBorders>
              <w:top w:val="nil"/>
              <w:left w:val="nil"/>
              <w:bottom w:val="nil"/>
              <w:right w:val="nil"/>
            </w:tcBorders>
            <w:shd w:val="clear" w:color="000000" w:fill="FFFFFF"/>
            <w:noWrap/>
            <w:vAlign w:val="center"/>
            <w:hideMark/>
          </w:tcPr>
          <w:p w14:paraId="317A8E1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28.0%</w:t>
            </w:r>
          </w:p>
        </w:tc>
      </w:tr>
      <w:tr w:rsidR="00B95973" w:rsidRPr="00B95973" w14:paraId="1D5C7E0A" w14:textId="77777777" w:rsidTr="00B95973">
        <w:trPr>
          <w:trHeight w:val="229"/>
        </w:trPr>
        <w:tc>
          <w:tcPr>
            <w:tcW w:w="6475" w:type="dxa"/>
            <w:tcBorders>
              <w:top w:val="nil"/>
              <w:left w:val="nil"/>
              <w:bottom w:val="nil"/>
              <w:right w:val="nil"/>
            </w:tcBorders>
            <w:shd w:val="clear" w:color="000000" w:fill="FFFFFF"/>
            <w:noWrap/>
            <w:vAlign w:val="center"/>
            <w:hideMark/>
          </w:tcPr>
          <w:p w14:paraId="2F3849FE"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Gross disposable household income per capita</w:t>
            </w:r>
          </w:p>
        </w:tc>
        <w:tc>
          <w:tcPr>
            <w:tcW w:w="1160" w:type="dxa"/>
            <w:tcBorders>
              <w:top w:val="nil"/>
              <w:left w:val="nil"/>
              <w:bottom w:val="nil"/>
              <w:right w:val="nil"/>
            </w:tcBorders>
            <w:shd w:val="clear" w:color="000000" w:fill="FFFFFF"/>
            <w:noWrap/>
            <w:vAlign w:val="center"/>
            <w:hideMark/>
          </w:tcPr>
          <w:p w14:paraId="1D7B50F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19,569</w:t>
            </w:r>
          </w:p>
        </w:tc>
        <w:tc>
          <w:tcPr>
            <w:tcW w:w="1160" w:type="dxa"/>
            <w:tcBorders>
              <w:top w:val="nil"/>
              <w:left w:val="nil"/>
              <w:bottom w:val="nil"/>
              <w:right w:val="nil"/>
            </w:tcBorders>
            <w:shd w:val="clear" w:color="000000" w:fill="FFFFFF"/>
            <w:noWrap/>
            <w:vAlign w:val="center"/>
            <w:hideMark/>
          </w:tcPr>
          <w:p w14:paraId="1EDEF13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7,562</w:t>
            </w:r>
          </w:p>
        </w:tc>
        <w:tc>
          <w:tcPr>
            <w:tcW w:w="1160" w:type="dxa"/>
            <w:tcBorders>
              <w:top w:val="nil"/>
              <w:left w:val="nil"/>
              <w:bottom w:val="nil"/>
              <w:right w:val="nil"/>
            </w:tcBorders>
            <w:shd w:val="clear" w:color="000000" w:fill="FFFFFF"/>
            <w:noWrap/>
            <w:vAlign w:val="center"/>
            <w:hideMark/>
          </w:tcPr>
          <w:p w14:paraId="69D7EB9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12,157</w:t>
            </w:r>
          </w:p>
        </w:tc>
        <w:tc>
          <w:tcPr>
            <w:tcW w:w="1160" w:type="dxa"/>
            <w:tcBorders>
              <w:top w:val="nil"/>
              <w:left w:val="nil"/>
              <w:bottom w:val="nil"/>
              <w:right w:val="nil"/>
            </w:tcBorders>
            <w:shd w:val="clear" w:color="000000" w:fill="FFFFFF"/>
            <w:noWrap/>
            <w:vAlign w:val="center"/>
            <w:hideMark/>
          </w:tcPr>
          <w:p w14:paraId="1B761DA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61,798</w:t>
            </w:r>
          </w:p>
        </w:tc>
      </w:tr>
      <w:tr w:rsidR="00B95973" w:rsidRPr="00B95973" w14:paraId="79220B44" w14:textId="77777777" w:rsidTr="00B95973">
        <w:trPr>
          <w:trHeight w:val="229"/>
        </w:trPr>
        <w:tc>
          <w:tcPr>
            <w:tcW w:w="6475" w:type="dxa"/>
            <w:tcBorders>
              <w:top w:val="nil"/>
              <w:left w:val="nil"/>
              <w:bottom w:val="nil"/>
              <w:right w:val="nil"/>
            </w:tcBorders>
            <w:shd w:val="clear" w:color="000000" w:fill="FFFFFF"/>
            <w:noWrap/>
            <w:vAlign w:val="center"/>
            <w:hideMark/>
          </w:tcPr>
          <w:p w14:paraId="005C0E78"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Covariates on long-term care users and carers</w:t>
            </w:r>
          </w:p>
        </w:tc>
        <w:tc>
          <w:tcPr>
            <w:tcW w:w="1160" w:type="dxa"/>
            <w:tcBorders>
              <w:top w:val="nil"/>
              <w:left w:val="nil"/>
              <w:bottom w:val="nil"/>
              <w:right w:val="nil"/>
            </w:tcBorders>
            <w:shd w:val="clear" w:color="000000" w:fill="FFFFFF"/>
            <w:noWrap/>
            <w:vAlign w:val="center"/>
            <w:hideMark/>
          </w:tcPr>
          <w:p w14:paraId="66A3B3F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13CB2B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00A0515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15C9DE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1321D2D4" w14:textId="77777777" w:rsidTr="00B95973">
        <w:trPr>
          <w:trHeight w:val="229"/>
        </w:trPr>
        <w:tc>
          <w:tcPr>
            <w:tcW w:w="6475" w:type="dxa"/>
            <w:tcBorders>
              <w:top w:val="nil"/>
              <w:left w:val="nil"/>
              <w:bottom w:val="nil"/>
              <w:right w:val="nil"/>
            </w:tcBorders>
            <w:shd w:val="clear" w:color="000000" w:fill="FFFFFF"/>
            <w:noWrap/>
            <w:vAlign w:val="center"/>
            <w:hideMark/>
          </w:tcPr>
          <w:p w14:paraId="2A173A6F"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Long-term care eligibility policy</w:t>
            </w:r>
          </w:p>
        </w:tc>
        <w:tc>
          <w:tcPr>
            <w:tcW w:w="1160" w:type="dxa"/>
            <w:tcBorders>
              <w:top w:val="nil"/>
              <w:left w:val="nil"/>
              <w:bottom w:val="nil"/>
              <w:right w:val="nil"/>
            </w:tcBorders>
            <w:shd w:val="clear" w:color="000000" w:fill="FFFFFF"/>
            <w:noWrap/>
            <w:vAlign w:val="center"/>
            <w:hideMark/>
          </w:tcPr>
          <w:p w14:paraId="582986D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4C25FF9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68CBA49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67751E8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64EB4554" w14:textId="77777777" w:rsidTr="00B95973">
        <w:trPr>
          <w:trHeight w:val="229"/>
        </w:trPr>
        <w:tc>
          <w:tcPr>
            <w:tcW w:w="6475" w:type="dxa"/>
            <w:tcBorders>
              <w:top w:val="nil"/>
              <w:left w:val="nil"/>
              <w:bottom w:val="nil"/>
              <w:right w:val="nil"/>
            </w:tcBorders>
            <w:shd w:val="clear" w:color="000000" w:fill="FFFFFF"/>
            <w:noWrap/>
            <w:vAlign w:val="center"/>
            <w:hideMark/>
          </w:tcPr>
          <w:p w14:paraId="13A1CD0F"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London borough local authority (ref)</w:t>
            </w:r>
          </w:p>
        </w:tc>
        <w:tc>
          <w:tcPr>
            <w:tcW w:w="1160" w:type="dxa"/>
            <w:tcBorders>
              <w:top w:val="nil"/>
              <w:left w:val="nil"/>
              <w:bottom w:val="nil"/>
              <w:right w:val="nil"/>
            </w:tcBorders>
            <w:shd w:val="clear" w:color="000000" w:fill="FFFFFF"/>
            <w:noWrap/>
            <w:vAlign w:val="center"/>
            <w:hideMark/>
          </w:tcPr>
          <w:p w14:paraId="41447B3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22.6%</w:t>
            </w:r>
          </w:p>
        </w:tc>
        <w:tc>
          <w:tcPr>
            <w:tcW w:w="1160" w:type="dxa"/>
            <w:tcBorders>
              <w:top w:val="nil"/>
              <w:left w:val="nil"/>
              <w:bottom w:val="nil"/>
              <w:right w:val="nil"/>
            </w:tcBorders>
            <w:shd w:val="clear" w:color="000000" w:fill="FFFFFF"/>
            <w:noWrap/>
            <w:vAlign w:val="center"/>
            <w:hideMark/>
          </w:tcPr>
          <w:p w14:paraId="7B379A6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1F2AA4A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w:t>
            </w:r>
          </w:p>
        </w:tc>
        <w:tc>
          <w:tcPr>
            <w:tcW w:w="1160" w:type="dxa"/>
            <w:tcBorders>
              <w:top w:val="nil"/>
              <w:left w:val="nil"/>
              <w:bottom w:val="nil"/>
              <w:right w:val="nil"/>
            </w:tcBorders>
            <w:shd w:val="clear" w:color="000000" w:fill="FFFFFF"/>
            <w:noWrap/>
            <w:vAlign w:val="center"/>
            <w:hideMark/>
          </w:tcPr>
          <w:p w14:paraId="41FB68A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w:t>
            </w:r>
          </w:p>
        </w:tc>
      </w:tr>
      <w:tr w:rsidR="00B95973" w:rsidRPr="00B95973" w14:paraId="1BD82039" w14:textId="77777777" w:rsidTr="00B95973">
        <w:trPr>
          <w:trHeight w:val="229"/>
        </w:trPr>
        <w:tc>
          <w:tcPr>
            <w:tcW w:w="6475" w:type="dxa"/>
            <w:tcBorders>
              <w:top w:val="nil"/>
              <w:left w:val="nil"/>
              <w:bottom w:val="nil"/>
              <w:right w:val="nil"/>
            </w:tcBorders>
            <w:shd w:val="clear" w:color="000000" w:fill="FFFFFF"/>
            <w:noWrap/>
            <w:vAlign w:val="center"/>
            <w:hideMark/>
          </w:tcPr>
          <w:p w14:paraId="30CFA638"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County local authority</w:t>
            </w:r>
          </w:p>
        </w:tc>
        <w:tc>
          <w:tcPr>
            <w:tcW w:w="1160" w:type="dxa"/>
            <w:tcBorders>
              <w:top w:val="nil"/>
              <w:left w:val="nil"/>
              <w:bottom w:val="nil"/>
              <w:right w:val="nil"/>
            </w:tcBorders>
            <w:shd w:val="clear" w:color="000000" w:fill="FFFFFF"/>
            <w:noWrap/>
            <w:vAlign w:val="center"/>
            <w:hideMark/>
          </w:tcPr>
          <w:p w14:paraId="2928921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15.1%</w:t>
            </w:r>
          </w:p>
        </w:tc>
        <w:tc>
          <w:tcPr>
            <w:tcW w:w="1160" w:type="dxa"/>
            <w:tcBorders>
              <w:top w:val="nil"/>
              <w:left w:val="nil"/>
              <w:bottom w:val="nil"/>
              <w:right w:val="nil"/>
            </w:tcBorders>
            <w:shd w:val="clear" w:color="000000" w:fill="FFFFFF"/>
            <w:noWrap/>
            <w:vAlign w:val="center"/>
            <w:hideMark/>
          </w:tcPr>
          <w:p w14:paraId="1479CE8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1FF4FE2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w:t>
            </w:r>
          </w:p>
        </w:tc>
        <w:tc>
          <w:tcPr>
            <w:tcW w:w="1160" w:type="dxa"/>
            <w:tcBorders>
              <w:top w:val="nil"/>
              <w:left w:val="nil"/>
              <w:bottom w:val="nil"/>
              <w:right w:val="nil"/>
            </w:tcBorders>
            <w:shd w:val="clear" w:color="000000" w:fill="FFFFFF"/>
            <w:noWrap/>
            <w:vAlign w:val="center"/>
            <w:hideMark/>
          </w:tcPr>
          <w:p w14:paraId="14C6708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w:t>
            </w:r>
          </w:p>
        </w:tc>
      </w:tr>
      <w:tr w:rsidR="00B95973" w:rsidRPr="00B95973" w14:paraId="2915DEAD" w14:textId="77777777" w:rsidTr="00B95973">
        <w:trPr>
          <w:trHeight w:val="229"/>
        </w:trPr>
        <w:tc>
          <w:tcPr>
            <w:tcW w:w="6475" w:type="dxa"/>
            <w:tcBorders>
              <w:top w:val="nil"/>
              <w:left w:val="nil"/>
              <w:bottom w:val="nil"/>
              <w:right w:val="nil"/>
            </w:tcBorders>
            <w:shd w:val="clear" w:color="000000" w:fill="FFFFFF"/>
            <w:noWrap/>
            <w:vAlign w:val="center"/>
            <w:hideMark/>
          </w:tcPr>
          <w:p w14:paraId="4D58E620"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Metropolitan local authority</w:t>
            </w:r>
          </w:p>
        </w:tc>
        <w:tc>
          <w:tcPr>
            <w:tcW w:w="1160" w:type="dxa"/>
            <w:tcBorders>
              <w:top w:val="nil"/>
              <w:left w:val="nil"/>
              <w:bottom w:val="nil"/>
              <w:right w:val="nil"/>
            </w:tcBorders>
            <w:shd w:val="clear" w:color="000000" w:fill="FFFFFF"/>
            <w:noWrap/>
            <w:vAlign w:val="center"/>
            <w:hideMark/>
          </w:tcPr>
          <w:p w14:paraId="6681350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24.7%</w:t>
            </w:r>
          </w:p>
        </w:tc>
        <w:tc>
          <w:tcPr>
            <w:tcW w:w="1160" w:type="dxa"/>
            <w:tcBorders>
              <w:top w:val="nil"/>
              <w:left w:val="nil"/>
              <w:bottom w:val="nil"/>
              <w:right w:val="nil"/>
            </w:tcBorders>
            <w:shd w:val="clear" w:color="000000" w:fill="FFFFFF"/>
            <w:noWrap/>
            <w:vAlign w:val="center"/>
            <w:hideMark/>
          </w:tcPr>
          <w:p w14:paraId="05DC8B3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78D4800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w:t>
            </w:r>
          </w:p>
        </w:tc>
        <w:tc>
          <w:tcPr>
            <w:tcW w:w="1160" w:type="dxa"/>
            <w:tcBorders>
              <w:top w:val="nil"/>
              <w:left w:val="nil"/>
              <w:bottom w:val="nil"/>
              <w:right w:val="nil"/>
            </w:tcBorders>
            <w:shd w:val="clear" w:color="000000" w:fill="FFFFFF"/>
            <w:noWrap/>
            <w:vAlign w:val="center"/>
            <w:hideMark/>
          </w:tcPr>
          <w:p w14:paraId="0B3FC93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w:t>
            </w:r>
          </w:p>
        </w:tc>
      </w:tr>
      <w:tr w:rsidR="00B95973" w:rsidRPr="00B95973" w14:paraId="5D6E68ED" w14:textId="77777777" w:rsidTr="00B95973">
        <w:trPr>
          <w:trHeight w:val="229"/>
        </w:trPr>
        <w:tc>
          <w:tcPr>
            <w:tcW w:w="6475" w:type="dxa"/>
            <w:tcBorders>
              <w:top w:val="nil"/>
              <w:left w:val="nil"/>
              <w:bottom w:val="nil"/>
              <w:right w:val="nil"/>
            </w:tcBorders>
            <w:shd w:val="clear" w:color="000000" w:fill="FFFFFF"/>
            <w:noWrap/>
            <w:vAlign w:val="center"/>
            <w:hideMark/>
          </w:tcPr>
          <w:p w14:paraId="470C5B14"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Unitary local authority</w:t>
            </w:r>
          </w:p>
        </w:tc>
        <w:tc>
          <w:tcPr>
            <w:tcW w:w="1160" w:type="dxa"/>
            <w:tcBorders>
              <w:top w:val="nil"/>
              <w:left w:val="nil"/>
              <w:bottom w:val="nil"/>
              <w:right w:val="nil"/>
            </w:tcBorders>
            <w:shd w:val="clear" w:color="000000" w:fill="FFFFFF"/>
            <w:noWrap/>
            <w:vAlign w:val="center"/>
            <w:hideMark/>
          </w:tcPr>
          <w:p w14:paraId="400EEC0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37.7%</w:t>
            </w:r>
          </w:p>
        </w:tc>
        <w:tc>
          <w:tcPr>
            <w:tcW w:w="1160" w:type="dxa"/>
            <w:tcBorders>
              <w:top w:val="nil"/>
              <w:left w:val="nil"/>
              <w:bottom w:val="nil"/>
              <w:right w:val="nil"/>
            </w:tcBorders>
            <w:shd w:val="clear" w:color="000000" w:fill="FFFFFF"/>
            <w:noWrap/>
            <w:vAlign w:val="center"/>
            <w:hideMark/>
          </w:tcPr>
          <w:p w14:paraId="17809EC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C573B6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w:t>
            </w:r>
          </w:p>
        </w:tc>
        <w:tc>
          <w:tcPr>
            <w:tcW w:w="1160" w:type="dxa"/>
            <w:tcBorders>
              <w:top w:val="nil"/>
              <w:left w:val="nil"/>
              <w:bottom w:val="nil"/>
              <w:right w:val="nil"/>
            </w:tcBorders>
            <w:shd w:val="clear" w:color="000000" w:fill="FFFFFF"/>
            <w:noWrap/>
            <w:vAlign w:val="center"/>
            <w:hideMark/>
          </w:tcPr>
          <w:p w14:paraId="798E26A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w:t>
            </w:r>
          </w:p>
        </w:tc>
      </w:tr>
      <w:tr w:rsidR="00B95973" w:rsidRPr="00B95973" w14:paraId="2B87168B" w14:textId="77777777" w:rsidTr="00B95973">
        <w:trPr>
          <w:trHeight w:val="229"/>
        </w:trPr>
        <w:tc>
          <w:tcPr>
            <w:tcW w:w="6475" w:type="dxa"/>
            <w:tcBorders>
              <w:top w:val="nil"/>
              <w:left w:val="nil"/>
              <w:bottom w:val="nil"/>
              <w:right w:val="nil"/>
            </w:tcBorders>
            <w:shd w:val="clear" w:color="000000" w:fill="FFFFFF"/>
            <w:noWrap/>
            <w:vAlign w:val="center"/>
            <w:hideMark/>
          </w:tcPr>
          <w:p w14:paraId="6FBC4135"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User characteristics</w:t>
            </w:r>
          </w:p>
        </w:tc>
        <w:tc>
          <w:tcPr>
            <w:tcW w:w="1160" w:type="dxa"/>
            <w:tcBorders>
              <w:top w:val="nil"/>
              <w:left w:val="nil"/>
              <w:bottom w:val="nil"/>
              <w:right w:val="nil"/>
            </w:tcBorders>
            <w:shd w:val="clear" w:color="000000" w:fill="FFFFFF"/>
            <w:noWrap/>
            <w:vAlign w:val="center"/>
            <w:hideMark/>
          </w:tcPr>
          <w:p w14:paraId="241E8AC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42BF16A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7D542D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0B71E5B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3458F7E2" w14:textId="77777777" w:rsidTr="00B95973">
        <w:trPr>
          <w:trHeight w:val="229"/>
        </w:trPr>
        <w:tc>
          <w:tcPr>
            <w:tcW w:w="6475" w:type="dxa"/>
            <w:tcBorders>
              <w:top w:val="nil"/>
              <w:left w:val="nil"/>
              <w:bottom w:val="nil"/>
              <w:right w:val="nil"/>
            </w:tcBorders>
            <w:shd w:val="clear" w:color="000000" w:fill="FFFFFF"/>
            <w:noWrap/>
            <w:vAlign w:val="center"/>
            <w:hideMark/>
          </w:tcPr>
          <w:p w14:paraId="7878A3A4"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female users</w:t>
            </w:r>
          </w:p>
        </w:tc>
        <w:tc>
          <w:tcPr>
            <w:tcW w:w="1160" w:type="dxa"/>
            <w:tcBorders>
              <w:top w:val="nil"/>
              <w:left w:val="nil"/>
              <w:bottom w:val="nil"/>
              <w:right w:val="nil"/>
            </w:tcBorders>
            <w:shd w:val="clear" w:color="000000" w:fill="FFFFFF"/>
            <w:noWrap/>
            <w:vAlign w:val="center"/>
            <w:hideMark/>
          </w:tcPr>
          <w:p w14:paraId="472ABFE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60.0%</w:t>
            </w:r>
          </w:p>
        </w:tc>
        <w:tc>
          <w:tcPr>
            <w:tcW w:w="1160" w:type="dxa"/>
            <w:tcBorders>
              <w:top w:val="nil"/>
              <w:left w:val="nil"/>
              <w:bottom w:val="nil"/>
              <w:right w:val="nil"/>
            </w:tcBorders>
            <w:shd w:val="clear" w:color="000000" w:fill="FFFFFF"/>
            <w:noWrap/>
            <w:vAlign w:val="center"/>
            <w:hideMark/>
          </w:tcPr>
          <w:p w14:paraId="4E115F3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5.0%</w:t>
            </w:r>
          </w:p>
        </w:tc>
        <w:tc>
          <w:tcPr>
            <w:tcW w:w="1160" w:type="dxa"/>
            <w:tcBorders>
              <w:top w:val="nil"/>
              <w:left w:val="nil"/>
              <w:bottom w:val="nil"/>
              <w:right w:val="nil"/>
            </w:tcBorders>
            <w:shd w:val="clear" w:color="000000" w:fill="FFFFFF"/>
            <w:noWrap/>
            <w:vAlign w:val="center"/>
            <w:hideMark/>
          </w:tcPr>
          <w:p w14:paraId="0B7F318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36.9%</w:t>
            </w:r>
          </w:p>
        </w:tc>
        <w:tc>
          <w:tcPr>
            <w:tcW w:w="1160" w:type="dxa"/>
            <w:tcBorders>
              <w:top w:val="nil"/>
              <w:left w:val="nil"/>
              <w:bottom w:val="nil"/>
              <w:right w:val="nil"/>
            </w:tcBorders>
            <w:shd w:val="clear" w:color="000000" w:fill="FFFFFF"/>
            <w:noWrap/>
            <w:vAlign w:val="center"/>
            <w:hideMark/>
          </w:tcPr>
          <w:p w14:paraId="299AD7E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72.9%</w:t>
            </w:r>
          </w:p>
        </w:tc>
      </w:tr>
      <w:tr w:rsidR="00B95973" w:rsidRPr="00B95973" w14:paraId="0C54E7D2" w14:textId="77777777" w:rsidTr="00B95973">
        <w:trPr>
          <w:trHeight w:val="229"/>
        </w:trPr>
        <w:tc>
          <w:tcPr>
            <w:tcW w:w="6475" w:type="dxa"/>
            <w:tcBorders>
              <w:top w:val="nil"/>
              <w:left w:val="nil"/>
              <w:bottom w:val="nil"/>
              <w:right w:val="nil"/>
            </w:tcBorders>
            <w:shd w:val="clear" w:color="000000" w:fill="FFFFFF"/>
            <w:noWrap/>
            <w:vAlign w:val="center"/>
            <w:hideMark/>
          </w:tcPr>
          <w:p w14:paraId="542A5977"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aged 65 or older</w:t>
            </w:r>
          </w:p>
        </w:tc>
        <w:tc>
          <w:tcPr>
            <w:tcW w:w="1160" w:type="dxa"/>
            <w:tcBorders>
              <w:top w:val="nil"/>
              <w:left w:val="nil"/>
              <w:bottom w:val="nil"/>
              <w:right w:val="nil"/>
            </w:tcBorders>
            <w:shd w:val="clear" w:color="000000" w:fill="FFFFFF"/>
            <w:noWrap/>
            <w:vAlign w:val="center"/>
            <w:hideMark/>
          </w:tcPr>
          <w:p w14:paraId="77B7053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60.9%</w:t>
            </w:r>
          </w:p>
        </w:tc>
        <w:tc>
          <w:tcPr>
            <w:tcW w:w="1160" w:type="dxa"/>
            <w:tcBorders>
              <w:top w:val="nil"/>
              <w:left w:val="nil"/>
              <w:bottom w:val="nil"/>
              <w:right w:val="nil"/>
            </w:tcBorders>
            <w:shd w:val="clear" w:color="000000" w:fill="FFFFFF"/>
            <w:noWrap/>
            <w:vAlign w:val="center"/>
            <w:hideMark/>
          </w:tcPr>
          <w:p w14:paraId="434F164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7.3%</w:t>
            </w:r>
          </w:p>
        </w:tc>
        <w:tc>
          <w:tcPr>
            <w:tcW w:w="1160" w:type="dxa"/>
            <w:tcBorders>
              <w:top w:val="nil"/>
              <w:left w:val="nil"/>
              <w:bottom w:val="nil"/>
              <w:right w:val="nil"/>
            </w:tcBorders>
            <w:shd w:val="clear" w:color="000000" w:fill="FFFFFF"/>
            <w:noWrap/>
            <w:vAlign w:val="center"/>
            <w:hideMark/>
          </w:tcPr>
          <w:p w14:paraId="4C163D7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40.9%</w:t>
            </w:r>
          </w:p>
        </w:tc>
        <w:tc>
          <w:tcPr>
            <w:tcW w:w="1160" w:type="dxa"/>
            <w:tcBorders>
              <w:top w:val="nil"/>
              <w:left w:val="nil"/>
              <w:bottom w:val="nil"/>
              <w:right w:val="nil"/>
            </w:tcBorders>
            <w:shd w:val="clear" w:color="000000" w:fill="FFFFFF"/>
            <w:noWrap/>
            <w:vAlign w:val="center"/>
            <w:hideMark/>
          </w:tcPr>
          <w:p w14:paraId="0C3FF2D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81.7%</w:t>
            </w:r>
          </w:p>
        </w:tc>
      </w:tr>
      <w:tr w:rsidR="00B95973" w:rsidRPr="00B95973" w14:paraId="5CA0291C" w14:textId="77777777" w:rsidTr="00B95973">
        <w:trPr>
          <w:trHeight w:val="229"/>
        </w:trPr>
        <w:tc>
          <w:tcPr>
            <w:tcW w:w="6475" w:type="dxa"/>
            <w:tcBorders>
              <w:top w:val="nil"/>
              <w:left w:val="nil"/>
              <w:bottom w:val="nil"/>
              <w:right w:val="nil"/>
            </w:tcBorders>
            <w:shd w:val="clear" w:color="000000" w:fill="FFFFFF"/>
            <w:noWrap/>
            <w:vAlign w:val="center"/>
            <w:hideMark/>
          </w:tcPr>
          <w:p w14:paraId="304E2D78"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receiving easy-read questionnaire</w:t>
            </w:r>
          </w:p>
        </w:tc>
        <w:tc>
          <w:tcPr>
            <w:tcW w:w="1160" w:type="dxa"/>
            <w:tcBorders>
              <w:top w:val="nil"/>
              <w:left w:val="nil"/>
              <w:bottom w:val="nil"/>
              <w:right w:val="nil"/>
            </w:tcBorders>
            <w:shd w:val="clear" w:color="000000" w:fill="FFFFFF"/>
            <w:noWrap/>
            <w:vAlign w:val="center"/>
            <w:hideMark/>
          </w:tcPr>
          <w:p w14:paraId="423327B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20.7%</w:t>
            </w:r>
          </w:p>
        </w:tc>
        <w:tc>
          <w:tcPr>
            <w:tcW w:w="1160" w:type="dxa"/>
            <w:tcBorders>
              <w:top w:val="nil"/>
              <w:left w:val="nil"/>
              <w:bottom w:val="nil"/>
              <w:right w:val="nil"/>
            </w:tcBorders>
            <w:shd w:val="clear" w:color="000000" w:fill="FFFFFF"/>
            <w:noWrap/>
            <w:vAlign w:val="center"/>
            <w:hideMark/>
          </w:tcPr>
          <w:p w14:paraId="3F8675A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7.2%</w:t>
            </w:r>
          </w:p>
        </w:tc>
        <w:tc>
          <w:tcPr>
            <w:tcW w:w="1160" w:type="dxa"/>
            <w:tcBorders>
              <w:top w:val="nil"/>
              <w:left w:val="nil"/>
              <w:bottom w:val="nil"/>
              <w:right w:val="nil"/>
            </w:tcBorders>
            <w:shd w:val="clear" w:color="000000" w:fill="FFFFFF"/>
            <w:noWrap/>
            <w:vAlign w:val="center"/>
            <w:hideMark/>
          </w:tcPr>
          <w:p w14:paraId="245BBAD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w:t>
            </w:r>
          </w:p>
        </w:tc>
        <w:tc>
          <w:tcPr>
            <w:tcW w:w="1160" w:type="dxa"/>
            <w:tcBorders>
              <w:top w:val="nil"/>
              <w:left w:val="nil"/>
              <w:bottom w:val="nil"/>
              <w:right w:val="nil"/>
            </w:tcBorders>
            <w:shd w:val="clear" w:color="000000" w:fill="FFFFFF"/>
            <w:noWrap/>
            <w:vAlign w:val="center"/>
            <w:hideMark/>
          </w:tcPr>
          <w:p w14:paraId="6E1CA98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47.0%</w:t>
            </w:r>
          </w:p>
        </w:tc>
      </w:tr>
      <w:tr w:rsidR="00B95973" w:rsidRPr="00B95973" w14:paraId="03F5ABB9" w14:textId="77777777" w:rsidTr="00B95973">
        <w:trPr>
          <w:trHeight w:val="229"/>
        </w:trPr>
        <w:tc>
          <w:tcPr>
            <w:tcW w:w="6475" w:type="dxa"/>
            <w:tcBorders>
              <w:top w:val="nil"/>
              <w:left w:val="nil"/>
              <w:bottom w:val="nil"/>
              <w:right w:val="nil"/>
            </w:tcBorders>
            <w:shd w:val="clear" w:color="000000" w:fill="FFFFFF"/>
            <w:noWrap/>
            <w:vAlign w:val="center"/>
            <w:hideMark/>
          </w:tcPr>
          <w:p w14:paraId="0755F044"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receiving no help with questionnaire</w:t>
            </w:r>
          </w:p>
        </w:tc>
        <w:tc>
          <w:tcPr>
            <w:tcW w:w="1160" w:type="dxa"/>
            <w:tcBorders>
              <w:top w:val="nil"/>
              <w:left w:val="nil"/>
              <w:bottom w:val="nil"/>
              <w:right w:val="nil"/>
            </w:tcBorders>
            <w:shd w:val="clear" w:color="000000" w:fill="FFFFFF"/>
            <w:noWrap/>
            <w:vAlign w:val="center"/>
            <w:hideMark/>
          </w:tcPr>
          <w:p w14:paraId="06EF130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21.8%</w:t>
            </w:r>
          </w:p>
        </w:tc>
        <w:tc>
          <w:tcPr>
            <w:tcW w:w="1160" w:type="dxa"/>
            <w:tcBorders>
              <w:top w:val="nil"/>
              <w:left w:val="nil"/>
              <w:bottom w:val="nil"/>
              <w:right w:val="nil"/>
            </w:tcBorders>
            <w:shd w:val="clear" w:color="000000" w:fill="FFFFFF"/>
            <w:noWrap/>
            <w:vAlign w:val="center"/>
            <w:hideMark/>
          </w:tcPr>
          <w:p w14:paraId="1CBADC5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6.6%</w:t>
            </w:r>
          </w:p>
        </w:tc>
        <w:tc>
          <w:tcPr>
            <w:tcW w:w="1160" w:type="dxa"/>
            <w:tcBorders>
              <w:top w:val="nil"/>
              <w:left w:val="nil"/>
              <w:bottom w:val="nil"/>
              <w:right w:val="nil"/>
            </w:tcBorders>
            <w:shd w:val="clear" w:color="000000" w:fill="FFFFFF"/>
            <w:noWrap/>
            <w:vAlign w:val="center"/>
            <w:hideMark/>
          </w:tcPr>
          <w:p w14:paraId="47A326A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9.6%</w:t>
            </w:r>
          </w:p>
        </w:tc>
        <w:tc>
          <w:tcPr>
            <w:tcW w:w="1160" w:type="dxa"/>
            <w:tcBorders>
              <w:top w:val="nil"/>
              <w:left w:val="nil"/>
              <w:bottom w:val="nil"/>
              <w:right w:val="nil"/>
            </w:tcBorders>
            <w:shd w:val="clear" w:color="000000" w:fill="FFFFFF"/>
            <w:noWrap/>
            <w:vAlign w:val="center"/>
            <w:hideMark/>
          </w:tcPr>
          <w:p w14:paraId="590DDD7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54.1%</w:t>
            </w:r>
          </w:p>
        </w:tc>
      </w:tr>
      <w:tr w:rsidR="00B95973" w:rsidRPr="00B95973" w14:paraId="66CF1FDB" w14:textId="77777777" w:rsidTr="00B95973">
        <w:trPr>
          <w:trHeight w:val="229"/>
        </w:trPr>
        <w:tc>
          <w:tcPr>
            <w:tcW w:w="6475" w:type="dxa"/>
            <w:tcBorders>
              <w:top w:val="nil"/>
              <w:left w:val="nil"/>
              <w:bottom w:val="nil"/>
              <w:right w:val="nil"/>
            </w:tcBorders>
            <w:shd w:val="clear" w:color="000000" w:fill="FFFFFF"/>
            <w:noWrap/>
            <w:vAlign w:val="center"/>
            <w:hideMark/>
          </w:tcPr>
          <w:p w14:paraId="02C97FFF"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whose questionnaire was read by someone else</w:t>
            </w:r>
          </w:p>
        </w:tc>
        <w:tc>
          <w:tcPr>
            <w:tcW w:w="1160" w:type="dxa"/>
            <w:tcBorders>
              <w:top w:val="nil"/>
              <w:left w:val="nil"/>
              <w:bottom w:val="nil"/>
              <w:right w:val="nil"/>
            </w:tcBorders>
            <w:shd w:val="clear" w:color="000000" w:fill="FFFFFF"/>
            <w:noWrap/>
            <w:vAlign w:val="center"/>
            <w:hideMark/>
          </w:tcPr>
          <w:p w14:paraId="07401E6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46.6%</w:t>
            </w:r>
          </w:p>
        </w:tc>
        <w:tc>
          <w:tcPr>
            <w:tcW w:w="1160" w:type="dxa"/>
            <w:tcBorders>
              <w:top w:val="nil"/>
              <w:left w:val="nil"/>
              <w:bottom w:val="nil"/>
              <w:right w:val="nil"/>
            </w:tcBorders>
            <w:shd w:val="clear" w:color="000000" w:fill="FFFFFF"/>
            <w:noWrap/>
            <w:vAlign w:val="center"/>
            <w:hideMark/>
          </w:tcPr>
          <w:p w14:paraId="41DBE55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5.3%</w:t>
            </w:r>
          </w:p>
        </w:tc>
        <w:tc>
          <w:tcPr>
            <w:tcW w:w="1160" w:type="dxa"/>
            <w:tcBorders>
              <w:top w:val="nil"/>
              <w:left w:val="nil"/>
              <w:bottom w:val="nil"/>
              <w:right w:val="nil"/>
            </w:tcBorders>
            <w:shd w:val="clear" w:color="000000" w:fill="FFFFFF"/>
            <w:noWrap/>
            <w:vAlign w:val="center"/>
            <w:hideMark/>
          </w:tcPr>
          <w:p w14:paraId="2BF9E56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26.7%</w:t>
            </w:r>
          </w:p>
        </w:tc>
        <w:tc>
          <w:tcPr>
            <w:tcW w:w="1160" w:type="dxa"/>
            <w:tcBorders>
              <w:top w:val="nil"/>
              <w:left w:val="nil"/>
              <w:bottom w:val="nil"/>
              <w:right w:val="nil"/>
            </w:tcBorders>
            <w:shd w:val="clear" w:color="000000" w:fill="FFFFFF"/>
            <w:noWrap/>
            <w:vAlign w:val="center"/>
            <w:hideMark/>
          </w:tcPr>
          <w:p w14:paraId="2CE1A04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60.3%</w:t>
            </w:r>
          </w:p>
        </w:tc>
      </w:tr>
      <w:tr w:rsidR="00B95973" w:rsidRPr="00B95973" w14:paraId="2E1E9984" w14:textId="77777777" w:rsidTr="00B95973">
        <w:trPr>
          <w:trHeight w:val="229"/>
        </w:trPr>
        <w:tc>
          <w:tcPr>
            <w:tcW w:w="6475" w:type="dxa"/>
            <w:tcBorders>
              <w:top w:val="nil"/>
              <w:left w:val="nil"/>
              <w:bottom w:val="nil"/>
              <w:right w:val="nil"/>
            </w:tcBorders>
            <w:shd w:val="clear" w:color="000000" w:fill="FFFFFF"/>
            <w:noWrap/>
            <w:vAlign w:val="center"/>
            <w:hideMark/>
          </w:tcPr>
          <w:p w14:paraId="330600C2"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whose questionnaire was translated by someone else</w:t>
            </w:r>
          </w:p>
        </w:tc>
        <w:tc>
          <w:tcPr>
            <w:tcW w:w="1160" w:type="dxa"/>
            <w:tcBorders>
              <w:top w:val="nil"/>
              <w:left w:val="nil"/>
              <w:bottom w:val="nil"/>
              <w:right w:val="nil"/>
            </w:tcBorders>
            <w:shd w:val="clear" w:color="000000" w:fill="FFFFFF"/>
            <w:noWrap/>
            <w:vAlign w:val="center"/>
            <w:hideMark/>
          </w:tcPr>
          <w:p w14:paraId="0857D10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19.7%</w:t>
            </w:r>
          </w:p>
        </w:tc>
        <w:tc>
          <w:tcPr>
            <w:tcW w:w="1160" w:type="dxa"/>
            <w:tcBorders>
              <w:top w:val="nil"/>
              <w:left w:val="nil"/>
              <w:bottom w:val="nil"/>
              <w:right w:val="nil"/>
            </w:tcBorders>
            <w:shd w:val="clear" w:color="000000" w:fill="FFFFFF"/>
            <w:noWrap/>
            <w:vAlign w:val="center"/>
            <w:hideMark/>
          </w:tcPr>
          <w:p w14:paraId="2BFB602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5.8%</w:t>
            </w:r>
          </w:p>
        </w:tc>
        <w:tc>
          <w:tcPr>
            <w:tcW w:w="1160" w:type="dxa"/>
            <w:tcBorders>
              <w:top w:val="nil"/>
              <w:left w:val="nil"/>
              <w:bottom w:val="nil"/>
              <w:right w:val="nil"/>
            </w:tcBorders>
            <w:shd w:val="clear" w:color="000000" w:fill="FFFFFF"/>
            <w:noWrap/>
            <w:vAlign w:val="center"/>
            <w:hideMark/>
          </w:tcPr>
          <w:p w14:paraId="65A5554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0.6%</w:t>
            </w:r>
          </w:p>
        </w:tc>
        <w:tc>
          <w:tcPr>
            <w:tcW w:w="1160" w:type="dxa"/>
            <w:tcBorders>
              <w:top w:val="nil"/>
              <w:left w:val="nil"/>
              <w:bottom w:val="nil"/>
              <w:right w:val="nil"/>
            </w:tcBorders>
            <w:shd w:val="clear" w:color="000000" w:fill="FFFFFF"/>
            <w:noWrap/>
            <w:vAlign w:val="center"/>
            <w:hideMark/>
          </w:tcPr>
          <w:p w14:paraId="12C5176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39.2%</w:t>
            </w:r>
          </w:p>
        </w:tc>
      </w:tr>
      <w:tr w:rsidR="00B95973" w:rsidRPr="00B95973" w14:paraId="38198CD3" w14:textId="77777777" w:rsidTr="00B95973">
        <w:trPr>
          <w:trHeight w:val="229"/>
        </w:trPr>
        <w:tc>
          <w:tcPr>
            <w:tcW w:w="6475" w:type="dxa"/>
            <w:tcBorders>
              <w:top w:val="nil"/>
              <w:left w:val="nil"/>
              <w:bottom w:val="nil"/>
              <w:right w:val="nil"/>
            </w:tcBorders>
            <w:shd w:val="clear" w:color="000000" w:fill="FFFFFF"/>
            <w:noWrap/>
            <w:vAlign w:val="center"/>
            <w:hideMark/>
          </w:tcPr>
          <w:p w14:paraId="66F4160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whose questionnaire was only filled in by someone else</w:t>
            </w:r>
          </w:p>
        </w:tc>
        <w:tc>
          <w:tcPr>
            <w:tcW w:w="1160" w:type="dxa"/>
            <w:tcBorders>
              <w:top w:val="nil"/>
              <w:left w:val="nil"/>
              <w:bottom w:val="nil"/>
              <w:right w:val="nil"/>
            </w:tcBorders>
            <w:shd w:val="clear" w:color="000000" w:fill="FFFFFF"/>
            <w:noWrap/>
            <w:vAlign w:val="center"/>
            <w:hideMark/>
          </w:tcPr>
          <w:p w14:paraId="3CFEB3E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39.1%</w:t>
            </w:r>
          </w:p>
        </w:tc>
        <w:tc>
          <w:tcPr>
            <w:tcW w:w="1160" w:type="dxa"/>
            <w:tcBorders>
              <w:top w:val="nil"/>
              <w:left w:val="nil"/>
              <w:bottom w:val="nil"/>
              <w:right w:val="nil"/>
            </w:tcBorders>
            <w:shd w:val="clear" w:color="000000" w:fill="FFFFFF"/>
            <w:noWrap/>
            <w:vAlign w:val="center"/>
            <w:hideMark/>
          </w:tcPr>
          <w:p w14:paraId="1249AF0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5.4%</w:t>
            </w:r>
          </w:p>
        </w:tc>
        <w:tc>
          <w:tcPr>
            <w:tcW w:w="1160" w:type="dxa"/>
            <w:tcBorders>
              <w:top w:val="nil"/>
              <w:left w:val="nil"/>
              <w:bottom w:val="nil"/>
              <w:right w:val="nil"/>
            </w:tcBorders>
            <w:shd w:val="clear" w:color="000000" w:fill="FFFFFF"/>
            <w:noWrap/>
            <w:vAlign w:val="center"/>
            <w:hideMark/>
          </w:tcPr>
          <w:p w14:paraId="2FCCFCF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22.6%</w:t>
            </w:r>
          </w:p>
        </w:tc>
        <w:tc>
          <w:tcPr>
            <w:tcW w:w="1160" w:type="dxa"/>
            <w:tcBorders>
              <w:top w:val="nil"/>
              <w:left w:val="nil"/>
              <w:bottom w:val="nil"/>
              <w:right w:val="nil"/>
            </w:tcBorders>
            <w:shd w:val="clear" w:color="000000" w:fill="FFFFFF"/>
            <w:noWrap/>
            <w:vAlign w:val="center"/>
            <w:hideMark/>
          </w:tcPr>
          <w:p w14:paraId="6611132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50.9%</w:t>
            </w:r>
          </w:p>
        </w:tc>
      </w:tr>
      <w:tr w:rsidR="00B95973" w:rsidRPr="00B95973" w14:paraId="0EE4E3D4" w14:textId="77777777" w:rsidTr="00B95973">
        <w:trPr>
          <w:trHeight w:val="229"/>
        </w:trPr>
        <w:tc>
          <w:tcPr>
            <w:tcW w:w="6475" w:type="dxa"/>
            <w:tcBorders>
              <w:top w:val="nil"/>
              <w:left w:val="nil"/>
              <w:bottom w:val="nil"/>
              <w:right w:val="nil"/>
            </w:tcBorders>
            <w:shd w:val="clear" w:color="000000" w:fill="FFFFFF"/>
            <w:noWrap/>
            <w:vAlign w:val="center"/>
            <w:hideMark/>
          </w:tcPr>
          <w:p w14:paraId="473C4E92"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whose questionnaire was talked through with someone else</w:t>
            </w:r>
          </w:p>
        </w:tc>
        <w:tc>
          <w:tcPr>
            <w:tcW w:w="1160" w:type="dxa"/>
            <w:tcBorders>
              <w:top w:val="nil"/>
              <w:left w:val="nil"/>
              <w:bottom w:val="nil"/>
              <w:right w:val="nil"/>
            </w:tcBorders>
            <w:shd w:val="clear" w:color="000000" w:fill="FFFFFF"/>
            <w:noWrap/>
            <w:vAlign w:val="center"/>
            <w:hideMark/>
          </w:tcPr>
          <w:p w14:paraId="6F9F21A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28.1%</w:t>
            </w:r>
          </w:p>
        </w:tc>
        <w:tc>
          <w:tcPr>
            <w:tcW w:w="1160" w:type="dxa"/>
            <w:tcBorders>
              <w:top w:val="nil"/>
              <w:left w:val="nil"/>
              <w:bottom w:val="nil"/>
              <w:right w:val="nil"/>
            </w:tcBorders>
            <w:shd w:val="clear" w:color="000000" w:fill="FFFFFF"/>
            <w:noWrap/>
            <w:vAlign w:val="center"/>
            <w:hideMark/>
          </w:tcPr>
          <w:p w14:paraId="46DB3C7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3.9%</w:t>
            </w:r>
          </w:p>
        </w:tc>
        <w:tc>
          <w:tcPr>
            <w:tcW w:w="1160" w:type="dxa"/>
            <w:tcBorders>
              <w:top w:val="nil"/>
              <w:left w:val="nil"/>
              <w:bottom w:val="nil"/>
              <w:right w:val="nil"/>
            </w:tcBorders>
            <w:shd w:val="clear" w:color="000000" w:fill="FFFFFF"/>
            <w:noWrap/>
            <w:vAlign w:val="center"/>
            <w:hideMark/>
          </w:tcPr>
          <w:p w14:paraId="63AA923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6.3%</w:t>
            </w:r>
          </w:p>
        </w:tc>
        <w:tc>
          <w:tcPr>
            <w:tcW w:w="1160" w:type="dxa"/>
            <w:tcBorders>
              <w:top w:val="nil"/>
              <w:left w:val="nil"/>
              <w:bottom w:val="nil"/>
              <w:right w:val="nil"/>
            </w:tcBorders>
            <w:shd w:val="clear" w:color="000000" w:fill="FFFFFF"/>
            <w:noWrap/>
            <w:vAlign w:val="center"/>
            <w:hideMark/>
          </w:tcPr>
          <w:p w14:paraId="21B7452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36.8%</w:t>
            </w:r>
          </w:p>
        </w:tc>
      </w:tr>
      <w:tr w:rsidR="00B95973" w:rsidRPr="00B95973" w14:paraId="7F72C74B" w14:textId="77777777" w:rsidTr="00B95973">
        <w:trPr>
          <w:trHeight w:val="229"/>
        </w:trPr>
        <w:tc>
          <w:tcPr>
            <w:tcW w:w="6475" w:type="dxa"/>
            <w:tcBorders>
              <w:top w:val="nil"/>
              <w:left w:val="nil"/>
              <w:bottom w:val="nil"/>
              <w:right w:val="nil"/>
            </w:tcBorders>
            <w:shd w:val="clear" w:color="000000" w:fill="FFFFFF"/>
            <w:noWrap/>
            <w:vAlign w:val="center"/>
            <w:hideMark/>
          </w:tcPr>
          <w:p w14:paraId="7E04FCC0"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users whose questionnaire was answered by someone else</w:t>
            </w:r>
          </w:p>
        </w:tc>
        <w:tc>
          <w:tcPr>
            <w:tcW w:w="1160" w:type="dxa"/>
            <w:tcBorders>
              <w:top w:val="nil"/>
              <w:left w:val="nil"/>
              <w:bottom w:val="nil"/>
              <w:right w:val="nil"/>
            </w:tcBorders>
            <w:shd w:val="clear" w:color="000000" w:fill="FFFFFF"/>
            <w:noWrap/>
            <w:vAlign w:val="center"/>
            <w:hideMark/>
          </w:tcPr>
          <w:p w14:paraId="20614F8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8.9%</w:t>
            </w:r>
          </w:p>
        </w:tc>
        <w:tc>
          <w:tcPr>
            <w:tcW w:w="1160" w:type="dxa"/>
            <w:tcBorders>
              <w:top w:val="nil"/>
              <w:left w:val="nil"/>
              <w:bottom w:val="nil"/>
              <w:right w:val="nil"/>
            </w:tcBorders>
            <w:shd w:val="clear" w:color="000000" w:fill="FFFFFF"/>
            <w:noWrap/>
            <w:vAlign w:val="center"/>
            <w:hideMark/>
          </w:tcPr>
          <w:p w14:paraId="5035D38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3.0%</w:t>
            </w:r>
          </w:p>
        </w:tc>
        <w:tc>
          <w:tcPr>
            <w:tcW w:w="1160" w:type="dxa"/>
            <w:tcBorders>
              <w:top w:val="nil"/>
              <w:left w:val="nil"/>
              <w:bottom w:val="nil"/>
              <w:right w:val="nil"/>
            </w:tcBorders>
            <w:shd w:val="clear" w:color="000000" w:fill="FFFFFF"/>
            <w:noWrap/>
            <w:vAlign w:val="center"/>
            <w:hideMark/>
          </w:tcPr>
          <w:p w14:paraId="3C00ACD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w:t>
            </w:r>
          </w:p>
        </w:tc>
        <w:tc>
          <w:tcPr>
            <w:tcW w:w="1160" w:type="dxa"/>
            <w:tcBorders>
              <w:top w:val="nil"/>
              <w:left w:val="nil"/>
              <w:bottom w:val="nil"/>
              <w:right w:val="nil"/>
            </w:tcBorders>
            <w:shd w:val="clear" w:color="000000" w:fill="FFFFFF"/>
            <w:noWrap/>
            <w:vAlign w:val="center"/>
            <w:hideMark/>
          </w:tcPr>
          <w:p w14:paraId="00F2D8C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18.8%</w:t>
            </w:r>
          </w:p>
        </w:tc>
      </w:tr>
      <w:tr w:rsidR="00B95973" w:rsidRPr="00B95973" w14:paraId="5E57E6AA" w14:textId="77777777" w:rsidTr="00B95973">
        <w:trPr>
          <w:trHeight w:val="229"/>
        </w:trPr>
        <w:tc>
          <w:tcPr>
            <w:tcW w:w="6475" w:type="dxa"/>
            <w:tcBorders>
              <w:top w:val="nil"/>
              <w:left w:val="nil"/>
              <w:bottom w:val="nil"/>
              <w:right w:val="nil"/>
            </w:tcBorders>
            <w:shd w:val="clear" w:color="000000" w:fill="FFFFFF"/>
            <w:noWrap/>
            <w:vAlign w:val="center"/>
            <w:hideMark/>
          </w:tcPr>
          <w:p w14:paraId="71547E42" w14:textId="77777777" w:rsidR="00B95973" w:rsidRPr="00B95973" w:rsidRDefault="00B95973" w:rsidP="00B95973">
            <w:pPr>
              <w:widowControl/>
              <w:spacing w:after="0"/>
              <w:ind w:firstLineChars="100" w:firstLine="2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Carer characteristics</w:t>
            </w:r>
          </w:p>
        </w:tc>
        <w:tc>
          <w:tcPr>
            <w:tcW w:w="1160" w:type="dxa"/>
            <w:tcBorders>
              <w:top w:val="nil"/>
              <w:left w:val="nil"/>
              <w:bottom w:val="nil"/>
              <w:right w:val="nil"/>
            </w:tcBorders>
            <w:shd w:val="clear" w:color="000000" w:fill="FFFFFF"/>
            <w:noWrap/>
            <w:vAlign w:val="center"/>
            <w:hideMark/>
          </w:tcPr>
          <w:p w14:paraId="517C92A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3312E11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76511F3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12688B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18E0729C" w14:textId="77777777" w:rsidTr="00B95973">
        <w:trPr>
          <w:trHeight w:val="229"/>
        </w:trPr>
        <w:tc>
          <w:tcPr>
            <w:tcW w:w="6475" w:type="dxa"/>
            <w:tcBorders>
              <w:top w:val="nil"/>
              <w:left w:val="nil"/>
              <w:bottom w:val="nil"/>
              <w:right w:val="nil"/>
            </w:tcBorders>
            <w:shd w:val="clear" w:color="000000" w:fill="FFFFFF"/>
            <w:noWrap/>
            <w:vAlign w:val="center"/>
            <w:hideMark/>
          </w:tcPr>
          <w:p w14:paraId="6D38F035"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female carers</w:t>
            </w:r>
          </w:p>
        </w:tc>
        <w:tc>
          <w:tcPr>
            <w:tcW w:w="1160" w:type="dxa"/>
            <w:tcBorders>
              <w:top w:val="nil"/>
              <w:left w:val="nil"/>
              <w:bottom w:val="nil"/>
              <w:right w:val="nil"/>
            </w:tcBorders>
            <w:shd w:val="clear" w:color="000000" w:fill="FFFFFF"/>
            <w:noWrap/>
            <w:vAlign w:val="center"/>
            <w:hideMark/>
          </w:tcPr>
          <w:p w14:paraId="3C64030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67.1%</w:t>
            </w:r>
          </w:p>
        </w:tc>
        <w:tc>
          <w:tcPr>
            <w:tcW w:w="1160" w:type="dxa"/>
            <w:tcBorders>
              <w:top w:val="nil"/>
              <w:left w:val="nil"/>
              <w:bottom w:val="nil"/>
              <w:right w:val="nil"/>
            </w:tcBorders>
            <w:shd w:val="clear" w:color="000000" w:fill="FFFFFF"/>
            <w:noWrap/>
            <w:vAlign w:val="center"/>
            <w:hideMark/>
          </w:tcPr>
          <w:p w14:paraId="63D54BC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4.2%</w:t>
            </w:r>
          </w:p>
        </w:tc>
        <w:tc>
          <w:tcPr>
            <w:tcW w:w="1160" w:type="dxa"/>
            <w:tcBorders>
              <w:top w:val="nil"/>
              <w:left w:val="nil"/>
              <w:bottom w:val="nil"/>
              <w:right w:val="nil"/>
            </w:tcBorders>
            <w:shd w:val="clear" w:color="000000" w:fill="FFFFFF"/>
            <w:noWrap/>
            <w:vAlign w:val="center"/>
            <w:hideMark/>
          </w:tcPr>
          <w:p w14:paraId="08C8230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44.3%</w:t>
            </w:r>
          </w:p>
        </w:tc>
        <w:tc>
          <w:tcPr>
            <w:tcW w:w="1160" w:type="dxa"/>
            <w:tcBorders>
              <w:top w:val="nil"/>
              <w:left w:val="nil"/>
              <w:bottom w:val="nil"/>
              <w:right w:val="nil"/>
            </w:tcBorders>
            <w:shd w:val="clear" w:color="000000" w:fill="FFFFFF"/>
            <w:noWrap/>
            <w:vAlign w:val="center"/>
            <w:hideMark/>
          </w:tcPr>
          <w:p w14:paraId="00F3827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76.3%</w:t>
            </w:r>
          </w:p>
        </w:tc>
      </w:tr>
      <w:tr w:rsidR="00B95973" w:rsidRPr="00B95973" w14:paraId="6173021F" w14:textId="77777777" w:rsidTr="00B95973">
        <w:trPr>
          <w:trHeight w:val="229"/>
        </w:trPr>
        <w:tc>
          <w:tcPr>
            <w:tcW w:w="6475" w:type="dxa"/>
            <w:tcBorders>
              <w:top w:val="nil"/>
              <w:left w:val="nil"/>
              <w:bottom w:val="nil"/>
              <w:right w:val="nil"/>
            </w:tcBorders>
            <w:shd w:val="clear" w:color="000000" w:fill="FFFFFF"/>
            <w:noWrap/>
            <w:vAlign w:val="center"/>
            <w:hideMark/>
          </w:tcPr>
          <w:p w14:paraId="759995A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aged 65 or older</w:t>
            </w:r>
          </w:p>
        </w:tc>
        <w:tc>
          <w:tcPr>
            <w:tcW w:w="1160" w:type="dxa"/>
            <w:tcBorders>
              <w:top w:val="nil"/>
              <w:left w:val="nil"/>
              <w:bottom w:val="nil"/>
              <w:right w:val="nil"/>
            </w:tcBorders>
            <w:shd w:val="clear" w:color="000000" w:fill="FFFFFF"/>
            <w:noWrap/>
            <w:vAlign w:val="center"/>
            <w:hideMark/>
          </w:tcPr>
          <w:p w14:paraId="200FEC5F"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43.8%</w:t>
            </w:r>
          </w:p>
        </w:tc>
        <w:tc>
          <w:tcPr>
            <w:tcW w:w="1160" w:type="dxa"/>
            <w:tcBorders>
              <w:top w:val="nil"/>
              <w:left w:val="nil"/>
              <w:bottom w:val="nil"/>
              <w:right w:val="nil"/>
            </w:tcBorders>
            <w:shd w:val="clear" w:color="000000" w:fill="FFFFFF"/>
            <w:noWrap/>
            <w:vAlign w:val="center"/>
            <w:hideMark/>
          </w:tcPr>
          <w:p w14:paraId="1DEBC49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9.3%</w:t>
            </w:r>
          </w:p>
        </w:tc>
        <w:tc>
          <w:tcPr>
            <w:tcW w:w="1160" w:type="dxa"/>
            <w:tcBorders>
              <w:top w:val="nil"/>
              <w:left w:val="nil"/>
              <w:bottom w:val="nil"/>
              <w:right w:val="nil"/>
            </w:tcBorders>
            <w:shd w:val="clear" w:color="000000" w:fill="FFFFFF"/>
            <w:noWrap/>
            <w:vAlign w:val="center"/>
            <w:hideMark/>
          </w:tcPr>
          <w:p w14:paraId="78E0B02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19.1%</w:t>
            </w:r>
          </w:p>
        </w:tc>
        <w:tc>
          <w:tcPr>
            <w:tcW w:w="1160" w:type="dxa"/>
            <w:tcBorders>
              <w:top w:val="nil"/>
              <w:left w:val="nil"/>
              <w:bottom w:val="nil"/>
              <w:right w:val="nil"/>
            </w:tcBorders>
            <w:shd w:val="clear" w:color="000000" w:fill="FFFFFF"/>
            <w:noWrap/>
            <w:vAlign w:val="center"/>
            <w:hideMark/>
          </w:tcPr>
          <w:p w14:paraId="5ED30BA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75.6%</w:t>
            </w:r>
          </w:p>
        </w:tc>
      </w:tr>
      <w:tr w:rsidR="00B95973" w:rsidRPr="00B95973" w14:paraId="382E1715" w14:textId="77777777" w:rsidTr="00B95973">
        <w:trPr>
          <w:trHeight w:val="229"/>
        </w:trPr>
        <w:tc>
          <w:tcPr>
            <w:tcW w:w="6475" w:type="dxa"/>
            <w:tcBorders>
              <w:top w:val="nil"/>
              <w:left w:val="nil"/>
              <w:bottom w:val="nil"/>
              <w:right w:val="nil"/>
            </w:tcBorders>
            <w:shd w:val="clear" w:color="000000" w:fill="FFFFFF"/>
            <w:noWrap/>
            <w:vAlign w:val="center"/>
            <w:hideMark/>
          </w:tcPr>
          <w:p w14:paraId="14255427"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whose care recipient is 65 or older</w:t>
            </w:r>
          </w:p>
        </w:tc>
        <w:tc>
          <w:tcPr>
            <w:tcW w:w="1160" w:type="dxa"/>
            <w:tcBorders>
              <w:top w:val="nil"/>
              <w:left w:val="nil"/>
              <w:bottom w:val="nil"/>
              <w:right w:val="nil"/>
            </w:tcBorders>
            <w:shd w:val="clear" w:color="000000" w:fill="FFFFFF"/>
            <w:noWrap/>
            <w:vAlign w:val="center"/>
            <w:hideMark/>
          </w:tcPr>
          <w:p w14:paraId="771A1D6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68.8%</w:t>
            </w:r>
          </w:p>
        </w:tc>
        <w:tc>
          <w:tcPr>
            <w:tcW w:w="1160" w:type="dxa"/>
            <w:tcBorders>
              <w:top w:val="nil"/>
              <w:left w:val="nil"/>
              <w:bottom w:val="nil"/>
              <w:right w:val="nil"/>
            </w:tcBorders>
            <w:shd w:val="clear" w:color="000000" w:fill="FFFFFF"/>
            <w:noWrap/>
            <w:vAlign w:val="center"/>
            <w:hideMark/>
          </w:tcPr>
          <w:p w14:paraId="3FE7E6D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9.0%</w:t>
            </w:r>
          </w:p>
        </w:tc>
        <w:tc>
          <w:tcPr>
            <w:tcW w:w="1160" w:type="dxa"/>
            <w:tcBorders>
              <w:top w:val="nil"/>
              <w:left w:val="nil"/>
              <w:bottom w:val="nil"/>
              <w:right w:val="nil"/>
            </w:tcBorders>
            <w:shd w:val="clear" w:color="000000" w:fill="FFFFFF"/>
            <w:noWrap/>
            <w:vAlign w:val="center"/>
            <w:hideMark/>
          </w:tcPr>
          <w:p w14:paraId="3E8EC27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40.7%</w:t>
            </w:r>
          </w:p>
        </w:tc>
        <w:tc>
          <w:tcPr>
            <w:tcW w:w="1160" w:type="dxa"/>
            <w:tcBorders>
              <w:top w:val="nil"/>
              <w:left w:val="nil"/>
              <w:bottom w:val="nil"/>
              <w:right w:val="nil"/>
            </w:tcBorders>
            <w:shd w:val="clear" w:color="000000" w:fill="FFFFFF"/>
            <w:noWrap/>
            <w:vAlign w:val="center"/>
            <w:hideMark/>
          </w:tcPr>
          <w:p w14:paraId="05C6D6E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85.1%</w:t>
            </w:r>
          </w:p>
        </w:tc>
      </w:tr>
      <w:tr w:rsidR="00B95973" w:rsidRPr="00B95973" w14:paraId="0DC9F91D" w14:textId="77777777" w:rsidTr="00B95973">
        <w:trPr>
          <w:trHeight w:val="229"/>
        </w:trPr>
        <w:tc>
          <w:tcPr>
            <w:tcW w:w="6475" w:type="dxa"/>
            <w:tcBorders>
              <w:top w:val="nil"/>
              <w:left w:val="nil"/>
              <w:bottom w:val="nil"/>
              <w:right w:val="nil"/>
            </w:tcBorders>
            <w:shd w:val="clear" w:color="000000" w:fill="FFFFFF"/>
            <w:noWrap/>
            <w:vAlign w:val="center"/>
            <w:hideMark/>
          </w:tcPr>
          <w:p w14:paraId="5B3853F3"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who are retired</w:t>
            </w:r>
          </w:p>
        </w:tc>
        <w:tc>
          <w:tcPr>
            <w:tcW w:w="1160" w:type="dxa"/>
            <w:tcBorders>
              <w:top w:val="nil"/>
              <w:left w:val="nil"/>
              <w:bottom w:val="nil"/>
              <w:right w:val="nil"/>
            </w:tcBorders>
            <w:shd w:val="clear" w:color="000000" w:fill="FFFFFF"/>
            <w:noWrap/>
            <w:vAlign w:val="center"/>
            <w:hideMark/>
          </w:tcPr>
          <w:p w14:paraId="1AF96A8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51.8%</w:t>
            </w:r>
          </w:p>
        </w:tc>
        <w:tc>
          <w:tcPr>
            <w:tcW w:w="1160" w:type="dxa"/>
            <w:tcBorders>
              <w:top w:val="nil"/>
              <w:left w:val="nil"/>
              <w:bottom w:val="nil"/>
              <w:right w:val="nil"/>
            </w:tcBorders>
            <w:shd w:val="clear" w:color="000000" w:fill="FFFFFF"/>
            <w:noWrap/>
            <w:vAlign w:val="center"/>
            <w:hideMark/>
          </w:tcPr>
          <w:p w14:paraId="6D78309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8.3%</w:t>
            </w:r>
          </w:p>
        </w:tc>
        <w:tc>
          <w:tcPr>
            <w:tcW w:w="1160" w:type="dxa"/>
            <w:tcBorders>
              <w:top w:val="nil"/>
              <w:left w:val="nil"/>
              <w:bottom w:val="nil"/>
              <w:right w:val="nil"/>
            </w:tcBorders>
            <w:shd w:val="clear" w:color="000000" w:fill="FFFFFF"/>
            <w:noWrap/>
            <w:vAlign w:val="center"/>
            <w:hideMark/>
          </w:tcPr>
          <w:p w14:paraId="36ED7E4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23.2%</w:t>
            </w:r>
          </w:p>
        </w:tc>
        <w:tc>
          <w:tcPr>
            <w:tcW w:w="1160" w:type="dxa"/>
            <w:tcBorders>
              <w:top w:val="nil"/>
              <w:left w:val="nil"/>
              <w:bottom w:val="nil"/>
              <w:right w:val="nil"/>
            </w:tcBorders>
            <w:shd w:val="clear" w:color="000000" w:fill="FFFFFF"/>
            <w:noWrap/>
            <w:vAlign w:val="center"/>
            <w:hideMark/>
          </w:tcPr>
          <w:p w14:paraId="501341A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68.8%</w:t>
            </w:r>
          </w:p>
        </w:tc>
      </w:tr>
      <w:tr w:rsidR="00B95973" w:rsidRPr="00B95973" w14:paraId="4AE29904" w14:textId="77777777" w:rsidTr="00B95973">
        <w:trPr>
          <w:trHeight w:val="229"/>
        </w:trPr>
        <w:tc>
          <w:tcPr>
            <w:tcW w:w="6475" w:type="dxa"/>
            <w:tcBorders>
              <w:top w:val="nil"/>
              <w:left w:val="nil"/>
              <w:bottom w:val="nil"/>
              <w:right w:val="nil"/>
            </w:tcBorders>
            <w:shd w:val="clear" w:color="000000" w:fill="FFFFFF"/>
            <w:noWrap/>
            <w:vAlign w:val="center"/>
            <w:hideMark/>
          </w:tcPr>
          <w:p w14:paraId="18667A6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experiencing a clash between work and caring role</w:t>
            </w:r>
          </w:p>
        </w:tc>
        <w:tc>
          <w:tcPr>
            <w:tcW w:w="1160" w:type="dxa"/>
            <w:tcBorders>
              <w:top w:val="nil"/>
              <w:left w:val="nil"/>
              <w:bottom w:val="nil"/>
              <w:right w:val="nil"/>
            </w:tcBorders>
            <w:shd w:val="clear" w:color="000000" w:fill="FFFFFF"/>
            <w:noWrap/>
            <w:vAlign w:val="center"/>
            <w:hideMark/>
          </w:tcPr>
          <w:p w14:paraId="2E732D2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4.8%</w:t>
            </w:r>
          </w:p>
        </w:tc>
        <w:tc>
          <w:tcPr>
            <w:tcW w:w="1160" w:type="dxa"/>
            <w:tcBorders>
              <w:top w:val="nil"/>
              <w:left w:val="nil"/>
              <w:bottom w:val="nil"/>
              <w:right w:val="nil"/>
            </w:tcBorders>
            <w:shd w:val="clear" w:color="000000" w:fill="FFFFFF"/>
            <w:noWrap/>
            <w:vAlign w:val="center"/>
            <w:hideMark/>
          </w:tcPr>
          <w:p w14:paraId="1397A8D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1.6%</w:t>
            </w:r>
          </w:p>
        </w:tc>
        <w:tc>
          <w:tcPr>
            <w:tcW w:w="1160" w:type="dxa"/>
            <w:tcBorders>
              <w:top w:val="nil"/>
              <w:left w:val="nil"/>
              <w:bottom w:val="nil"/>
              <w:right w:val="nil"/>
            </w:tcBorders>
            <w:shd w:val="clear" w:color="000000" w:fill="FFFFFF"/>
            <w:noWrap/>
            <w:vAlign w:val="center"/>
            <w:hideMark/>
          </w:tcPr>
          <w:p w14:paraId="3C3586D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w:t>
            </w:r>
          </w:p>
        </w:tc>
        <w:tc>
          <w:tcPr>
            <w:tcW w:w="1160" w:type="dxa"/>
            <w:tcBorders>
              <w:top w:val="nil"/>
              <w:left w:val="nil"/>
              <w:bottom w:val="nil"/>
              <w:right w:val="nil"/>
            </w:tcBorders>
            <w:shd w:val="clear" w:color="000000" w:fill="FFFFFF"/>
            <w:noWrap/>
            <w:vAlign w:val="center"/>
            <w:hideMark/>
          </w:tcPr>
          <w:p w14:paraId="6C81CEA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9.2%</w:t>
            </w:r>
          </w:p>
        </w:tc>
      </w:tr>
      <w:tr w:rsidR="00B95973" w:rsidRPr="00B95973" w14:paraId="4B2573D3" w14:textId="77777777" w:rsidTr="00B95973">
        <w:trPr>
          <w:trHeight w:val="229"/>
        </w:trPr>
        <w:tc>
          <w:tcPr>
            <w:tcW w:w="6475" w:type="dxa"/>
            <w:tcBorders>
              <w:top w:val="nil"/>
              <w:left w:val="nil"/>
              <w:bottom w:val="nil"/>
              <w:right w:val="nil"/>
            </w:tcBorders>
            <w:shd w:val="clear" w:color="000000" w:fill="FFFFFF"/>
            <w:noWrap/>
            <w:vAlign w:val="center"/>
            <w:hideMark/>
          </w:tcPr>
          <w:p w14:paraId="72150418"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receiving help with questionnaire</w:t>
            </w:r>
          </w:p>
        </w:tc>
        <w:tc>
          <w:tcPr>
            <w:tcW w:w="1160" w:type="dxa"/>
            <w:tcBorders>
              <w:top w:val="nil"/>
              <w:left w:val="nil"/>
              <w:bottom w:val="nil"/>
              <w:right w:val="nil"/>
            </w:tcBorders>
            <w:shd w:val="clear" w:color="000000" w:fill="FFFFFF"/>
            <w:noWrap/>
            <w:vAlign w:val="center"/>
            <w:hideMark/>
          </w:tcPr>
          <w:p w14:paraId="2B4AFE2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89.4%</w:t>
            </w:r>
          </w:p>
        </w:tc>
        <w:tc>
          <w:tcPr>
            <w:tcW w:w="1160" w:type="dxa"/>
            <w:tcBorders>
              <w:top w:val="nil"/>
              <w:left w:val="nil"/>
              <w:bottom w:val="nil"/>
              <w:right w:val="nil"/>
            </w:tcBorders>
            <w:shd w:val="clear" w:color="000000" w:fill="FFFFFF"/>
            <w:noWrap/>
            <w:vAlign w:val="center"/>
            <w:hideMark/>
          </w:tcPr>
          <w:p w14:paraId="7705450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5.7%</w:t>
            </w:r>
          </w:p>
        </w:tc>
        <w:tc>
          <w:tcPr>
            <w:tcW w:w="1160" w:type="dxa"/>
            <w:tcBorders>
              <w:top w:val="nil"/>
              <w:left w:val="nil"/>
              <w:bottom w:val="nil"/>
              <w:right w:val="nil"/>
            </w:tcBorders>
            <w:shd w:val="clear" w:color="000000" w:fill="FFFFFF"/>
            <w:noWrap/>
            <w:vAlign w:val="center"/>
            <w:hideMark/>
          </w:tcPr>
          <w:p w14:paraId="2036317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46.4%</w:t>
            </w:r>
          </w:p>
        </w:tc>
        <w:tc>
          <w:tcPr>
            <w:tcW w:w="1160" w:type="dxa"/>
            <w:tcBorders>
              <w:top w:val="nil"/>
              <w:left w:val="nil"/>
              <w:bottom w:val="nil"/>
              <w:right w:val="nil"/>
            </w:tcBorders>
            <w:shd w:val="clear" w:color="000000" w:fill="FFFFFF"/>
            <w:noWrap/>
            <w:vAlign w:val="center"/>
            <w:hideMark/>
          </w:tcPr>
          <w:p w14:paraId="5A13F83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99.7%</w:t>
            </w:r>
          </w:p>
        </w:tc>
      </w:tr>
      <w:tr w:rsidR="00B95973" w:rsidRPr="00B95973" w14:paraId="6F23104B" w14:textId="77777777" w:rsidTr="00B95973">
        <w:trPr>
          <w:trHeight w:val="229"/>
        </w:trPr>
        <w:tc>
          <w:tcPr>
            <w:tcW w:w="6475" w:type="dxa"/>
            <w:tcBorders>
              <w:top w:val="nil"/>
              <w:left w:val="nil"/>
              <w:bottom w:val="nil"/>
              <w:right w:val="nil"/>
            </w:tcBorders>
            <w:shd w:val="clear" w:color="000000" w:fill="FFFFFF"/>
            <w:noWrap/>
            <w:vAlign w:val="center"/>
            <w:hideMark/>
          </w:tcPr>
          <w:p w14:paraId="76D94170"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in caring role between 6 months and 1 year</w:t>
            </w:r>
          </w:p>
        </w:tc>
        <w:tc>
          <w:tcPr>
            <w:tcW w:w="1160" w:type="dxa"/>
            <w:tcBorders>
              <w:top w:val="nil"/>
              <w:left w:val="nil"/>
              <w:bottom w:val="nil"/>
              <w:right w:val="nil"/>
            </w:tcBorders>
            <w:shd w:val="clear" w:color="000000" w:fill="FFFFFF"/>
            <w:noWrap/>
            <w:vAlign w:val="center"/>
            <w:hideMark/>
          </w:tcPr>
          <w:p w14:paraId="07B0531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2.9%</w:t>
            </w:r>
          </w:p>
        </w:tc>
        <w:tc>
          <w:tcPr>
            <w:tcW w:w="1160" w:type="dxa"/>
            <w:tcBorders>
              <w:top w:val="nil"/>
              <w:left w:val="nil"/>
              <w:bottom w:val="nil"/>
              <w:right w:val="nil"/>
            </w:tcBorders>
            <w:shd w:val="clear" w:color="000000" w:fill="FFFFFF"/>
            <w:noWrap/>
            <w:vAlign w:val="center"/>
            <w:hideMark/>
          </w:tcPr>
          <w:p w14:paraId="12702DF7"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1.5%</w:t>
            </w:r>
          </w:p>
        </w:tc>
        <w:tc>
          <w:tcPr>
            <w:tcW w:w="1160" w:type="dxa"/>
            <w:tcBorders>
              <w:top w:val="nil"/>
              <w:left w:val="nil"/>
              <w:bottom w:val="nil"/>
              <w:right w:val="nil"/>
            </w:tcBorders>
            <w:shd w:val="clear" w:color="000000" w:fill="FFFFFF"/>
            <w:noWrap/>
            <w:vAlign w:val="center"/>
            <w:hideMark/>
          </w:tcPr>
          <w:p w14:paraId="74A00E5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0.3%</w:t>
            </w:r>
          </w:p>
        </w:tc>
        <w:tc>
          <w:tcPr>
            <w:tcW w:w="1160" w:type="dxa"/>
            <w:tcBorders>
              <w:top w:val="nil"/>
              <w:left w:val="nil"/>
              <w:bottom w:val="nil"/>
              <w:right w:val="nil"/>
            </w:tcBorders>
            <w:shd w:val="clear" w:color="000000" w:fill="FFFFFF"/>
            <w:noWrap/>
            <w:vAlign w:val="center"/>
            <w:hideMark/>
          </w:tcPr>
          <w:p w14:paraId="3B52B629"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11.1%</w:t>
            </w:r>
          </w:p>
        </w:tc>
      </w:tr>
      <w:tr w:rsidR="00B95973" w:rsidRPr="00B95973" w14:paraId="7BD0FCF6" w14:textId="77777777" w:rsidTr="00B95973">
        <w:trPr>
          <w:trHeight w:val="229"/>
        </w:trPr>
        <w:tc>
          <w:tcPr>
            <w:tcW w:w="6475" w:type="dxa"/>
            <w:tcBorders>
              <w:top w:val="nil"/>
              <w:left w:val="nil"/>
              <w:bottom w:val="nil"/>
              <w:right w:val="nil"/>
            </w:tcBorders>
            <w:shd w:val="clear" w:color="000000" w:fill="FFFFFF"/>
            <w:noWrap/>
            <w:vAlign w:val="center"/>
            <w:hideMark/>
          </w:tcPr>
          <w:p w14:paraId="2F34FF70"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Prop carers in caring role for more than 1 year</w:t>
            </w:r>
          </w:p>
        </w:tc>
        <w:tc>
          <w:tcPr>
            <w:tcW w:w="1160" w:type="dxa"/>
            <w:tcBorders>
              <w:top w:val="nil"/>
              <w:left w:val="nil"/>
              <w:bottom w:val="nil"/>
              <w:right w:val="nil"/>
            </w:tcBorders>
            <w:shd w:val="clear" w:color="000000" w:fill="FFFFFF"/>
            <w:noWrap/>
            <w:vAlign w:val="center"/>
            <w:hideMark/>
          </w:tcPr>
          <w:p w14:paraId="1F383EA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96.4%</w:t>
            </w:r>
          </w:p>
        </w:tc>
        <w:tc>
          <w:tcPr>
            <w:tcW w:w="1160" w:type="dxa"/>
            <w:tcBorders>
              <w:top w:val="nil"/>
              <w:left w:val="nil"/>
              <w:bottom w:val="nil"/>
              <w:right w:val="nil"/>
            </w:tcBorders>
            <w:shd w:val="clear" w:color="000000" w:fill="FFFFFF"/>
            <w:noWrap/>
            <w:vAlign w:val="center"/>
            <w:hideMark/>
          </w:tcPr>
          <w:p w14:paraId="4BC7A99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1.7%</w:t>
            </w:r>
          </w:p>
        </w:tc>
        <w:tc>
          <w:tcPr>
            <w:tcW w:w="1160" w:type="dxa"/>
            <w:tcBorders>
              <w:top w:val="nil"/>
              <w:left w:val="nil"/>
              <w:bottom w:val="nil"/>
              <w:right w:val="nil"/>
            </w:tcBorders>
            <w:shd w:val="clear" w:color="000000" w:fill="FFFFFF"/>
            <w:noWrap/>
            <w:vAlign w:val="center"/>
            <w:hideMark/>
          </w:tcPr>
          <w:p w14:paraId="45C2C0E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88.9%</w:t>
            </w:r>
          </w:p>
        </w:tc>
        <w:tc>
          <w:tcPr>
            <w:tcW w:w="1160" w:type="dxa"/>
            <w:tcBorders>
              <w:top w:val="nil"/>
              <w:left w:val="nil"/>
              <w:bottom w:val="nil"/>
              <w:right w:val="nil"/>
            </w:tcBorders>
            <w:shd w:val="clear" w:color="000000" w:fill="FFFFFF"/>
            <w:noWrap/>
            <w:vAlign w:val="center"/>
            <w:hideMark/>
          </w:tcPr>
          <w:p w14:paraId="5B703C9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99.7%</w:t>
            </w:r>
          </w:p>
        </w:tc>
      </w:tr>
      <w:tr w:rsidR="00B95973" w:rsidRPr="00B95973" w14:paraId="54ACA661" w14:textId="77777777" w:rsidTr="00B95973">
        <w:trPr>
          <w:trHeight w:val="229"/>
        </w:trPr>
        <w:tc>
          <w:tcPr>
            <w:tcW w:w="6475" w:type="dxa"/>
            <w:tcBorders>
              <w:top w:val="nil"/>
              <w:left w:val="nil"/>
              <w:bottom w:val="nil"/>
              <w:right w:val="nil"/>
            </w:tcBorders>
            <w:shd w:val="clear" w:color="000000" w:fill="FFFFFF"/>
            <w:noWrap/>
            <w:vAlign w:val="center"/>
            <w:hideMark/>
          </w:tcPr>
          <w:p w14:paraId="1B856B98"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Instruments</w:t>
            </w:r>
          </w:p>
        </w:tc>
        <w:tc>
          <w:tcPr>
            <w:tcW w:w="1160" w:type="dxa"/>
            <w:tcBorders>
              <w:top w:val="nil"/>
              <w:left w:val="nil"/>
              <w:bottom w:val="nil"/>
              <w:right w:val="nil"/>
            </w:tcBorders>
            <w:shd w:val="clear" w:color="000000" w:fill="FFFFFF"/>
            <w:noWrap/>
            <w:vAlign w:val="center"/>
            <w:hideMark/>
          </w:tcPr>
          <w:p w14:paraId="687D745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FE6254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B31A4B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c>
          <w:tcPr>
            <w:tcW w:w="1160" w:type="dxa"/>
            <w:tcBorders>
              <w:top w:val="nil"/>
              <w:left w:val="nil"/>
              <w:bottom w:val="nil"/>
              <w:right w:val="nil"/>
            </w:tcBorders>
            <w:shd w:val="clear" w:color="000000" w:fill="FFFFFF"/>
            <w:noWrap/>
            <w:vAlign w:val="center"/>
            <w:hideMark/>
          </w:tcPr>
          <w:p w14:paraId="2A889443"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 </w:t>
            </w:r>
          </w:p>
        </w:tc>
      </w:tr>
      <w:tr w:rsidR="00B95973" w:rsidRPr="00B95973" w14:paraId="3A95213C" w14:textId="77777777" w:rsidTr="00B95973">
        <w:trPr>
          <w:trHeight w:val="229"/>
        </w:trPr>
        <w:tc>
          <w:tcPr>
            <w:tcW w:w="6475" w:type="dxa"/>
            <w:tcBorders>
              <w:top w:val="nil"/>
              <w:left w:val="nil"/>
              <w:bottom w:val="nil"/>
              <w:right w:val="nil"/>
            </w:tcBorders>
            <w:shd w:val="clear" w:color="000000" w:fill="FFFFFF"/>
            <w:noWrap/>
            <w:vAlign w:val="center"/>
            <w:hideMark/>
          </w:tcPr>
          <w:p w14:paraId="7E77C17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Distance from target index</w:t>
            </w:r>
          </w:p>
        </w:tc>
        <w:tc>
          <w:tcPr>
            <w:tcW w:w="1160" w:type="dxa"/>
            <w:tcBorders>
              <w:top w:val="nil"/>
              <w:left w:val="nil"/>
              <w:bottom w:val="nil"/>
              <w:right w:val="nil"/>
            </w:tcBorders>
            <w:shd w:val="clear" w:color="000000" w:fill="FFFFFF"/>
            <w:noWrap/>
            <w:vAlign w:val="center"/>
            <w:hideMark/>
          </w:tcPr>
          <w:p w14:paraId="5346A19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1.003</w:t>
            </w:r>
          </w:p>
        </w:tc>
        <w:tc>
          <w:tcPr>
            <w:tcW w:w="1160" w:type="dxa"/>
            <w:tcBorders>
              <w:top w:val="nil"/>
              <w:left w:val="nil"/>
              <w:bottom w:val="nil"/>
              <w:right w:val="nil"/>
            </w:tcBorders>
            <w:shd w:val="clear" w:color="000000" w:fill="FFFFFF"/>
            <w:noWrap/>
            <w:vAlign w:val="center"/>
            <w:hideMark/>
          </w:tcPr>
          <w:p w14:paraId="57B2EFB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0.071</w:t>
            </w:r>
          </w:p>
        </w:tc>
        <w:tc>
          <w:tcPr>
            <w:tcW w:w="1160" w:type="dxa"/>
            <w:tcBorders>
              <w:top w:val="nil"/>
              <w:left w:val="nil"/>
              <w:bottom w:val="nil"/>
              <w:right w:val="nil"/>
            </w:tcBorders>
            <w:shd w:val="clear" w:color="000000" w:fill="FFFFFF"/>
            <w:noWrap/>
            <w:vAlign w:val="center"/>
            <w:hideMark/>
          </w:tcPr>
          <w:p w14:paraId="06A2CD4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0.880</w:t>
            </w:r>
          </w:p>
        </w:tc>
        <w:tc>
          <w:tcPr>
            <w:tcW w:w="1160" w:type="dxa"/>
            <w:tcBorders>
              <w:top w:val="nil"/>
              <w:left w:val="nil"/>
              <w:bottom w:val="nil"/>
              <w:right w:val="nil"/>
            </w:tcBorders>
            <w:shd w:val="clear" w:color="000000" w:fill="FFFFFF"/>
            <w:noWrap/>
            <w:vAlign w:val="center"/>
            <w:hideMark/>
          </w:tcPr>
          <w:p w14:paraId="2EA993B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1.339</w:t>
            </w:r>
          </w:p>
        </w:tc>
      </w:tr>
      <w:tr w:rsidR="00B95973" w:rsidRPr="00B95973" w14:paraId="5B29C432" w14:textId="77777777" w:rsidTr="00B95973">
        <w:trPr>
          <w:trHeight w:val="229"/>
        </w:trPr>
        <w:tc>
          <w:tcPr>
            <w:tcW w:w="6475" w:type="dxa"/>
            <w:tcBorders>
              <w:top w:val="nil"/>
              <w:left w:val="nil"/>
              <w:bottom w:val="nil"/>
              <w:right w:val="nil"/>
            </w:tcBorders>
            <w:shd w:val="clear" w:color="000000" w:fill="FFFFFF"/>
            <w:noWrap/>
            <w:vAlign w:val="center"/>
            <w:hideMark/>
          </w:tcPr>
          <w:p w14:paraId="0628CC66"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Age-cost index</w:t>
            </w:r>
          </w:p>
        </w:tc>
        <w:tc>
          <w:tcPr>
            <w:tcW w:w="1160" w:type="dxa"/>
            <w:tcBorders>
              <w:top w:val="nil"/>
              <w:left w:val="nil"/>
              <w:bottom w:val="nil"/>
              <w:right w:val="nil"/>
            </w:tcBorders>
            <w:shd w:val="clear" w:color="000000" w:fill="FFFFFF"/>
            <w:noWrap/>
            <w:vAlign w:val="center"/>
            <w:hideMark/>
          </w:tcPr>
          <w:p w14:paraId="6636111C"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0.977</w:t>
            </w:r>
          </w:p>
        </w:tc>
        <w:tc>
          <w:tcPr>
            <w:tcW w:w="1160" w:type="dxa"/>
            <w:tcBorders>
              <w:top w:val="nil"/>
              <w:left w:val="nil"/>
              <w:bottom w:val="nil"/>
              <w:right w:val="nil"/>
            </w:tcBorders>
            <w:shd w:val="clear" w:color="000000" w:fill="FFFFFF"/>
            <w:noWrap/>
            <w:vAlign w:val="center"/>
            <w:hideMark/>
          </w:tcPr>
          <w:p w14:paraId="433B57E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0.132</w:t>
            </w:r>
          </w:p>
        </w:tc>
        <w:tc>
          <w:tcPr>
            <w:tcW w:w="1160" w:type="dxa"/>
            <w:tcBorders>
              <w:top w:val="nil"/>
              <w:left w:val="nil"/>
              <w:bottom w:val="nil"/>
              <w:right w:val="nil"/>
            </w:tcBorders>
            <w:shd w:val="clear" w:color="000000" w:fill="FFFFFF"/>
            <w:noWrap/>
            <w:vAlign w:val="center"/>
            <w:hideMark/>
          </w:tcPr>
          <w:p w14:paraId="56A7447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0.632</w:t>
            </w:r>
          </w:p>
        </w:tc>
        <w:tc>
          <w:tcPr>
            <w:tcW w:w="1160" w:type="dxa"/>
            <w:tcBorders>
              <w:top w:val="nil"/>
              <w:left w:val="nil"/>
              <w:bottom w:val="nil"/>
              <w:right w:val="nil"/>
            </w:tcBorders>
            <w:shd w:val="clear" w:color="000000" w:fill="FFFFFF"/>
            <w:noWrap/>
            <w:vAlign w:val="center"/>
            <w:hideMark/>
          </w:tcPr>
          <w:p w14:paraId="69FAF22E"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1.249</w:t>
            </w:r>
          </w:p>
        </w:tc>
      </w:tr>
      <w:tr w:rsidR="00B95973" w:rsidRPr="00B95973" w14:paraId="489F673B" w14:textId="77777777" w:rsidTr="00B95973">
        <w:trPr>
          <w:trHeight w:val="229"/>
        </w:trPr>
        <w:tc>
          <w:tcPr>
            <w:tcW w:w="6475" w:type="dxa"/>
            <w:tcBorders>
              <w:top w:val="nil"/>
              <w:left w:val="nil"/>
              <w:bottom w:val="nil"/>
              <w:right w:val="nil"/>
            </w:tcBorders>
            <w:shd w:val="clear" w:color="000000" w:fill="FFFFFF"/>
            <w:noWrap/>
            <w:vAlign w:val="center"/>
            <w:hideMark/>
          </w:tcPr>
          <w:p w14:paraId="6C58AB2C"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Market forces factor index</w:t>
            </w:r>
          </w:p>
        </w:tc>
        <w:tc>
          <w:tcPr>
            <w:tcW w:w="1160" w:type="dxa"/>
            <w:tcBorders>
              <w:top w:val="nil"/>
              <w:left w:val="nil"/>
              <w:bottom w:val="nil"/>
              <w:right w:val="nil"/>
            </w:tcBorders>
            <w:shd w:val="clear" w:color="000000" w:fill="FFFFFF"/>
            <w:noWrap/>
            <w:vAlign w:val="center"/>
            <w:hideMark/>
          </w:tcPr>
          <w:p w14:paraId="20AB9E3D"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1.006</w:t>
            </w:r>
          </w:p>
        </w:tc>
        <w:tc>
          <w:tcPr>
            <w:tcW w:w="1160" w:type="dxa"/>
            <w:tcBorders>
              <w:top w:val="nil"/>
              <w:left w:val="nil"/>
              <w:bottom w:val="nil"/>
              <w:right w:val="nil"/>
            </w:tcBorders>
            <w:shd w:val="clear" w:color="000000" w:fill="FFFFFF"/>
            <w:noWrap/>
            <w:vAlign w:val="center"/>
            <w:hideMark/>
          </w:tcPr>
          <w:p w14:paraId="72E2495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0.069</w:t>
            </w:r>
          </w:p>
        </w:tc>
        <w:tc>
          <w:tcPr>
            <w:tcW w:w="1160" w:type="dxa"/>
            <w:tcBorders>
              <w:top w:val="nil"/>
              <w:left w:val="nil"/>
              <w:bottom w:val="nil"/>
              <w:right w:val="nil"/>
            </w:tcBorders>
            <w:shd w:val="clear" w:color="000000" w:fill="FFFFFF"/>
            <w:noWrap/>
            <w:vAlign w:val="center"/>
            <w:hideMark/>
          </w:tcPr>
          <w:p w14:paraId="6E23D3B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0.927</w:t>
            </w:r>
          </w:p>
        </w:tc>
        <w:tc>
          <w:tcPr>
            <w:tcW w:w="1160" w:type="dxa"/>
            <w:tcBorders>
              <w:top w:val="nil"/>
              <w:left w:val="nil"/>
              <w:bottom w:val="nil"/>
              <w:right w:val="nil"/>
            </w:tcBorders>
            <w:shd w:val="clear" w:color="000000" w:fill="FFFFFF"/>
            <w:noWrap/>
            <w:vAlign w:val="center"/>
            <w:hideMark/>
          </w:tcPr>
          <w:p w14:paraId="6F7DCFF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1.160</w:t>
            </w:r>
          </w:p>
        </w:tc>
      </w:tr>
      <w:tr w:rsidR="00B95973" w:rsidRPr="00B95973" w14:paraId="79FB2C55" w14:textId="77777777" w:rsidTr="00B95973">
        <w:trPr>
          <w:trHeight w:val="229"/>
        </w:trPr>
        <w:tc>
          <w:tcPr>
            <w:tcW w:w="6475" w:type="dxa"/>
            <w:tcBorders>
              <w:top w:val="nil"/>
              <w:left w:val="nil"/>
              <w:bottom w:val="nil"/>
              <w:right w:val="nil"/>
            </w:tcBorders>
            <w:shd w:val="clear" w:color="000000" w:fill="FFFFFF"/>
            <w:noWrap/>
            <w:vAlign w:val="center"/>
            <w:hideMark/>
          </w:tcPr>
          <w:p w14:paraId="26482710"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Council tax base per user</w:t>
            </w:r>
          </w:p>
        </w:tc>
        <w:tc>
          <w:tcPr>
            <w:tcW w:w="1160" w:type="dxa"/>
            <w:tcBorders>
              <w:top w:val="nil"/>
              <w:left w:val="nil"/>
              <w:bottom w:val="nil"/>
              <w:right w:val="nil"/>
            </w:tcBorders>
            <w:shd w:val="clear" w:color="000000" w:fill="FFFFFF"/>
            <w:noWrap/>
            <w:vAlign w:val="center"/>
            <w:hideMark/>
          </w:tcPr>
          <w:p w14:paraId="390F687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7.9</w:t>
            </w:r>
          </w:p>
        </w:tc>
        <w:tc>
          <w:tcPr>
            <w:tcW w:w="1160" w:type="dxa"/>
            <w:tcBorders>
              <w:top w:val="nil"/>
              <w:left w:val="nil"/>
              <w:bottom w:val="nil"/>
              <w:right w:val="nil"/>
            </w:tcBorders>
            <w:shd w:val="clear" w:color="000000" w:fill="FFFFFF"/>
            <w:noWrap/>
            <w:vAlign w:val="center"/>
            <w:hideMark/>
          </w:tcPr>
          <w:p w14:paraId="1F27FE18"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4.3</w:t>
            </w:r>
          </w:p>
        </w:tc>
        <w:tc>
          <w:tcPr>
            <w:tcW w:w="1160" w:type="dxa"/>
            <w:tcBorders>
              <w:top w:val="nil"/>
              <w:left w:val="nil"/>
              <w:bottom w:val="nil"/>
              <w:right w:val="nil"/>
            </w:tcBorders>
            <w:shd w:val="clear" w:color="000000" w:fill="FFFFFF"/>
            <w:noWrap/>
            <w:vAlign w:val="center"/>
            <w:hideMark/>
          </w:tcPr>
          <w:p w14:paraId="5C4B962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1.7</w:t>
            </w:r>
          </w:p>
        </w:tc>
        <w:tc>
          <w:tcPr>
            <w:tcW w:w="1160" w:type="dxa"/>
            <w:tcBorders>
              <w:top w:val="nil"/>
              <w:left w:val="nil"/>
              <w:bottom w:val="nil"/>
              <w:right w:val="nil"/>
            </w:tcBorders>
            <w:shd w:val="clear" w:color="000000" w:fill="FFFFFF"/>
            <w:noWrap/>
            <w:vAlign w:val="center"/>
            <w:hideMark/>
          </w:tcPr>
          <w:p w14:paraId="5ACCB2FB"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29.1</w:t>
            </w:r>
          </w:p>
        </w:tc>
      </w:tr>
      <w:tr w:rsidR="00B95973" w:rsidRPr="00B95973" w14:paraId="302A5086" w14:textId="77777777" w:rsidTr="00B95973">
        <w:trPr>
          <w:trHeight w:val="229"/>
        </w:trPr>
        <w:tc>
          <w:tcPr>
            <w:tcW w:w="6475" w:type="dxa"/>
            <w:tcBorders>
              <w:top w:val="nil"/>
              <w:left w:val="nil"/>
              <w:bottom w:val="nil"/>
              <w:right w:val="nil"/>
            </w:tcBorders>
            <w:shd w:val="clear" w:color="000000" w:fill="FFFFFF"/>
            <w:noWrap/>
            <w:vAlign w:val="center"/>
            <w:hideMark/>
          </w:tcPr>
          <w:p w14:paraId="33E0C153"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Business rates tax base per user</w:t>
            </w:r>
          </w:p>
        </w:tc>
        <w:tc>
          <w:tcPr>
            <w:tcW w:w="1160" w:type="dxa"/>
            <w:tcBorders>
              <w:top w:val="nil"/>
              <w:left w:val="nil"/>
              <w:bottom w:val="nil"/>
              <w:right w:val="nil"/>
            </w:tcBorders>
            <w:shd w:val="clear" w:color="000000" w:fill="FFFFFF"/>
            <w:noWrap/>
            <w:vAlign w:val="center"/>
            <w:hideMark/>
          </w:tcPr>
          <w:p w14:paraId="50655E26"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0.0004</w:t>
            </w:r>
          </w:p>
        </w:tc>
        <w:tc>
          <w:tcPr>
            <w:tcW w:w="1160" w:type="dxa"/>
            <w:tcBorders>
              <w:top w:val="nil"/>
              <w:left w:val="nil"/>
              <w:bottom w:val="nil"/>
              <w:right w:val="nil"/>
            </w:tcBorders>
            <w:shd w:val="clear" w:color="000000" w:fill="FFFFFF"/>
            <w:noWrap/>
            <w:vAlign w:val="center"/>
            <w:hideMark/>
          </w:tcPr>
          <w:p w14:paraId="5BD9BF3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0.001</w:t>
            </w:r>
          </w:p>
        </w:tc>
        <w:tc>
          <w:tcPr>
            <w:tcW w:w="1160" w:type="dxa"/>
            <w:tcBorders>
              <w:top w:val="nil"/>
              <w:left w:val="nil"/>
              <w:bottom w:val="nil"/>
              <w:right w:val="nil"/>
            </w:tcBorders>
            <w:shd w:val="clear" w:color="000000" w:fill="FFFFFF"/>
            <w:noWrap/>
            <w:vAlign w:val="center"/>
            <w:hideMark/>
          </w:tcPr>
          <w:p w14:paraId="4B89213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0.00003</w:t>
            </w:r>
          </w:p>
        </w:tc>
        <w:tc>
          <w:tcPr>
            <w:tcW w:w="1160" w:type="dxa"/>
            <w:tcBorders>
              <w:top w:val="nil"/>
              <w:left w:val="nil"/>
              <w:bottom w:val="nil"/>
              <w:right w:val="nil"/>
            </w:tcBorders>
            <w:shd w:val="clear" w:color="000000" w:fill="FFFFFF"/>
            <w:noWrap/>
            <w:vAlign w:val="center"/>
            <w:hideMark/>
          </w:tcPr>
          <w:p w14:paraId="66CBB6A2"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0.013</w:t>
            </w:r>
          </w:p>
        </w:tc>
      </w:tr>
      <w:tr w:rsidR="00B95973" w:rsidRPr="00B95973" w14:paraId="3E229C4B" w14:textId="77777777" w:rsidTr="00B95973">
        <w:trPr>
          <w:trHeight w:val="229"/>
        </w:trPr>
        <w:tc>
          <w:tcPr>
            <w:tcW w:w="6475" w:type="dxa"/>
            <w:tcBorders>
              <w:top w:val="nil"/>
              <w:left w:val="nil"/>
              <w:bottom w:val="nil"/>
              <w:right w:val="nil"/>
            </w:tcBorders>
            <w:shd w:val="clear" w:color="000000" w:fill="FFFFFF"/>
            <w:noWrap/>
            <w:vAlign w:val="center"/>
            <w:hideMark/>
          </w:tcPr>
          <w:p w14:paraId="625FFF31" w14:textId="77777777" w:rsidR="00B95973" w:rsidRPr="00B95973" w:rsidRDefault="00B95973" w:rsidP="00B95973">
            <w:pPr>
              <w:widowControl/>
              <w:spacing w:after="0"/>
              <w:ind w:firstLineChars="200" w:firstLine="40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Area Cost Adjustment index</w:t>
            </w:r>
          </w:p>
        </w:tc>
        <w:tc>
          <w:tcPr>
            <w:tcW w:w="1160" w:type="dxa"/>
            <w:tcBorders>
              <w:top w:val="nil"/>
              <w:left w:val="nil"/>
              <w:bottom w:val="nil"/>
              <w:right w:val="nil"/>
            </w:tcBorders>
            <w:shd w:val="clear" w:color="000000" w:fill="FFFFFF"/>
            <w:noWrap/>
            <w:vAlign w:val="center"/>
            <w:hideMark/>
          </w:tcPr>
          <w:p w14:paraId="17CDE4D4"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1.043</w:t>
            </w:r>
          </w:p>
        </w:tc>
        <w:tc>
          <w:tcPr>
            <w:tcW w:w="1160" w:type="dxa"/>
            <w:tcBorders>
              <w:top w:val="nil"/>
              <w:left w:val="nil"/>
              <w:bottom w:val="nil"/>
              <w:right w:val="nil"/>
            </w:tcBorders>
            <w:shd w:val="clear" w:color="000000" w:fill="FFFFFF"/>
            <w:noWrap/>
            <w:vAlign w:val="center"/>
            <w:hideMark/>
          </w:tcPr>
          <w:p w14:paraId="50D04D51"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0.064</w:t>
            </w:r>
          </w:p>
        </w:tc>
        <w:tc>
          <w:tcPr>
            <w:tcW w:w="1160" w:type="dxa"/>
            <w:tcBorders>
              <w:top w:val="nil"/>
              <w:left w:val="nil"/>
              <w:bottom w:val="nil"/>
              <w:right w:val="nil"/>
            </w:tcBorders>
            <w:shd w:val="clear" w:color="000000" w:fill="FFFFFF"/>
            <w:noWrap/>
            <w:vAlign w:val="center"/>
            <w:hideMark/>
          </w:tcPr>
          <w:p w14:paraId="6232EE05"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1.000</w:t>
            </w:r>
          </w:p>
        </w:tc>
        <w:tc>
          <w:tcPr>
            <w:tcW w:w="1160" w:type="dxa"/>
            <w:tcBorders>
              <w:top w:val="nil"/>
              <w:left w:val="nil"/>
              <w:bottom w:val="nil"/>
              <w:right w:val="nil"/>
            </w:tcBorders>
            <w:shd w:val="clear" w:color="000000" w:fill="FFFFFF"/>
            <w:noWrap/>
            <w:vAlign w:val="center"/>
            <w:hideMark/>
          </w:tcPr>
          <w:p w14:paraId="56E22E9A"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1.361</w:t>
            </w:r>
          </w:p>
        </w:tc>
      </w:tr>
      <w:tr w:rsidR="00B95973" w:rsidRPr="00B95973" w14:paraId="3DAB2240" w14:textId="77777777" w:rsidTr="00B95973">
        <w:trPr>
          <w:trHeight w:val="229"/>
        </w:trPr>
        <w:tc>
          <w:tcPr>
            <w:tcW w:w="6475" w:type="dxa"/>
            <w:tcBorders>
              <w:top w:val="single" w:sz="4" w:space="0" w:color="auto"/>
              <w:left w:val="nil"/>
              <w:bottom w:val="nil"/>
              <w:right w:val="nil"/>
            </w:tcBorders>
            <w:shd w:val="clear" w:color="000000" w:fill="FFFFFF"/>
            <w:noWrap/>
            <w:vAlign w:val="bottom"/>
            <w:hideMark/>
          </w:tcPr>
          <w:p w14:paraId="50D2B4A0"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Observations</w:t>
            </w:r>
          </w:p>
        </w:tc>
        <w:tc>
          <w:tcPr>
            <w:tcW w:w="4640" w:type="dxa"/>
            <w:gridSpan w:val="4"/>
            <w:tcBorders>
              <w:top w:val="single" w:sz="4" w:space="0" w:color="auto"/>
              <w:left w:val="nil"/>
              <w:bottom w:val="single" w:sz="4" w:space="0" w:color="auto"/>
              <w:right w:val="nil"/>
            </w:tcBorders>
            <w:shd w:val="clear" w:color="000000" w:fill="FFFFFF"/>
            <w:noWrap/>
            <w:vAlign w:val="center"/>
            <w:hideMark/>
          </w:tcPr>
          <w:p w14:paraId="3E682DA0" w14:textId="77777777" w:rsidR="00B95973" w:rsidRPr="00B95973" w:rsidRDefault="00B95973" w:rsidP="00B95973">
            <w:pPr>
              <w:widowControl/>
              <w:spacing w:after="0"/>
              <w:jc w:val="center"/>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146</w:t>
            </w:r>
          </w:p>
        </w:tc>
      </w:tr>
      <w:tr w:rsidR="00B95973" w:rsidRPr="00B95973" w14:paraId="67610F71" w14:textId="77777777" w:rsidTr="00B95973">
        <w:trPr>
          <w:trHeight w:val="229"/>
        </w:trPr>
        <w:tc>
          <w:tcPr>
            <w:tcW w:w="11115" w:type="dxa"/>
            <w:gridSpan w:val="5"/>
            <w:tcBorders>
              <w:top w:val="single" w:sz="4" w:space="0" w:color="auto"/>
              <w:left w:val="nil"/>
              <w:bottom w:val="single" w:sz="4" w:space="0" w:color="auto"/>
              <w:right w:val="nil"/>
            </w:tcBorders>
            <w:shd w:val="clear" w:color="000000" w:fill="FFFFFF"/>
            <w:noWrap/>
            <w:vAlign w:val="center"/>
            <w:hideMark/>
          </w:tcPr>
          <w:p w14:paraId="694DC3E5" w14:textId="77777777" w:rsidR="00B95973" w:rsidRPr="00B95973" w:rsidRDefault="00B95973" w:rsidP="00B95973">
            <w:pPr>
              <w:widowControl/>
              <w:spacing w:after="0"/>
              <w:jc w:val="left"/>
              <w:rPr>
                <w:rFonts w:ascii="Calibri" w:eastAsia="Times New Roman" w:hAnsi="Calibri" w:cs="Calibri"/>
                <w:sz w:val="20"/>
                <w:szCs w:val="20"/>
                <w:lang w:eastAsia="en-GB"/>
              </w:rPr>
            </w:pPr>
            <w:r w:rsidRPr="00B95973">
              <w:rPr>
                <w:rFonts w:ascii="Calibri" w:eastAsia="Times New Roman" w:hAnsi="Calibri" w:cs="Calibri"/>
                <w:sz w:val="20"/>
                <w:szCs w:val="20"/>
                <w:lang w:eastAsia="en-GB"/>
              </w:rPr>
              <w:t>Std dev=standard deviation; Prop=proportion (expressed as percentage); ref=reference category.</w:t>
            </w:r>
          </w:p>
        </w:tc>
      </w:tr>
    </w:tbl>
    <w:p w14:paraId="65922F3B" w14:textId="0EBDD23B" w:rsidR="00B95973" w:rsidRDefault="00B95973" w:rsidP="005C3100"/>
    <w:p w14:paraId="4F6F8726" w14:textId="77777777" w:rsidR="001E04BC" w:rsidRDefault="001E04BC" w:rsidP="0055432F">
      <w:pPr>
        <w:pStyle w:val="Caption"/>
        <w:sectPr w:rsidR="001E04BC" w:rsidSect="00EA4280">
          <w:pgSz w:w="11906" w:h="16838"/>
          <w:pgMar w:top="720" w:right="720" w:bottom="720" w:left="720" w:header="708" w:footer="708" w:gutter="0"/>
          <w:cols w:space="708"/>
          <w:docGrid w:linePitch="360"/>
        </w:sectPr>
      </w:pPr>
      <w:bookmarkStart w:id="35" w:name="_Ref46386666"/>
    </w:p>
    <w:p w14:paraId="77A7F2C3" w14:textId="5A34FD38" w:rsidR="0055432F" w:rsidRPr="002A4884" w:rsidRDefault="0055432F" w:rsidP="0055432F">
      <w:pPr>
        <w:pStyle w:val="Caption"/>
      </w:pPr>
      <w:bookmarkStart w:id="36" w:name="_Ref94107644"/>
      <w:r w:rsidRPr="002A4884">
        <w:lastRenderedPageBreak/>
        <w:t xml:space="preserve">Table </w:t>
      </w:r>
      <w:r w:rsidR="002A7365">
        <w:fldChar w:fldCharType="begin"/>
      </w:r>
      <w:r w:rsidR="002A7365">
        <w:instrText xml:space="preserve"> SEQ Table \* ARABIC </w:instrText>
      </w:r>
      <w:r w:rsidR="002A7365">
        <w:fldChar w:fldCharType="separate"/>
      </w:r>
      <w:r w:rsidR="007C7B62">
        <w:rPr>
          <w:noProof/>
        </w:rPr>
        <w:t>3</w:t>
      </w:r>
      <w:r w:rsidR="002A7365">
        <w:rPr>
          <w:noProof/>
        </w:rPr>
        <w:fldChar w:fldCharType="end"/>
      </w:r>
      <w:bookmarkEnd w:id="35"/>
      <w:bookmarkEnd w:id="36"/>
      <w:r w:rsidRPr="002A4884">
        <w:t xml:space="preserve"> – </w:t>
      </w:r>
      <w:r w:rsidR="00CD1AD8" w:rsidRPr="002A4884">
        <w:t xml:space="preserve">Mortality effects estimates and test for indirect </w:t>
      </w:r>
      <w:r w:rsidR="009E47D1">
        <w:t xml:space="preserve">mortality </w:t>
      </w:r>
      <w:r w:rsidR="00CD1AD8" w:rsidRPr="002A4884">
        <w:t>effects</w:t>
      </w:r>
      <w:r w:rsidRPr="002A4884">
        <w:t>.</w:t>
      </w:r>
      <w:bookmarkStart w:id="37" w:name="_Ref57130493"/>
    </w:p>
    <w:tbl>
      <w:tblPr>
        <w:tblW w:w="9180" w:type="dxa"/>
        <w:tblLook w:val="04A0" w:firstRow="1" w:lastRow="0" w:firstColumn="1" w:lastColumn="0" w:noHBand="0" w:noVBand="1"/>
      </w:tblPr>
      <w:tblGrid>
        <w:gridCol w:w="467"/>
        <w:gridCol w:w="6628"/>
        <w:gridCol w:w="1120"/>
        <w:gridCol w:w="1120"/>
      </w:tblGrid>
      <w:tr w:rsidR="007A38AE" w:rsidRPr="007A38AE" w14:paraId="269A50BE" w14:textId="77777777" w:rsidTr="007A38AE">
        <w:trPr>
          <w:trHeight w:val="255"/>
        </w:trPr>
        <w:tc>
          <w:tcPr>
            <w:tcW w:w="6940" w:type="dxa"/>
            <w:gridSpan w:val="2"/>
            <w:tcBorders>
              <w:top w:val="single" w:sz="4" w:space="0" w:color="auto"/>
              <w:left w:val="nil"/>
              <w:bottom w:val="single" w:sz="4" w:space="0" w:color="auto"/>
              <w:right w:val="nil"/>
            </w:tcBorders>
            <w:shd w:val="clear" w:color="000000" w:fill="FFFFFF"/>
            <w:noWrap/>
            <w:vAlign w:val="center"/>
            <w:hideMark/>
          </w:tcPr>
          <w:p w14:paraId="6C760C3E" w14:textId="74E1121A" w:rsidR="007A38AE" w:rsidRPr="007A38AE" w:rsidRDefault="00730AF5" w:rsidP="007A38AE">
            <w:pPr>
              <w:widowControl/>
              <w:spacing w:after="0"/>
              <w:jc w:val="center"/>
              <w:rPr>
                <w:rFonts w:ascii="Calibri" w:eastAsia="Times New Roman" w:hAnsi="Calibri" w:cs="Calibri"/>
                <w:sz w:val="20"/>
                <w:szCs w:val="20"/>
                <w:lang w:eastAsia="en-GB"/>
              </w:rPr>
            </w:pPr>
            <w:r>
              <w:rPr>
                <w:rFonts w:ascii="Calibri" w:eastAsia="Times New Roman" w:hAnsi="Calibri" w:cs="Calibri"/>
                <w:sz w:val="20"/>
                <w:szCs w:val="20"/>
                <w:lang w:eastAsia="en-GB"/>
              </w:rPr>
              <w:t>Independent v</w:t>
            </w:r>
            <w:r w:rsidR="007A38AE" w:rsidRPr="007A38AE">
              <w:rPr>
                <w:rFonts w:ascii="Calibri" w:eastAsia="Times New Roman" w:hAnsi="Calibri" w:cs="Calibri"/>
                <w:sz w:val="20"/>
                <w:szCs w:val="20"/>
                <w:lang w:eastAsia="en-GB"/>
              </w:rPr>
              <w:t>ariable</w:t>
            </w:r>
          </w:p>
        </w:tc>
        <w:tc>
          <w:tcPr>
            <w:tcW w:w="1120" w:type="dxa"/>
            <w:tcBorders>
              <w:top w:val="single" w:sz="4" w:space="0" w:color="auto"/>
              <w:left w:val="nil"/>
              <w:bottom w:val="single" w:sz="4" w:space="0" w:color="auto"/>
              <w:right w:val="nil"/>
            </w:tcBorders>
            <w:shd w:val="clear" w:color="000000" w:fill="FFFFFF"/>
            <w:noWrap/>
            <w:vAlign w:val="center"/>
            <w:hideMark/>
          </w:tcPr>
          <w:p w14:paraId="07C0923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(1)</w:t>
            </w:r>
          </w:p>
        </w:tc>
        <w:tc>
          <w:tcPr>
            <w:tcW w:w="1120" w:type="dxa"/>
            <w:tcBorders>
              <w:top w:val="single" w:sz="4" w:space="0" w:color="auto"/>
              <w:left w:val="nil"/>
              <w:bottom w:val="single" w:sz="4" w:space="0" w:color="auto"/>
              <w:right w:val="nil"/>
            </w:tcBorders>
            <w:shd w:val="clear" w:color="000000" w:fill="FFFFFF"/>
            <w:noWrap/>
            <w:vAlign w:val="center"/>
            <w:hideMark/>
          </w:tcPr>
          <w:p w14:paraId="01B562C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(2)</w:t>
            </w:r>
          </w:p>
        </w:tc>
      </w:tr>
      <w:tr w:rsidR="007A38AE" w:rsidRPr="007A38AE" w14:paraId="165E056E" w14:textId="77777777" w:rsidTr="007A38AE">
        <w:trPr>
          <w:trHeight w:val="255"/>
        </w:trPr>
        <w:tc>
          <w:tcPr>
            <w:tcW w:w="6940" w:type="dxa"/>
            <w:gridSpan w:val="2"/>
            <w:vMerge w:val="restart"/>
            <w:tcBorders>
              <w:top w:val="nil"/>
              <w:left w:val="nil"/>
              <w:bottom w:val="nil"/>
              <w:right w:val="nil"/>
            </w:tcBorders>
            <w:shd w:val="clear" w:color="000000" w:fill="FFFFFF"/>
            <w:noWrap/>
            <w:vAlign w:val="center"/>
            <w:hideMark/>
          </w:tcPr>
          <w:p w14:paraId="09185F9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health care expenditure per capita</w:t>
            </w:r>
          </w:p>
        </w:tc>
        <w:tc>
          <w:tcPr>
            <w:tcW w:w="1120" w:type="dxa"/>
            <w:tcBorders>
              <w:top w:val="nil"/>
              <w:left w:val="nil"/>
              <w:bottom w:val="nil"/>
              <w:right w:val="nil"/>
            </w:tcBorders>
            <w:shd w:val="clear" w:color="000000" w:fill="FFFFFF"/>
            <w:noWrap/>
            <w:vAlign w:val="bottom"/>
            <w:hideMark/>
          </w:tcPr>
          <w:p w14:paraId="071726A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-0.257***</w:t>
            </w:r>
          </w:p>
        </w:tc>
        <w:tc>
          <w:tcPr>
            <w:tcW w:w="1120" w:type="dxa"/>
            <w:tcBorders>
              <w:top w:val="nil"/>
              <w:left w:val="nil"/>
              <w:bottom w:val="nil"/>
              <w:right w:val="nil"/>
            </w:tcBorders>
            <w:shd w:val="clear" w:color="000000" w:fill="FFFFFF"/>
            <w:noWrap/>
            <w:vAlign w:val="bottom"/>
            <w:hideMark/>
          </w:tcPr>
          <w:p w14:paraId="1E329A8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-0.245***</w:t>
            </w:r>
          </w:p>
        </w:tc>
      </w:tr>
      <w:tr w:rsidR="007A38AE" w:rsidRPr="007A38AE" w14:paraId="26233357" w14:textId="77777777" w:rsidTr="007A38AE">
        <w:trPr>
          <w:trHeight w:val="255"/>
        </w:trPr>
        <w:tc>
          <w:tcPr>
            <w:tcW w:w="6940" w:type="dxa"/>
            <w:gridSpan w:val="2"/>
            <w:vMerge/>
            <w:tcBorders>
              <w:top w:val="nil"/>
              <w:left w:val="nil"/>
              <w:bottom w:val="nil"/>
              <w:right w:val="nil"/>
            </w:tcBorders>
            <w:vAlign w:val="center"/>
            <w:hideMark/>
          </w:tcPr>
          <w:p w14:paraId="30031A2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120" w:type="dxa"/>
            <w:tcBorders>
              <w:top w:val="nil"/>
              <w:left w:val="nil"/>
              <w:bottom w:val="nil"/>
              <w:right w:val="nil"/>
            </w:tcBorders>
            <w:shd w:val="clear" w:color="000000" w:fill="FFFFFF"/>
            <w:noWrap/>
            <w:vAlign w:val="bottom"/>
            <w:hideMark/>
          </w:tcPr>
          <w:p w14:paraId="020E8E0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(0.081)</w:t>
            </w:r>
          </w:p>
        </w:tc>
        <w:tc>
          <w:tcPr>
            <w:tcW w:w="1120" w:type="dxa"/>
            <w:tcBorders>
              <w:top w:val="nil"/>
              <w:left w:val="nil"/>
              <w:bottom w:val="nil"/>
              <w:right w:val="nil"/>
            </w:tcBorders>
            <w:shd w:val="clear" w:color="000000" w:fill="FFFFFF"/>
            <w:noWrap/>
            <w:vAlign w:val="bottom"/>
            <w:hideMark/>
          </w:tcPr>
          <w:p w14:paraId="036A755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(0.075)</w:t>
            </w:r>
          </w:p>
        </w:tc>
      </w:tr>
      <w:tr w:rsidR="007A38AE" w:rsidRPr="007A38AE" w14:paraId="2335E8A5" w14:textId="77777777" w:rsidTr="007A38AE">
        <w:trPr>
          <w:trHeight w:val="255"/>
        </w:trPr>
        <w:tc>
          <w:tcPr>
            <w:tcW w:w="6940" w:type="dxa"/>
            <w:gridSpan w:val="2"/>
            <w:vMerge w:val="restart"/>
            <w:tcBorders>
              <w:top w:val="nil"/>
              <w:left w:val="nil"/>
              <w:bottom w:val="nil"/>
              <w:right w:val="nil"/>
            </w:tcBorders>
            <w:shd w:val="clear" w:color="000000" w:fill="FFFFFF"/>
            <w:noWrap/>
            <w:vAlign w:val="center"/>
            <w:hideMark/>
          </w:tcPr>
          <w:p w14:paraId="2F7560B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450B5DE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-0.032***</w:t>
            </w:r>
          </w:p>
        </w:tc>
        <w:tc>
          <w:tcPr>
            <w:tcW w:w="1120" w:type="dxa"/>
            <w:tcBorders>
              <w:top w:val="nil"/>
              <w:left w:val="nil"/>
              <w:bottom w:val="nil"/>
              <w:right w:val="nil"/>
            </w:tcBorders>
            <w:shd w:val="clear" w:color="000000" w:fill="FFFFFF"/>
            <w:noWrap/>
            <w:vAlign w:val="bottom"/>
            <w:hideMark/>
          </w:tcPr>
          <w:p w14:paraId="601F135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-0.032***</w:t>
            </w:r>
          </w:p>
        </w:tc>
      </w:tr>
      <w:tr w:rsidR="007A38AE" w:rsidRPr="007A38AE" w14:paraId="2A257D7A" w14:textId="77777777" w:rsidTr="007A38AE">
        <w:trPr>
          <w:trHeight w:val="255"/>
        </w:trPr>
        <w:tc>
          <w:tcPr>
            <w:tcW w:w="6940" w:type="dxa"/>
            <w:gridSpan w:val="2"/>
            <w:vMerge/>
            <w:tcBorders>
              <w:top w:val="nil"/>
              <w:left w:val="nil"/>
              <w:bottom w:val="nil"/>
              <w:right w:val="nil"/>
            </w:tcBorders>
            <w:vAlign w:val="center"/>
            <w:hideMark/>
          </w:tcPr>
          <w:p w14:paraId="662AB4F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120" w:type="dxa"/>
            <w:tcBorders>
              <w:top w:val="nil"/>
              <w:left w:val="nil"/>
              <w:bottom w:val="nil"/>
              <w:right w:val="nil"/>
            </w:tcBorders>
            <w:shd w:val="clear" w:color="000000" w:fill="FFFFFF"/>
            <w:noWrap/>
            <w:vAlign w:val="bottom"/>
            <w:hideMark/>
          </w:tcPr>
          <w:p w14:paraId="0F6D5C5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(0.011)</w:t>
            </w:r>
          </w:p>
        </w:tc>
        <w:tc>
          <w:tcPr>
            <w:tcW w:w="1120" w:type="dxa"/>
            <w:tcBorders>
              <w:top w:val="nil"/>
              <w:left w:val="nil"/>
              <w:bottom w:val="nil"/>
              <w:right w:val="nil"/>
            </w:tcBorders>
            <w:shd w:val="clear" w:color="000000" w:fill="FFFFFF"/>
            <w:noWrap/>
            <w:vAlign w:val="bottom"/>
            <w:hideMark/>
          </w:tcPr>
          <w:p w14:paraId="717B818A"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(0.011)</w:t>
            </w:r>
          </w:p>
        </w:tc>
      </w:tr>
      <w:tr w:rsidR="007A38AE" w:rsidRPr="007A38AE" w14:paraId="062D66CC" w14:textId="77777777" w:rsidTr="007A38AE">
        <w:trPr>
          <w:trHeight w:val="255"/>
        </w:trPr>
        <w:tc>
          <w:tcPr>
            <w:tcW w:w="6940" w:type="dxa"/>
            <w:gridSpan w:val="2"/>
            <w:vMerge w:val="restart"/>
            <w:tcBorders>
              <w:top w:val="nil"/>
              <w:left w:val="nil"/>
              <w:bottom w:val="nil"/>
              <w:right w:val="nil"/>
            </w:tcBorders>
            <w:shd w:val="clear" w:color="000000" w:fill="FFFFFF"/>
            <w:vAlign w:val="center"/>
            <w:hideMark/>
          </w:tcPr>
          <w:p w14:paraId="7B4B6BFC"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health care expenditure per capita × ln of long-term care expenditure per user</w:t>
            </w:r>
          </w:p>
        </w:tc>
        <w:tc>
          <w:tcPr>
            <w:tcW w:w="1120" w:type="dxa"/>
            <w:tcBorders>
              <w:top w:val="nil"/>
              <w:left w:val="nil"/>
              <w:bottom w:val="nil"/>
              <w:right w:val="nil"/>
            </w:tcBorders>
            <w:shd w:val="clear" w:color="000000" w:fill="FFFFFF"/>
            <w:noWrap/>
            <w:vAlign w:val="bottom"/>
            <w:hideMark/>
          </w:tcPr>
          <w:p w14:paraId="177AAB5E"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 </w:t>
            </w:r>
          </w:p>
        </w:tc>
        <w:tc>
          <w:tcPr>
            <w:tcW w:w="1120" w:type="dxa"/>
            <w:tcBorders>
              <w:top w:val="nil"/>
              <w:left w:val="nil"/>
              <w:bottom w:val="nil"/>
              <w:right w:val="nil"/>
            </w:tcBorders>
            <w:shd w:val="clear" w:color="000000" w:fill="FFFFFF"/>
            <w:noWrap/>
            <w:vAlign w:val="bottom"/>
            <w:hideMark/>
          </w:tcPr>
          <w:p w14:paraId="580D02B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-0.304**</w:t>
            </w:r>
          </w:p>
        </w:tc>
      </w:tr>
      <w:tr w:rsidR="007A38AE" w:rsidRPr="007A38AE" w14:paraId="03E7C493" w14:textId="77777777" w:rsidTr="007A38AE">
        <w:trPr>
          <w:trHeight w:val="255"/>
        </w:trPr>
        <w:tc>
          <w:tcPr>
            <w:tcW w:w="6940" w:type="dxa"/>
            <w:gridSpan w:val="2"/>
            <w:vMerge/>
            <w:tcBorders>
              <w:top w:val="nil"/>
              <w:left w:val="nil"/>
              <w:bottom w:val="nil"/>
              <w:right w:val="nil"/>
            </w:tcBorders>
            <w:vAlign w:val="center"/>
            <w:hideMark/>
          </w:tcPr>
          <w:p w14:paraId="16CD4474"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120" w:type="dxa"/>
            <w:tcBorders>
              <w:top w:val="nil"/>
              <w:left w:val="nil"/>
              <w:bottom w:val="nil"/>
              <w:right w:val="nil"/>
            </w:tcBorders>
            <w:shd w:val="clear" w:color="000000" w:fill="FFFFFF"/>
            <w:noWrap/>
            <w:vAlign w:val="bottom"/>
            <w:hideMark/>
          </w:tcPr>
          <w:p w14:paraId="5BC7CD4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 </w:t>
            </w:r>
          </w:p>
        </w:tc>
        <w:tc>
          <w:tcPr>
            <w:tcW w:w="1120" w:type="dxa"/>
            <w:tcBorders>
              <w:top w:val="nil"/>
              <w:left w:val="nil"/>
              <w:bottom w:val="nil"/>
              <w:right w:val="nil"/>
            </w:tcBorders>
            <w:shd w:val="clear" w:color="000000" w:fill="FFFFFF"/>
            <w:noWrap/>
            <w:vAlign w:val="bottom"/>
            <w:hideMark/>
          </w:tcPr>
          <w:p w14:paraId="1B1B5DB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(0.142)</w:t>
            </w:r>
          </w:p>
        </w:tc>
      </w:tr>
      <w:tr w:rsidR="007A38AE" w:rsidRPr="007A38AE" w14:paraId="038B929A" w14:textId="77777777" w:rsidTr="007A38AE">
        <w:trPr>
          <w:trHeight w:val="255"/>
        </w:trPr>
        <w:tc>
          <w:tcPr>
            <w:tcW w:w="312" w:type="dxa"/>
            <w:vMerge w:val="restart"/>
            <w:tcBorders>
              <w:top w:val="single" w:sz="4" w:space="0" w:color="D0CECE"/>
              <w:left w:val="nil"/>
              <w:bottom w:val="single" w:sz="4" w:space="0" w:color="D0CECE"/>
              <w:right w:val="nil"/>
            </w:tcBorders>
            <w:shd w:val="clear" w:color="auto" w:fill="auto"/>
            <w:noWrap/>
            <w:textDirection w:val="btLr"/>
            <w:vAlign w:val="center"/>
            <w:hideMark/>
          </w:tcPr>
          <w:p w14:paraId="6D6CF59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LA population</w:t>
            </w:r>
          </w:p>
        </w:tc>
        <w:tc>
          <w:tcPr>
            <w:tcW w:w="6628" w:type="dxa"/>
            <w:tcBorders>
              <w:top w:val="single" w:sz="4" w:space="0" w:color="D0CECE"/>
              <w:left w:val="nil"/>
              <w:bottom w:val="nil"/>
              <w:right w:val="nil"/>
            </w:tcBorders>
            <w:shd w:val="clear" w:color="000000" w:fill="FFFFFF"/>
            <w:noWrap/>
            <w:vAlign w:val="bottom"/>
            <w:hideMark/>
          </w:tcPr>
          <w:p w14:paraId="0817B3C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people who are blind or partially sighted</w:t>
            </w:r>
          </w:p>
        </w:tc>
        <w:tc>
          <w:tcPr>
            <w:tcW w:w="1120" w:type="dxa"/>
            <w:tcBorders>
              <w:top w:val="single" w:sz="4" w:space="0" w:color="D0CECE"/>
              <w:left w:val="nil"/>
              <w:bottom w:val="nil"/>
              <w:right w:val="nil"/>
            </w:tcBorders>
            <w:shd w:val="clear" w:color="000000" w:fill="FFFFFF"/>
            <w:noWrap/>
            <w:vAlign w:val="bottom"/>
            <w:hideMark/>
          </w:tcPr>
          <w:p w14:paraId="105872B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-0.016</w:t>
            </w:r>
          </w:p>
        </w:tc>
        <w:tc>
          <w:tcPr>
            <w:tcW w:w="1120" w:type="dxa"/>
            <w:tcBorders>
              <w:top w:val="single" w:sz="4" w:space="0" w:color="D0CECE"/>
              <w:left w:val="nil"/>
              <w:bottom w:val="nil"/>
              <w:right w:val="nil"/>
            </w:tcBorders>
            <w:shd w:val="clear" w:color="000000" w:fill="FFFFFF"/>
            <w:noWrap/>
            <w:vAlign w:val="bottom"/>
            <w:hideMark/>
          </w:tcPr>
          <w:p w14:paraId="2C34E03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-0.027</w:t>
            </w:r>
          </w:p>
        </w:tc>
      </w:tr>
      <w:tr w:rsidR="007A38AE" w:rsidRPr="007A38AE" w14:paraId="6AD57353"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1C83DCE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09BDBA1F"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people who are deaf or hard of hearing 2010</w:t>
            </w:r>
          </w:p>
        </w:tc>
        <w:tc>
          <w:tcPr>
            <w:tcW w:w="1120" w:type="dxa"/>
            <w:tcBorders>
              <w:top w:val="nil"/>
              <w:left w:val="nil"/>
              <w:bottom w:val="nil"/>
              <w:right w:val="nil"/>
            </w:tcBorders>
            <w:shd w:val="clear" w:color="000000" w:fill="FFFFFF"/>
            <w:noWrap/>
            <w:vAlign w:val="bottom"/>
            <w:hideMark/>
          </w:tcPr>
          <w:p w14:paraId="4E99FFF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0.025*</w:t>
            </w:r>
          </w:p>
        </w:tc>
        <w:tc>
          <w:tcPr>
            <w:tcW w:w="1120" w:type="dxa"/>
            <w:tcBorders>
              <w:top w:val="nil"/>
              <w:left w:val="nil"/>
              <w:bottom w:val="nil"/>
              <w:right w:val="nil"/>
            </w:tcBorders>
            <w:shd w:val="clear" w:color="000000" w:fill="FFFFFF"/>
            <w:noWrap/>
            <w:vAlign w:val="bottom"/>
            <w:hideMark/>
          </w:tcPr>
          <w:p w14:paraId="04FCA1B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0.030**</w:t>
            </w:r>
          </w:p>
        </w:tc>
      </w:tr>
      <w:tr w:rsidR="007A38AE" w:rsidRPr="007A38AE" w14:paraId="6D26FB17"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19B622A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7B5D137F"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Index of disability deprivation</w:t>
            </w:r>
          </w:p>
        </w:tc>
        <w:tc>
          <w:tcPr>
            <w:tcW w:w="1120" w:type="dxa"/>
            <w:tcBorders>
              <w:top w:val="nil"/>
              <w:left w:val="nil"/>
              <w:bottom w:val="nil"/>
              <w:right w:val="nil"/>
            </w:tcBorders>
            <w:shd w:val="clear" w:color="000000" w:fill="FFFFFF"/>
            <w:noWrap/>
            <w:vAlign w:val="bottom"/>
            <w:hideMark/>
          </w:tcPr>
          <w:p w14:paraId="3CC1E85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0.152***</w:t>
            </w:r>
          </w:p>
        </w:tc>
        <w:tc>
          <w:tcPr>
            <w:tcW w:w="1120" w:type="dxa"/>
            <w:tcBorders>
              <w:top w:val="nil"/>
              <w:left w:val="nil"/>
              <w:bottom w:val="nil"/>
              <w:right w:val="nil"/>
            </w:tcBorders>
            <w:shd w:val="clear" w:color="000000" w:fill="FFFFFF"/>
            <w:noWrap/>
            <w:vAlign w:val="bottom"/>
            <w:hideMark/>
          </w:tcPr>
          <w:p w14:paraId="75FC5A7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0.146***</w:t>
            </w:r>
          </w:p>
        </w:tc>
      </w:tr>
      <w:tr w:rsidR="007A38AE" w:rsidRPr="007A38AE" w14:paraId="0B3A55F2"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0B7B9160"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1E84D8A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Population density</w:t>
            </w:r>
          </w:p>
        </w:tc>
        <w:tc>
          <w:tcPr>
            <w:tcW w:w="1120" w:type="dxa"/>
            <w:tcBorders>
              <w:top w:val="nil"/>
              <w:left w:val="nil"/>
              <w:bottom w:val="nil"/>
              <w:right w:val="nil"/>
            </w:tcBorders>
            <w:shd w:val="clear" w:color="000000" w:fill="FFFFFF"/>
            <w:noWrap/>
            <w:vAlign w:val="bottom"/>
            <w:hideMark/>
          </w:tcPr>
          <w:p w14:paraId="697780A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-0.033</w:t>
            </w:r>
          </w:p>
        </w:tc>
        <w:tc>
          <w:tcPr>
            <w:tcW w:w="1120" w:type="dxa"/>
            <w:tcBorders>
              <w:top w:val="nil"/>
              <w:left w:val="nil"/>
              <w:bottom w:val="nil"/>
              <w:right w:val="nil"/>
            </w:tcBorders>
            <w:shd w:val="clear" w:color="000000" w:fill="FFFFFF"/>
            <w:noWrap/>
            <w:vAlign w:val="bottom"/>
            <w:hideMark/>
          </w:tcPr>
          <w:p w14:paraId="288ED97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-0.031</w:t>
            </w:r>
          </w:p>
        </w:tc>
      </w:tr>
      <w:tr w:rsidR="007A38AE" w:rsidRPr="007A38AE" w14:paraId="7BB67E9B"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57FFEDF8"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105920C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index of multiple deprivation 2010</w:t>
            </w:r>
          </w:p>
        </w:tc>
        <w:tc>
          <w:tcPr>
            <w:tcW w:w="1120" w:type="dxa"/>
            <w:tcBorders>
              <w:top w:val="nil"/>
              <w:left w:val="nil"/>
              <w:bottom w:val="nil"/>
              <w:right w:val="nil"/>
            </w:tcBorders>
            <w:shd w:val="clear" w:color="000000" w:fill="FFFFFF"/>
            <w:noWrap/>
            <w:vAlign w:val="bottom"/>
            <w:hideMark/>
          </w:tcPr>
          <w:p w14:paraId="464A67E6"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-0.091**</w:t>
            </w:r>
          </w:p>
        </w:tc>
        <w:tc>
          <w:tcPr>
            <w:tcW w:w="1120" w:type="dxa"/>
            <w:tcBorders>
              <w:top w:val="nil"/>
              <w:left w:val="nil"/>
              <w:bottom w:val="nil"/>
              <w:right w:val="nil"/>
            </w:tcBorders>
            <w:shd w:val="clear" w:color="000000" w:fill="FFFFFF"/>
            <w:noWrap/>
            <w:vAlign w:val="bottom"/>
            <w:hideMark/>
          </w:tcPr>
          <w:p w14:paraId="2F80CFF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-0.070*</w:t>
            </w:r>
          </w:p>
        </w:tc>
      </w:tr>
      <w:tr w:rsidR="007A38AE" w:rsidRPr="007A38AE" w14:paraId="47B106D4"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2323FEA4"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36EC96A5"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Index of education deprivation</w:t>
            </w:r>
          </w:p>
        </w:tc>
        <w:tc>
          <w:tcPr>
            <w:tcW w:w="1120" w:type="dxa"/>
            <w:tcBorders>
              <w:top w:val="nil"/>
              <w:left w:val="nil"/>
              <w:bottom w:val="nil"/>
              <w:right w:val="nil"/>
            </w:tcBorders>
            <w:shd w:val="clear" w:color="000000" w:fill="FFFFFF"/>
            <w:noWrap/>
            <w:vAlign w:val="bottom"/>
            <w:hideMark/>
          </w:tcPr>
          <w:p w14:paraId="2D5C133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405994D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r>
      <w:tr w:rsidR="007A38AE" w:rsidRPr="007A38AE" w14:paraId="56B10422"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6D5FC85B"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0E9646F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of people who are income deprived</w:t>
            </w:r>
          </w:p>
        </w:tc>
        <w:tc>
          <w:tcPr>
            <w:tcW w:w="1120" w:type="dxa"/>
            <w:tcBorders>
              <w:top w:val="nil"/>
              <w:left w:val="nil"/>
              <w:bottom w:val="nil"/>
              <w:right w:val="nil"/>
            </w:tcBorders>
            <w:shd w:val="clear" w:color="000000" w:fill="FFFFFF"/>
            <w:noWrap/>
            <w:vAlign w:val="bottom"/>
            <w:hideMark/>
          </w:tcPr>
          <w:p w14:paraId="362E428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0.010***</w:t>
            </w:r>
          </w:p>
        </w:tc>
        <w:tc>
          <w:tcPr>
            <w:tcW w:w="1120" w:type="dxa"/>
            <w:tcBorders>
              <w:top w:val="nil"/>
              <w:left w:val="nil"/>
              <w:bottom w:val="nil"/>
              <w:right w:val="nil"/>
            </w:tcBorders>
            <w:shd w:val="clear" w:color="000000" w:fill="FFFFFF"/>
            <w:noWrap/>
            <w:vAlign w:val="bottom"/>
            <w:hideMark/>
          </w:tcPr>
          <w:p w14:paraId="27BB477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0.010***</w:t>
            </w:r>
          </w:p>
        </w:tc>
      </w:tr>
      <w:tr w:rsidR="007A38AE" w:rsidRPr="007A38AE" w14:paraId="5ACBD0EE"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5FF861C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6CB9F1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2</w:t>
            </w:r>
          </w:p>
        </w:tc>
        <w:tc>
          <w:tcPr>
            <w:tcW w:w="1120" w:type="dxa"/>
            <w:tcBorders>
              <w:top w:val="nil"/>
              <w:left w:val="nil"/>
              <w:bottom w:val="nil"/>
              <w:right w:val="nil"/>
            </w:tcBorders>
            <w:shd w:val="clear" w:color="000000" w:fill="FFFFFF"/>
            <w:noWrap/>
            <w:vAlign w:val="bottom"/>
            <w:hideMark/>
          </w:tcPr>
          <w:p w14:paraId="5CA38EC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0.016</w:t>
            </w:r>
          </w:p>
        </w:tc>
        <w:tc>
          <w:tcPr>
            <w:tcW w:w="1120" w:type="dxa"/>
            <w:tcBorders>
              <w:top w:val="nil"/>
              <w:left w:val="nil"/>
              <w:bottom w:val="nil"/>
              <w:right w:val="nil"/>
            </w:tcBorders>
            <w:shd w:val="clear" w:color="000000" w:fill="FFFFFF"/>
            <w:noWrap/>
            <w:vAlign w:val="bottom"/>
            <w:hideMark/>
          </w:tcPr>
          <w:p w14:paraId="09AA069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0.017</w:t>
            </w:r>
          </w:p>
        </w:tc>
      </w:tr>
      <w:tr w:rsidR="007A38AE" w:rsidRPr="007A38AE" w14:paraId="3548328E"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581B20E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23C989EB"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3</w:t>
            </w:r>
          </w:p>
        </w:tc>
        <w:tc>
          <w:tcPr>
            <w:tcW w:w="1120" w:type="dxa"/>
            <w:tcBorders>
              <w:top w:val="nil"/>
              <w:left w:val="nil"/>
              <w:bottom w:val="nil"/>
              <w:right w:val="nil"/>
            </w:tcBorders>
            <w:shd w:val="clear" w:color="000000" w:fill="FFFFFF"/>
            <w:noWrap/>
            <w:vAlign w:val="bottom"/>
            <w:hideMark/>
          </w:tcPr>
          <w:p w14:paraId="05BCD3F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c>
          <w:tcPr>
            <w:tcW w:w="1120" w:type="dxa"/>
            <w:tcBorders>
              <w:top w:val="nil"/>
              <w:left w:val="nil"/>
              <w:bottom w:val="nil"/>
              <w:right w:val="nil"/>
            </w:tcBorders>
            <w:shd w:val="clear" w:color="000000" w:fill="FFFFFF"/>
            <w:noWrap/>
            <w:vAlign w:val="bottom"/>
            <w:hideMark/>
          </w:tcPr>
          <w:p w14:paraId="381C6B2B"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-0.007</w:t>
            </w:r>
          </w:p>
        </w:tc>
      </w:tr>
      <w:tr w:rsidR="007A38AE" w:rsidRPr="007A38AE" w14:paraId="0DB22625" w14:textId="77777777" w:rsidTr="007A38AE">
        <w:trPr>
          <w:trHeight w:val="255"/>
        </w:trPr>
        <w:tc>
          <w:tcPr>
            <w:tcW w:w="312" w:type="dxa"/>
            <w:vMerge/>
            <w:tcBorders>
              <w:top w:val="single" w:sz="4" w:space="0" w:color="D0CECE"/>
              <w:left w:val="nil"/>
              <w:bottom w:val="single" w:sz="4" w:space="0" w:color="D0CECE"/>
              <w:right w:val="nil"/>
            </w:tcBorders>
            <w:vAlign w:val="center"/>
            <w:hideMark/>
          </w:tcPr>
          <w:p w14:paraId="2DC8349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single" w:sz="4" w:space="0" w:color="D0CECE"/>
              <w:right w:val="nil"/>
            </w:tcBorders>
            <w:shd w:val="clear" w:color="000000" w:fill="FFFFFF"/>
            <w:noWrap/>
            <w:vAlign w:val="bottom"/>
            <w:hideMark/>
          </w:tcPr>
          <w:p w14:paraId="7495ADB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4 (highest income)</w:t>
            </w:r>
          </w:p>
        </w:tc>
        <w:tc>
          <w:tcPr>
            <w:tcW w:w="1120" w:type="dxa"/>
            <w:tcBorders>
              <w:top w:val="nil"/>
              <w:left w:val="nil"/>
              <w:bottom w:val="single" w:sz="4" w:space="0" w:color="D0CECE"/>
              <w:right w:val="nil"/>
            </w:tcBorders>
            <w:shd w:val="clear" w:color="000000" w:fill="FFFFFF"/>
            <w:noWrap/>
            <w:vAlign w:val="bottom"/>
            <w:hideMark/>
          </w:tcPr>
          <w:p w14:paraId="2D3615CE"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-0.010</w:t>
            </w:r>
          </w:p>
        </w:tc>
        <w:tc>
          <w:tcPr>
            <w:tcW w:w="1120" w:type="dxa"/>
            <w:tcBorders>
              <w:top w:val="nil"/>
              <w:left w:val="nil"/>
              <w:bottom w:val="single" w:sz="4" w:space="0" w:color="D0CECE"/>
              <w:right w:val="nil"/>
            </w:tcBorders>
            <w:shd w:val="clear" w:color="000000" w:fill="FFFFFF"/>
            <w:noWrap/>
            <w:vAlign w:val="bottom"/>
            <w:hideMark/>
          </w:tcPr>
          <w:p w14:paraId="0EEF4EE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-0.009</w:t>
            </w:r>
          </w:p>
        </w:tc>
      </w:tr>
      <w:tr w:rsidR="007A38AE" w:rsidRPr="007A38AE" w14:paraId="514443E6" w14:textId="77777777" w:rsidTr="007A38AE">
        <w:trPr>
          <w:trHeight w:val="255"/>
        </w:trPr>
        <w:tc>
          <w:tcPr>
            <w:tcW w:w="312" w:type="dxa"/>
            <w:vMerge w:val="restart"/>
            <w:tcBorders>
              <w:top w:val="nil"/>
              <w:left w:val="nil"/>
              <w:bottom w:val="nil"/>
              <w:right w:val="nil"/>
            </w:tcBorders>
            <w:shd w:val="clear" w:color="auto" w:fill="auto"/>
            <w:noWrap/>
            <w:textDirection w:val="btLr"/>
            <w:vAlign w:val="center"/>
            <w:hideMark/>
          </w:tcPr>
          <w:p w14:paraId="066E1E7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LTC users</w:t>
            </w:r>
          </w:p>
        </w:tc>
        <w:tc>
          <w:tcPr>
            <w:tcW w:w="6628" w:type="dxa"/>
            <w:tcBorders>
              <w:top w:val="nil"/>
              <w:left w:val="nil"/>
              <w:bottom w:val="nil"/>
              <w:right w:val="nil"/>
            </w:tcBorders>
            <w:shd w:val="clear" w:color="000000" w:fill="FFFFFF"/>
            <w:noWrap/>
            <w:vAlign w:val="bottom"/>
            <w:hideMark/>
          </w:tcPr>
          <w:p w14:paraId="499306C8"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County LA</w:t>
            </w:r>
          </w:p>
        </w:tc>
        <w:tc>
          <w:tcPr>
            <w:tcW w:w="1120" w:type="dxa"/>
            <w:tcBorders>
              <w:top w:val="nil"/>
              <w:left w:val="nil"/>
              <w:bottom w:val="nil"/>
              <w:right w:val="nil"/>
            </w:tcBorders>
            <w:shd w:val="clear" w:color="000000" w:fill="FFFFFF"/>
            <w:noWrap/>
            <w:vAlign w:val="bottom"/>
            <w:hideMark/>
          </w:tcPr>
          <w:p w14:paraId="2877FAC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-0.007</w:t>
            </w:r>
          </w:p>
        </w:tc>
        <w:tc>
          <w:tcPr>
            <w:tcW w:w="1120" w:type="dxa"/>
            <w:tcBorders>
              <w:top w:val="nil"/>
              <w:left w:val="nil"/>
              <w:bottom w:val="nil"/>
              <w:right w:val="nil"/>
            </w:tcBorders>
            <w:shd w:val="clear" w:color="000000" w:fill="FFFFFF"/>
            <w:noWrap/>
            <w:vAlign w:val="bottom"/>
            <w:hideMark/>
          </w:tcPr>
          <w:p w14:paraId="1DDD63A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0.008</w:t>
            </w:r>
          </w:p>
        </w:tc>
      </w:tr>
      <w:tr w:rsidR="007A38AE" w:rsidRPr="007A38AE" w14:paraId="01C812AC" w14:textId="77777777" w:rsidTr="007A38AE">
        <w:trPr>
          <w:trHeight w:val="255"/>
        </w:trPr>
        <w:tc>
          <w:tcPr>
            <w:tcW w:w="312" w:type="dxa"/>
            <w:vMerge/>
            <w:tcBorders>
              <w:top w:val="nil"/>
              <w:left w:val="nil"/>
              <w:bottom w:val="nil"/>
              <w:right w:val="nil"/>
            </w:tcBorders>
            <w:vAlign w:val="center"/>
            <w:hideMark/>
          </w:tcPr>
          <w:p w14:paraId="42EDA6AC"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321FDF5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Metropolitan LA</w:t>
            </w:r>
          </w:p>
        </w:tc>
        <w:tc>
          <w:tcPr>
            <w:tcW w:w="1120" w:type="dxa"/>
            <w:tcBorders>
              <w:top w:val="nil"/>
              <w:left w:val="nil"/>
              <w:bottom w:val="nil"/>
              <w:right w:val="nil"/>
            </w:tcBorders>
            <w:shd w:val="clear" w:color="000000" w:fill="FFFFFF"/>
            <w:noWrap/>
            <w:vAlign w:val="bottom"/>
            <w:hideMark/>
          </w:tcPr>
          <w:p w14:paraId="0BC7D1B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-0.009</w:t>
            </w:r>
          </w:p>
        </w:tc>
        <w:tc>
          <w:tcPr>
            <w:tcW w:w="1120" w:type="dxa"/>
            <w:tcBorders>
              <w:top w:val="nil"/>
              <w:left w:val="nil"/>
              <w:bottom w:val="nil"/>
              <w:right w:val="nil"/>
            </w:tcBorders>
            <w:shd w:val="clear" w:color="000000" w:fill="FFFFFF"/>
            <w:noWrap/>
            <w:vAlign w:val="bottom"/>
            <w:hideMark/>
          </w:tcPr>
          <w:p w14:paraId="0BC438EA"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r>
      <w:tr w:rsidR="007A38AE" w:rsidRPr="007A38AE" w14:paraId="71348D61" w14:textId="77777777" w:rsidTr="007A38AE">
        <w:trPr>
          <w:trHeight w:val="255"/>
        </w:trPr>
        <w:tc>
          <w:tcPr>
            <w:tcW w:w="312" w:type="dxa"/>
            <w:vMerge/>
            <w:tcBorders>
              <w:top w:val="nil"/>
              <w:left w:val="nil"/>
              <w:bottom w:val="nil"/>
              <w:right w:val="nil"/>
            </w:tcBorders>
            <w:vAlign w:val="center"/>
            <w:hideMark/>
          </w:tcPr>
          <w:p w14:paraId="738103A8"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3776468F"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Unitary Authority LA</w:t>
            </w:r>
          </w:p>
        </w:tc>
        <w:tc>
          <w:tcPr>
            <w:tcW w:w="1120" w:type="dxa"/>
            <w:tcBorders>
              <w:top w:val="nil"/>
              <w:left w:val="nil"/>
              <w:bottom w:val="nil"/>
              <w:right w:val="nil"/>
            </w:tcBorders>
            <w:shd w:val="clear" w:color="000000" w:fill="FFFFFF"/>
            <w:noWrap/>
            <w:vAlign w:val="bottom"/>
            <w:hideMark/>
          </w:tcPr>
          <w:p w14:paraId="4F7DB68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0.013</w:t>
            </w:r>
          </w:p>
        </w:tc>
        <w:tc>
          <w:tcPr>
            <w:tcW w:w="1120" w:type="dxa"/>
            <w:tcBorders>
              <w:top w:val="nil"/>
              <w:left w:val="nil"/>
              <w:bottom w:val="nil"/>
              <w:right w:val="nil"/>
            </w:tcBorders>
            <w:shd w:val="clear" w:color="000000" w:fill="FFFFFF"/>
            <w:noWrap/>
            <w:vAlign w:val="bottom"/>
            <w:hideMark/>
          </w:tcPr>
          <w:p w14:paraId="24D096C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0.025</w:t>
            </w:r>
          </w:p>
        </w:tc>
      </w:tr>
      <w:tr w:rsidR="007A38AE" w:rsidRPr="007A38AE" w14:paraId="5E8ECEB0" w14:textId="77777777" w:rsidTr="007A38AE">
        <w:trPr>
          <w:trHeight w:val="255"/>
        </w:trPr>
        <w:tc>
          <w:tcPr>
            <w:tcW w:w="312" w:type="dxa"/>
            <w:vMerge/>
            <w:tcBorders>
              <w:top w:val="nil"/>
              <w:left w:val="nil"/>
              <w:bottom w:val="nil"/>
              <w:right w:val="nil"/>
            </w:tcBorders>
            <w:vAlign w:val="center"/>
            <w:hideMark/>
          </w:tcPr>
          <w:p w14:paraId="0820BA94"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6AA26873"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female users</w:t>
            </w:r>
          </w:p>
        </w:tc>
        <w:tc>
          <w:tcPr>
            <w:tcW w:w="1120" w:type="dxa"/>
            <w:tcBorders>
              <w:top w:val="nil"/>
              <w:left w:val="nil"/>
              <w:bottom w:val="nil"/>
              <w:right w:val="nil"/>
            </w:tcBorders>
            <w:shd w:val="clear" w:color="000000" w:fill="FFFFFF"/>
            <w:noWrap/>
            <w:vAlign w:val="bottom"/>
            <w:hideMark/>
          </w:tcPr>
          <w:p w14:paraId="738DF5D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c>
          <w:tcPr>
            <w:tcW w:w="1120" w:type="dxa"/>
            <w:tcBorders>
              <w:top w:val="nil"/>
              <w:left w:val="nil"/>
              <w:bottom w:val="nil"/>
              <w:right w:val="nil"/>
            </w:tcBorders>
            <w:shd w:val="clear" w:color="000000" w:fill="FFFFFF"/>
            <w:noWrap/>
            <w:vAlign w:val="bottom"/>
            <w:hideMark/>
          </w:tcPr>
          <w:p w14:paraId="281C3E4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36248E70" w14:textId="77777777" w:rsidTr="007A38AE">
        <w:trPr>
          <w:trHeight w:val="255"/>
        </w:trPr>
        <w:tc>
          <w:tcPr>
            <w:tcW w:w="312" w:type="dxa"/>
            <w:vMerge/>
            <w:tcBorders>
              <w:top w:val="nil"/>
              <w:left w:val="nil"/>
              <w:bottom w:val="nil"/>
              <w:right w:val="nil"/>
            </w:tcBorders>
            <w:vAlign w:val="center"/>
            <w:hideMark/>
          </w:tcPr>
          <w:p w14:paraId="279C110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2946F4C5"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aged 65 or older</w:t>
            </w:r>
          </w:p>
        </w:tc>
        <w:tc>
          <w:tcPr>
            <w:tcW w:w="1120" w:type="dxa"/>
            <w:tcBorders>
              <w:top w:val="nil"/>
              <w:left w:val="nil"/>
              <w:bottom w:val="nil"/>
              <w:right w:val="nil"/>
            </w:tcBorders>
            <w:shd w:val="clear" w:color="000000" w:fill="FFFFFF"/>
            <w:noWrap/>
            <w:vAlign w:val="bottom"/>
            <w:hideMark/>
          </w:tcPr>
          <w:p w14:paraId="2228E34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c>
          <w:tcPr>
            <w:tcW w:w="1120" w:type="dxa"/>
            <w:tcBorders>
              <w:top w:val="nil"/>
              <w:left w:val="nil"/>
              <w:bottom w:val="nil"/>
              <w:right w:val="nil"/>
            </w:tcBorders>
            <w:shd w:val="clear" w:color="000000" w:fill="FFFFFF"/>
            <w:noWrap/>
            <w:vAlign w:val="bottom"/>
            <w:hideMark/>
          </w:tcPr>
          <w:p w14:paraId="15A355F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6215C4ED" w14:textId="77777777" w:rsidTr="007A38AE">
        <w:trPr>
          <w:trHeight w:val="255"/>
        </w:trPr>
        <w:tc>
          <w:tcPr>
            <w:tcW w:w="312" w:type="dxa"/>
            <w:vMerge/>
            <w:tcBorders>
              <w:top w:val="nil"/>
              <w:left w:val="nil"/>
              <w:bottom w:val="nil"/>
              <w:right w:val="nil"/>
            </w:tcBorders>
            <w:vAlign w:val="center"/>
            <w:hideMark/>
          </w:tcPr>
          <w:p w14:paraId="337925A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49A6054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receiving easy-read questionnaire</w:t>
            </w:r>
          </w:p>
        </w:tc>
        <w:tc>
          <w:tcPr>
            <w:tcW w:w="1120" w:type="dxa"/>
            <w:tcBorders>
              <w:top w:val="nil"/>
              <w:left w:val="nil"/>
              <w:bottom w:val="nil"/>
              <w:right w:val="nil"/>
            </w:tcBorders>
            <w:shd w:val="clear" w:color="000000" w:fill="FFFFFF"/>
            <w:noWrap/>
            <w:vAlign w:val="bottom"/>
            <w:hideMark/>
          </w:tcPr>
          <w:p w14:paraId="01265D6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0.0003</w:t>
            </w:r>
          </w:p>
        </w:tc>
        <w:tc>
          <w:tcPr>
            <w:tcW w:w="1120" w:type="dxa"/>
            <w:tcBorders>
              <w:top w:val="nil"/>
              <w:left w:val="nil"/>
              <w:bottom w:val="nil"/>
              <w:right w:val="nil"/>
            </w:tcBorders>
            <w:shd w:val="clear" w:color="000000" w:fill="FFFFFF"/>
            <w:noWrap/>
            <w:vAlign w:val="bottom"/>
            <w:hideMark/>
          </w:tcPr>
          <w:p w14:paraId="37DADB2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0.0002</w:t>
            </w:r>
          </w:p>
        </w:tc>
      </w:tr>
      <w:tr w:rsidR="007A38AE" w:rsidRPr="007A38AE" w14:paraId="323F39E6" w14:textId="77777777" w:rsidTr="007A38AE">
        <w:trPr>
          <w:trHeight w:val="255"/>
        </w:trPr>
        <w:tc>
          <w:tcPr>
            <w:tcW w:w="312" w:type="dxa"/>
            <w:vMerge/>
            <w:tcBorders>
              <w:top w:val="nil"/>
              <w:left w:val="nil"/>
              <w:bottom w:val="nil"/>
              <w:right w:val="nil"/>
            </w:tcBorders>
            <w:vAlign w:val="center"/>
            <w:hideMark/>
          </w:tcPr>
          <w:p w14:paraId="78309D06"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7C04E2B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receiving no help with questionnaire</w:t>
            </w:r>
          </w:p>
        </w:tc>
        <w:tc>
          <w:tcPr>
            <w:tcW w:w="1120" w:type="dxa"/>
            <w:tcBorders>
              <w:top w:val="nil"/>
              <w:left w:val="nil"/>
              <w:bottom w:val="nil"/>
              <w:right w:val="nil"/>
            </w:tcBorders>
            <w:shd w:val="clear" w:color="000000" w:fill="FFFFFF"/>
            <w:noWrap/>
            <w:vAlign w:val="bottom"/>
            <w:hideMark/>
          </w:tcPr>
          <w:p w14:paraId="627A8A4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1217B31E"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2A12673A" w14:textId="77777777" w:rsidTr="007A38AE">
        <w:trPr>
          <w:trHeight w:val="255"/>
        </w:trPr>
        <w:tc>
          <w:tcPr>
            <w:tcW w:w="312" w:type="dxa"/>
            <w:vMerge/>
            <w:tcBorders>
              <w:top w:val="nil"/>
              <w:left w:val="nil"/>
              <w:bottom w:val="nil"/>
              <w:right w:val="nil"/>
            </w:tcBorders>
            <w:vAlign w:val="center"/>
            <w:hideMark/>
          </w:tcPr>
          <w:p w14:paraId="3E9D08A4"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29615E7C"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read by someone else</w:t>
            </w:r>
          </w:p>
        </w:tc>
        <w:tc>
          <w:tcPr>
            <w:tcW w:w="1120" w:type="dxa"/>
            <w:tcBorders>
              <w:top w:val="nil"/>
              <w:left w:val="nil"/>
              <w:bottom w:val="nil"/>
              <w:right w:val="nil"/>
            </w:tcBorders>
            <w:shd w:val="clear" w:color="000000" w:fill="FFFFFF"/>
            <w:noWrap/>
            <w:vAlign w:val="bottom"/>
            <w:hideMark/>
          </w:tcPr>
          <w:p w14:paraId="17728BE6"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206DA9A8"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r>
      <w:tr w:rsidR="007A38AE" w:rsidRPr="007A38AE" w14:paraId="3F6F6241" w14:textId="77777777" w:rsidTr="007A38AE">
        <w:trPr>
          <w:trHeight w:val="255"/>
        </w:trPr>
        <w:tc>
          <w:tcPr>
            <w:tcW w:w="312" w:type="dxa"/>
            <w:vMerge/>
            <w:tcBorders>
              <w:top w:val="nil"/>
              <w:left w:val="nil"/>
              <w:bottom w:val="nil"/>
              <w:right w:val="nil"/>
            </w:tcBorders>
            <w:vAlign w:val="center"/>
            <w:hideMark/>
          </w:tcPr>
          <w:p w14:paraId="1F0EE3B4"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19423CBF"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translated by someone else</w:t>
            </w:r>
          </w:p>
        </w:tc>
        <w:tc>
          <w:tcPr>
            <w:tcW w:w="1120" w:type="dxa"/>
            <w:tcBorders>
              <w:top w:val="nil"/>
              <w:left w:val="nil"/>
              <w:bottom w:val="nil"/>
              <w:right w:val="nil"/>
            </w:tcBorders>
            <w:shd w:val="clear" w:color="000000" w:fill="FFFFFF"/>
            <w:noWrap/>
            <w:vAlign w:val="bottom"/>
            <w:hideMark/>
          </w:tcPr>
          <w:p w14:paraId="1D21226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1B30EFE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119187CB" w14:textId="77777777" w:rsidTr="007A38AE">
        <w:trPr>
          <w:trHeight w:val="255"/>
        </w:trPr>
        <w:tc>
          <w:tcPr>
            <w:tcW w:w="312" w:type="dxa"/>
            <w:vMerge/>
            <w:tcBorders>
              <w:top w:val="nil"/>
              <w:left w:val="nil"/>
              <w:bottom w:val="nil"/>
              <w:right w:val="nil"/>
            </w:tcBorders>
            <w:vAlign w:val="center"/>
            <w:hideMark/>
          </w:tcPr>
          <w:p w14:paraId="2F19377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7570F67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only filled in by someone else</w:t>
            </w:r>
          </w:p>
        </w:tc>
        <w:tc>
          <w:tcPr>
            <w:tcW w:w="1120" w:type="dxa"/>
            <w:tcBorders>
              <w:top w:val="nil"/>
              <w:left w:val="nil"/>
              <w:bottom w:val="nil"/>
              <w:right w:val="nil"/>
            </w:tcBorders>
            <w:shd w:val="clear" w:color="000000" w:fill="FFFFFF"/>
            <w:noWrap/>
            <w:vAlign w:val="bottom"/>
            <w:hideMark/>
          </w:tcPr>
          <w:p w14:paraId="09AC1C3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-0.0001</w:t>
            </w:r>
          </w:p>
        </w:tc>
        <w:tc>
          <w:tcPr>
            <w:tcW w:w="1120" w:type="dxa"/>
            <w:tcBorders>
              <w:top w:val="nil"/>
              <w:left w:val="nil"/>
              <w:bottom w:val="nil"/>
              <w:right w:val="nil"/>
            </w:tcBorders>
            <w:shd w:val="clear" w:color="000000" w:fill="FFFFFF"/>
            <w:noWrap/>
            <w:vAlign w:val="bottom"/>
            <w:hideMark/>
          </w:tcPr>
          <w:p w14:paraId="2AC2E32A"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0.0005</w:t>
            </w:r>
          </w:p>
        </w:tc>
      </w:tr>
      <w:tr w:rsidR="007A38AE" w:rsidRPr="007A38AE" w14:paraId="5D890081" w14:textId="77777777" w:rsidTr="007A38AE">
        <w:trPr>
          <w:trHeight w:val="255"/>
        </w:trPr>
        <w:tc>
          <w:tcPr>
            <w:tcW w:w="312" w:type="dxa"/>
            <w:vMerge/>
            <w:tcBorders>
              <w:top w:val="nil"/>
              <w:left w:val="nil"/>
              <w:bottom w:val="nil"/>
              <w:right w:val="nil"/>
            </w:tcBorders>
            <w:vAlign w:val="center"/>
            <w:hideMark/>
          </w:tcPr>
          <w:p w14:paraId="17133FC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883792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talked through with someone else</w:t>
            </w:r>
          </w:p>
        </w:tc>
        <w:tc>
          <w:tcPr>
            <w:tcW w:w="1120" w:type="dxa"/>
            <w:tcBorders>
              <w:top w:val="nil"/>
              <w:left w:val="nil"/>
              <w:bottom w:val="nil"/>
              <w:right w:val="nil"/>
            </w:tcBorders>
            <w:shd w:val="clear" w:color="000000" w:fill="FFFFFF"/>
            <w:noWrap/>
            <w:vAlign w:val="bottom"/>
            <w:hideMark/>
          </w:tcPr>
          <w:p w14:paraId="46CAE92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c>
          <w:tcPr>
            <w:tcW w:w="1120" w:type="dxa"/>
            <w:tcBorders>
              <w:top w:val="nil"/>
              <w:left w:val="nil"/>
              <w:bottom w:val="nil"/>
              <w:right w:val="nil"/>
            </w:tcBorders>
            <w:shd w:val="clear" w:color="000000" w:fill="FFFFFF"/>
            <w:noWrap/>
            <w:vAlign w:val="bottom"/>
            <w:hideMark/>
          </w:tcPr>
          <w:p w14:paraId="715ED11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3A327E94" w14:textId="77777777" w:rsidTr="007A38AE">
        <w:trPr>
          <w:trHeight w:val="255"/>
        </w:trPr>
        <w:tc>
          <w:tcPr>
            <w:tcW w:w="312" w:type="dxa"/>
            <w:vMerge/>
            <w:tcBorders>
              <w:top w:val="nil"/>
              <w:left w:val="nil"/>
              <w:bottom w:val="nil"/>
              <w:right w:val="nil"/>
            </w:tcBorders>
            <w:vAlign w:val="center"/>
            <w:hideMark/>
          </w:tcPr>
          <w:p w14:paraId="6BE52CE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1F8842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answered by someone else</w:t>
            </w:r>
          </w:p>
        </w:tc>
        <w:tc>
          <w:tcPr>
            <w:tcW w:w="1120" w:type="dxa"/>
            <w:tcBorders>
              <w:top w:val="nil"/>
              <w:left w:val="nil"/>
              <w:bottom w:val="nil"/>
              <w:right w:val="nil"/>
            </w:tcBorders>
            <w:shd w:val="clear" w:color="000000" w:fill="FFFFFF"/>
            <w:noWrap/>
            <w:vAlign w:val="bottom"/>
            <w:hideMark/>
          </w:tcPr>
          <w:p w14:paraId="45F32EFA"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0.0005</w:t>
            </w:r>
          </w:p>
        </w:tc>
        <w:tc>
          <w:tcPr>
            <w:tcW w:w="1120" w:type="dxa"/>
            <w:tcBorders>
              <w:top w:val="nil"/>
              <w:left w:val="nil"/>
              <w:bottom w:val="nil"/>
              <w:right w:val="nil"/>
            </w:tcBorders>
            <w:shd w:val="clear" w:color="000000" w:fill="FFFFFF"/>
            <w:noWrap/>
            <w:vAlign w:val="bottom"/>
            <w:hideMark/>
          </w:tcPr>
          <w:p w14:paraId="1D5DFFFE"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0.0004</w:t>
            </w:r>
          </w:p>
        </w:tc>
      </w:tr>
      <w:tr w:rsidR="007A38AE" w:rsidRPr="007A38AE" w14:paraId="47013101" w14:textId="77777777" w:rsidTr="007A38AE">
        <w:trPr>
          <w:trHeight w:val="255"/>
        </w:trPr>
        <w:tc>
          <w:tcPr>
            <w:tcW w:w="312" w:type="dxa"/>
            <w:vMerge/>
            <w:tcBorders>
              <w:top w:val="nil"/>
              <w:left w:val="nil"/>
              <w:bottom w:val="nil"/>
              <w:right w:val="nil"/>
            </w:tcBorders>
            <w:vAlign w:val="center"/>
            <w:hideMark/>
          </w:tcPr>
          <w:p w14:paraId="3E2EBC4C"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21FA82DB"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female carers</w:t>
            </w:r>
          </w:p>
        </w:tc>
        <w:tc>
          <w:tcPr>
            <w:tcW w:w="1120" w:type="dxa"/>
            <w:tcBorders>
              <w:top w:val="nil"/>
              <w:left w:val="nil"/>
              <w:bottom w:val="nil"/>
              <w:right w:val="nil"/>
            </w:tcBorders>
            <w:shd w:val="clear" w:color="000000" w:fill="FFFFFF"/>
            <w:noWrap/>
            <w:vAlign w:val="bottom"/>
            <w:hideMark/>
          </w:tcPr>
          <w:p w14:paraId="227ADDD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-0.0001</w:t>
            </w:r>
          </w:p>
        </w:tc>
        <w:tc>
          <w:tcPr>
            <w:tcW w:w="1120" w:type="dxa"/>
            <w:tcBorders>
              <w:top w:val="nil"/>
              <w:left w:val="nil"/>
              <w:bottom w:val="nil"/>
              <w:right w:val="nil"/>
            </w:tcBorders>
            <w:shd w:val="clear" w:color="000000" w:fill="FFFFFF"/>
            <w:noWrap/>
            <w:vAlign w:val="bottom"/>
            <w:hideMark/>
          </w:tcPr>
          <w:p w14:paraId="5E9CF8C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-0.0003</w:t>
            </w:r>
          </w:p>
        </w:tc>
      </w:tr>
      <w:tr w:rsidR="007A38AE" w:rsidRPr="007A38AE" w14:paraId="06A03F8B" w14:textId="77777777" w:rsidTr="007A38AE">
        <w:trPr>
          <w:trHeight w:val="255"/>
        </w:trPr>
        <w:tc>
          <w:tcPr>
            <w:tcW w:w="312" w:type="dxa"/>
            <w:vMerge/>
            <w:tcBorders>
              <w:top w:val="nil"/>
              <w:left w:val="nil"/>
              <w:bottom w:val="nil"/>
              <w:right w:val="nil"/>
            </w:tcBorders>
            <w:vAlign w:val="center"/>
            <w:hideMark/>
          </w:tcPr>
          <w:p w14:paraId="13C1C21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0B40A8B5"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aged 65 or older</w:t>
            </w:r>
          </w:p>
        </w:tc>
        <w:tc>
          <w:tcPr>
            <w:tcW w:w="1120" w:type="dxa"/>
            <w:tcBorders>
              <w:top w:val="nil"/>
              <w:left w:val="nil"/>
              <w:bottom w:val="nil"/>
              <w:right w:val="nil"/>
            </w:tcBorders>
            <w:shd w:val="clear" w:color="000000" w:fill="FFFFFF"/>
            <w:noWrap/>
            <w:vAlign w:val="bottom"/>
            <w:hideMark/>
          </w:tcPr>
          <w:p w14:paraId="4A94D6E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c>
          <w:tcPr>
            <w:tcW w:w="1120" w:type="dxa"/>
            <w:tcBorders>
              <w:top w:val="nil"/>
              <w:left w:val="nil"/>
              <w:bottom w:val="nil"/>
              <w:right w:val="nil"/>
            </w:tcBorders>
            <w:shd w:val="clear" w:color="000000" w:fill="FFFFFF"/>
            <w:noWrap/>
            <w:vAlign w:val="bottom"/>
            <w:hideMark/>
          </w:tcPr>
          <w:p w14:paraId="4B047F9B"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0.0012*</w:t>
            </w:r>
          </w:p>
        </w:tc>
      </w:tr>
      <w:tr w:rsidR="007A38AE" w:rsidRPr="007A38AE" w14:paraId="76C030B4" w14:textId="77777777" w:rsidTr="007A38AE">
        <w:trPr>
          <w:trHeight w:val="255"/>
        </w:trPr>
        <w:tc>
          <w:tcPr>
            <w:tcW w:w="312" w:type="dxa"/>
            <w:vMerge/>
            <w:tcBorders>
              <w:top w:val="nil"/>
              <w:left w:val="nil"/>
              <w:bottom w:val="nil"/>
              <w:right w:val="nil"/>
            </w:tcBorders>
            <w:vAlign w:val="center"/>
            <w:hideMark/>
          </w:tcPr>
          <w:p w14:paraId="4CB26FF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747F3B7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whose care recipient is 65 or older</w:t>
            </w:r>
          </w:p>
        </w:tc>
        <w:tc>
          <w:tcPr>
            <w:tcW w:w="1120" w:type="dxa"/>
            <w:tcBorders>
              <w:top w:val="nil"/>
              <w:left w:val="nil"/>
              <w:bottom w:val="nil"/>
              <w:right w:val="nil"/>
            </w:tcBorders>
            <w:shd w:val="clear" w:color="000000" w:fill="FFFFFF"/>
            <w:noWrap/>
            <w:vAlign w:val="bottom"/>
            <w:hideMark/>
          </w:tcPr>
          <w:p w14:paraId="5019160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0.0003</w:t>
            </w:r>
          </w:p>
        </w:tc>
        <w:tc>
          <w:tcPr>
            <w:tcW w:w="1120" w:type="dxa"/>
            <w:tcBorders>
              <w:top w:val="nil"/>
              <w:left w:val="nil"/>
              <w:bottom w:val="nil"/>
              <w:right w:val="nil"/>
            </w:tcBorders>
            <w:shd w:val="clear" w:color="000000" w:fill="FFFFFF"/>
            <w:noWrap/>
            <w:vAlign w:val="bottom"/>
            <w:hideMark/>
          </w:tcPr>
          <w:p w14:paraId="6D6FD80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0.0003</w:t>
            </w:r>
          </w:p>
        </w:tc>
      </w:tr>
      <w:tr w:rsidR="007A38AE" w:rsidRPr="007A38AE" w14:paraId="4847EB0D" w14:textId="77777777" w:rsidTr="007A38AE">
        <w:trPr>
          <w:trHeight w:val="255"/>
        </w:trPr>
        <w:tc>
          <w:tcPr>
            <w:tcW w:w="312" w:type="dxa"/>
            <w:vMerge/>
            <w:tcBorders>
              <w:top w:val="nil"/>
              <w:left w:val="nil"/>
              <w:bottom w:val="nil"/>
              <w:right w:val="nil"/>
            </w:tcBorders>
            <w:vAlign w:val="center"/>
            <w:hideMark/>
          </w:tcPr>
          <w:p w14:paraId="46195C68"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5FAD4B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in caring role between 6 months and 1 year</w:t>
            </w:r>
          </w:p>
        </w:tc>
        <w:tc>
          <w:tcPr>
            <w:tcW w:w="1120" w:type="dxa"/>
            <w:tcBorders>
              <w:top w:val="nil"/>
              <w:left w:val="nil"/>
              <w:bottom w:val="nil"/>
              <w:right w:val="nil"/>
            </w:tcBorders>
            <w:shd w:val="clear" w:color="000000" w:fill="FFFFFF"/>
            <w:noWrap/>
            <w:vAlign w:val="bottom"/>
            <w:hideMark/>
          </w:tcPr>
          <w:p w14:paraId="12BFC056"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614251C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-0.004</w:t>
            </w:r>
          </w:p>
        </w:tc>
      </w:tr>
      <w:tr w:rsidR="007A38AE" w:rsidRPr="007A38AE" w14:paraId="04017606" w14:textId="77777777" w:rsidTr="007A38AE">
        <w:trPr>
          <w:trHeight w:val="255"/>
        </w:trPr>
        <w:tc>
          <w:tcPr>
            <w:tcW w:w="312" w:type="dxa"/>
            <w:vMerge/>
            <w:tcBorders>
              <w:top w:val="nil"/>
              <w:left w:val="nil"/>
              <w:bottom w:val="nil"/>
              <w:right w:val="nil"/>
            </w:tcBorders>
            <w:vAlign w:val="center"/>
            <w:hideMark/>
          </w:tcPr>
          <w:p w14:paraId="0A112E90"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033FFD0"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in caring role for more than 1 year</w:t>
            </w:r>
          </w:p>
        </w:tc>
        <w:tc>
          <w:tcPr>
            <w:tcW w:w="1120" w:type="dxa"/>
            <w:tcBorders>
              <w:top w:val="nil"/>
              <w:left w:val="nil"/>
              <w:bottom w:val="nil"/>
              <w:right w:val="nil"/>
            </w:tcBorders>
            <w:shd w:val="clear" w:color="000000" w:fill="FFFFFF"/>
            <w:noWrap/>
            <w:vAlign w:val="bottom"/>
            <w:hideMark/>
          </w:tcPr>
          <w:p w14:paraId="75E99C8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0.004</w:t>
            </w:r>
          </w:p>
        </w:tc>
        <w:tc>
          <w:tcPr>
            <w:tcW w:w="1120" w:type="dxa"/>
            <w:tcBorders>
              <w:top w:val="nil"/>
              <w:left w:val="nil"/>
              <w:bottom w:val="nil"/>
              <w:right w:val="nil"/>
            </w:tcBorders>
            <w:shd w:val="clear" w:color="000000" w:fill="FFFFFF"/>
            <w:noWrap/>
            <w:vAlign w:val="bottom"/>
            <w:hideMark/>
          </w:tcPr>
          <w:p w14:paraId="1E281D8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-0.0002</w:t>
            </w:r>
          </w:p>
        </w:tc>
      </w:tr>
      <w:tr w:rsidR="007A38AE" w:rsidRPr="007A38AE" w14:paraId="7FE60D00" w14:textId="77777777" w:rsidTr="007A38AE">
        <w:trPr>
          <w:trHeight w:val="255"/>
        </w:trPr>
        <w:tc>
          <w:tcPr>
            <w:tcW w:w="312" w:type="dxa"/>
            <w:vMerge/>
            <w:tcBorders>
              <w:top w:val="nil"/>
              <w:left w:val="nil"/>
              <w:bottom w:val="nil"/>
              <w:right w:val="nil"/>
            </w:tcBorders>
            <w:vAlign w:val="center"/>
            <w:hideMark/>
          </w:tcPr>
          <w:p w14:paraId="47197D9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37F34F7D"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who are retired</w:t>
            </w:r>
          </w:p>
        </w:tc>
        <w:tc>
          <w:tcPr>
            <w:tcW w:w="1120" w:type="dxa"/>
            <w:tcBorders>
              <w:top w:val="nil"/>
              <w:left w:val="nil"/>
              <w:bottom w:val="nil"/>
              <w:right w:val="nil"/>
            </w:tcBorders>
            <w:shd w:val="clear" w:color="000000" w:fill="FFFFFF"/>
            <w:noWrap/>
            <w:vAlign w:val="bottom"/>
            <w:hideMark/>
          </w:tcPr>
          <w:p w14:paraId="0C3D352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c>
          <w:tcPr>
            <w:tcW w:w="1120" w:type="dxa"/>
            <w:tcBorders>
              <w:top w:val="nil"/>
              <w:left w:val="nil"/>
              <w:bottom w:val="nil"/>
              <w:right w:val="nil"/>
            </w:tcBorders>
            <w:shd w:val="clear" w:color="000000" w:fill="FFFFFF"/>
            <w:noWrap/>
            <w:vAlign w:val="bottom"/>
            <w:hideMark/>
          </w:tcPr>
          <w:p w14:paraId="232C91E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62F1EB8A" w14:textId="77777777" w:rsidTr="007A38AE">
        <w:trPr>
          <w:trHeight w:val="255"/>
        </w:trPr>
        <w:tc>
          <w:tcPr>
            <w:tcW w:w="312" w:type="dxa"/>
            <w:vMerge/>
            <w:tcBorders>
              <w:top w:val="nil"/>
              <w:left w:val="nil"/>
              <w:bottom w:val="nil"/>
              <w:right w:val="nil"/>
            </w:tcBorders>
            <w:vAlign w:val="center"/>
            <w:hideMark/>
          </w:tcPr>
          <w:p w14:paraId="378DC12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543783E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experiencing a clash between work and caring role</w:t>
            </w:r>
          </w:p>
        </w:tc>
        <w:tc>
          <w:tcPr>
            <w:tcW w:w="1120" w:type="dxa"/>
            <w:tcBorders>
              <w:top w:val="nil"/>
              <w:left w:val="nil"/>
              <w:bottom w:val="nil"/>
              <w:right w:val="nil"/>
            </w:tcBorders>
            <w:shd w:val="clear" w:color="000000" w:fill="FFFFFF"/>
            <w:noWrap/>
            <w:vAlign w:val="bottom"/>
            <w:hideMark/>
          </w:tcPr>
          <w:p w14:paraId="70CD12FB"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0.005</w:t>
            </w:r>
          </w:p>
        </w:tc>
        <w:tc>
          <w:tcPr>
            <w:tcW w:w="1120" w:type="dxa"/>
            <w:tcBorders>
              <w:top w:val="nil"/>
              <w:left w:val="nil"/>
              <w:bottom w:val="nil"/>
              <w:right w:val="nil"/>
            </w:tcBorders>
            <w:shd w:val="clear" w:color="000000" w:fill="FFFFFF"/>
            <w:noWrap/>
            <w:vAlign w:val="bottom"/>
            <w:hideMark/>
          </w:tcPr>
          <w:p w14:paraId="065E190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0.004</w:t>
            </w:r>
          </w:p>
        </w:tc>
      </w:tr>
      <w:tr w:rsidR="007A38AE" w:rsidRPr="007A38AE" w14:paraId="0C90E00F" w14:textId="77777777" w:rsidTr="007A38AE">
        <w:trPr>
          <w:trHeight w:val="255"/>
        </w:trPr>
        <w:tc>
          <w:tcPr>
            <w:tcW w:w="312" w:type="dxa"/>
            <w:vMerge/>
            <w:tcBorders>
              <w:top w:val="nil"/>
              <w:left w:val="nil"/>
              <w:bottom w:val="nil"/>
              <w:right w:val="nil"/>
            </w:tcBorders>
            <w:vAlign w:val="center"/>
            <w:hideMark/>
          </w:tcPr>
          <w:p w14:paraId="75E6057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628" w:type="dxa"/>
            <w:tcBorders>
              <w:top w:val="nil"/>
              <w:left w:val="nil"/>
              <w:bottom w:val="nil"/>
              <w:right w:val="nil"/>
            </w:tcBorders>
            <w:shd w:val="clear" w:color="000000" w:fill="FFFFFF"/>
            <w:noWrap/>
            <w:vAlign w:val="bottom"/>
            <w:hideMark/>
          </w:tcPr>
          <w:p w14:paraId="146C9B7F"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receiving help with questionnaire</w:t>
            </w:r>
          </w:p>
        </w:tc>
        <w:tc>
          <w:tcPr>
            <w:tcW w:w="1120" w:type="dxa"/>
            <w:tcBorders>
              <w:top w:val="nil"/>
              <w:left w:val="nil"/>
              <w:bottom w:val="nil"/>
              <w:right w:val="nil"/>
            </w:tcBorders>
            <w:shd w:val="clear" w:color="000000" w:fill="FFFFFF"/>
            <w:noWrap/>
            <w:vAlign w:val="bottom"/>
            <w:hideMark/>
          </w:tcPr>
          <w:p w14:paraId="259614F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c>
          <w:tcPr>
            <w:tcW w:w="1120" w:type="dxa"/>
            <w:tcBorders>
              <w:top w:val="nil"/>
              <w:left w:val="nil"/>
              <w:bottom w:val="nil"/>
              <w:right w:val="nil"/>
            </w:tcBorders>
            <w:shd w:val="clear" w:color="000000" w:fill="FFFFFF"/>
            <w:noWrap/>
            <w:vAlign w:val="bottom"/>
            <w:hideMark/>
          </w:tcPr>
          <w:p w14:paraId="09AEA8D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38DA36E5" w14:textId="77777777" w:rsidTr="007A38AE">
        <w:trPr>
          <w:trHeight w:val="255"/>
        </w:trPr>
        <w:tc>
          <w:tcPr>
            <w:tcW w:w="6940" w:type="dxa"/>
            <w:gridSpan w:val="2"/>
            <w:tcBorders>
              <w:top w:val="nil"/>
              <w:left w:val="nil"/>
              <w:bottom w:val="nil"/>
              <w:right w:val="nil"/>
            </w:tcBorders>
            <w:shd w:val="clear" w:color="000000" w:fill="FFFFFF"/>
            <w:noWrap/>
            <w:vAlign w:val="center"/>
            <w:hideMark/>
          </w:tcPr>
          <w:p w14:paraId="2CF054A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Constant</w:t>
            </w:r>
          </w:p>
        </w:tc>
        <w:tc>
          <w:tcPr>
            <w:tcW w:w="1120" w:type="dxa"/>
            <w:tcBorders>
              <w:top w:val="nil"/>
              <w:left w:val="nil"/>
              <w:bottom w:val="nil"/>
              <w:right w:val="nil"/>
            </w:tcBorders>
            <w:shd w:val="clear" w:color="000000" w:fill="FFFFFF"/>
            <w:noWrap/>
            <w:vAlign w:val="bottom"/>
            <w:hideMark/>
          </w:tcPr>
          <w:p w14:paraId="1AEC3CC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8.768***</w:t>
            </w:r>
          </w:p>
        </w:tc>
        <w:tc>
          <w:tcPr>
            <w:tcW w:w="1120" w:type="dxa"/>
            <w:tcBorders>
              <w:top w:val="nil"/>
              <w:left w:val="nil"/>
              <w:bottom w:val="nil"/>
              <w:right w:val="nil"/>
            </w:tcBorders>
            <w:shd w:val="clear" w:color="000000" w:fill="FFFFFF"/>
            <w:noWrap/>
            <w:vAlign w:val="bottom"/>
            <w:hideMark/>
          </w:tcPr>
          <w:p w14:paraId="73E5257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7.052***</w:t>
            </w:r>
          </w:p>
        </w:tc>
      </w:tr>
      <w:tr w:rsidR="007A38AE" w:rsidRPr="007A38AE" w14:paraId="6072F748" w14:textId="77777777" w:rsidTr="007A38AE">
        <w:trPr>
          <w:trHeight w:val="255"/>
        </w:trPr>
        <w:tc>
          <w:tcPr>
            <w:tcW w:w="6940" w:type="dxa"/>
            <w:gridSpan w:val="2"/>
            <w:tcBorders>
              <w:top w:val="single" w:sz="4" w:space="0" w:color="auto"/>
              <w:left w:val="nil"/>
              <w:bottom w:val="nil"/>
              <w:right w:val="nil"/>
            </w:tcBorders>
            <w:shd w:val="clear" w:color="000000" w:fill="FFFFFF"/>
            <w:noWrap/>
            <w:vAlign w:val="center"/>
            <w:hideMark/>
          </w:tcPr>
          <w:p w14:paraId="2678B6C0"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Observations</w:t>
            </w:r>
          </w:p>
        </w:tc>
        <w:tc>
          <w:tcPr>
            <w:tcW w:w="1120" w:type="dxa"/>
            <w:tcBorders>
              <w:top w:val="single" w:sz="4" w:space="0" w:color="auto"/>
              <w:left w:val="nil"/>
              <w:bottom w:val="nil"/>
              <w:right w:val="nil"/>
            </w:tcBorders>
            <w:shd w:val="clear" w:color="000000" w:fill="FFFFFF"/>
            <w:noWrap/>
            <w:vAlign w:val="bottom"/>
            <w:hideMark/>
          </w:tcPr>
          <w:p w14:paraId="0007A92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146</w:t>
            </w:r>
          </w:p>
        </w:tc>
        <w:tc>
          <w:tcPr>
            <w:tcW w:w="1120" w:type="dxa"/>
            <w:tcBorders>
              <w:top w:val="single" w:sz="4" w:space="0" w:color="auto"/>
              <w:left w:val="nil"/>
              <w:bottom w:val="nil"/>
              <w:right w:val="nil"/>
            </w:tcBorders>
            <w:shd w:val="clear" w:color="000000" w:fill="FFFFFF"/>
            <w:noWrap/>
            <w:vAlign w:val="bottom"/>
            <w:hideMark/>
          </w:tcPr>
          <w:p w14:paraId="40F05ED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146</w:t>
            </w:r>
          </w:p>
        </w:tc>
      </w:tr>
      <w:tr w:rsidR="007A38AE" w:rsidRPr="007A38AE" w14:paraId="613256BA" w14:textId="77777777" w:rsidTr="007A38AE">
        <w:trPr>
          <w:trHeight w:val="255"/>
        </w:trPr>
        <w:tc>
          <w:tcPr>
            <w:tcW w:w="6940" w:type="dxa"/>
            <w:gridSpan w:val="2"/>
            <w:tcBorders>
              <w:top w:val="nil"/>
              <w:left w:val="nil"/>
              <w:bottom w:val="nil"/>
              <w:right w:val="nil"/>
            </w:tcBorders>
            <w:shd w:val="clear" w:color="000000" w:fill="FFFFFF"/>
            <w:noWrap/>
            <w:vAlign w:val="center"/>
            <w:hideMark/>
          </w:tcPr>
          <w:p w14:paraId="35856DD5"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Kleibergen-Paap rk Wald F statistic</w:t>
            </w:r>
          </w:p>
        </w:tc>
        <w:tc>
          <w:tcPr>
            <w:tcW w:w="1120" w:type="dxa"/>
            <w:tcBorders>
              <w:top w:val="nil"/>
              <w:left w:val="nil"/>
              <w:bottom w:val="nil"/>
              <w:right w:val="nil"/>
            </w:tcBorders>
            <w:shd w:val="clear" w:color="000000" w:fill="FFFFFF"/>
            <w:noWrap/>
            <w:vAlign w:val="bottom"/>
            <w:hideMark/>
          </w:tcPr>
          <w:p w14:paraId="5AD354B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46.2</w:t>
            </w:r>
          </w:p>
        </w:tc>
        <w:tc>
          <w:tcPr>
            <w:tcW w:w="1120" w:type="dxa"/>
            <w:tcBorders>
              <w:top w:val="nil"/>
              <w:left w:val="nil"/>
              <w:bottom w:val="nil"/>
              <w:right w:val="nil"/>
            </w:tcBorders>
            <w:shd w:val="clear" w:color="000000" w:fill="FFFFFF"/>
            <w:noWrap/>
            <w:vAlign w:val="bottom"/>
            <w:hideMark/>
          </w:tcPr>
          <w:p w14:paraId="78654C7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3.0</w:t>
            </w:r>
          </w:p>
        </w:tc>
      </w:tr>
      <w:tr w:rsidR="007A38AE" w:rsidRPr="007A38AE" w14:paraId="516A0881" w14:textId="77777777" w:rsidTr="007A38AE">
        <w:trPr>
          <w:trHeight w:val="255"/>
        </w:trPr>
        <w:tc>
          <w:tcPr>
            <w:tcW w:w="6940" w:type="dxa"/>
            <w:gridSpan w:val="2"/>
            <w:tcBorders>
              <w:top w:val="nil"/>
              <w:left w:val="nil"/>
              <w:bottom w:val="single" w:sz="4" w:space="0" w:color="auto"/>
              <w:right w:val="nil"/>
            </w:tcBorders>
            <w:shd w:val="clear" w:color="000000" w:fill="FFFFFF"/>
            <w:noWrap/>
            <w:vAlign w:val="center"/>
            <w:hideMark/>
          </w:tcPr>
          <w:p w14:paraId="6336091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Over-identification test's p-value</w:t>
            </w:r>
          </w:p>
        </w:tc>
        <w:tc>
          <w:tcPr>
            <w:tcW w:w="1120" w:type="dxa"/>
            <w:tcBorders>
              <w:top w:val="nil"/>
              <w:left w:val="nil"/>
              <w:bottom w:val="single" w:sz="4" w:space="0" w:color="auto"/>
              <w:right w:val="nil"/>
            </w:tcBorders>
            <w:shd w:val="clear" w:color="000000" w:fill="FFFFFF"/>
            <w:noWrap/>
            <w:vAlign w:val="bottom"/>
            <w:hideMark/>
          </w:tcPr>
          <w:p w14:paraId="2B07AA4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0.741</w:t>
            </w:r>
          </w:p>
        </w:tc>
        <w:tc>
          <w:tcPr>
            <w:tcW w:w="1120" w:type="dxa"/>
            <w:tcBorders>
              <w:top w:val="nil"/>
              <w:left w:val="nil"/>
              <w:bottom w:val="single" w:sz="4" w:space="0" w:color="auto"/>
              <w:right w:val="nil"/>
            </w:tcBorders>
            <w:shd w:val="clear" w:color="000000" w:fill="FFFFFF"/>
            <w:noWrap/>
            <w:vAlign w:val="bottom"/>
            <w:hideMark/>
          </w:tcPr>
          <w:p w14:paraId="601CF18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0.609</w:t>
            </w:r>
          </w:p>
        </w:tc>
      </w:tr>
      <w:tr w:rsidR="007A38AE" w:rsidRPr="007A38AE" w14:paraId="68A6CB21" w14:textId="77777777" w:rsidTr="007A38AE">
        <w:trPr>
          <w:trHeight w:val="255"/>
        </w:trPr>
        <w:tc>
          <w:tcPr>
            <w:tcW w:w="9180" w:type="dxa"/>
            <w:gridSpan w:val="4"/>
            <w:tcBorders>
              <w:top w:val="single" w:sz="4" w:space="0" w:color="auto"/>
              <w:left w:val="nil"/>
              <w:bottom w:val="nil"/>
              <w:right w:val="nil"/>
            </w:tcBorders>
            <w:shd w:val="clear" w:color="000000" w:fill="FFFFFF"/>
            <w:noWrap/>
            <w:vAlign w:val="center"/>
            <w:hideMark/>
          </w:tcPr>
          <w:p w14:paraId="6BD51580" w14:textId="4F97BD73"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 xml:space="preserve">The dependent variable is the </w:t>
            </w:r>
            <w:r w:rsidR="00730AF5">
              <w:rPr>
                <w:rFonts w:ascii="Calibri" w:eastAsia="Times New Roman" w:hAnsi="Calibri" w:cs="Calibri"/>
                <w:sz w:val="20"/>
                <w:szCs w:val="20"/>
                <w:lang w:eastAsia="en-GB"/>
              </w:rPr>
              <w:t xml:space="preserve">ln of </w:t>
            </w:r>
            <w:r w:rsidRPr="007A38AE">
              <w:rPr>
                <w:rFonts w:ascii="Calibri" w:eastAsia="Times New Roman" w:hAnsi="Calibri" w:cs="Calibri"/>
                <w:sz w:val="20"/>
                <w:szCs w:val="20"/>
                <w:lang w:eastAsia="en-GB"/>
              </w:rPr>
              <w:t>age-standardised mortality rate.</w:t>
            </w:r>
          </w:p>
        </w:tc>
      </w:tr>
      <w:tr w:rsidR="007A38AE" w:rsidRPr="007A38AE" w14:paraId="5CB0099D" w14:textId="77777777" w:rsidTr="007A38AE">
        <w:trPr>
          <w:trHeight w:val="1260"/>
        </w:trPr>
        <w:tc>
          <w:tcPr>
            <w:tcW w:w="9180" w:type="dxa"/>
            <w:gridSpan w:val="4"/>
            <w:tcBorders>
              <w:top w:val="nil"/>
              <w:left w:val="nil"/>
              <w:bottom w:val="nil"/>
              <w:right w:val="nil"/>
            </w:tcBorders>
            <w:shd w:val="clear" w:color="000000" w:fill="FFFFFF"/>
            <w:vAlign w:val="center"/>
            <w:hideMark/>
          </w:tcPr>
          <w:p w14:paraId="61CBA619"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All estimates are obtained from an over-identified instrumental variable specification. The instruments used to obtain the estimates in column 1 are ln of distance from target index, ln of age-cost index, ln of market forces factor index, and ln of council tax base per user. The instruments used to obtain the estimates in column 2 are ln of distance from target index, ln of council tax base per user, the product of these two instruments, ln of age-cost index, and ln of market forces factor index.</w:t>
            </w:r>
          </w:p>
        </w:tc>
      </w:tr>
      <w:tr w:rsidR="007A38AE" w:rsidRPr="007A38AE" w14:paraId="50DA9B8C" w14:textId="77777777" w:rsidTr="007A38AE">
        <w:trPr>
          <w:trHeight w:val="255"/>
        </w:trPr>
        <w:tc>
          <w:tcPr>
            <w:tcW w:w="9180" w:type="dxa"/>
            <w:gridSpan w:val="4"/>
            <w:tcBorders>
              <w:top w:val="nil"/>
              <w:left w:val="nil"/>
              <w:bottom w:val="single" w:sz="4" w:space="0" w:color="auto"/>
              <w:right w:val="nil"/>
            </w:tcBorders>
            <w:shd w:val="clear" w:color="000000" w:fill="FFFFFF"/>
            <w:noWrap/>
            <w:vAlign w:val="center"/>
            <w:hideMark/>
          </w:tcPr>
          <w:p w14:paraId="686DA18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Robust standard errors in parentheses, ***=p-value&lt;0.01, **=p-value&lt;0.05, *=p-value&lt;0.1</w:t>
            </w:r>
          </w:p>
        </w:tc>
      </w:tr>
    </w:tbl>
    <w:p w14:paraId="7C438576" w14:textId="0C39F3AC" w:rsidR="00B63B3F" w:rsidRDefault="00B63B3F" w:rsidP="00EA4280"/>
    <w:p w14:paraId="2645CD07" w14:textId="5881A8A3" w:rsidR="000D6536" w:rsidRDefault="000D6536" w:rsidP="00EA4280"/>
    <w:p w14:paraId="012F62D7" w14:textId="77777777" w:rsidR="000D6536" w:rsidRPr="002A4884" w:rsidRDefault="000D6536" w:rsidP="00EA4280"/>
    <w:p w14:paraId="1E1EE997" w14:textId="77777777" w:rsidR="00B63B3F" w:rsidRPr="002A4884" w:rsidRDefault="00B63B3F" w:rsidP="00EA4280">
      <w:pPr>
        <w:sectPr w:rsidR="00B63B3F" w:rsidRPr="002A4884" w:rsidSect="00EA4280">
          <w:pgSz w:w="11906" w:h="16838"/>
          <w:pgMar w:top="720" w:right="720" w:bottom="720" w:left="720" w:header="708" w:footer="708" w:gutter="0"/>
          <w:cols w:space="708"/>
          <w:docGrid w:linePitch="360"/>
        </w:sectPr>
      </w:pPr>
    </w:p>
    <w:p w14:paraId="1EC02789" w14:textId="7AEDA05F" w:rsidR="00B63B3F" w:rsidRPr="002A4884" w:rsidRDefault="00B63B3F" w:rsidP="00B63B3F">
      <w:pPr>
        <w:pStyle w:val="Caption"/>
      </w:pPr>
      <w:bookmarkStart w:id="38" w:name="_Ref59102740"/>
      <w:r w:rsidRPr="002A4884">
        <w:lastRenderedPageBreak/>
        <w:t xml:space="preserve">Table </w:t>
      </w:r>
      <w:r w:rsidR="002A7365">
        <w:fldChar w:fldCharType="begin"/>
      </w:r>
      <w:r w:rsidR="002A7365">
        <w:instrText xml:space="preserve"> SEQ Table \* ARABIC </w:instrText>
      </w:r>
      <w:r w:rsidR="002A7365">
        <w:fldChar w:fldCharType="separate"/>
      </w:r>
      <w:r w:rsidR="007C7B62">
        <w:rPr>
          <w:noProof/>
        </w:rPr>
        <w:t>4</w:t>
      </w:r>
      <w:r w:rsidR="002A7365">
        <w:rPr>
          <w:noProof/>
        </w:rPr>
        <w:fldChar w:fldCharType="end"/>
      </w:r>
      <w:bookmarkEnd w:id="38"/>
      <w:r w:rsidRPr="002A4884">
        <w:t xml:space="preserve"> – Results from the investigation of plausible channels for indirect </w:t>
      </w:r>
      <w:r w:rsidR="009E47D1">
        <w:t xml:space="preserve">mortality </w:t>
      </w:r>
      <w:r w:rsidRPr="002A4884">
        <w:t>effects.</w:t>
      </w:r>
    </w:p>
    <w:tbl>
      <w:tblPr>
        <w:tblW w:w="0" w:type="auto"/>
        <w:tblLook w:val="04A0" w:firstRow="1" w:lastRow="0" w:firstColumn="1" w:lastColumn="0" w:noHBand="0" w:noVBand="1"/>
      </w:tblPr>
      <w:tblGrid>
        <w:gridCol w:w="4429"/>
        <w:gridCol w:w="1576"/>
        <w:gridCol w:w="1589"/>
        <w:gridCol w:w="1650"/>
        <w:gridCol w:w="4578"/>
        <w:gridCol w:w="1576"/>
      </w:tblGrid>
      <w:tr w:rsidR="00A01019" w:rsidRPr="00AB31A7" w14:paraId="1780380A" w14:textId="77777777" w:rsidTr="00AB31A7">
        <w:trPr>
          <w:trHeight w:val="255"/>
        </w:trPr>
        <w:tc>
          <w:tcPr>
            <w:tcW w:w="0" w:type="auto"/>
            <w:vMerge w:val="restart"/>
            <w:tcBorders>
              <w:top w:val="single" w:sz="4" w:space="0" w:color="auto"/>
              <w:left w:val="nil"/>
              <w:bottom w:val="single" w:sz="4" w:space="0" w:color="000000"/>
              <w:right w:val="nil"/>
            </w:tcBorders>
            <w:shd w:val="clear" w:color="000000" w:fill="FFFFFF"/>
            <w:vAlign w:val="center"/>
            <w:hideMark/>
          </w:tcPr>
          <w:p w14:paraId="12EC1A03"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Effect of long term-care expenditure per user on</w:t>
            </w:r>
          </w:p>
        </w:tc>
        <w:tc>
          <w:tcPr>
            <w:tcW w:w="0" w:type="auto"/>
            <w:gridSpan w:val="3"/>
            <w:tcBorders>
              <w:top w:val="single" w:sz="4" w:space="0" w:color="auto"/>
              <w:left w:val="nil"/>
              <w:bottom w:val="single" w:sz="4" w:space="0" w:color="auto"/>
              <w:right w:val="nil"/>
            </w:tcBorders>
            <w:shd w:val="clear" w:color="000000" w:fill="FFFFFF"/>
            <w:vAlign w:val="bottom"/>
            <w:hideMark/>
          </w:tcPr>
          <w:p w14:paraId="06AEB3C5"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Disease areas</w:t>
            </w:r>
          </w:p>
        </w:tc>
        <w:tc>
          <w:tcPr>
            <w:tcW w:w="0" w:type="auto"/>
            <w:vMerge w:val="restart"/>
            <w:tcBorders>
              <w:top w:val="single" w:sz="4" w:space="0" w:color="auto"/>
              <w:left w:val="nil"/>
              <w:bottom w:val="single" w:sz="4" w:space="0" w:color="000000"/>
              <w:right w:val="nil"/>
            </w:tcBorders>
            <w:shd w:val="clear" w:color="000000" w:fill="FFFFFF"/>
            <w:vAlign w:val="center"/>
            <w:hideMark/>
          </w:tcPr>
          <w:p w14:paraId="77333566"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xml:space="preserve">Effect of health care expenditure per capita on </w:t>
            </w:r>
          </w:p>
        </w:tc>
        <w:tc>
          <w:tcPr>
            <w:tcW w:w="0" w:type="auto"/>
            <w:vMerge w:val="restart"/>
            <w:tcBorders>
              <w:top w:val="single" w:sz="4" w:space="0" w:color="auto"/>
              <w:left w:val="nil"/>
              <w:bottom w:val="single" w:sz="4" w:space="0" w:color="000000"/>
              <w:right w:val="nil"/>
            </w:tcBorders>
            <w:shd w:val="clear" w:color="000000" w:fill="FFFFFF"/>
            <w:noWrap/>
            <w:vAlign w:val="center"/>
            <w:hideMark/>
          </w:tcPr>
          <w:p w14:paraId="02948A09"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All users</w:t>
            </w:r>
          </w:p>
        </w:tc>
      </w:tr>
      <w:tr w:rsidR="00A01019" w:rsidRPr="00AB31A7" w14:paraId="7DED02C2" w14:textId="77777777" w:rsidTr="00AB31A7">
        <w:trPr>
          <w:trHeight w:val="255"/>
        </w:trPr>
        <w:tc>
          <w:tcPr>
            <w:tcW w:w="0" w:type="auto"/>
            <w:vMerge/>
            <w:tcBorders>
              <w:top w:val="single" w:sz="4" w:space="0" w:color="auto"/>
              <w:left w:val="nil"/>
              <w:bottom w:val="single" w:sz="4" w:space="0" w:color="000000"/>
              <w:right w:val="nil"/>
            </w:tcBorders>
            <w:vAlign w:val="center"/>
            <w:hideMark/>
          </w:tcPr>
          <w:p w14:paraId="2CF29707" w14:textId="77777777" w:rsidR="00AB31A7" w:rsidRPr="00AB31A7" w:rsidRDefault="00AB31A7" w:rsidP="00AB31A7">
            <w:pPr>
              <w:widowControl/>
              <w:spacing w:after="0"/>
              <w:jc w:val="left"/>
              <w:rPr>
                <w:rFonts w:ascii="Calibri" w:eastAsia="Times New Roman" w:hAnsi="Calibri" w:cs="Calibri"/>
                <w:sz w:val="20"/>
                <w:szCs w:val="20"/>
                <w:lang w:eastAsia="en-GB"/>
              </w:rPr>
            </w:pPr>
          </w:p>
        </w:tc>
        <w:tc>
          <w:tcPr>
            <w:tcW w:w="0" w:type="auto"/>
            <w:tcBorders>
              <w:top w:val="nil"/>
              <w:left w:val="nil"/>
              <w:bottom w:val="single" w:sz="4" w:space="0" w:color="auto"/>
              <w:right w:val="nil"/>
            </w:tcBorders>
            <w:shd w:val="clear" w:color="000000" w:fill="FFFFFF"/>
            <w:vAlign w:val="center"/>
            <w:hideMark/>
          </w:tcPr>
          <w:p w14:paraId="7198A548"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All</w:t>
            </w:r>
          </w:p>
        </w:tc>
        <w:tc>
          <w:tcPr>
            <w:tcW w:w="0" w:type="auto"/>
            <w:tcBorders>
              <w:top w:val="nil"/>
              <w:left w:val="nil"/>
              <w:bottom w:val="single" w:sz="4" w:space="0" w:color="auto"/>
              <w:right w:val="nil"/>
            </w:tcBorders>
            <w:shd w:val="clear" w:color="000000" w:fill="FFFFFF"/>
            <w:vAlign w:val="center"/>
            <w:hideMark/>
          </w:tcPr>
          <w:p w14:paraId="0809AEC6"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Largest two</w:t>
            </w:r>
          </w:p>
        </w:tc>
        <w:tc>
          <w:tcPr>
            <w:tcW w:w="0" w:type="auto"/>
            <w:tcBorders>
              <w:top w:val="nil"/>
              <w:left w:val="nil"/>
              <w:bottom w:val="single" w:sz="4" w:space="0" w:color="auto"/>
              <w:right w:val="nil"/>
            </w:tcBorders>
            <w:shd w:val="clear" w:color="000000" w:fill="FFFFFF"/>
            <w:vAlign w:val="center"/>
            <w:hideMark/>
          </w:tcPr>
          <w:p w14:paraId="76829FE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Largest four</w:t>
            </w:r>
          </w:p>
        </w:tc>
        <w:tc>
          <w:tcPr>
            <w:tcW w:w="0" w:type="auto"/>
            <w:vMerge/>
            <w:tcBorders>
              <w:top w:val="single" w:sz="4" w:space="0" w:color="auto"/>
              <w:left w:val="nil"/>
              <w:bottom w:val="single" w:sz="4" w:space="0" w:color="000000"/>
              <w:right w:val="nil"/>
            </w:tcBorders>
            <w:vAlign w:val="center"/>
            <w:hideMark/>
          </w:tcPr>
          <w:p w14:paraId="0C3CF65A" w14:textId="77777777" w:rsidR="00AB31A7" w:rsidRPr="00AB31A7" w:rsidRDefault="00AB31A7" w:rsidP="00AB31A7">
            <w:pPr>
              <w:widowControl/>
              <w:spacing w:after="0"/>
              <w:jc w:val="left"/>
              <w:rPr>
                <w:rFonts w:ascii="Calibri" w:eastAsia="Times New Roman" w:hAnsi="Calibri" w:cs="Calibri"/>
                <w:sz w:val="20"/>
                <w:szCs w:val="20"/>
                <w:lang w:eastAsia="en-GB"/>
              </w:rPr>
            </w:pPr>
          </w:p>
        </w:tc>
        <w:tc>
          <w:tcPr>
            <w:tcW w:w="0" w:type="auto"/>
            <w:vMerge/>
            <w:tcBorders>
              <w:top w:val="single" w:sz="4" w:space="0" w:color="auto"/>
              <w:left w:val="nil"/>
              <w:bottom w:val="single" w:sz="4" w:space="0" w:color="000000"/>
              <w:right w:val="nil"/>
            </w:tcBorders>
            <w:vAlign w:val="center"/>
            <w:hideMark/>
          </w:tcPr>
          <w:p w14:paraId="19C38C60" w14:textId="77777777" w:rsidR="00AB31A7" w:rsidRPr="00AB31A7" w:rsidRDefault="00AB31A7" w:rsidP="00AB31A7">
            <w:pPr>
              <w:widowControl/>
              <w:spacing w:after="0"/>
              <w:jc w:val="left"/>
              <w:rPr>
                <w:rFonts w:ascii="Calibri" w:eastAsia="Times New Roman" w:hAnsi="Calibri" w:cs="Calibri"/>
                <w:sz w:val="20"/>
                <w:szCs w:val="20"/>
                <w:lang w:eastAsia="en-GB"/>
              </w:rPr>
            </w:pPr>
          </w:p>
        </w:tc>
      </w:tr>
      <w:tr w:rsidR="00A01019" w:rsidRPr="00AB31A7" w14:paraId="62F905EE" w14:textId="77777777" w:rsidTr="00AB31A7">
        <w:trPr>
          <w:trHeight w:val="255"/>
        </w:trPr>
        <w:tc>
          <w:tcPr>
            <w:tcW w:w="0" w:type="auto"/>
            <w:tcBorders>
              <w:top w:val="nil"/>
              <w:left w:val="nil"/>
              <w:bottom w:val="nil"/>
              <w:right w:val="nil"/>
            </w:tcBorders>
            <w:shd w:val="clear" w:color="000000" w:fill="FFFFFF"/>
            <w:vAlign w:val="center"/>
            <w:hideMark/>
          </w:tcPr>
          <w:p w14:paraId="088FBC0C"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Health care expenditure</w:t>
            </w:r>
          </w:p>
        </w:tc>
        <w:tc>
          <w:tcPr>
            <w:tcW w:w="0" w:type="auto"/>
            <w:tcBorders>
              <w:top w:val="nil"/>
              <w:left w:val="nil"/>
              <w:bottom w:val="nil"/>
              <w:right w:val="nil"/>
            </w:tcBorders>
            <w:shd w:val="clear" w:color="000000" w:fill="FFFFFF"/>
            <w:noWrap/>
            <w:vAlign w:val="bottom"/>
            <w:hideMark/>
          </w:tcPr>
          <w:p w14:paraId="0D2DDDAC"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-0.007</w:t>
            </w:r>
          </w:p>
        </w:tc>
        <w:tc>
          <w:tcPr>
            <w:tcW w:w="0" w:type="auto"/>
            <w:tcBorders>
              <w:top w:val="nil"/>
              <w:left w:val="nil"/>
              <w:bottom w:val="nil"/>
              <w:right w:val="nil"/>
            </w:tcBorders>
            <w:shd w:val="clear" w:color="000000" w:fill="FFFFFF"/>
            <w:noWrap/>
            <w:vAlign w:val="bottom"/>
            <w:hideMark/>
          </w:tcPr>
          <w:p w14:paraId="339DC3A3"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466707E0"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vAlign w:val="center"/>
            <w:hideMark/>
          </w:tcPr>
          <w:p w14:paraId="79A5F709"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Long-term care expenditure</w:t>
            </w:r>
          </w:p>
        </w:tc>
        <w:tc>
          <w:tcPr>
            <w:tcW w:w="0" w:type="auto"/>
            <w:tcBorders>
              <w:top w:val="nil"/>
              <w:left w:val="nil"/>
              <w:bottom w:val="nil"/>
              <w:right w:val="nil"/>
            </w:tcBorders>
            <w:shd w:val="clear" w:color="000000" w:fill="FFFFFF"/>
            <w:noWrap/>
            <w:vAlign w:val="bottom"/>
            <w:hideMark/>
          </w:tcPr>
          <w:p w14:paraId="6F030C3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-0.607**</w:t>
            </w:r>
          </w:p>
        </w:tc>
      </w:tr>
      <w:tr w:rsidR="00A01019" w:rsidRPr="00AB31A7" w14:paraId="6EDD7BDB" w14:textId="77777777" w:rsidTr="00AB31A7">
        <w:trPr>
          <w:trHeight w:val="255"/>
        </w:trPr>
        <w:tc>
          <w:tcPr>
            <w:tcW w:w="0" w:type="auto"/>
            <w:tcBorders>
              <w:top w:val="nil"/>
              <w:left w:val="nil"/>
              <w:bottom w:val="nil"/>
              <w:right w:val="nil"/>
            </w:tcBorders>
            <w:shd w:val="clear" w:color="000000" w:fill="FFFFFF"/>
            <w:vAlign w:val="center"/>
            <w:hideMark/>
          </w:tcPr>
          <w:p w14:paraId="066554DB"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Non-elective admission expenditure</w:t>
            </w:r>
          </w:p>
        </w:tc>
        <w:tc>
          <w:tcPr>
            <w:tcW w:w="0" w:type="auto"/>
            <w:tcBorders>
              <w:top w:val="nil"/>
              <w:left w:val="nil"/>
              <w:bottom w:val="nil"/>
              <w:right w:val="nil"/>
            </w:tcBorders>
            <w:shd w:val="clear" w:color="000000" w:fill="FFFFFF"/>
            <w:noWrap/>
            <w:vAlign w:val="bottom"/>
            <w:hideMark/>
          </w:tcPr>
          <w:p w14:paraId="7874FD6B"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-0.089***</w:t>
            </w:r>
          </w:p>
        </w:tc>
        <w:tc>
          <w:tcPr>
            <w:tcW w:w="0" w:type="auto"/>
            <w:tcBorders>
              <w:top w:val="nil"/>
              <w:left w:val="nil"/>
              <w:bottom w:val="nil"/>
              <w:right w:val="nil"/>
            </w:tcBorders>
            <w:shd w:val="clear" w:color="000000" w:fill="FFFFFF"/>
            <w:noWrap/>
            <w:vAlign w:val="bottom"/>
            <w:hideMark/>
          </w:tcPr>
          <w:p w14:paraId="3B2AE3FD"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noWrap/>
            <w:vAlign w:val="bottom"/>
            <w:hideMark/>
          </w:tcPr>
          <w:p w14:paraId="77792CF6"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vAlign w:val="center"/>
            <w:hideMark/>
          </w:tcPr>
          <w:p w14:paraId="7EBEC137" w14:textId="79807351"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Nursing care expenditure</w:t>
            </w:r>
          </w:p>
        </w:tc>
        <w:tc>
          <w:tcPr>
            <w:tcW w:w="0" w:type="auto"/>
            <w:tcBorders>
              <w:top w:val="nil"/>
              <w:left w:val="nil"/>
              <w:bottom w:val="nil"/>
              <w:right w:val="nil"/>
            </w:tcBorders>
            <w:shd w:val="clear" w:color="000000" w:fill="FFFFFF"/>
            <w:noWrap/>
            <w:vAlign w:val="bottom"/>
            <w:hideMark/>
          </w:tcPr>
          <w:p w14:paraId="770751E3"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-1.198*</w:t>
            </w:r>
          </w:p>
        </w:tc>
      </w:tr>
      <w:tr w:rsidR="00A01019" w:rsidRPr="00AB31A7" w14:paraId="247D260A" w14:textId="77777777" w:rsidTr="00AB31A7">
        <w:trPr>
          <w:trHeight w:val="255"/>
        </w:trPr>
        <w:tc>
          <w:tcPr>
            <w:tcW w:w="0" w:type="auto"/>
            <w:tcBorders>
              <w:top w:val="nil"/>
              <w:left w:val="nil"/>
              <w:bottom w:val="nil"/>
              <w:right w:val="nil"/>
            </w:tcBorders>
            <w:shd w:val="clear" w:color="000000" w:fill="FFFFFF"/>
            <w:vAlign w:val="center"/>
            <w:hideMark/>
          </w:tcPr>
          <w:p w14:paraId="41E56D48"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Accident and emergency expenditure</w:t>
            </w:r>
          </w:p>
        </w:tc>
        <w:tc>
          <w:tcPr>
            <w:tcW w:w="0" w:type="auto"/>
            <w:tcBorders>
              <w:top w:val="nil"/>
              <w:left w:val="nil"/>
              <w:bottom w:val="nil"/>
              <w:right w:val="nil"/>
            </w:tcBorders>
            <w:shd w:val="clear" w:color="000000" w:fill="FFFFFF"/>
            <w:noWrap/>
            <w:vAlign w:val="bottom"/>
            <w:hideMark/>
          </w:tcPr>
          <w:p w14:paraId="199E2C37"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-0.092*</w:t>
            </w:r>
          </w:p>
        </w:tc>
        <w:tc>
          <w:tcPr>
            <w:tcW w:w="0" w:type="auto"/>
            <w:tcBorders>
              <w:top w:val="nil"/>
              <w:left w:val="nil"/>
              <w:bottom w:val="nil"/>
              <w:right w:val="nil"/>
            </w:tcBorders>
            <w:shd w:val="clear" w:color="000000" w:fill="FFFFFF"/>
            <w:noWrap/>
            <w:vAlign w:val="bottom"/>
            <w:hideMark/>
          </w:tcPr>
          <w:p w14:paraId="6412F147"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noWrap/>
            <w:vAlign w:val="bottom"/>
            <w:hideMark/>
          </w:tcPr>
          <w:p w14:paraId="45BF0C95"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vAlign w:val="center"/>
            <w:hideMark/>
          </w:tcPr>
          <w:p w14:paraId="4D527729" w14:textId="4FD4DEA4"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Residential care expenditure</w:t>
            </w:r>
          </w:p>
        </w:tc>
        <w:tc>
          <w:tcPr>
            <w:tcW w:w="0" w:type="auto"/>
            <w:tcBorders>
              <w:top w:val="nil"/>
              <w:left w:val="nil"/>
              <w:bottom w:val="nil"/>
              <w:right w:val="nil"/>
            </w:tcBorders>
            <w:shd w:val="clear" w:color="000000" w:fill="FFFFFF"/>
            <w:noWrap/>
            <w:vAlign w:val="bottom"/>
            <w:hideMark/>
          </w:tcPr>
          <w:p w14:paraId="6FB24139"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-0.107</w:t>
            </w:r>
          </w:p>
        </w:tc>
      </w:tr>
      <w:tr w:rsidR="00A01019" w:rsidRPr="00AB31A7" w14:paraId="6F3AB66E" w14:textId="77777777" w:rsidTr="00AB31A7">
        <w:trPr>
          <w:trHeight w:val="255"/>
        </w:trPr>
        <w:tc>
          <w:tcPr>
            <w:tcW w:w="0" w:type="auto"/>
            <w:tcBorders>
              <w:top w:val="nil"/>
              <w:left w:val="nil"/>
              <w:bottom w:val="nil"/>
              <w:right w:val="nil"/>
            </w:tcBorders>
            <w:shd w:val="clear" w:color="000000" w:fill="FFFFFF"/>
            <w:vAlign w:val="center"/>
            <w:hideMark/>
          </w:tcPr>
          <w:p w14:paraId="70290AB2"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Emergency transport expenditure</w:t>
            </w:r>
          </w:p>
        </w:tc>
        <w:tc>
          <w:tcPr>
            <w:tcW w:w="0" w:type="auto"/>
            <w:tcBorders>
              <w:top w:val="nil"/>
              <w:left w:val="nil"/>
              <w:bottom w:val="nil"/>
              <w:right w:val="nil"/>
            </w:tcBorders>
            <w:shd w:val="clear" w:color="000000" w:fill="FFFFFF"/>
            <w:noWrap/>
            <w:vAlign w:val="bottom"/>
            <w:hideMark/>
          </w:tcPr>
          <w:p w14:paraId="718C504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0.013</w:t>
            </w:r>
          </w:p>
        </w:tc>
        <w:tc>
          <w:tcPr>
            <w:tcW w:w="0" w:type="auto"/>
            <w:tcBorders>
              <w:top w:val="nil"/>
              <w:left w:val="nil"/>
              <w:bottom w:val="nil"/>
              <w:right w:val="nil"/>
            </w:tcBorders>
            <w:shd w:val="clear" w:color="000000" w:fill="FFFFFF"/>
            <w:noWrap/>
            <w:vAlign w:val="bottom"/>
            <w:hideMark/>
          </w:tcPr>
          <w:p w14:paraId="2EF10A0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0.004</w:t>
            </w:r>
          </w:p>
        </w:tc>
        <w:tc>
          <w:tcPr>
            <w:tcW w:w="0" w:type="auto"/>
            <w:tcBorders>
              <w:top w:val="nil"/>
              <w:left w:val="nil"/>
              <w:bottom w:val="nil"/>
              <w:right w:val="nil"/>
            </w:tcBorders>
            <w:shd w:val="clear" w:color="000000" w:fill="FFFFFF"/>
            <w:noWrap/>
            <w:vAlign w:val="bottom"/>
            <w:hideMark/>
          </w:tcPr>
          <w:p w14:paraId="7019FAE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-0.008</w:t>
            </w:r>
          </w:p>
        </w:tc>
        <w:tc>
          <w:tcPr>
            <w:tcW w:w="0" w:type="auto"/>
            <w:tcBorders>
              <w:top w:val="nil"/>
              <w:left w:val="nil"/>
              <w:bottom w:val="nil"/>
              <w:right w:val="nil"/>
            </w:tcBorders>
            <w:shd w:val="clear" w:color="000000" w:fill="FFFFFF"/>
            <w:vAlign w:val="center"/>
            <w:hideMark/>
          </w:tcPr>
          <w:p w14:paraId="2FBBDD71"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Community care expenditure</w:t>
            </w:r>
          </w:p>
        </w:tc>
        <w:tc>
          <w:tcPr>
            <w:tcW w:w="0" w:type="auto"/>
            <w:tcBorders>
              <w:top w:val="nil"/>
              <w:left w:val="nil"/>
              <w:bottom w:val="nil"/>
              <w:right w:val="nil"/>
            </w:tcBorders>
            <w:shd w:val="clear" w:color="000000" w:fill="FFFFFF"/>
            <w:noWrap/>
            <w:vAlign w:val="bottom"/>
            <w:hideMark/>
          </w:tcPr>
          <w:p w14:paraId="552B0A65"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-1.098***</w:t>
            </w:r>
          </w:p>
        </w:tc>
      </w:tr>
      <w:tr w:rsidR="00A01019" w:rsidRPr="00AB31A7" w14:paraId="5BE04DD4" w14:textId="77777777" w:rsidTr="00AB31A7">
        <w:trPr>
          <w:trHeight w:val="255"/>
        </w:trPr>
        <w:tc>
          <w:tcPr>
            <w:tcW w:w="0" w:type="auto"/>
            <w:tcBorders>
              <w:top w:val="nil"/>
              <w:left w:val="nil"/>
              <w:bottom w:val="nil"/>
              <w:right w:val="nil"/>
            </w:tcBorders>
            <w:shd w:val="clear" w:color="000000" w:fill="FFFFFF"/>
            <w:vAlign w:val="center"/>
            <w:hideMark/>
          </w:tcPr>
          <w:p w14:paraId="3A758FD3"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Other emergency care expenditure</w:t>
            </w:r>
          </w:p>
        </w:tc>
        <w:tc>
          <w:tcPr>
            <w:tcW w:w="0" w:type="auto"/>
            <w:tcBorders>
              <w:top w:val="nil"/>
              <w:left w:val="nil"/>
              <w:bottom w:val="nil"/>
              <w:right w:val="nil"/>
            </w:tcBorders>
            <w:shd w:val="clear" w:color="000000" w:fill="FFFFFF"/>
            <w:noWrap/>
            <w:vAlign w:val="bottom"/>
            <w:hideMark/>
          </w:tcPr>
          <w:p w14:paraId="4B1B60D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0.087</w:t>
            </w:r>
          </w:p>
        </w:tc>
        <w:tc>
          <w:tcPr>
            <w:tcW w:w="0" w:type="auto"/>
            <w:tcBorders>
              <w:top w:val="nil"/>
              <w:left w:val="nil"/>
              <w:bottom w:val="nil"/>
              <w:right w:val="nil"/>
            </w:tcBorders>
            <w:shd w:val="clear" w:color="000000" w:fill="FFFFFF"/>
            <w:noWrap/>
            <w:vAlign w:val="bottom"/>
            <w:hideMark/>
          </w:tcPr>
          <w:p w14:paraId="745F64CF"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w:t>
            </w:r>
          </w:p>
        </w:tc>
        <w:tc>
          <w:tcPr>
            <w:tcW w:w="0" w:type="auto"/>
            <w:tcBorders>
              <w:top w:val="nil"/>
              <w:left w:val="nil"/>
              <w:bottom w:val="nil"/>
              <w:right w:val="nil"/>
            </w:tcBorders>
            <w:shd w:val="clear" w:color="000000" w:fill="FFFFFF"/>
            <w:noWrap/>
            <w:vAlign w:val="bottom"/>
            <w:hideMark/>
          </w:tcPr>
          <w:p w14:paraId="0AAB3C55"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w:t>
            </w:r>
          </w:p>
        </w:tc>
        <w:tc>
          <w:tcPr>
            <w:tcW w:w="0" w:type="auto"/>
            <w:tcBorders>
              <w:top w:val="nil"/>
              <w:left w:val="nil"/>
              <w:bottom w:val="nil"/>
              <w:right w:val="nil"/>
            </w:tcBorders>
            <w:shd w:val="clear" w:color="000000" w:fill="FFFFFF"/>
            <w:vAlign w:val="center"/>
            <w:hideMark/>
          </w:tcPr>
          <w:p w14:paraId="6636485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Social support expenditure</w:t>
            </w:r>
          </w:p>
        </w:tc>
        <w:tc>
          <w:tcPr>
            <w:tcW w:w="0" w:type="auto"/>
            <w:tcBorders>
              <w:top w:val="nil"/>
              <w:left w:val="nil"/>
              <w:bottom w:val="nil"/>
              <w:right w:val="nil"/>
            </w:tcBorders>
            <w:shd w:val="clear" w:color="000000" w:fill="FFFFFF"/>
            <w:noWrap/>
            <w:vAlign w:val="bottom"/>
            <w:hideMark/>
          </w:tcPr>
          <w:p w14:paraId="4B822C0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-4.512**</w:t>
            </w:r>
          </w:p>
        </w:tc>
      </w:tr>
      <w:tr w:rsidR="00A01019" w:rsidRPr="00AB31A7" w14:paraId="52F8A12D" w14:textId="77777777" w:rsidTr="00AB31A7">
        <w:trPr>
          <w:trHeight w:val="255"/>
        </w:trPr>
        <w:tc>
          <w:tcPr>
            <w:tcW w:w="0" w:type="auto"/>
            <w:tcBorders>
              <w:top w:val="nil"/>
              <w:left w:val="nil"/>
              <w:bottom w:val="nil"/>
              <w:right w:val="nil"/>
            </w:tcBorders>
            <w:shd w:val="clear" w:color="000000" w:fill="FFFFFF"/>
            <w:vAlign w:val="center"/>
            <w:hideMark/>
          </w:tcPr>
          <w:p w14:paraId="4716A1D2"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Day case and elective care expenditure</w:t>
            </w:r>
          </w:p>
        </w:tc>
        <w:tc>
          <w:tcPr>
            <w:tcW w:w="0" w:type="auto"/>
            <w:tcBorders>
              <w:top w:val="nil"/>
              <w:left w:val="nil"/>
              <w:bottom w:val="nil"/>
              <w:right w:val="nil"/>
            </w:tcBorders>
            <w:shd w:val="clear" w:color="000000" w:fill="FFFFFF"/>
            <w:noWrap/>
            <w:vAlign w:val="bottom"/>
            <w:hideMark/>
          </w:tcPr>
          <w:p w14:paraId="4A4ACD08"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-0.023</w:t>
            </w:r>
          </w:p>
        </w:tc>
        <w:tc>
          <w:tcPr>
            <w:tcW w:w="0" w:type="auto"/>
            <w:tcBorders>
              <w:top w:val="nil"/>
              <w:left w:val="nil"/>
              <w:bottom w:val="nil"/>
              <w:right w:val="nil"/>
            </w:tcBorders>
            <w:shd w:val="clear" w:color="000000" w:fill="FFFFFF"/>
            <w:noWrap/>
            <w:vAlign w:val="bottom"/>
            <w:hideMark/>
          </w:tcPr>
          <w:p w14:paraId="32A87A48"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0.020</w:t>
            </w:r>
          </w:p>
        </w:tc>
        <w:tc>
          <w:tcPr>
            <w:tcW w:w="0" w:type="auto"/>
            <w:tcBorders>
              <w:top w:val="nil"/>
              <w:left w:val="nil"/>
              <w:bottom w:val="nil"/>
              <w:right w:val="nil"/>
            </w:tcBorders>
            <w:shd w:val="clear" w:color="000000" w:fill="FFFFFF"/>
            <w:noWrap/>
            <w:vAlign w:val="bottom"/>
            <w:hideMark/>
          </w:tcPr>
          <w:p w14:paraId="0467F5D9"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-0.009</w:t>
            </w:r>
          </w:p>
        </w:tc>
        <w:tc>
          <w:tcPr>
            <w:tcW w:w="0" w:type="auto"/>
            <w:tcBorders>
              <w:top w:val="nil"/>
              <w:left w:val="nil"/>
              <w:bottom w:val="nil"/>
              <w:right w:val="nil"/>
            </w:tcBorders>
            <w:shd w:val="clear" w:color="000000" w:fill="FFFFFF"/>
            <w:vAlign w:val="center"/>
            <w:hideMark/>
          </w:tcPr>
          <w:p w14:paraId="234F4992"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Short-term care expenditure</w:t>
            </w:r>
          </w:p>
        </w:tc>
        <w:tc>
          <w:tcPr>
            <w:tcW w:w="0" w:type="auto"/>
            <w:tcBorders>
              <w:top w:val="nil"/>
              <w:left w:val="nil"/>
              <w:bottom w:val="nil"/>
              <w:right w:val="nil"/>
            </w:tcBorders>
            <w:shd w:val="clear" w:color="000000" w:fill="FFFFFF"/>
            <w:noWrap/>
            <w:vAlign w:val="bottom"/>
            <w:hideMark/>
          </w:tcPr>
          <w:p w14:paraId="33C6214F"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-0.990</w:t>
            </w:r>
          </w:p>
        </w:tc>
      </w:tr>
      <w:tr w:rsidR="00A01019" w:rsidRPr="00AB31A7" w14:paraId="63C98B6A" w14:textId="77777777" w:rsidTr="00AB31A7">
        <w:trPr>
          <w:trHeight w:val="255"/>
        </w:trPr>
        <w:tc>
          <w:tcPr>
            <w:tcW w:w="0" w:type="auto"/>
            <w:tcBorders>
              <w:top w:val="nil"/>
              <w:left w:val="nil"/>
              <w:bottom w:val="nil"/>
              <w:right w:val="nil"/>
            </w:tcBorders>
            <w:shd w:val="clear" w:color="000000" w:fill="FFFFFF"/>
            <w:vAlign w:val="center"/>
            <w:hideMark/>
          </w:tcPr>
          <w:p w14:paraId="274C0E25"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Outpatient care expenditure</w:t>
            </w:r>
          </w:p>
        </w:tc>
        <w:tc>
          <w:tcPr>
            <w:tcW w:w="0" w:type="auto"/>
            <w:tcBorders>
              <w:top w:val="nil"/>
              <w:left w:val="nil"/>
              <w:bottom w:val="nil"/>
              <w:right w:val="nil"/>
            </w:tcBorders>
            <w:shd w:val="clear" w:color="000000" w:fill="FFFFFF"/>
            <w:noWrap/>
            <w:vAlign w:val="bottom"/>
            <w:hideMark/>
          </w:tcPr>
          <w:p w14:paraId="2BC7704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-0.028</w:t>
            </w:r>
          </w:p>
        </w:tc>
        <w:tc>
          <w:tcPr>
            <w:tcW w:w="0" w:type="auto"/>
            <w:tcBorders>
              <w:top w:val="nil"/>
              <w:left w:val="nil"/>
              <w:bottom w:val="nil"/>
              <w:right w:val="nil"/>
            </w:tcBorders>
            <w:shd w:val="clear" w:color="000000" w:fill="FFFFFF"/>
            <w:noWrap/>
            <w:vAlign w:val="bottom"/>
            <w:hideMark/>
          </w:tcPr>
          <w:p w14:paraId="1D2ABDD7"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0.156**</w:t>
            </w:r>
          </w:p>
        </w:tc>
        <w:tc>
          <w:tcPr>
            <w:tcW w:w="0" w:type="auto"/>
            <w:tcBorders>
              <w:top w:val="nil"/>
              <w:left w:val="nil"/>
              <w:bottom w:val="nil"/>
              <w:right w:val="nil"/>
            </w:tcBorders>
            <w:shd w:val="clear" w:color="000000" w:fill="FFFFFF"/>
            <w:noWrap/>
            <w:vAlign w:val="bottom"/>
            <w:hideMark/>
          </w:tcPr>
          <w:p w14:paraId="0BC1B27B"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0.089*</w:t>
            </w:r>
          </w:p>
        </w:tc>
        <w:tc>
          <w:tcPr>
            <w:tcW w:w="0" w:type="auto"/>
            <w:tcBorders>
              <w:top w:val="nil"/>
              <w:left w:val="nil"/>
              <w:bottom w:val="nil"/>
              <w:right w:val="nil"/>
            </w:tcBorders>
            <w:shd w:val="clear" w:color="000000" w:fill="FFFFFF"/>
            <w:vAlign w:val="center"/>
            <w:hideMark/>
          </w:tcPr>
          <w:p w14:paraId="20E8D634"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Equipment and adaptations expenditure</w:t>
            </w:r>
          </w:p>
        </w:tc>
        <w:tc>
          <w:tcPr>
            <w:tcW w:w="0" w:type="auto"/>
            <w:tcBorders>
              <w:top w:val="nil"/>
              <w:left w:val="nil"/>
              <w:bottom w:val="nil"/>
              <w:right w:val="nil"/>
            </w:tcBorders>
            <w:shd w:val="clear" w:color="000000" w:fill="FFFFFF"/>
            <w:noWrap/>
            <w:vAlign w:val="bottom"/>
            <w:hideMark/>
          </w:tcPr>
          <w:p w14:paraId="1F6E413D"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-3.457*</w:t>
            </w:r>
          </w:p>
        </w:tc>
      </w:tr>
      <w:tr w:rsidR="00A01019" w:rsidRPr="00AB31A7" w14:paraId="43926467" w14:textId="77777777" w:rsidTr="00AB31A7">
        <w:trPr>
          <w:trHeight w:val="255"/>
        </w:trPr>
        <w:tc>
          <w:tcPr>
            <w:tcW w:w="0" w:type="auto"/>
            <w:tcBorders>
              <w:top w:val="nil"/>
              <w:left w:val="nil"/>
              <w:bottom w:val="nil"/>
              <w:right w:val="nil"/>
            </w:tcBorders>
            <w:shd w:val="clear" w:color="000000" w:fill="FFFFFF"/>
            <w:vAlign w:val="center"/>
            <w:hideMark/>
          </w:tcPr>
          <w:p w14:paraId="45F63B92"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Unbundled diagnostic imaging expenditure</w:t>
            </w:r>
          </w:p>
        </w:tc>
        <w:tc>
          <w:tcPr>
            <w:tcW w:w="0" w:type="auto"/>
            <w:tcBorders>
              <w:top w:val="nil"/>
              <w:left w:val="nil"/>
              <w:bottom w:val="nil"/>
              <w:right w:val="nil"/>
            </w:tcBorders>
            <w:shd w:val="clear" w:color="000000" w:fill="FFFFFF"/>
            <w:noWrap/>
            <w:vAlign w:val="bottom"/>
            <w:hideMark/>
          </w:tcPr>
          <w:p w14:paraId="1258369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-0.122</w:t>
            </w:r>
          </w:p>
        </w:tc>
        <w:tc>
          <w:tcPr>
            <w:tcW w:w="0" w:type="auto"/>
            <w:tcBorders>
              <w:top w:val="nil"/>
              <w:left w:val="nil"/>
              <w:bottom w:val="nil"/>
              <w:right w:val="nil"/>
            </w:tcBorders>
            <w:shd w:val="clear" w:color="000000" w:fill="FFFFFF"/>
            <w:noWrap/>
            <w:vAlign w:val="bottom"/>
            <w:hideMark/>
          </w:tcPr>
          <w:p w14:paraId="5D34186C"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-0.141</w:t>
            </w:r>
          </w:p>
        </w:tc>
        <w:tc>
          <w:tcPr>
            <w:tcW w:w="0" w:type="auto"/>
            <w:tcBorders>
              <w:top w:val="nil"/>
              <w:left w:val="nil"/>
              <w:bottom w:val="nil"/>
              <w:right w:val="nil"/>
            </w:tcBorders>
            <w:shd w:val="clear" w:color="000000" w:fill="FFFFFF"/>
            <w:noWrap/>
            <w:vAlign w:val="bottom"/>
            <w:hideMark/>
          </w:tcPr>
          <w:p w14:paraId="3299DCF3"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-0.759**</w:t>
            </w:r>
          </w:p>
        </w:tc>
        <w:tc>
          <w:tcPr>
            <w:tcW w:w="0" w:type="auto"/>
            <w:tcBorders>
              <w:top w:val="nil"/>
              <w:left w:val="nil"/>
              <w:bottom w:val="nil"/>
              <w:right w:val="nil"/>
            </w:tcBorders>
            <w:shd w:val="clear" w:color="000000" w:fill="FFFFFF"/>
            <w:vAlign w:val="center"/>
            <w:hideMark/>
          </w:tcPr>
          <w:p w14:paraId="53BE177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Information and early intervention expenditure</w:t>
            </w:r>
          </w:p>
        </w:tc>
        <w:tc>
          <w:tcPr>
            <w:tcW w:w="0" w:type="auto"/>
            <w:tcBorders>
              <w:top w:val="nil"/>
              <w:left w:val="nil"/>
              <w:bottom w:val="nil"/>
              <w:right w:val="nil"/>
            </w:tcBorders>
            <w:shd w:val="clear" w:color="000000" w:fill="FFFFFF"/>
            <w:noWrap/>
            <w:vAlign w:val="bottom"/>
            <w:hideMark/>
          </w:tcPr>
          <w:p w14:paraId="3E970B1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0.522</w:t>
            </w:r>
          </w:p>
        </w:tc>
      </w:tr>
      <w:tr w:rsidR="00A01019" w:rsidRPr="00AB31A7" w14:paraId="3EDDDAEA" w14:textId="77777777" w:rsidTr="00AB31A7">
        <w:trPr>
          <w:trHeight w:val="255"/>
        </w:trPr>
        <w:tc>
          <w:tcPr>
            <w:tcW w:w="0" w:type="auto"/>
            <w:tcBorders>
              <w:top w:val="nil"/>
              <w:left w:val="nil"/>
              <w:bottom w:val="nil"/>
              <w:right w:val="nil"/>
            </w:tcBorders>
            <w:shd w:val="clear" w:color="000000" w:fill="FFFFFF"/>
            <w:vAlign w:val="center"/>
            <w:hideMark/>
          </w:tcPr>
          <w:p w14:paraId="62228979"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Unbundled critical care expenditure</w:t>
            </w:r>
          </w:p>
        </w:tc>
        <w:tc>
          <w:tcPr>
            <w:tcW w:w="0" w:type="auto"/>
            <w:tcBorders>
              <w:top w:val="nil"/>
              <w:left w:val="nil"/>
              <w:bottom w:val="nil"/>
              <w:right w:val="nil"/>
            </w:tcBorders>
            <w:shd w:val="clear" w:color="000000" w:fill="FFFFFF"/>
            <w:noWrap/>
            <w:vAlign w:val="bottom"/>
            <w:hideMark/>
          </w:tcPr>
          <w:p w14:paraId="6200E0C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-0.192***</w:t>
            </w:r>
          </w:p>
        </w:tc>
        <w:tc>
          <w:tcPr>
            <w:tcW w:w="0" w:type="auto"/>
            <w:tcBorders>
              <w:top w:val="nil"/>
              <w:left w:val="nil"/>
              <w:bottom w:val="nil"/>
              <w:right w:val="nil"/>
            </w:tcBorders>
            <w:shd w:val="clear" w:color="000000" w:fill="FFFFFF"/>
            <w:noWrap/>
            <w:vAlign w:val="bottom"/>
            <w:hideMark/>
          </w:tcPr>
          <w:p w14:paraId="56BC8C8F"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noWrap/>
            <w:vAlign w:val="bottom"/>
            <w:hideMark/>
          </w:tcPr>
          <w:p w14:paraId="1A69285D"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vAlign w:val="center"/>
            <w:hideMark/>
          </w:tcPr>
          <w:p w14:paraId="4F3E262A"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Social care activities expenditure</w:t>
            </w:r>
          </w:p>
        </w:tc>
        <w:tc>
          <w:tcPr>
            <w:tcW w:w="0" w:type="auto"/>
            <w:tcBorders>
              <w:top w:val="nil"/>
              <w:left w:val="nil"/>
              <w:bottom w:val="nil"/>
              <w:right w:val="nil"/>
            </w:tcBorders>
            <w:shd w:val="clear" w:color="000000" w:fill="FFFFFF"/>
            <w:noWrap/>
            <w:vAlign w:val="bottom"/>
            <w:hideMark/>
          </w:tcPr>
          <w:p w14:paraId="1E4B03CF"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-0.370</w:t>
            </w:r>
          </w:p>
        </w:tc>
      </w:tr>
      <w:tr w:rsidR="00A01019" w:rsidRPr="00AB31A7" w14:paraId="7BE7EC22" w14:textId="77777777" w:rsidTr="00AB31A7">
        <w:trPr>
          <w:trHeight w:val="255"/>
        </w:trPr>
        <w:tc>
          <w:tcPr>
            <w:tcW w:w="0" w:type="auto"/>
            <w:tcBorders>
              <w:top w:val="nil"/>
              <w:left w:val="nil"/>
              <w:bottom w:val="nil"/>
              <w:right w:val="nil"/>
            </w:tcBorders>
            <w:shd w:val="clear" w:color="000000" w:fill="FFFFFF"/>
            <w:vAlign w:val="center"/>
            <w:hideMark/>
          </w:tcPr>
          <w:p w14:paraId="60241E1E"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Unbundled drugs and devices expenditure</w:t>
            </w:r>
          </w:p>
        </w:tc>
        <w:tc>
          <w:tcPr>
            <w:tcW w:w="0" w:type="auto"/>
            <w:tcBorders>
              <w:top w:val="nil"/>
              <w:left w:val="nil"/>
              <w:bottom w:val="nil"/>
              <w:right w:val="nil"/>
            </w:tcBorders>
            <w:shd w:val="clear" w:color="000000" w:fill="FFFFFF"/>
            <w:noWrap/>
            <w:vAlign w:val="bottom"/>
            <w:hideMark/>
          </w:tcPr>
          <w:p w14:paraId="64A4604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0.048</w:t>
            </w:r>
          </w:p>
        </w:tc>
        <w:tc>
          <w:tcPr>
            <w:tcW w:w="0" w:type="auto"/>
            <w:tcBorders>
              <w:top w:val="nil"/>
              <w:left w:val="nil"/>
              <w:bottom w:val="nil"/>
              <w:right w:val="nil"/>
            </w:tcBorders>
            <w:shd w:val="clear" w:color="000000" w:fill="FFFFFF"/>
            <w:noWrap/>
            <w:vAlign w:val="bottom"/>
            <w:hideMark/>
          </w:tcPr>
          <w:p w14:paraId="110F7066"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0.278</w:t>
            </w:r>
          </w:p>
        </w:tc>
        <w:tc>
          <w:tcPr>
            <w:tcW w:w="0" w:type="auto"/>
            <w:tcBorders>
              <w:top w:val="nil"/>
              <w:left w:val="nil"/>
              <w:bottom w:val="nil"/>
              <w:right w:val="nil"/>
            </w:tcBorders>
            <w:shd w:val="clear" w:color="000000" w:fill="FFFFFF"/>
            <w:noWrap/>
            <w:vAlign w:val="bottom"/>
            <w:hideMark/>
          </w:tcPr>
          <w:p w14:paraId="1857A74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-0.121</w:t>
            </w:r>
          </w:p>
        </w:tc>
        <w:tc>
          <w:tcPr>
            <w:tcW w:w="0" w:type="auto"/>
            <w:tcBorders>
              <w:top w:val="nil"/>
              <w:left w:val="nil"/>
              <w:bottom w:val="nil"/>
              <w:right w:val="nil"/>
            </w:tcBorders>
            <w:shd w:val="clear" w:color="000000" w:fill="FFFFFF"/>
            <w:vAlign w:val="center"/>
            <w:hideMark/>
          </w:tcPr>
          <w:p w14:paraId="75B97821"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Commissioning and service delivery expenditure</w:t>
            </w:r>
          </w:p>
        </w:tc>
        <w:tc>
          <w:tcPr>
            <w:tcW w:w="0" w:type="auto"/>
            <w:tcBorders>
              <w:top w:val="nil"/>
              <w:left w:val="nil"/>
              <w:bottom w:val="nil"/>
              <w:right w:val="nil"/>
            </w:tcBorders>
            <w:shd w:val="clear" w:color="000000" w:fill="FFFFFF"/>
            <w:noWrap/>
            <w:vAlign w:val="bottom"/>
            <w:hideMark/>
          </w:tcPr>
          <w:p w14:paraId="6742774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1.538</w:t>
            </w:r>
          </w:p>
        </w:tc>
      </w:tr>
      <w:tr w:rsidR="00A01019" w:rsidRPr="00AB31A7" w14:paraId="5DF002EC" w14:textId="77777777" w:rsidTr="00AB31A7">
        <w:trPr>
          <w:trHeight w:val="255"/>
        </w:trPr>
        <w:tc>
          <w:tcPr>
            <w:tcW w:w="0" w:type="auto"/>
            <w:tcBorders>
              <w:top w:val="nil"/>
              <w:left w:val="nil"/>
              <w:bottom w:val="nil"/>
              <w:right w:val="nil"/>
            </w:tcBorders>
            <w:shd w:val="clear" w:color="000000" w:fill="FFFFFF"/>
            <w:vAlign w:val="center"/>
            <w:hideMark/>
          </w:tcPr>
          <w:p w14:paraId="0B5ADDC6"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Other secondary care expenditure</w:t>
            </w:r>
          </w:p>
        </w:tc>
        <w:tc>
          <w:tcPr>
            <w:tcW w:w="0" w:type="auto"/>
            <w:tcBorders>
              <w:top w:val="nil"/>
              <w:left w:val="nil"/>
              <w:bottom w:val="nil"/>
              <w:right w:val="nil"/>
            </w:tcBorders>
            <w:shd w:val="clear" w:color="000000" w:fill="FFFFFF"/>
            <w:noWrap/>
            <w:vAlign w:val="bottom"/>
            <w:hideMark/>
          </w:tcPr>
          <w:p w14:paraId="37FAAD80"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0.115</w:t>
            </w:r>
          </w:p>
        </w:tc>
        <w:tc>
          <w:tcPr>
            <w:tcW w:w="0" w:type="auto"/>
            <w:tcBorders>
              <w:top w:val="nil"/>
              <w:left w:val="nil"/>
              <w:bottom w:val="nil"/>
              <w:right w:val="nil"/>
            </w:tcBorders>
            <w:shd w:val="clear" w:color="000000" w:fill="FFFFFF"/>
            <w:noWrap/>
            <w:vAlign w:val="bottom"/>
            <w:hideMark/>
          </w:tcPr>
          <w:p w14:paraId="26DEE6A9"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-0.202</w:t>
            </w:r>
          </w:p>
        </w:tc>
        <w:tc>
          <w:tcPr>
            <w:tcW w:w="0" w:type="auto"/>
            <w:tcBorders>
              <w:top w:val="nil"/>
              <w:left w:val="nil"/>
              <w:bottom w:val="nil"/>
              <w:right w:val="nil"/>
            </w:tcBorders>
            <w:shd w:val="clear" w:color="000000" w:fill="FFFFFF"/>
            <w:noWrap/>
            <w:vAlign w:val="bottom"/>
            <w:hideMark/>
          </w:tcPr>
          <w:p w14:paraId="5043AF18"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0.089</w:t>
            </w:r>
          </w:p>
        </w:tc>
        <w:tc>
          <w:tcPr>
            <w:tcW w:w="0" w:type="auto"/>
            <w:tcBorders>
              <w:top w:val="nil"/>
              <w:left w:val="nil"/>
              <w:bottom w:val="nil"/>
              <w:right w:val="nil"/>
            </w:tcBorders>
            <w:shd w:val="clear" w:color="000000" w:fill="FFFFFF"/>
            <w:vAlign w:val="center"/>
            <w:hideMark/>
          </w:tcPr>
          <w:p w14:paraId="4FA1136B"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7172D8B1"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01019" w:rsidRPr="00AB31A7" w14:paraId="4A7037C2" w14:textId="77777777" w:rsidTr="00AB31A7">
        <w:trPr>
          <w:trHeight w:val="255"/>
        </w:trPr>
        <w:tc>
          <w:tcPr>
            <w:tcW w:w="0" w:type="auto"/>
            <w:tcBorders>
              <w:top w:val="nil"/>
              <w:left w:val="nil"/>
              <w:bottom w:val="nil"/>
              <w:right w:val="nil"/>
            </w:tcBorders>
            <w:shd w:val="clear" w:color="000000" w:fill="FFFFFF"/>
            <w:vAlign w:val="center"/>
            <w:hideMark/>
          </w:tcPr>
          <w:p w14:paraId="5BAD050E"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Primary care prescribing expenditure</w:t>
            </w:r>
          </w:p>
        </w:tc>
        <w:tc>
          <w:tcPr>
            <w:tcW w:w="0" w:type="auto"/>
            <w:tcBorders>
              <w:top w:val="nil"/>
              <w:left w:val="nil"/>
              <w:bottom w:val="nil"/>
              <w:right w:val="nil"/>
            </w:tcBorders>
            <w:shd w:val="clear" w:color="000000" w:fill="FFFFFF"/>
            <w:noWrap/>
            <w:vAlign w:val="bottom"/>
            <w:hideMark/>
          </w:tcPr>
          <w:p w14:paraId="17A7C47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-0.013</w:t>
            </w:r>
          </w:p>
        </w:tc>
        <w:tc>
          <w:tcPr>
            <w:tcW w:w="0" w:type="auto"/>
            <w:tcBorders>
              <w:top w:val="nil"/>
              <w:left w:val="nil"/>
              <w:bottom w:val="nil"/>
              <w:right w:val="nil"/>
            </w:tcBorders>
            <w:shd w:val="clear" w:color="000000" w:fill="FFFFFF"/>
            <w:noWrap/>
            <w:vAlign w:val="bottom"/>
            <w:hideMark/>
          </w:tcPr>
          <w:p w14:paraId="1A284BD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-0.021</w:t>
            </w:r>
          </w:p>
        </w:tc>
        <w:tc>
          <w:tcPr>
            <w:tcW w:w="0" w:type="auto"/>
            <w:tcBorders>
              <w:top w:val="nil"/>
              <w:left w:val="nil"/>
              <w:bottom w:val="nil"/>
              <w:right w:val="nil"/>
            </w:tcBorders>
            <w:shd w:val="clear" w:color="000000" w:fill="FFFFFF"/>
            <w:noWrap/>
            <w:vAlign w:val="bottom"/>
            <w:hideMark/>
          </w:tcPr>
          <w:p w14:paraId="16F34031"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0.067</w:t>
            </w:r>
          </w:p>
        </w:tc>
        <w:tc>
          <w:tcPr>
            <w:tcW w:w="0" w:type="auto"/>
            <w:tcBorders>
              <w:top w:val="nil"/>
              <w:left w:val="nil"/>
              <w:bottom w:val="nil"/>
              <w:right w:val="nil"/>
            </w:tcBorders>
            <w:shd w:val="clear" w:color="000000" w:fill="FFFFFF"/>
            <w:vAlign w:val="center"/>
            <w:hideMark/>
          </w:tcPr>
          <w:p w14:paraId="0CF268A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4AA581C5"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01019" w:rsidRPr="00AB31A7" w14:paraId="45FD58B4" w14:textId="77777777" w:rsidTr="00AB31A7">
        <w:trPr>
          <w:trHeight w:val="255"/>
        </w:trPr>
        <w:tc>
          <w:tcPr>
            <w:tcW w:w="0" w:type="auto"/>
            <w:tcBorders>
              <w:top w:val="nil"/>
              <w:left w:val="nil"/>
              <w:bottom w:val="nil"/>
              <w:right w:val="nil"/>
            </w:tcBorders>
            <w:shd w:val="clear" w:color="000000" w:fill="FFFFFF"/>
            <w:vAlign w:val="center"/>
            <w:hideMark/>
          </w:tcPr>
          <w:p w14:paraId="4E17FB79"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Direct access diagnostic imaging expenditure</w:t>
            </w:r>
          </w:p>
        </w:tc>
        <w:tc>
          <w:tcPr>
            <w:tcW w:w="0" w:type="auto"/>
            <w:tcBorders>
              <w:top w:val="nil"/>
              <w:left w:val="nil"/>
              <w:bottom w:val="nil"/>
              <w:right w:val="nil"/>
            </w:tcBorders>
            <w:shd w:val="clear" w:color="000000" w:fill="FFFFFF"/>
            <w:noWrap/>
            <w:vAlign w:val="bottom"/>
            <w:hideMark/>
          </w:tcPr>
          <w:p w14:paraId="09171D50"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-0.313**</w:t>
            </w:r>
          </w:p>
        </w:tc>
        <w:tc>
          <w:tcPr>
            <w:tcW w:w="0" w:type="auto"/>
            <w:tcBorders>
              <w:top w:val="nil"/>
              <w:left w:val="nil"/>
              <w:bottom w:val="nil"/>
              <w:right w:val="nil"/>
            </w:tcBorders>
            <w:shd w:val="clear" w:color="000000" w:fill="FFFFFF"/>
            <w:noWrap/>
            <w:vAlign w:val="bottom"/>
            <w:hideMark/>
          </w:tcPr>
          <w:p w14:paraId="56CC3D0F"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w:t>
            </w:r>
          </w:p>
        </w:tc>
        <w:tc>
          <w:tcPr>
            <w:tcW w:w="0" w:type="auto"/>
            <w:tcBorders>
              <w:top w:val="nil"/>
              <w:left w:val="nil"/>
              <w:bottom w:val="nil"/>
              <w:right w:val="nil"/>
            </w:tcBorders>
            <w:shd w:val="clear" w:color="000000" w:fill="FFFFFF"/>
            <w:noWrap/>
            <w:vAlign w:val="bottom"/>
            <w:hideMark/>
          </w:tcPr>
          <w:p w14:paraId="744F4EB9"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w:t>
            </w:r>
          </w:p>
        </w:tc>
        <w:tc>
          <w:tcPr>
            <w:tcW w:w="0" w:type="auto"/>
            <w:tcBorders>
              <w:top w:val="nil"/>
              <w:left w:val="nil"/>
              <w:bottom w:val="nil"/>
              <w:right w:val="nil"/>
            </w:tcBorders>
            <w:shd w:val="clear" w:color="000000" w:fill="FFFFFF"/>
            <w:vAlign w:val="center"/>
            <w:hideMark/>
          </w:tcPr>
          <w:p w14:paraId="218C0D1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14DEE4D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01019" w:rsidRPr="00AB31A7" w14:paraId="7A4D7034" w14:textId="77777777" w:rsidTr="00AB31A7">
        <w:trPr>
          <w:trHeight w:val="255"/>
        </w:trPr>
        <w:tc>
          <w:tcPr>
            <w:tcW w:w="0" w:type="auto"/>
            <w:tcBorders>
              <w:top w:val="nil"/>
              <w:left w:val="nil"/>
              <w:bottom w:val="nil"/>
              <w:right w:val="nil"/>
            </w:tcBorders>
            <w:shd w:val="clear" w:color="000000" w:fill="FFFFFF"/>
            <w:vAlign w:val="center"/>
            <w:hideMark/>
          </w:tcPr>
          <w:p w14:paraId="2340DA5E"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Community and integrated care expenditure</w:t>
            </w:r>
          </w:p>
        </w:tc>
        <w:tc>
          <w:tcPr>
            <w:tcW w:w="0" w:type="auto"/>
            <w:tcBorders>
              <w:top w:val="nil"/>
              <w:left w:val="nil"/>
              <w:bottom w:val="nil"/>
              <w:right w:val="nil"/>
            </w:tcBorders>
            <w:shd w:val="clear" w:color="000000" w:fill="FFFFFF"/>
            <w:noWrap/>
            <w:vAlign w:val="bottom"/>
            <w:hideMark/>
          </w:tcPr>
          <w:p w14:paraId="0A060DFC"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0.032</w:t>
            </w:r>
          </w:p>
        </w:tc>
        <w:tc>
          <w:tcPr>
            <w:tcW w:w="0" w:type="auto"/>
            <w:tcBorders>
              <w:top w:val="nil"/>
              <w:left w:val="nil"/>
              <w:bottom w:val="nil"/>
              <w:right w:val="nil"/>
            </w:tcBorders>
            <w:shd w:val="clear" w:color="000000" w:fill="FFFFFF"/>
            <w:noWrap/>
            <w:vAlign w:val="bottom"/>
            <w:hideMark/>
          </w:tcPr>
          <w:p w14:paraId="25533B1D"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0.103</w:t>
            </w:r>
          </w:p>
        </w:tc>
        <w:tc>
          <w:tcPr>
            <w:tcW w:w="0" w:type="auto"/>
            <w:tcBorders>
              <w:top w:val="nil"/>
              <w:left w:val="nil"/>
              <w:bottom w:val="nil"/>
              <w:right w:val="nil"/>
            </w:tcBorders>
            <w:shd w:val="clear" w:color="000000" w:fill="FFFFFF"/>
            <w:noWrap/>
            <w:vAlign w:val="bottom"/>
            <w:hideMark/>
          </w:tcPr>
          <w:p w14:paraId="050F94B7"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0.146</w:t>
            </w:r>
          </w:p>
        </w:tc>
        <w:tc>
          <w:tcPr>
            <w:tcW w:w="0" w:type="auto"/>
            <w:tcBorders>
              <w:top w:val="nil"/>
              <w:left w:val="nil"/>
              <w:bottom w:val="nil"/>
              <w:right w:val="nil"/>
            </w:tcBorders>
            <w:shd w:val="clear" w:color="000000" w:fill="FFFFFF"/>
            <w:vAlign w:val="center"/>
            <w:hideMark/>
          </w:tcPr>
          <w:p w14:paraId="41C8E76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536239B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01019" w:rsidRPr="00AB31A7" w14:paraId="556AA8D2" w14:textId="77777777" w:rsidTr="00AB31A7">
        <w:trPr>
          <w:trHeight w:val="255"/>
        </w:trPr>
        <w:tc>
          <w:tcPr>
            <w:tcW w:w="0" w:type="auto"/>
            <w:tcBorders>
              <w:top w:val="nil"/>
              <w:left w:val="nil"/>
              <w:bottom w:val="nil"/>
              <w:right w:val="nil"/>
            </w:tcBorders>
            <w:shd w:val="clear" w:color="000000" w:fill="FFFFFF"/>
            <w:vAlign w:val="center"/>
            <w:hideMark/>
          </w:tcPr>
          <w:p w14:paraId="07D680B7"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End of life care expenditure</w:t>
            </w:r>
          </w:p>
        </w:tc>
        <w:tc>
          <w:tcPr>
            <w:tcW w:w="0" w:type="auto"/>
            <w:tcBorders>
              <w:top w:val="nil"/>
              <w:left w:val="nil"/>
              <w:bottom w:val="nil"/>
              <w:right w:val="nil"/>
            </w:tcBorders>
            <w:shd w:val="clear" w:color="000000" w:fill="FFFFFF"/>
            <w:noWrap/>
            <w:vAlign w:val="bottom"/>
            <w:hideMark/>
          </w:tcPr>
          <w:p w14:paraId="4B14AFD7"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0.320**</w:t>
            </w:r>
          </w:p>
        </w:tc>
        <w:tc>
          <w:tcPr>
            <w:tcW w:w="0" w:type="auto"/>
            <w:tcBorders>
              <w:top w:val="nil"/>
              <w:left w:val="nil"/>
              <w:bottom w:val="nil"/>
              <w:right w:val="nil"/>
            </w:tcBorders>
            <w:shd w:val="clear" w:color="000000" w:fill="FFFFFF"/>
            <w:noWrap/>
            <w:vAlign w:val="bottom"/>
            <w:hideMark/>
          </w:tcPr>
          <w:p w14:paraId="73AAB041"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noWrap/>
            <w:vAlign w:val="bottom"/>
            <w:hideMark/>
          </w:tcPr>
          <w:p w14:paraId="7638B60E"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vAlign w:val="center"/>
            <w:hideMark/>
          </w:tcPr>
          <w:p w14:paraId="78AD2E72"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26DBB2E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01019" w:rsidRPr="00AB31A7" w14:paraId="27F44DAC" w14:textId="77777777" w:rsidTr="00AB31A7">
        <w:trPr>
          <w:trHeight w:val="255"/>
        </w:trPr>
        <w:tc>
          <w:tcPr>
            <w:tcW w:w="0" w:type="auto"/>
            <w:tcBorders>
              <w:top w:val="nil"/>
              <w:left w:val="nil"/>
              <w:bottom w:val="nil"/>
              <w:right w:val="nil"/>
            </w:tcBorders>
            <w:shd w:val="clear" w:color="000000" w:fill="FFFFFF"/>
            <w:vAlign w:val="center"/>
            <w:hideMark/>
          </w:tcPr>
          <w:p w14:paraId="77DB71E1"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Running costs</w:t>
            </w:r>
          </w:p>
        </w:tc>
        <w:tc>
          <w:tcPr>
            <w:tcW w:w="0" w:type="auto"/>
            <w:tcBorders>
              <w:top w:val="nil"/>
              <w:left w:val="nil"/>
              <w:bottom w:val="nil"/>
              <w:right w:val="nil"/>
            </w:tcBorders>
            <w:shd w:val="clear" w:color="000000" w:fill="FFFFFF"/>
            <w:noWrap/>
            <w:vAlign w:val="bottom"/>
            <w:hideMark/>
          </w:tcPr>
          <w:p w14:paraId="38ACACAA"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0.112***</w:t>
            </w:r>
          </w:p>
        </w:tc>
        <w:tc>
          <w:tcPr>
            <w:tcW w:w="0" w:type="auto"/>
            <w:tcBorders>
              <w:top w:val="nil"/>
              <w:left w:val="nil"/>
              <w:bottom w:val="nil"/>
              <w:right w:val="nil"/>
            </w:tcBorders>
            <w:shd w:val="clear" w:color="000000" w:fill="FFFFFF"/>
            <w:noWrap/>
            <w:vAlign w:val="bottom"/>
            <w:hideMark/>
          </w:tcPr>
          <w:p w14:paraId="5368CD33"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noWrap/>
            <w:vAlign w:val="bottom"/>
            <w:hideMark/>
          </w:tcPr>
          <w:p w14:paraId="7694F664"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w:t>
            </w:r>
          </w:p>
        </w:tc>
        <w:tc>
          <w:tcPr>
            <w:tcW w:w="0" w:type="auto"/>
            <w:tcBorders>
              <w:top w:val="nil"/>
              <w:left w:val="nil"/>
              <w:bottom w:val="nil"/>
              <w:right w:val="nil"/>
            </w:tcBorders>
            <w:shd w:val="clear" w:color="000000" w:fill="FFFFFF"/>
            <w:vAlign w:val="center"/>
            <w:hideMark/>
          </w:tcPr>
          <w:p w14:paraId="4BBD4480"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bottom"/>
            <w:hideMark/>
          </w:tcPr>
          <w:p w14:paraId="36F9CB2D" w14:textId="77777777" w:rsidR="00AB31A7" w:rsidRPr="00AB31A7" w:rsidRDefault="00AB31A7" w:rsidP="00AB31A7">
            <w:pPr>
              <w:widowControl/>
              <w:spacing w:after="0"/>
              <w:jc w:val="center"/>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w:t>
            </w:r>
          </w:p>
        </w:tc>
      </w:tr>
      <w:tr w:rsidR="00AB31A7" w:rsidRPr="00AB31A7" w14:paraId="60ECE972" w14:textId="77777777" w:rsidTr="00AF3E1E">
        <w:trPr>
          <w:trHeight w:val="499"/>
        </w:trPr>
        <w:tc>
          <w:tcPr>
            <w:tcW w:w="0" w:type="auto"/>
            <w:gridSpan w:val="6"/>
            <w:tcBorders>
              <w:top w:val="single" w:sz="4" w:space="0" w:color="auto"/>
              <w:left w:val="nil"/>
              <w:bottom w:val="nil"/>
              <w:right w:val="nil"/>
            </w:tcBorders>
            <w:shd w:val="clear" w:color="000000" w:fill="FFFFFF"/>
            <w:vAlign w:val="center"/>
            <w:hideMark/>
          </w:tcPr>
          <w:p w14:paraId="62548E88" w14:textId="346E08EE"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NR=not reported because the estimate for expenditure on all diseases is at least weakly statistically significant at the 10% level, -=analysis not carried out because more than 15% of LAs in the sample have zero-expenditure.</w:t>
            </w:r>
          </w:p>
        </w:tc>
      </w:tr>
      <w:tr w:rsidR="00AB31A7" w:rsidRPr="00AB31A7" w14:paraId="4218F506" w14:textId="77777777" w:rsidTr="00AF3E1E">
        <w:trPr>
          <w:trHeight w:val="1245"/>
        </w:trPr>
        <w:tc>
          <w:tcPr>
            <w:tcW w:w="0" w:type="auto"/>
            <w:gridSpan w:val="6"/>
            <w:tcBorders>
              <w:top w:val="nil"/>
              <w:left w:val="nil"/>
              <w:bottom w:val="nil"/>
              <w:right w:val="nil"/>
            </w:tcBorders>
            <w:shd w:val="clear" w:color="000000" w:fill="FFFFFF"/>
            <w:vAlign w:val="center"/>
            <w:hideMark/>
          </w:tcPr>
          <w:p w14:paraId="7BC4A5C8" w14:textId="63D10D12"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 xml:space="preserve">All HC and LTC expenditure variables are per capita or per user, respectively. Estimates on the effect of </w:t>
            </w:r>
            <w:r w:rsidR="00CE7FEB">
              <w:rPr>
                <w:rFonts w:ascii="Calibri" w:eastAsia="Times New Roman" w:hAnsi="Calibri" w:cs="Calibri"/>
                <w:sz w:val="20"/>
                <w:szCs w:val="20"/>
                <w:lang w:eastAsia="en-GB"/>
              </w:rPr>
              <w:t xml:space="preserve">ln of </w:t>
            </w:r>
            <w:r w:rsidRPr="00AB31A7">
              <w:rPr>
                <w:rFonts w:ascii="Calibri" w:eastAsia="Times New Roman" w:hAnsi="Calibri" w:cs="Calibri"/>
                <w:sz w:val="20"/>
                <w:szCs w:val="20"/>
                <w:lang w:eastAsia="en-GB"/>
              </w:rPr>
              <w:t xml:space="preserve">long-term care expenditure per user on </w:t>
            </w:r>
            <w:r w:rsidR="00CE7FEB">
              <w:rPr>
                <w:rFonts w:ascii="Calibri" w:eastAsia="Times New Roman" w:hAnsi="Calibri" w:cs="Calibri"/>
                <w:sz w:val="20"/>
                <w:szCs w:val="20"/>
                <w:lang w:eastAsia="en-GB"/>
              </w:rPr>
              <w:t xml:space="preserve">ln of </w:t>
            </w:r>
            <w:r w:rsidRPr="00AB31A7">
              <w:rPr>
                <w:rFonts w:ascii="Calibri" w:eastAsia="Times New Roman" w:hAnsi="Calibri" w:cs="Calibri"/>
                <w:sz w:val="20"/>
                <w:szCs w:val="20"/>
                <w:lang w:eastAsia="en-GB"/>
              </w:rPr>
              <w:t xml:space="preserve">health care expenditure per capita variables are obtained from a just-identified instrumental variable specification, where the only instrument is ln of council tax base per user. Estimates on the effect of </w:t>
            </w:r>
            <w:r w:rsidR="00CE7FEB">
              <w:rPr>
                <w:rFonts w:ascii="Calibri" w:eastAsia="Times New Roman" w:hAnsi="Calibri" w:cs="Calibri"/>
                <w:sz w:val="20"/>
                <w:szCs w:val="20"/>
                <w:lang w:eastAsia="en-GB"/>
              </w:rPr>
              <w:t xml:space="preserve">ln of </w:t>
            </w:r>
            <w:r w:rsidRPr="00AB31A7">
              <w:rPr>
                <w:rFonts w:ascii="Calibri" w:eastAsia="Times New Roman" w:hAnsi="Calibri" w:cs="Calibri"/>
                <w:sz w:val="20"/>
                <w:szCs w:val="20"/>
                <w:lang w:eastAsia="en-GB"/>
              </w:rPr>
              <w:t xml:space="preserve">health care expenditure per capita on </w:t>
            </w:r>
            <w:r w:rsidR="00CE7FEB">
              <w:rPr>
                <w:rFonts w:ascii="Calibri" w:eastAsia="Times New Roman" w:hAnsi="Calibri" w:cs="Calibri"/>
                <w:sz w:val="20"/>
                <w:szCs w:val="20"/>
                <w:lang w:eastAsia="en-GB"/>
              </w:rPr>
              <w:t xml:space="preserve">ln of </w:t>
            </w:r>
            <w:r w:rsidRPr="00AB31A7">
              <w:rPr>
                <w:rFonts w:ascii="Calibri" w:eastAsia="Times New Roman" w:hAnsi="Calibri" w:cs="Calibri"/>
                <w:sz w:val="20"/>
                <w:szCs w:val="20"/>
                <w:lang w:eastAsia="en-GB"/>
              </w:rPr>
              <w:t>long-term care expenditure per user variables are obtained from an over-identified instrumental variable specification, where the instruments are ln of distance from target index, ln of age-cost index, ln of market forces factor index, and ln of council tax base per user.</w:t>
            </w:r>
          </w:p>
        </w:tc>
      </w:tr>
      <w:tr w:rsidR="00AB31A7" w:rsidRPr="00AB31A7" w14:paraId="162B3852" w14:textId="77777777" w:rsidTr="00AF3E1E">
        <w:trPr>
          <w:trHeight w:val="255"/>
        </w:trPr>
        <w:tc>
          <w:tcPr>
            <w:tcW w:w="0" w:type="auto"/>
            <w:gridSpan w:val="6"/>
            <w:tcBorders>
              <w:top w:val="nil"/>
              <w:left w:val="nil"/>
              <w:bottom w:val="single" w:sz="4" w:space="0" w:color="auto"/>
              <w:right w:val="nil"/>
            </w:tcBorders>
            <w:shd w:val="clear" w:color="000000" w:fill="FFFFFF"/>
            <w:noWrap/>
            <w:vAlign w:val="center"/>
            <w:hideMark/>
          </w:tcPr>
          <w:p w14:paraId="527CBB53" w14:textId="77777777" w:rsidR="00AB31A7" w:rsidRPr="00AB31A7" w:rsidRDefault="00AB31A7" w:rsidP="00AB31A7">
            <w:pPr>
              <w:widowControl/>
              <w:spacing w:after="0"/>
              <w:jc w:val="left"/>
              <w:rPr>
                <w:rFonts w:ascii="Calibri" w:eastAsia="Times New Roman" w:hAnsi="Calibri" w:cs="Calibri"/>
                <w:sz w:val="20"/>
                <w:szCs w:val="20"/>
                <w:lang w:eastAsia="en-GB"/>
              </w:rPr>
            </w:pPr>
            <w:r w:rsidRPr="00AB31A7">
              <w:rPr>
                <w:rFonts w:ascii="Calibri" w:eastAsia="Times New Roman" w:hAnsi="Calibri" w:cs="Calibri"/>
                <w:sz w:val="20"/>
                <w:szCs w:val="20"/>
                <w:lang w:eastAsia="en-GB"/>
              </w:rPr>
              <w:t>***=p-value&lt;0.01, **=p-value&lt;0.05, *=p-value&lt;0.1</w:t>
            </w:r>
          </w:p>
        </w:tc>
      </w:tr>
    </w:tbl>
    <w:p w14:paraId="2215B476" w14:textId="77777777" w:rsidR="00B63B3F" w:rsidRPr="002A4884" w:rsidRDefault="00B63B3F" w:rsidP="00EA4280"/>
    <w:p w14:paraId="0A202065" w14:textId="760ABDE3" w:rsidR="00CD1AD8" w:rsidRPr="002A4884" w:rsidRDefault="00CD1AD8" w:rsidP="00EA4280"/>
    <w:p w14:paraId="5236A2C8" w14:textId="77777777" w:rsidR="00200A87" w:rsidRPr="002A4884" w:rsidRDefault="00200A87" w:rsidP="00EA4280">
      <w:pPr>
        <w:sectPr w:rsidR="00200A87" w:rsidRPr="002A4884" w:rsidSect="00B63B3F">
          <w:pgSz w:w="16838" w:h="11906" w:orient="landscape"/>
          <w:pgMar w:top="720" w:right="720" w:bottom="720" w:left="720" w:header="708" w:footer="708" w:gutter="0"/>
          <w:cols w:space="708"/>
          <w:docGrid w:linePitch="360"/>
        </w:sectPr>
      </w:pPr>
    </w:p>
    <w:p w14:paraId="41E7B974" w14:textId="13F2578D" w:rsidR="00200A87" w:rsidRPr="002A4884" w:rsidRDefault="00200A87" w:rsidP="00200A87">
      <w:pPr>
        <w:pStyle w:val="Caption"/>
      </w:pPr>
      <w:bookmarkStart w:id="39" w:name="_Ref59196629"/>
      <w:r w:rsidRPr="002A4884">
        <w:lastRenderedPageBreak/>
        <w:t xml:space="preserve">Table </w:t>
      </w:r>
      <w:r w:rsidR="002A7365">
        <w:fldChar w:fldCharType="begin"/>
      </w:r>
      <w:r w:rsidR="002A7365">
        <w:instrText xml:space="preserve"> SEQ Table \* ARABIC </w:instrText>
      </w:r>
      <w:r w:rsidR="002A7365">
        <w:fldChar w:fldCharType="separate"/>
      </w:r>
      <w:r w:rsidR="007C7B62">
        <w:rPr>
          <w:noProof/>
        </w:rPr>
        <w:t>5</w:t>
      </w:r>
      <w:r w:rsidR="002A7365">
        <w:rPr>
          <w:noProof/>
        </w:rPr>
        <w:fldChar w:fldCharType="end"/>
      </w:r>
      <w:bookmarkEnd w:id="39"/>
      <w:r w:rsidRPr="002A4884">
        <w:t xml:space="preserve"> –</w:t>
      </w:r>
      <w:r w:rsidR="008921F7" w:rsidRPr="002A4884">
        <w:t xml:space="preserve"> Estimate</w:t>
      </w:r>
      <w:r w:rsidR="00905F47" w:rsidRPr="002A4884">
        <w:t>s</w:t>
      </w:r>
      <w:r w:rsidR="008921F7" w:rsidRPr="002A4884">
        <w:t xml:space="preserve"> of the LTC direct </w:t>
      </w:r>
      <w:r w:rsidR="000907C1">
        <w:t xml:space="preserve">mortality </w:t>
      </w:r>
      <w:r w:rsidR="008921F7" w:rsidRPr="002A4884">
        <w:t>effect</w:t>
      </w:r>
      <w:r w:rsidRPr="002A4884">
        <w:t>.</w:t>
      </w:r>
    </w:p>
    <w:tbl>
      <w:tblPr>
        <w:tblW w:w="8060" w:type="dxa"/>
        <w:tblLook w:val="04A0" w:firstRow="1" w:lastRow="0" w:firstColumn="1" w:lastColumn="0" w:noHBand="0" w:noVBand="1"/>
      </w:tblPr>
      <w:tblGrid>
        <w:gridCol w:w="467"/>
        <w:gridCol w:w="6513"/>
        <w:gridCol w:w="1240"/>
      </w:tblGrid>
      <w:tr w:rsidR="007A38AE" w:rsidRPr="007A38AE" w14:paraId="116C7C35" w14:textId="77777777" w:rsidTr="007A38AE">
        <w:trPr>
          <w:trHeight w:val="255"/>
        </w:trPr>
        <w:tc>
          <w:tcPr>
            <w:tcW w:w="6820" w:type="dxa"/>
            <w:gridSpan w:val="2"/>
            <w:tcBorders>
              <w:top w:val="single" w:sz="4" w:space="0" w:color="auto"/>
              <w:left w:val="nil"/>
              <w:bottom w:val="single" w:sz="4" w:space="0" w:color="auto"/>
              <w:right w:val="nil"/>
            </w:tcBorders>
            <w:shd w:val="clear" w:color="000000" w:fill="FFFFFF"/>
            <w:noWrap/>
            <w:vAlign w:val="center"/>
            <w:hideMark/>
          </w:tcPr>
          <w:p w14:paraId="332392DA" w14:textId="7C5953A5" w:rsidR="007A38AE" w:rsidRPr="007A38AE" w:rsidRDefault="00300A8A" w:rsidP="00300A8A">
            <w:pPr>
              <w:widowControl/>
              <w:spacing w:after="0"/>
              <w:jc w:val="center"/>
              <w:rPr>
                <w:rFonts w:ascii="Calibri" w:eastAsia="Times New Roman" w:hAnsi="Calibri" w:cs="Calibri"/>
                <w:sz w:val="20"/>
                <w:szCs w:val="20"/>
                <w:lang w:eastAsia="en-GB"/>
              </w:rPr>
            </w:pPr>
            <w:r>
              <w:rPr>
                <w:rFonts w:ascii="Calibri" w:eastAsia="Times New Roman" w:hAnsi="Calibri" w:cs="Calibri"/>
                <w:sz w:val="20"/>
                <w:szCs w:val="20"/>
                <w:lang w:eastAsia="en-GB"/>
              </w:rPr>
              <w:t>Independent v</w:t>
            </w:r>
            <w:r w:rsidR="007A38AE" w:rsidRPr="007A38AE">
              <w:rPr>
                <w:rFonts w:ascii="Calibri" w:eastAsia="Times New Roman" w:hAnsi="Calibri" w:cs="Calibri"/>
                <w:sz w:val="20"/>
                <w:szCs w:val="20"/>
                <w:lang w:eastAsia="en-GB"/>
              </w:rPr>
              <w:t>ariable</w:t>
            </w:r>
          </w:p>
        </w:tc>
        <w:tc>
          <w:tcPr>
            <w:tcW w:w="1240" w:type="dxa"/>
            <w:tcBorders>
              <w:top w:val="single" w:sz="4" w:space="0" w:color="auto"/>
              <w:left w:val="nil"/>
              <w:bottom w:val="single" w:sz="4" w:space="0" w:color="auto"/>
              <w:right w:val="nil"/>
            </w:tcBorders>
            <w:shd w:val="clear" w:color="000000" w:fill="FFFFFF"/>
            <w:vAlign w:val="center"/>
            <w:hideMark/>
          </w:tcPr>
          <w:p w14:paraId="76C57D8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(2)</w:t>
            </w:r>
          </w:p>
        </w:tc>
      </w:tr>
      <w:tr w:rsidR="007A38AE" w:rsidRPr="007A38AE" w14:paraId="42C5D7B3" w14:textId="77777777" w:rsidTr="007A38AE">
        <w:trPr>
          <w:trHeight w:val="255"/>
        </w:trPr>
        <w:tc>
          <w:tcPr>
            <w:tcW w:w="6820" w:type="dxa"/>
            <w:gridSpan w:val="2"/>
            <w:vMerge w:val="restart"/>
            <w:tcBorders>
              <w:top w:val="nil"/>
              <w:left w:val="nil"/>
              <w:bottom w:val="nil"/>
              <w:right w:val="nil"/>
            </w:tcBorders>
            <w:shd w:val="clear" w:color="000000" w:fill="FFFFFF"/>
            <w:noWrap/>
            <w:vAlign w:val="center"/>
            <w:hideMark/>
          </w:tcPr>
          <w:p w14:paraId="09E5B58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decreasing portion of health care expenditure per capita</w:t>
            </w:r>
          </w:p>
        </w:tc>
        <w:tc>
          <w:tcPr>
            <w:tcW w:w="1240" w:type="dxa"/>
            <w:tcBorders>
              <w:top w:val="nil"/>
              <w:left w:val="nil"/>
              <w:bottom w:val="nil"/>
              <w:right w:val="nil"/>
            </w:tcBorders>
            <w:shd w:val="clear" w:color="000000" w:fill="FFFFFF"/>
            <w:noWrap/>
            <w:vAlign w:val="bottom"/>
            <w:hideMark/>
          </w:tcPr>
          <w:p w14:paraId="4C71BF5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-0.030</w:t>
            </w:r>
          </w:p>
        </w:tc>
      </w:tr>
      <w:tr w:rsidR="007A38AE" w:rsidRPr="007A38AE" w14:paraId="6874A023" w14:textId="77777777" w:rsidTr="007A38AE">
        <w:trPr>
          <w:trHeight w:val="255"/>
        </w:trPr>
        <w:tc>
          <w:tcPr>
            <w:tcW w:w="6820" w:type="dxa"/>
            <w:gridSpan w:val="2"/>
            <w:vMerge/>
            <w:tcBorders>
              <w:top w:val="nil"/>
              <w:left w:val="nil"/>
              <w:bottom w:val="nil"/>
              <w:right w:val="nil"/>
            </w:tcBorders>
            <w:vAlign w:val="center"/>
            <w:hideMark/>
          </w:tcPr>
          <w:p w14:paraId="3AF0D43B"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240" w:type="dxa"/>
            <w:tcBorders>
              <w:top w:val="nil"/>
              <w:left w:val="nil"/>
              <w:bottom w:val="nil"/>
              <w:right w:val="nil"/>
            </w:tcBorders>
            <w:shd w:val="clear" w:color="000000" w:fill="FFFFFF"/>
            <w:noWrap/>
            <w:vAlign w:val="bottom"/>
            <w:hideMark/>
          </w:tcPr>
          <w:p w14:paraId="440AABFB"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(0.100)</w:t>
            </w:r>
          </w:p>
        </w:tc>
      </w:tr>
      <w:tr w:rsidR="007A38AE" w:rsidRPr="007A38AE" w14:paraId="21D92518" w14:textId="77777777" w:rsidTr="007A38AE">
        <w:trPr>
          <w:trHeight w:val="255"/>
        </w:trPr>
        <w:tc>
          <w:tcPr>
            <w:tcW w:w="6820" w:type="dxa"/>
            <w:gridSpan w:val="2"/>
            <w:vMerge w:val="restart"/>
            <w:tcBorders>
              <w:top w:val="nil"/>
              <w:left w:val="nil"/>
              <w:bottom w:val="nil"/>
              <w:right w:val="nil"/>
            </w:tcBorders>
            <w:shd w:val="clear" w:color="000000" w:fill="FFFFFF"/>
            <w:noWrap/>
            <w:vAlign w:val="center"/>
            <w:hideMark/>
          </w:tcPr>
          <w:p w14:paraId="5D304464"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growing portion of health care expenditure per capita</w:t>
            </w:r>
          </w:p>
        </w:tc>
        <w:tc>
          <w:tcPr>
            <w:tcW w:w="1240" w:type="dxa"/>
            <w:tcBorders>
              <w:top w:val="nil"/>
              <w:left w:val="nil"/>
              <w:bottom w:val="nil"/>
              <w:right w:val="nil"/>
            </w:tcBorders>
            <w:shd w:val="clear" w:color="000000" w:fill="FFFFFF"/>
            <w:noWrap/>
            <w:vAlign w:val="bottom"/>
            <w:hideMark/>
          </w:tcPr>
          <w:p w14:paraId="1FBC9CD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-0.165**</w:t>
            </w:r>
          </w:p>
        </w:tc>
      </w:tr>
      <w:tr w:rsidR="007A38AE" w:rsidRPr="007A38AE" w14:paraId="3A29E3AF" w14:textId="77777777" w:rsidTr="007A38AE">
        <w:trPr>
          <w:trHeight w:val="255"/>
        </w:trPr>
        <w:tc>
          <w:tcPr>
            <w:tcW w:w="6820" w:type="dxa"/>
            <w:gridSpan w:val="2"/>
            <w:vMerge/>
            <w:tcBorders>
              <w:top w:val="nil"/>
              <w:left w:val="nil"/>
              <w:bottom w:val="nil"/>
              <w:right w:val="nil"/>
            </w:tcBorders>
            <w:vAlign w:val="center"/>
            <w:hideMark/>
          </w:tcPr>
          <w:p w14:paraId="2270C66A"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240" w:type="dxa"/>
            <w:tcBorders>
              <w:top w:val="nil"/>
              <w:left w:val="nil"/>
              <w:bottom w:val="nil"/>
              <w:right w:val="nil"/>
            </w:tcBorders>
            <w:shd w:val="clear" w:color="000000" w:fill="FFFFFF"/>
            <w:noWrap/>
            <w:vAlign w:val="bottom"/>
            <w:hideMark/>
          </w:tcPr>
          <w:p w14:paraId="5B7888E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(0.081)</w:t>
            </w:r>
          </w:p>
        </w:tc>
      </w:tr>
      <w:tr w:rsidR="007A38AE" w:rsidRPr="007A38AE" w14:paraId="1DC9F9F0" w14:textId="77777777" w:rsidTr="007A38AE">
        <w:trPr>
          <w:trHeight w:val="255"/>
        </w:trPr>
        <w:tc>
          <w:tcPr>
            <w:tcW w:w="6820" w:type="dxa"/>
            <w:gridSpan w:val="2"/>
            <w:vMerge w:val="restart"/>
            <w:tcBorders>
              <w:top w:val="nil"/>
              <w:left w:val="nil"/>
              <w:bottom w:val="single" w:sz="4" w:space="0" w:color="D0CECE"/>
              <w:right w:val="nil"/>
            </w:tcBorders>
            <w:shd w:val="clear" w:color="000000" w:fill="FFFFFF"/>
            <w:noWrap/>
            <w:vAlign w:val="center"/>
            <w:hideMark/>
          </w:tcPr>
          <w:p w14:paraId="74108684"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long-term care expenditure per user</w:t>
            </w:r>
          </w:p>
        </w:tc>
        <w:tc>
          <w:tcPr>
            <w:tcW w:w="1240" w:type="dxa"/>
            <w:tcBorders>
              <w:top w:val="nil"/>
              <w:left w:val="nil"/>
              <w:bottom w:val="nil"/>
              <w:right w:val="nil"/>
            </w:tcBorders>
            <w:shd w:val="clear" w:color="000000" w:fill="FFFFFF"/>
            <w:noWrap/>
            <w:vAlign w:val="bottom"/>
            <w:hideMark/>
          </w:tcPr>
          <w:p w14:paraId="39055CE8"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-0.014</w:t>
            </w:r>
          </w:p>
        </w:tc>
      </w:tr>
      <w:tr w:rsidR="007A38AE" w:rsidRPr="007A38AE" w14:paraId="4630FA68" w14:textId="77777777" w:rsidTr="007A38AE">
        <w:trPr>
          <w:trHeight w:val="255"/>
        </w:trPr>
        <w:tc>
          <w:tcPr>
            <w:tcW w:w="6820" w:type="dxa"/>
            <w:gridSpan w:val="2"/>
            <w:vMerge/>
            <w:tcBorders>
              <w:top w:val="nil"/>
              <w:left w:val="nil"/>
              <w:bottom w:val="single" w:sz="4" w:space="0" w:color="D0CECE"/>
              <w:right w:val="nil"/>
            </w:tcBorders>
            <w:vAlign w:val="center"/>
            <w:hideMark/>
          </w:tcPr>
          <w:p w14:paraId="688634D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1240" w:type="dxa"/>
            <w:tcBorders>
              <w:top w:val="nil"/>
              <w:left w:val="nil"/>
              <w:bottom w:val="single" w:sz="4" w:space="0" w:color="D0CECE"/>
              <w:right w:val="nil"/>
            </w:tcBorders>
            <w:shd w:val="clear" w:color="000000" w:fill="FFFFFF"/>
            <w:noWrap/>
            <w:vAlign w:val="bottom"/>
            <w:hideMark/>
          </w:tcPr>
          <w:p w14:paraId="7FA709D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(0.021)</w:t>
            </w:r>
          </w:p>
        </w:tc>
      </w:tr>
      <w:tr w:rsidR="007A38AE" w:rsidRPr="007A38AE" w14:paraId="55E8ABA2" w14:textId="77777777" w:rsidTr="007A38AE">
        <w:trPr>
          <w:trHeight w:val="255"/>
        </w:trPr>
        <w:tc>
          <w:tcPr>
            <w:tcW w:w="307" w:type="dxa"/>
            <w:vMerge w:val="restart"/>
            <w:tcBorders>
              <w:top w:val="nil"/>
              <w:left w:val="nil"/>
              <w:bottom w:val="single" w:sz="4" w:space="0" w:color="D0CECE"/>
              <w:right w:val="nil"/>
            </w:tcBorders>
            <w:shd w:val="clear" w:color="auto" w:fill="auto"/>
            <w:noWrap/>
            <w:textDirection w:val="btLr"/>
            <w:vAlign w:val="center"/>
            <w:hideMark/>
          </w:tcPr>
          <w:p w14:paraId="6003534D" w14:textId="77777777" w:rsidR="007A38AE" w:rsidRPr="007A38AE" w:rsidRDefault="007A38AE" w:rsidP="007A38AE">
            <w:pPr>
              <w:widowControl/>
              <w:spacing w:after="0"/>
              <w:jc w:val="center"/>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7A9FA3E9"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people who are blind or partially sighted</w:t>
            </w:r>
          </w:p>
        </w:tc>
        <w:tc>
          <w:tcPr>
            <w:tcW w:w="1240" w:type="dxa"/>
            <w:tcBorders>
              <w:top w:val="nil"/>
              <w:left w:val="nil"/>
              <w:bottom w:val="nil"/>
              <w:right w:val="nil"/>
            </w:tcBorders>
            <w:shd w:val="clear" w:color="000000" w:fill="FFFFFF"/>
            <w:noWrap/>
            <w:vAlign w:val="bottom"/>
            <w:hideMark/>
          </w:tcPr>
          <w:p w14:paraId="596013E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-0.028</w:t>
            </w:r>
          </w:p>
        </w:tc>
      </w:tr>
      <w:tr w:rsidR="007A38AE" w:rsidRPr="007A38AE" w14:paraId="3B08E1AC" w14:textId="77777777" w:rsidTr="007A38AE">
        <w:trPr>
          <w:trHeight w:val="255"/>
        </w:trPr>
        <w:tc>
          <w:tcPr>
            <w:tcW w:w="307" w:type="dxa"/>
            <w:vMerge/>
            <w:tcBorders>
              <w:top w:val="nil"/>
              <w:left w:val="nil"/>
              <w:bottom w:val="single" w:sz="4" w:space="0" w:color="D0CECE"/>
              <w:right w:val="nil"/>
            </w:tcBorders>
            <w:vAlign w:val="center"/>
            <w:hideMark/>
          </w:tcPr>
          <w:p w14:paraId="5A0D457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4A2E9104"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people who are deaf or hard of hearing 2010</w:t>
            </w:r>
          </w:p>
        </w:tc>
        <w:tc>
          <w:tcPr>
            <w:tcW w:w="1240" w:type="dxa"/>
            <w:tcBorders>
              <w:top w:val="nil"/>
              <w:left w:val="nil"/>
              <w:bottom w:val="nil"/>
              <w:right w:val="nil"/>
            </w:tcBorders>
            <w:shd w:val="clear" w:color="000000" w:fill="FFFFFF"/>
            <w:noWrap/>
            <w:vAlign w:val="bottom"/>
            <w:hideMark/>
          </w:tcPr>
          <w:p w14:paraId="777E156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0.020</w:t>
            </w:r>
          </w:p>
        </w:tc>
      </w:tr>
      <w:tr w:rsidR="007A38AE" w:rsidRPr="007A38AE" w14:paraId="1C315949" w14:textId="77777777" w:rsidTr="007A38AE">
        <w:trPr>
          <w:trHeight w:val="255"/>
        </w:trPr>
        <w:tc>
          <w:tcPr>
            <w:tcW w:w="307" w:type="dxa"/>
            <w:vMerge/>
            <w:tcBorders>
              <w:top w:val="nil"/>
              <w:left w:val="nil"/>
              <w:bottom w:val="single" w:sz="4" w:space="0" w:color="D0CECE"/>
              <w:right w:val="nil"/>
            </w:tcBorders>
            <w:vAlign w:val="center"/>
            <w:hideMark/>
          </w:tcPr>
          <w:p w14:paraId="5EC64CB0"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7878E788"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Index of disability deprivation</w:t>
            </w:r>
          </w:p>
        </w:tc>
        <w:tc>
          <w:tcPr>
            <w:tcW w:w="1240" w:type="dxa"/>
            <w:tcBorders>
              <w:top w:val="nil"/>
              <w:left w:val="nil"/>
              <w:bottom w:val="nil"/>
              <w:right w:val="nil"/>
            </w:tcBorders>
            <w:shd w:val="clear" w:color="000000" w:fill="FFFFFF"/>
            <w:noWrap/>
            <w:vAlign w:val="bottom"/>
            <w:hideMark/>
          </w:tcPr>
          <w:p w14:paraId="5157465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0.1475***</w:t>
            </w:r>
          </w:p>
        </w:tc>
      </w:tr>
      <w:tr w:rsidR="007A38AE" w:rsidRPr="007A38AE" w14:paraId="3A8B54A8" w14:textId="77777777" w:rsidTr="007A38AE">
        <w:trPr>
          <w:trHeight w:val="255"/>
        </w:trPr>
        <w:tc>
          <w:tcPr>
            <w:tcW w:w="307" w:type="dxa"/>
            <w:vMerge/>
            <w:tcBorders>
              <w:top w:val="nil"/>
              <w:left w:val="nil"/>
              <w:bottom w:val="single" w:sz="4" w:space="0" w:color="D0CECE"/>
              <w:right w:val="nil"/>
            </w:tcBorders>
            <w:vAlign w:val="center"/>
            <w:hideMark/>
          </w:tcPr>
          <w:p w14:paraId="2C3B006A"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6E8BB381"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Population density</w:t>
            </w:r>
          </w:p>
        </w:tc>
        <w:tc>
          <w:tcPr>
            <w:tcW w:w="1240" w:type="dxa"/>
            <w:tcBorders>
              <w:top w:val="nil"/>
              <w:left w:val="nil"/>
              <w:bottom w:val="nil"/>
              <w:right w:val="nil"/>
            </w:tcBorders>
            <w:shd w:val="clear" w:color="000000" w:fill="FFFFFF"/>
            <w:noWrap/>
            <w:vAlign w:val="bottom"/>
            <w:hideMark/>
          </w:tcPr>
          <w:p w14:paraId="0072434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-0.057</w:t>
            </w:r>
          </w:p>
        </w:tc>
      </w:tr>
      <w:tr w:rsidR="007A38AE" w:rsidRPr="007A38AE" w14:paraId="734273FB" w14:textId="77777777" w:rsidTr="007A38AE">
        <w:trPr>
          <w:trHeight w:val="255"/>
        </w:trPr>
        <w:tc>
          <w:tcPr>
            <w:tcW w:w="307" w:type="dxa"/>
            <w:vMerge/>
            <w:tcBorders>
              <w:top w:val="nil"/>
              <w:left w:val="nil"/>
              <w:bottom w:val="single" w:sz="4" w:space="0" w:color="D0CECE"/>
              <w:right w:val="nil"/>
            </w:tcBorders>
            <w:vAlign w:val="center"/>
            <w:hideMark/>
          </w:tcPr>
          <w:p w14:paraId="0E3B796B"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1AADA848"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Ln of index of multiple deprivation 2010</w:t>
            </w:r>
          </w:p>
        </w:tc>
        <w:tc>
          <w:tcPr>
            <w:tcW w:w="1240" w:type="dxa"/>
            <w:tcBorders>
              <w:top w:val="nil"/>
              <w:left w:val="nil"/>
              <w:bottom w:val="nil"/>
              <w:right w:val="nil"/>
            </w:tcBorders>
            <w:shd w:val="clear" w:color="000000" w:fill="FFFFFF"/>
            <w:noWrap/>
            <w:vAlign w:val="bottom"/>
            <w:hideMark/>
          </w:tcPr>
          <w:p w14:paraId="131DA4A8"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-0.1680***</w:t>
            </w:r>
          </w:p>
        </w:tc>
      </w:tr>
      <w:tr w:rsidR="007A38AE" w:rsidRPr="007A38AE" w14:paraId="37964124" w14:textId="77777777" w:rsidTr="007A38AE">
        <w:trPr>
          <w:trHeight w:val="255"/>
        </w:trPr>
        <w:tc>
          <w:tcPr>
            <w:tcW w:w="307" w:type="dxa"/>
            <w:vMerge/>
            <w:tcBorders>
              <w:top w:val="nil"/>
              <w:left w:val="nil"/>
              <w:bottom w:val="single" w:sz="4" w:space="0" w:color="D0CECE"/>
              <w:right w:val="nil"/>
            </w:tcBorders>
            <w:vAlign w:val="center"/>
            <w:hideMark/>
          </w:tcPr>
          <w:p w14:paraId="576851C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58171BC9"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Index of education deprivation</w:t>
            </w:r>
          </w:p>
        </w:tc>
        <w:tc>
          <w:tcPr>
            <w:tcW w:w="1240" w:type="dxa"/>
            <w:tcBorders>
              <w:top w:val="nil"/>
              <w:left w:val="nil"/>
              <w:bottom w:val="nil"/>
              <w:right w:val="nil"/>
            </w:tcBorders>
            <w:shd w:val="clear" w:color="000000" w:fill="FFFFFF"/>
            <w:noWrap/>
            <w:vAlign w:val="bottom"/>
            <w:hideMark/>
          </w:tcPr>
          <w:p w14:paraId="0991C098"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0.0026*</w:t>
            </w:r>
          </w:p>
        </w:tc>
      </w:tr>
      <w:tr w:rsidR="007A38AE" w:rsidRPr="007A38AE" w14:paraId="0CE031C1" w14:textId="77777777" w:rsidTr="007A38AE">
        <w:trPr>
          <w:trHeight w:val="255"/>
        </w:trPr>
        <w:tc>
          <w:tcPr>
            <w:tcW w:w="307" w:type="dxa"/>
            <w:vMerge/>
            <w:tcBorders>
              <w:top w:val="nil"/>
              <w:left w:val="nil"/>
              <w:bottom w:val="single" w:sz="4" w:space="0" w:color="D0CECE"/>
              <w:right w:val="nil"/>
            </w:tcBorders>
            <w:vAlign w:val="center"/>
            <w:hideMark/>
          </w:tcPr>
          <w:p w14:paraId="1A4DC53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34939F3B"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of people who are income deprived</w:t>
            </w:r>
          </w:p>
        </w:tc>
        <w:tc>
          <w:tcPr>
            <w:tcW w:w="1240" w:type="dxa"/>
            <w:tcBorders>
              <w:top w:val="nil"/>
              <w:left w:val="nil"/>
              <w:bottom w:val="nil"/>
              <w:right w:val="nil"/>
            </w:tcBorders>
            <w:shd w:val="clear" w:color="000000" w:fill="FFFFFF"/>
            <w:noWrap/>
            <w:vAlign w:val="bottom"/>
            <w:hideMark/>
          </w:tcPr>
          <w:p w14:paraId="1E50628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0.0149***</w:t>
            </w:r>
          </w:p>
        </w:tc>
      </w:tr>
      <w:tr w:rsidR="007A38AE" w:rsidRPr="007A38AE" w14:paraId="4A2310FC" w14:textId="77777777" w:rsidTr="007A38AE">
        <w:trPr>
          <w:trHeight w:val="255"/>
        </w:trPr>
        <w:tc>
          <w:tcPr>
            <w:tcW w:w="307" w:type="dxa"/>
            <w:vMerge/>
            <w:tcBorders>
              <w:top w:val="nil"/>
              <w:left w:val="nil"/>
              <w:bottom w:val="single" w:sz="4" w:space="0" w:color="D0CECE"/>
              <w:right w:val="nil"/>
            </w:tcBorders>
            <w:vAlign w:val="center"/>
            <w:hideMark/>
          </w:tcPr>
          <w:p w14:paraId="0FE17DC0"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58A1F0E9"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2</w:t>
            </w:r>
          </w:p>
        </w:tc>
        <w:tc>
          <w:tcPr>
            <w:tcW w:w="1240" w:type="dxa"/>
            <w:tcBorders>
              <w:top w:val="nil"/>
              <w:left w:val="nil"/>
              <w:bottom w:val="nil"/>
              <w:right w:val="nil"/>
            </w:tcBorders>
            <w:shd w:val="clear" w:color="000000" w:fill="FFFFFF"/>
            <w:noWrap/>
            <w:vAlign w:val="bottom"/>
            <w:hideMark/>
          </w:tcPr>
          <w:p w14:paraId="57A4036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0.0337**</w:t>
            </w:r>
          </w:p>
        </w:tc>
      </w:tr>
      <w:tr w:rsidR="007A38AE" w:rsidRPr="007A38AE" w14:paraId="57765E2F" w14:textId="77777777" w:rsidTr="007A38AE">
        <w:trPr>
          <w:trHeight w:val="255"/>
        </w:trPr>
        <w:tc>
          <w:tcPr>
            <w:tcW w:w="307" w:type="dxa"/>
            <w:vMerge/>
            <w:tcBorders>
              <w:top w:val="nil"/>
              <w:left w:val="nil"/>
              <w:bottom w:val="single" w:sz="4" w:space="0" w:color="D0CECE"/>
              <w:right w:val="nil"/>
            </w:tcBorders>
            <w:vAlign w:val="center"/>
            <w:hideMark/>
          </w:tcPr>
          <w:p w14:paraId="3E4F5E7A"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05E83A60"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3</w:t>
            </w:r>
          </w:p>
        </w:tc>
        <w:tc>
          <w:tcPr>
            <w:tcW w:w="1240" w:type="dxa"/>
            <w:tcBorders>
              <w:top w:val="nil"/>
              <w:left w:val="nil"/>
              <w:bottom w:val="nil"/>
              <w:right w:val="nil"/>
            </w:tcBorders>
            <w:shd w:val="clear" w:color="000000" w:fill="FFFFFF"/>
            <w:noWrap/>
            <w:vAlign w:val="bottom"/>
            <w:hideMark/>
          </w:tcPr>
          <w:p w14:paraId="3914365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0.018</w:t>
            </w:r>
          </w:p>
        </w:tc>
      </w:tr>
      <w:tr w:rsidR="007A38AE" w:rsidRPr="007A38AE" w14:paraId="2C8927B4" w14:textId="77777777" w:rsidTr="007A38AE">
        <w:trPr>
          <w:trHeight w:val="255"/>
        </w:trPr>
        <w:tc>
          <w:tcPr>
            <w:tcW w:w="307" w:type="dxa"/>
            <w:vMerge/>
            <w:tcBorders>
              <w:top w:val="nil"/>
              <w:left w:val="nil"/>
              <w:bottom w:val="single" w:sz="4" w:space="0" w:color="D0CECE"/>
              <w:right w:val="nil"/>
            </w:tcBorders>
            <w:vAlign w:val="center"/>
            <w:hideMark/>
          </w:tcPr>
          <w:p w14:paraId="7308071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single" w:sz="4" w:space="0" w:color="D0CECE"/>
              <w:right w:val="nil"/>
            </w:tcBorders>
            <w:shd w:val="clear" w:color="000000" w:fill="FFFFFF"/>
            <w:noWrap/>
            <w:vAlign w:val="bottom"/>
            <w:hideMark/>
          </w:tcPr>
          <w:p w14:paraId="1604EB4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Gross disposable household income per capita: quartile 4 (highest income)</w:t>
            </w:r>
          </w:p>
        </w:tc>
        <w:tc>
          <w:tcPr>
            <w:tcW w:w="1240" w:type="dxa"/>
            <w:tcBorders>
              <w:top w:val="nil"/>
              <w:left w:val="nil"/>
              <w:bottom w:val="single" w:sz="4" w:space="0" w:color="D0CECE"/>
              <w:right w:val="nil"/>
            </w:tcBorders>
            <w:shd w:val="clear" w:color="000000" w:fill="FFFFFF"/>
            <w:noWrap/>
            <w:vAlign w:val="bottom"/>
            <w:hideMark/>
          </w:tcPr>
          <w:p w14:paraId="55C2C84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083E186F" w14:textId="77777777" w:rsidTr="007A38AE">
        <w:trPr>
          <w:trHeight w:val="255"/>
        </w:trPr>
        <w:tc>
          <w:tcPr>
            <w:tcW w:w="307" w:type="dxa"/>
            <w:vMerge w:val="restart"/>
            <w:tcBorders>
              <w:top w:val="nil"/>
              <w:left w:val="nil"/>
              <w:bottom w:val="nil"/>
              <w:right w:val="nil"/>
            </w:tcBorders>
            <w:shd w:val="clear" w:color="auto" w:fill="auto"/>
            <w:noWrap/>
            <w:textDirection w:val="btLr"/>
            <w:vAlign w:val="center"/>
            <w:hideMark/>
          </w:tcPr>
          <w:p w14:paraId="24C4DFD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LTC users</w:t>
            </w:r>
          </w:p>
        </w:tc>
        <w:tc>
          <w:tcPr>
            <w:tcW w:w="6513" w:type="dxa"/>
            <w:tcBorders>
              <w:top w:val="nil"/>
              <w:left w:val="nil"/>
              <w:bottom w:val="nil"/>
              <w:right w:val="nil"/>
            </w:tcBorders>
            <w:shd w:val="clear" w:color="000000" w:fill="FFFFFF"/>
            <w:noWrap/>
            <w:vAlign w:val="bottom"/>
            <w:hideMark/>
          </w:tcPr>
          <w:p w14:paraId="2FCAE39D"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County LA</w:t>
            </w:r>
          </w:p>
        </w:tc>
        <w:tc>
          <w:tcPr>
            <w:tcW w:w="1240" w:type="dxa"/>
            <w:tcBorders>
              <w:top w:val="nil"/>
              <w:left w:val="nil"/>
              <w:bottom w:val="nil"/>
              <w:right w:val="nil"/>
            </w:tcBorders>
            <w:shd w:val="clear" w:color="000000" w:fill="FFFFFF"/>
            <w:noWrap/>
            <w:vAlign w:val="bottom"/>
            <w:hideMark/>
          </w:tcPr>
          <w:p w14:paraId="158AC89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-0.026</w:t>
            </w:r>
          </w:p>
        </w:tc>
      </w:tr>
      <w:tr w:rsidR="007A38AE" w:rsidRPr="007A38AE" w14:paraId="2E30FE78" w14:textId="77777777" w:rsidTr="007A38AE">
        <w:trPr>
          <w:trHeight w:val="255"/>
        </w:trPr>
        <w:tc>
          <w:tcPr>
            <w:tcW w:w="307" w:type="dxa"/>
            <w:vMerge/>
            <w:tcBorders>
              <w:top w:val="nil"/>
              <w:left w:val="nil"/>
              <w:bottom w:val="nil"/>
              <w:right w:val="nil"/>
            </w:tcBorders>
            <w:vAlign w:val="center"/>
            <w:hideMark/>
          </w:tcPr>
          <w:p w14:paraId="513C0A0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075A899D"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Metropolitan LA</w:t>
            </w:r>
          </w:p>
        </w:tc>
        <w:tc>
          <w:tcPr>
            <w:tcW w:w="1240" w:type="dxa"/>
            <w:tcBorders>
              <w:top w:val="nil"/>
              <w:left w:val="nil"/>
              <w:bottom w:val="nil"/>
              <w:right w:val="nil"/>
            </w:tcBorders>
            <w:shd w:val="clear" w:color="000000" w:fill="FFFFFF"/>
            <w:noWrap/>
            <w:vAlign w:val="bottom"/>
            <w:hideMark/>
          </w:tcPr>
          <w:p w14:paraId="375E0D4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-0.034</w:t>
            </w:r>
          </w:p>
        </w:tc>
      </w:tr>
      <w:tr w:rsidR="007A38AE" w:rsidRPr="007A38AE" w14:paraId="1E8FCC25" w14:textId="77777777" w:rsidTr="007A38AE">
        <w:trPr>
          <w:trHeight w:val="255"/>
        </w:trPr>
        <w:tc>
          <w:tcPr>
            <w:tcW w:w="307" w:type="dxa"/>
            <w:vMerge/>
            <w:tcBorders>
              <w:top w:val="nil"/>
              <w:left w:val="nil"/>
              <w:bottom w:val="nil"/>
              <w:right w:val="nil"/>
            </w:tcBorders>
            <w:vAlign w:val="center"/>
            <w:hideMark/>
          </w:tcPr>
          <w:p w14:paraId="289EFD9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7674367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Unitary Authority LA</w:t>
            </w:r>
          </w:p>
        </w:tc>
        <w:tc>
          <w:tcPr>
            <w:tcW w:w="1240" w:type="dxa"/>
            <w:tcBorders>
              <w:top w:val="nil"/>
              <w:left w:val="nil"/>
              <w:bottom w:val="nil"/>
              <w:right w:val="nil"/>
            </w:tcBorders>
            <w:shd w:val="clear" w:color="000000" w:fill="FFFFFF"/>
            <w:noWrap/>
            <w:vAlign w:val="bottom"/>
            <w:hideMark/>
          </w:tcPr>
          <w:p w14:paraId="635A698A"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-0.007</w:t>
            </w:r>
          </w:p>
        </w:tc>
      </w:tr>
      <w:tr w:rsidR="007A38AE" w:rsidRPr="007A38AE" w14:paraId="1B36AE7D" w14:textId="77777777" w:rsidTr="007A38AE">
        <w:trPr>
          <w:trHeight w:val="255"/>
        </w:trPr>
        <w:tc>
          <w:tcPr>
            <w:tcW w:w="307" w:type="dxa"/>
            <w:vMerge/>
            <w:tcBorders>
              <w:top w:val="nil"/>
              <w:left w:val="nil"/>
              <w:bottom w:val="nil"/>
              <w:right w:val="nil"/>
            </w:tcBorders>
            <w:vAlign w:val="center"/>
            <w:hideMark/>
          </w:tcPr>
          <w:p w14:paraId="0D97685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048A43E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female users</w:t>
            </w:r>
          </w:p>
        </w:tc>
        <w:tc>
          <w:tcPr>
            <w:tcW w:w="1240" w:type="dxa"/>
            <w:tcBorders>
              <w:top w:val="nil"/>
              <w:left w:val="nil"/>
              <w:bottom w:val="nil"/>
              <w:right w:val="nil"/>
            </w:tcBorders>
            <w:shd w:val="clear" w:color="000000" w:fill="FFFFFF"/>
            <w:noWrap/>
            <w:vAlign w:val="bottom"/>
            <w:hideMark/>
          </w:tcPr>
          <w:p w14:paraId="475B78D0"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-0.0004</w:t>
            </w:r>
          </w:p>
        </w:tc>
      </w:tr>
      <w:tr w:rsidR="007A38AE" w:rsidRPr="007A38AE" w14:paraId="40DF10EB" w14:textId="77777777" w:rsidTr="007A38AE">
        <w:trPr>
          <w:trHeight w:val="255"/>
        </w:trPr>
        <w:tc>
          <w:tcPr>
            <w:tcW w:w="307" w:type="dxa"/>
            <w:vMerge/>
            <w:tcBorders>
              <w:top w:val="nil"/>
              <w:left w:val="nil"/>
              <w:bottom w:val="nil"/>
              <w:right w:val="nil"/>
            </w:tcBorders>
            <w:vAlign w:val="center"/>
            <w:hideMark/>
          </w:tcPr>
          <w:p w14:paraId="1BD0AC9B"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2F7A7CD1"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aged 65 or older</w:t>
            </w:r>
          </w:p>
        </w:tc>
        <w:tc>
          <w:tcPr>
            <w:tcW w:w="1240" w:type="dxa"/>
            <w:tcBorders>
              <w:top w:val="nil"/>
              <w:left w:val="nil"/>
              <w:bottom w:val="nil"/>
              <w:right w:val="nil"/>
            </w:tcBorders>
            <w:shd w:val="clear" w:color="000000" w:fill="FFFFFF"/>
            <w:noWrap/>
            <w:vAlign w:val="bottom"/>
            <w:hideMark/>
          </w:tcPr>
          <w:p w14:paraId="091334D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-0.002**</w:t>
            </w:r>
          </w:p>
        </w:tc>
      </w:tr>
      <w:tr w:rsidR="007A38AE" w:rsidRPr="007A38AE" w14:paraId="04BE541C" w14:textId="77777777" w:rsidTr="007A38AE">
        <w:trPr>
          <w:trHeight w:val="255"/>
        </w:trPr>
        <w:tc>
          <w:tcPr>
            <w:tcW w:w="307" w:type="dxa"/>
            <w:vMerge/>
            <w:tcBorders>
              <w:top w:val="nil"/>
              <w:left w:val="nil"/>
              <w:bottom w:val="nil"/>
              <w:right w:val="nil"/>
            </w:tcBorders>
            <w:vAlign w:val="center"/>
            <w:hideMark/>
          </w:tcPr>
          <w:p w14:paraId="4898E80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2D0A3A86"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receiving easy-read questionnaire</w:t>
            </w:r>
          </w:p>
        </w:tc>
        <w:tc>
          <w:tcPr>
            <w:tcW w:w="1240" w:type="dxa"/>
            <w:tcBorders>
              <w:top w:val="nil"/>
              <w:left w:val="nil"/>
              <w:bottom w:val="nil"/>
              <w:right w:val="nil"/>
            </w:tcBorders>
            <w:shd w:val="clear" w:color="000000" w:fill="FFFFFF"/>
            <w:noWrap/>
            <w:vAlign w:val="bottom"/>
            <w:hideMark/>
          </w:tcPr>
          <w:p w14:paraId="7C73E252"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6ED9190A" w14:textId="77777777" w:rsidTr="007A38AE">
        <w:trPr>
          <w:trHeight w:val="255"/>
        </w:trPr>
        <w:tc>
          <w:tcPr>
            <w:tcW w:w="307" w:type="dxa"/>
            <w:vMerge/>
            <w:tcBorders>
              <w:top w:val="nil"/>
              <w:left w:val="nil"/>
              <w:bottom w:val="nil"/>
              <w:right w:val="nil"/>
            </w:tcBorders>
            <w:vAlign w:val="center"/>
            <w:hideMark/>
          </w:tcPr>
          <w:p w14:paraId="14AD7471"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5D58C45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receiving no help with questionnaire</w:t>
            </w:r>
          </w:p>
        </w:tc>
        <w:tc>
          <w:tcPr>
            <w:tcW w:w="1240" w:type="dxa"/>
            <w:tcBorders>
              <w:top w:val="nil"/>
              <w:left w:val="nil"/>
              <w:bottom w:val="nil"/>
              <w:right w:val="nil"/>
            </w:tcBorders>
            <w:shd w:val="clear" w:color="000000" w:fill="FFFFFF"/>
            <w:noWrap/>
            <w:vAlign w:val="bottom"/>
            <w:hideMark/>
          </w:tcPr>
          <w:p w14:paraId="31719E77"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-0.004</w:t>
            </w:r>
          </w:p>
        </w:tc>
      </w:tr>
      <w:tr w:rsidR="007A38AE" w:rsidRPr="007A38AE" w14:paraId="1FDBC0D8" w14:textId="77777777" w:rsidTr="007A38AE">
        <w:trPr>
          <w:trHeight w:val="255"/>
        </w:trPr>
        <w:tc>
          <w:tcPr>
            <w:tcW w:w="307" w:type="dxa"/>
            <w:vMerge/>
            <w:tcBorders>
              <w:top w:val="nil"/>
              <w:left w:val="nil"/>
              <w:bottom w:val="nil"/>
              <w:right w:val="nil"/>
            </w:tcBorders>
            <w:vAlign w:val="center"/>
            <w:hideMark/>
          </w:tcPr>
          <w:p w14:paraId="19A27E5C"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09D64E4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read by someone else</w:t>
            </w:r>
          </w:p>
        </w:tc>
        <w:tc>
          <w:tcPr>
            <w:tcW w:w="1240" w:type="dxa"/>
            <w:tcBorders>
              <w:top w:val="nil"/>
              <w:left w:val="nil"/>
              <w:bottom w:val="nil"/>
              <w:right w:val="nil"/>
            </w:tcBorders>
            <w:shd w:val="clear" w:color="000000" w:fill="FFFFFF"/>
            <w:noWrap/>
            <w:vAlign w:val="bottom"/>
            <w:hideMark/>
          </w:tcPr>
          <w:p w14:paraId="7D862F91"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5936D863" w14:textId="77777777" w:rsidTr="007A38AE">
        <w:trPr>
          <w:trHeight w:val="255"/>
        </w:trPr>
        <w:tc>
          <w:tcPr>
            <w:tcW w:w="307" w:type="dxa"/>
            <w:vMerge/>
            <w:tcBorders>
              <w:top w:val="nil"/>
              <w:left w:val="nil"/>
              <w:bottom w:val="nil"/>
              <w:right w:val="nil"/>
            </w:tcBorders>
            <w:vAlign w:val="center"/>
            <w:hideMark/>
          </w:tcPr>
          <w:p w14:paraId="4C81D8F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2C6E366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translated by someone else</w:t>
            </w:r>
          </w:p>
        </w:tc>
        <w:tc>
          <w:tcPr>
            <w:tcW w:w="1240" w:type="dxa"/>
            <w:tcBorders>
              <w:top w:val="nil"/>
              <w:left w:val="nil"/>
              <w:bottom w:val="nil"/>
              <w:right w:val="nil"/>
            </w:tcBorders>
            <w:shd w:val="clear" w:color="000000" w:fill="FFFFFF"/>
            <w:noWrap/>
            <w:vAlign w:val="bottom"/>
            <w:hideMark/>
          </w:tcPr>
          <w:p w14:paraId="1B2AEF9B"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7B219307" w14:textId="77777777" w:rsidTr="007A38AE">
        <w:trPr>
          <w:trHeight w:val="255"/>
        </w:trPr>
        <w:tc>
          <w:tcPr>
            <w:tcW w:w="307" w:type="dxa"/>
            <w:vMerge/>
            <w:tcBorders>
              <w:top w:val="nil"/>
              <w:left w:val="nil"/>
              <w:bottom w:val="nil"/>
              <w:right w:val="nil"/>
            </w:tcBorders>
            <w:vAlign w:val="center"/>
            <w:hideMark/>
          </w:tcPr>
          <w:p w14:paraId="281827F5"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41C19B40"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only filled in by someone else</w:t>
            </w:r>
          </w:p>
        </w:tc>
        <w:tc>
          <w:tcPr>
            <w:tcW w:w="1240" w:type="dxa"/>
            <w:tcBorders>
              <w:top w:val="nil"/>
              <w:left w:val="nil"/>
              <w:bottom w:val="nil"/>
              <w:right w:val="nil"/>
            </w:tcBorders>
            <w:shd w:val="clear" w:color="000000" w:fill="FFFFFF"/>
            <w:noWrap/>
            <w:vAlign w:val="bottom"/>
            <w:hideMark/>
          </w:tcPr>
          <w:p w14:paraId="3B6DB766"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w:t>
            </w:r>
          </w:p>
        </w:tc>
      </w:tr>
      <w:tr w:rsidR="007A38AE" w:rsidRPr="007A38AE" w14:paraId="0199C70C" w14:textId="77777777" w:rsidTr="007A38AE">
        <w:trPr>
          <w:trHeight w:val="255"/>
        </w:trPr>
        <w:tc>
          <w:tcPr>
            <w:tcW w:w="307" w:type="dxa"/>
            <w:vMerge/>
            <w:tcBorders>
              <w:top w:val="nil"/>
              <w:left w:val="nil"/>
              <w:bottom w:val="nil"/>
              <w:right w:val="nil"/>
            </w:tcBorders>
            <w:vAlign w:val="center"/>
            <w:hideMark/>
          </w:tcPr>
          <w:p w14:paraId="52125E9D"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25C49C9B"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talked through with someone else</w:t>
            </w:r>
          </w:p>
        </w:tc>
        <w:tc>
          <w:tcPr>
            <w:tcW w:w="1240" w:type="dxa"/>
            <w:tcBorders>
              <w:top w:val="nil"/>
              <w:left w:val="nil"/>
              <w:bottom w:val="nil"/>
              <w:right w:val="nil"/>
            </w:tcBorders>
            <w:shd w:val="clear" w:color="000000" w:fill="FFFFFF"/>
            <w:noWrap/>
            <w:vAlign w:val="bottom"/>
            <w:hideMark/>
          </w:tcPr>
          <w:p w14:paraId="02B8AB8C"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3F4F6897" w14:textId="77777777" w:rsidTr="007A38AE">
        <w:trPr>
          <w:trHeight w:val="255"/>
        </w:trPr>
        <w:tc>
          <w:tcPr>
            <w:tcW w:w="307" w:type="dxa"/>
            <w:vMerge/>
            <w:tcBorders>
              <w:top w:val="nil"/>
              <w:left w:val="nil"/>
              <w:bottom w:val="nil"/>
              <w:right w:val="nil"/>
            </w:tcBorders>
            <w:vAlign w:val="center"/>
            <w:hideMark/>
          </w:tcPr>
          <w:p w14:paraId="0375B8C9"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563E9B94"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users whose questionnaire was answered by someone else</w:t>
            </w:r>
          </w:p>
        </w:tc>
        <w:tc>
          <w:tcPr>
            <w:tcW w:w="1240" w:type="dxa"/>
            <w:tcBorders>
              <w:top w:val="nil"/>
              <w:left w:val="nil"/>
              <w:bottom w:val="nil"/>
              <w:right w:val="nil"/>
            </w:tcBorders>
            <w:shd w:val="clear" w:color="000000" w:fill="FFFFFF"/>
            <w:noWrap/>
            <w:vAlign w:val="bottom"/>
            <w:hideMark/>
          </w:tcPr>
          <w:p w14:paraId="3AE35C0E"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227EAFCA" w14:textId="77777777" w:rsidTr="007A38AE">
        <w:trPr>
          <w:trHeight w:val="255"/>
        </w:trPr>
        <w:tc>
          <w:tcPr>
            <w:tcW w:w="307" w:type="dxa"/>
            <w:vMerge/>
            <w:tcBorders>
              <w:top w:val="nil"/>
              <w:left w:val="nil"/>
              <w:bottom w:val="nil"/>
              <w:right w:val="nil"/>
            </w:tcBorders>
            <w:vAlign w:val="center"/>
            <w:hideMark/>
          </w:tcPr>
          <w:p w14:paraId="646C4B16"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298969D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female carers</w:t>
            </w:r>
          </w:p>
        </w:tc>
        <w:tc>
          <w:tcPr>
            <w:tcW w:w="1240" w:type="dxa"/>
            <w:tcBorders>
              <w:top w:val="nil"/>
              <w:left w:val="nil"/>
              <w:bottom w:val="nil"/>
              <w:right w:val="nil"/>
            </w:tcBorders>
            <w:shd w:val="clear" w:color="000000" w:fill="FFFFFF"/>
            <w:noWrap/>
            <w:vAlign w:val="bottom"/>
            <w:hideMark/>
          </w:tcPr>
          <w:p w14:paraId="17AEA86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-0.0002</w:t>
            </w:r>
          </w:p>
        </w:tc>
      </w:tr>
      <w:tr w:rsidR="007A38AE" w:rsidRPr="007A38AE" w14:paraId="3147FB23" w14:textId="77777777" w:rsidTr="007A38AE">
        <w:trPr>
          <w:trHeight w:val="255"/>
        </w:trPr>
        <w:tc>
          <w:tcPr>
            <w:tcW w:w="307" w:type="dxa"/>
            <w:vMerge/>
            <w:tcBorders>
              <w:top w:val="nil"/>
              <w:left w:val="nil"/>
              <w:bottom w:val="nil"/>
              <w:right w:val="nil"/>
            </w:tcBorders>
            <w:vAlign w:val="center"/>
            <w:hideMark/>
          </w:tcPr>
          <w:p w14:paraId="712A9958"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0A49B15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aged 65 or older</w:t>
            </w:r>
          </w:p>
        </w:tc>
        <w:tc>
          <w:tcPr>
            <w:tcW w:w="1240" w:type="dxa"/>
            <w:tcBorders>
              <w:top w:val="nil"/>
              <w:left w:val="nil"/>
              <w:bottom w:val="nil"/>
              <w:right w:val="nil"/>
            </w:tcBorders>
            <w:shd w:val="clear" w:color="000000" w:fill="FFFFFF"/>
            <w:noWrap/>
            <w:vAlign w:val="bottom"/>
            <w:hideMark/>
          </w:tcPr>
          <w:p w14:paraId="48243D1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4568A66D" w14:textId="77777777" w:rsidTr="007A38AE">
        <w:trPr>
          <w:trHeight w:val="255"/>
        </w:trPr>
        <w:tc>
          <w:tcPr>
            <w:tcW w:w="307" w:type="dxa"/>
            <w:vMerge/>
            <w:tcBorders>
              <w:top w:val="nil"/>
              <w:left w:val="nil"/>
              <w:bottom w:val="nil"/>
              <w:right w:val="nil"/>
            </w:tcBorders>
            <w:vAlign w:val="center"/>
            <w:hideMark/>
          </w:tcPr>
          <w:p w14:paraId="317A4382"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3A7CAB3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whose care recipient is 65 or older</w:t>
            </w:r>
          </w:p>
        </w:tc>
        <w:tc>
          <w:tcPr>
            <w:tcW w:w="1240" w:type="dxa"/>
            <w:tcBorders>
              <w:top w:val="nil"/>
              <w:left w:val="nil"/>
              <w:bottom w:val="nil"/>
              <w:right w:val="nil"/>
            </w:tcBorders>
            <w:shd w:val="clear" w:color="000000" w:fill="FFFFFF"/>
            <w:noWrap/>
            <w:vAlign w:val="bottom"/>
            <w:hideMark/>
          </w:tcPr>
          <w:p w14:paraId="5BC23B45"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0.0002</w:t>
            </w:r>
          </w:p>
        </w:tc>
      </w:tr>
      <w:tr w:rsidR="007A38AE" w:rsidRPr="007A38AE" w14:paraId="54BE6435" w14:textId="77777777" w:rsidTr="007A38AE">
        <w:trPr>
          <w:trHeight w:val="255"/>
        </w:trPr>
        <w:tc>
          <w:tcPr>
            <w:tcW w:w="307" w:type="dxa"/>
            <w:vMerge/>
            <w:tcBorders>
              <w:top w:val="nil"/>
              <w:left w:val="nil"/>
              <w:bottom w:val="nil"/>
              <w:right w:val="nil"/>
            </w:tcBorders>
            <w:vAlign w:val="center"/>
            <w:hideMark/>
          </w:tcPr>
          <w:p w14:paraId="5AC56DB3"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630E5E84"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in caring role between 6 months and 1 year</w:t>
            </w:r>
          </w:p>
        </w:tc>
        <w:tc>
          <w:tcPr>
            <w:tcW w:w="1240" w:type="dxa"/>
            <w:tcBorders>
              <w:top w:val="nil"/>
              <w:left w:val="nil"/>
              <w:bottom w:val="nil"/>
              <w:right w:val="nil"/>
            </w:tcBorders>
            <w:shd w:val="clear" w:color="000000" w:fill="FFFFFF"/>
            <w:noWrap/>
            <w:vAlign w:val="bottom"/>
            <w:hideMark/>
          </w:tcPr>
          <w:p w14:paraId="394CDCC6"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52FD2DBE" w14:textId="77777777" w:rsidTr="007A38AE">
        <w:trPr>
          <w:trHeight w:val="255"/>
        </w:trPr>
        <w:tc>
          <w:tcPr>
            <w:tcW w:w="307" w:type="dxa"/>
            <w:vMerge/>
            <w:tcBorders>
              <w:top w:val="nil"/>
              <w:left w:val="nil"/>
              <w:bottom w:val="nil"/>
              <w:right w:val="nil"/>
            </w:tcBorders>
            <w:vAlign w:val="center"/>
            <w:hideMark/>
          </w:tcPr>
          <w:p w14:paraId="27171BA6"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3C8C735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in caring role for more than 1 year</w:t>
            </w:r>
          </w:p>
        </w:tc>
        <w:tc>
          <w:tcPr>
            <w:tcW w:w="1240" w:type="dxa"/>
            <w:tcBorders>
              <w:top w:val="nil"/>
              <w:left w:val="nil"/>
              <w:bottom w:val="nil"/>
              <w:right w:val="nil"/>
            </w:tcBorders>
            <w:shd w:val="clear" w:color="000000" w:fill="FFFFFF"/>
            <w:noWrap/>
            <w:vAlign w:val="bottom"/>
            <w:hideMark/>
          </w:tcPr>
          <w:p w14:paraId="7331A7BF"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0.005</w:t>
            </w:r>
          </w:p>
        </w:tc>
      </w:tr>
      <w:tr w:rsidR="007A38AE" w:rsidRPr="007A38AE" w14:paraId="1F35B052" w14:textId="77777777" w:rsidTr="007A38AE">
        <w:trPr>
          <w:trHeight w:val="255"/>
        </w:trPr>
        <w:tc>
          <w:tcPr>
            <w:tcW w:w="307" w:type="dxa"/>
            <w:vMerge/>
            <w:tcBorders>
              <w:top w:val="nil"/>
              <w:left w:val="nil"/>
              <w:bottom w:val="nil"/>
              <w:right w:val="nil"/>
            </w:tcBorders>
            <w:vAlign w:val="center"/>
            <w:hideMark/>
          </w:tcPr>
          <w:p w14:paraId="55D0A677"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408F1845"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who are retired</w:t>
            </w:r>
          </w:p>
        </w:tc>
        <w:tc>
          <w:tcPr>
            <w:tcW w:w="1240" w:type="dxa"/>
            <w:tcBorders>
              <w:top w:val="nil"/>
              <w:left w:val="nil"/>
              <w:bottom w:val="nil"/>
              <w:right w:val="nil"/>
            </w:tcBorders>
            <w:shd w:val="clear" w:color="000000" w:fill="FFFFFF"/>
            <w:noWrap/>
            <w:vAlign w:val="bottom"/>
            <w:hideMark/>
          </w:tcPr>
          <w:p w14:paraId="4CA2DE4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-0.003*</w:t>
            </w:r>
          </w:p>
        </w:tc>
      </w:tr>
      <w:tr w:rsidR="007A38AE" w:rsidRPr="007A38AE" w14:paraId="002ED713" w14:textId="77777777" w:rsidTr="007A38AE">
        <w:trPr>
          <w:trHeight w:val="255"/>
        </w:trPr>
        <w:tc>
          <w:tcPr>
            <w:tcW w:w="307" w:type="dxa"/>
            <w:vMerge/>
            <w:tcBorders>
              <w:top w:val="nil"/>
              <w:left w:val="nil"/>
              <w:bottom w:val="nil"/>
              <w:right w:val="nil"/>
            </w:tcBorders>
            <w:vAlign w:val="center"/>
            <w:hideMark/>
          </w:tcPr>
          <w:p w14:paraId="69B9F68E"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1E348B57"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experiencing a clash between work and caring role</w:t>
            </w:r>
          </w:p>
        </w:tc>
        <w:tc>
          <w:tcPr>
            <w:tcW w:w="1240" w:type="dxa"/>
            <w:tcBorders>
              <w:top w:val="nil"/>
              <w:left w:val="nil"/>
              <w:bottom w:val="nil"/>
              <w:right w:val="nil"/>
            </w:tcBorders>
            <w:shd w:val="clear" w:color="000000" w:fill="FFFFFF"/>
            <w:noWrap/>
            <w:vAlign w:val="bottom"/>
            <w:hideMark/>
          </w:tcPr>
          <w:p w14:paraId="60D255B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0.004</w:t>
            </w:r>
          </w:p>
        </w:tc>
      </w:tr>
      <w:tr w:rsidR="007A38AE" w:rsidRPr="007A38AE" w14:paraId="4A28499E" w14:textId="77777777" w:rsidTr="007A38AE">
        <w:trPr>
          <w:trHeight w:val="255"/>
        </w:trPr>
        <w:tc>
          <w:tcPr>
            <w:tcW w:w="307" w:type="dxa"/>
            <w:vMerge/>
            <w:tcBorders>
              <w:top w:val="nil"/>
              <w:left w:val="nil"/>
              <w:bottom w:val="nil"/>
              <w:right w:val="nil"/>
            </w:tcBorders>
            <w:vAlign w:val="center"/>
            <w:hideMark/>
          </w:tcPr>
          <w:p w14:paraId="1FFDB0F9" w14:textId="77777777" w:rsidR="007A38AE" w:rsidRPr="007A38AE" w:rsidRDefault="007A38AE" w:rsidP="007A38AE">
            <w:pPr>
              <w:widowControl/>
              <w:spacing w:after="0"/>
              <w:jc w:val="left"/>
              <w:rPr>
                <w:rFonts w:ascii="Calibri" w:eastAsia="Times New Roman" w:hAnsi="Calibri" w:cs="Calibri"/>
                <w:sz w:val="20"/>
                <w:szCs w:val="20"/>
                <w:lang w:eastAsia="en-GB"/>
              </w:rPr>
            </w:pPr>
          </w:p>
        </w:tc>
        <w:tc>
          <w:tcPr>
            <w:tcW w:w="6513" w:type="dxa"/>
            <w:tcBorders>
              <w:top w:val="nil"/>
              <w:left w:val="nil"/>
              <w:bottom w:val="nil"/>
              <w:right w:val="nil"/>
            </w:tcBorders>
            <w:shd w:val="clear" w:color="000000" w:fill="FFFFFF"/>
            <w:noWrap/>
            <w:vAlign w:val="bottom"/>
            <w:hideMark/>
          </w:tcPr>
          <w:p w14:paraId="627AF55B"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Prop carers receiving help with questionnaire</w:t>
            </w:r>
          </w:p>
        </w:tc>
        <w:tc>
          <w:tcPr>
            <w:tcW w:w="1240" w:type="dxa"/>
            <w:tcBorders>
              <w:top w:val="nil"/>
              <w:left w:val="nil"/>
              <w:bottom w:val="nil"/>
              <w:right w:val="nil"/>
            </w:tcBorders>
            <w:shd w:val="clear" w:color="000000" w:fill="FFFFFF"/>
            <w:noWrap/>
            <w:vAlign w:val="bottom"/>
            <w:hideMark/>
          </w:tcPr>
          <w:p w14:paraId="2223956D"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0.001</w:t>
            </w:r>
          </w:p>
        </w:tc>
      </w:tr>
      <w:tr w:rsidR="007A38AE" w:rsidRPr="007A38AE" w14:paraId="27FDCB56" w14:textId="77777777" w:rsidTr="007A38AE">
        <w:trPr>
          <w:trHeight w:val="255"/>
        </w:trPr>
        <w:tc>
          <w:tcPr>
            <w:tcW w:w="6820" w:type="dxa"/>
            <w:gridSpan w:val="2"/>
            <w:tcBorders>
              <w:top w:val="nil"/>
              <w:left w:val="nil"/>
              <w:bottom w:val="nil"/>
              <w:right w:val="nil"/>
            </w:tcBorders>
            <w:shd w:val="clear" w:color="000000" w:fill="FFFFFF"/>
            <w:noWrap/>
            <w:vAlign w:val="center"/>
            <w:hideMark/>
          </w:tcPr>
          <w:p w14:paraId="069D162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Constant</w:t>
            </w:r>
          </w:p>
        </w:tc>
        <w:tc>
          <w:tcPr>
            <w:tcW w:w="1240" w:type="dxa"/>
            <w:tcBorders>
              <w:top w:val="nil"/>
              <w:left w:val="nil"/>
              <w:bottom w:val="nil"/>
              <w:right w:val="nil"/>
            </w:tcBorders>
            <w:shd w:val="clear" w:color="000000" w:fill="FFFFFF"/>
            <w:noWrap/>
            <w:vAlign w:val="bottom"/>
            <w:hideMark/>
          </w:tcPr>
          <w:p w14:paraId="5366C0C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7.998***</w:t>
            </w:r>
          </w:p>
        </w:tc>
      </w:tr>
      <w:tr w:rsidR="007A38AE" w:rsidRPr="007A38AE" w14:paraId="74ED9520" w14:textId="77777777" w:rsidTr="007A38AE">
        <w:trPr>
          <w:trHeight w:val="255"/>
        </w:trPr>
        <w:tc>
          <w:tcPr>
            <w:tcW w:w="6820" w:type="dxa"/>
            <w:gridSpan w:val="2"/>
            <w:tcBorders>
              <w:top w:val="single" w:sz="4" w:space="0" w:color="auto"/>
              <w:left w:val="nil"/>
              <w:bottom w:val="nil"/>
              <w:right w:val="nil"/>
            </w:tcBorders>
            <w:shd w:val="clear" w:color="000000" w:fill="FFFFFF"/>
            <w:noWrap/>
            <w:vAlign w:val="center"/>
            <w:hideMark/>
          </w:tcPr>
          <w:p w14:paraId="4E6E7B8E"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Observations</w:t>
            </w:r>
          </w:p>
        </w:tc>
        <w:tc>
          <w:tcPr>
            <w:tcW w:w="1240" w:type="dxa"/>
            <w:tcBorders>
              <w:top w:val="single" w:sz="4" w:space="0" w:color="auto"/>
              <w:left w:val="nil"/>
              <w:bottom w:val="nil"/>
              <w:right w:val="nil"/>
            </w:tcBorders>
            <w:shd w:val="clear" w:color="000000" w:fill="FFFFFF"/>
            <w:noWrap/>
            <w:vAlign w:val="bottom"/>
            <w:hideMark/>
          </w:tcPr>
          <w:p w14:paraId="7F86E434"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146</w:t>
            </w:r>
          </w:p>
        </w:tc>
      </w:tr>
      <w:tr w:rsidR="007A38AE" w:rsidRPr="007A38AE" w14:paraId="29CE1FC1" w14:textId="77777777" w:rsidTr="007A38AE">
        <w:trPr>
          <w:trHeight w:val="255"/>
        </w:trPr>
        <w:tc>
          <w:tcPr>
            <w:tcW w:w="6820" w:type="dxa"/>
            <w:gridSpan w:val="2"/>
            <w:tcBorders>
              <w:top w:val="nil"/>
              <w:left w:val="nil"/>
              <w:bottom w:val="nil"/>
              <w:right w:val="nil"/>
            </w:tcBorders>
            <w:shd w:val="clear" w:color="000000" w:fill="FFFFFF"/>
            <w:noWrap/>
            <w:vAlign w:val="center"/>
            <w:hideMark/>
          </w:tcPr>
          <w:p w14:paraId="597EDEBD"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Kleibergen-Paap rk Wald F statistic</w:t>
            </w:r>
          </w:p>
        </w:tc>
        <w:tc>
          <w:tcPr>
            <w:tcW w:w="1240" w:type="dxa"/>
            <w:tcBorders>
              <w:top w:val="nil"/>
              <w:left w:val="nil"/>
              <w:bottom w:val="nil"/>
              <w:right w:val="nil"/>
            </w:tcBorders>
            <w:shd w:val="clear" w:color="000000" w:fill="FFFFFF"/>
            <w:noWrap/>
            <w:vAlign w:val="bottom"/>
            <w:hideMark/>
          </w:tcPr>
          <w:p w14:paraId="7333EB13"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4.3</w:t>
            </w:r>
          </w:p>
        </w:tc>
      </w:tr>
      <w:tr w:rsidR="007A38AE" w:rsidRPr="007A38AE" w14:paraId="71F56E02" w14:textId="77777777" w:rsidTr="007A38AE">
        <w:trPr>
          <w:trHeight w:val="255"/>
        </w:trPr>
        <w:tc>
          <w:tcPr>
            <w:tcW w:w="6820" w:type="dxa"/>
            <w:gridSpan w:val="2"/>
            <w:tcBorders>
              <w:top w:val="nil"/>
              <w:left w:val="nil"/>
              <w:bottom w:val="single" w:sz="4" w:space="0" w:color="auto"/>
              <w:right w:val="nil"/>
            </w:tcBorders>
            <w:shd w:val="clear" w:color="000000" w:fill="FFFFFF"/>
            <w:noWrap/>
            <w:vAlign w:val="center"/>
            <w:hideMark/>
          </w:tcPr>
          <w:p w14:paraId="63A4FFA9"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Over-identification test's p-value</w:t>
            </w:r>
          </w:p>
        </w:tc>
        <w:tc>
          <w:tcPr>
            <w:tcW w:w="1240" w:type="dxa"/>
            <w:tcBorders>
              <w:top w:val="nil"/>
              <w:left w:val="nil"/>
              <w:bottom w:val="single" w:sz="4" w:space="0" w:color="auto"/>
              <w:right w:val="nil"/>
            </w:tcBorders>
            <w:shd w:val="clear" w:color="000000" w:fill="FFFFFF"/>
            <w:noWrap/>
            <w:vAlign w:val="bottom"/>
            <w:hideMark/>
          </w:tcPr>
          <w:p w14:paraId="4BF0DA59" w14:textId="77777777" w:rsidR="007A38AE" w:rsidRPr="007A38AE" w:rsidRDefault="007A38AE" w:rsidP="007A38AE">
            <w:pPr>
              <w:widowControl/>
              <w:spacing w:after="0"/>
              <w:jc w:val="center"/>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0.131</w:t>
            </w:r>
          </w:p>
        </w:tc>
      </w:tr>
      <w:tr w:rsidR="007A38AE" w:rsidRPr="007A38AE" w14:paraId="23427826" w14:textId="77777777" w:rsidTr="007A38AE">
        <w:trPr>
          <w:trHeight w:val="255"/>
        </w:trPr>
        <w:tc>
          <w:tcPr>
            <w:tcW w:w="8060" w:type="dxa"/>
            <w:gridSpan w:val="3"/>
            <w:tcBorders>
              <w:top w:val="single" w:sz="4" w:space="0" w:color="auto"/>
              <w:left w:val="nil"/>
              <w:bottom w:val="nil"/>
              <w:right w:val="nil"/>
            </w:tcBorders>
            <w:shd w:val="clear" w:color="000000" w:fill="FFFFFF"/>
            <w:noWrap/>
            <w:vAlign w:val="center"/>
            <w:hideMark/>
          </w:tcPr>
          <w:p w14:paraId="6F8A2F38" w14:textId="3181C0AD"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 xml:space="preserve">The dependent variable is the </w:t>
            </w:r>
            <w:r w:rsidR="00300A8A">
              <w:rPr>
                <w:rFonts w:ascii="Calibri" w:eastAsia="Times New Roman" w:hAnsi="Calibri" w:cs="Calibri"/>
                <w:sz w:val="20"/>
                <w:szCs w:val="20"/>
                <w:lang w:eastAsia="en-GB"/>
              </w:rPr>
              <w:t xml:space="preserve">ln of </w:t>
            </w:r>
            <w:r w:rsidRPr="007A38AE">
              <w:rPr>
                <w:rFonts w:ascii="Calibri" w:eastAsia="Times New Roman" w:hAnsi="Calibri" w:cs="Calibri"/>
                <w:sz w:val="20"/>
                <w:szCs w:val="20"/>
                <w:lang w:eastAsia="en-GB"/>
              </w:rPr>
              <w:t>age-standardised mortality rate.</w:t>
            </w:r>
          </w:p>
        </w:tc>
      </w:tr>
      <w:tr w:rsidR="007A38AE" w:rsidRPr="007A38AE" w14:paraId="76F0F4CA" w14:textId="77777777" w:rsidTr="007A38AE">
        <w:trPr>
          <w:trHeight w:val="735"/>
        </w:trPr>
        <w:tc>
          <w:tcPr>
            <w:tcW w:w="8060" w:type="dxa"/>
            <w:gridSpan w:val="3"/>
            <w:tcBorders>
              <w:top w:val="nil"/>
              <w:left w:val="nil"/>
              <w:bottom w:val="nil"/>
              <w:right w:val="nil"/>
            </w:tcBorders>
            <w:shd w:val="clear" w:color="000000" w:fill="FFFFFF"/>
            <w:vAlign w:val="center"/>
            <w:hideMark/>
          </w:tcPr>
          <w:p w14:paraId="48080692"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All estimates are obtained from an over-identified instrumental variable specification. The instruments are distance from target index, ln of age-cost index, ln of market forces factor index, and ln of council tax base per user.</w:t>
            </w:r>
          </w:p>
        </w:tc>
      </w:tr>
      <w:tr w:rsidR="007A38AE" w:rsidRPr="007A38AE" w14:paraId="3784473A" w14:textId="77777777" w:rsidTr="007A38AE">
        <w:trPr>
          <w:trHeight w:val="255"/>
        </w:trPr>
        <w:tc>
          <w:tcPr>
            <w:tcW w:w="8060" w:type="dxa"/>
            <w:gridSpan w:val="3"/>
            <w:tcBorders>
              <w:top w:val="nil"/>
              <w:left w:val="nil"/>
              <w:bottom w:val="single" w:sz="4" w:space="0" w:color="auto"/>
              <w:right w:val="nil"/>
            </w:tcBorders>
            <w:shd w:val="clear" w:color="000000" w:fill="FFFFFF"/>
            <w:noWrap/>
            <w:vAlign w:val="center"/>
            <w:hideMark/>
          </w:tcPr>
          <w:p w14:paraId="14EBDCDA" w14:textId="77777777" w:rsidR="007A38AE" w:rsidRPr="007A38AE" w:rsidRDefault="007A38AE" w:rsidP="007A38AE">
            <w:pPr>
              <w:widowControl/>
              <w:spacing w:after="0"/>
              <w:jc w:val="left"/>
              <w:rPr>
                <w:rFonts w:ascii="Calibri" w:eastAsia="Times New Roman" w:hAnsi="Calibri" w:cs="Calibri"/>
                <w:sz w:val="20"/>
                <w:szCs w:val="20"/>
                <w:lang w:eastAsia="en-GB"/>
              </w:rPr>
            </w:pPr>
            <w:r w:rsidRPr="007A38AE">
              <w:rPr>
                <w:rFonts w:ascii="Calibri" w:eastAsia="Times New Roman" w:hAnsi="Calibri" w:cs="Calibri"/>
                <w:sz w:val="20"/>
                <w:szCs w:val="20"/>
                <w:lang w:eastAsia="en-GB"/>
              </w:rPr>
              <w:t>Robust standard errors in parentheses, ***=p-value&lt;0.01, **=p-value&lt;0.05, *=p-value&lt;0.1</w:t>
            </w:r>
          </w:p>
        </w:tc>
      </w:tr>
    </w:tbl>
    <w:p w14:paraId="501EF8D6" w14:textId="77777777" w:rsidR="00B025AC" w:rsidRDefault="00B025AC" w:rsidP="00200A87">
      <w:pPr>
        <w:sectPr w:rsidR="00B025AC" w:rsidSect="00200A87">
          <w:pgSz w:w="11906" w:h="16838"/>
          <w:pgMar w:top="720" w:right="720" w:bottom="720" w:left="720" w:header="708" w:footer="708" w:gutter="0"/>
          <w:cols w:space="708"/>
          <w:docGrid w:linePitch="360"/>
        </w:sectPr>
      </w:pPr>
    </w:p>
    <w:p w14:paraId="275013C7" w14:textId="26E8E40B" w:rsidR="00B025AC" w:rsidRDefault="00B025AC" w:rsidP="00B025AC">
      <w:pPr>
        <w:pStyle w:val="Caption"/>
      </w:pPr>
      <w:bookmarkStart w:id="40" w:name="_Ref93677654"/>
      <w:r w:rsidRPr="002A4884">
        <w:lastRenderedPageBreak/>
        <w:t xml:space="preserve">Table </w:t>
      </w:r>
      <w:r w:rsidR="002A7365">
        <w:fldChar w:fldCharType="begin"/>
      </w:r>
      <w:r w:rsidR="002A7365">
        <w:instrText xml:space="preserve"> SEQ Table \* ARABIC </w:instrText>
      </w:r>
      <w:r w:rsidR="002A7365">
        <w:fldChar w:fldCharType="separate"/>
      </w:r>
      <w:r w:rsidR="007C7B62">
        <w:rPr>
          <w:noProof/>
        </w:rPr>
        <w:t>6</w:t>
      </w:r>
      <w:r w:rsidR="002A7365">
        <w:rPr>
          <w:noProof/>
        </w:rPr>
        <w:fldChar w:fldCharType="end"/>
      </w:r>
      <w:bookmarkEnd w:id="40"/>
      <w:r w:rsidRPr="002A4884">
        <w:t xml:space="preserve"> – </w:t>
      </w:r>
      <w:r>
        <w:t>Summary of the key results</w:t>
      </w:r>
      <w:r w:rsidRPr="002A4884">
        <w:t>.</w:t>
      </w:r>
    </w:p>
    <w:tbl>
      <w:tblPr>
        <w:tblW w:w="0" w:type="auto"/>
        <w:tblLook w:val="04A0" w:firstRow="1" w:lastRow="0" w:firstColumn="1" w:lastColumn="0" w:noHBand="0" w:noVBand="1"/>
      </w:tblPr>
      <w:tblGrid>
        <w:gridCol w:w="3503"/>
        <w:gridCol w:w="1033"/>
        <w:gridCol w:w="262"/>
        <w:gridCol w:w="5462"/>
        <w:gridCol w:w="1033"/>
      </w:tblGrid>
      <w:tr w:rsidR="00A01019" w:rsidRPr="007E531D" w14:paraId="654AD10D" w14:textId="77777777" w:rsidTr="007E531D">
        <w:trPr>
          <w:trHeight w:val="495"/>
        </w:trPr>
        <w:tc>
          <w:tcPr>
            <w:tcW w:w="0" w:type="auto"/>
            <w:gridSpan w:val="2"/>
            <w:tcBorders>
              <w:top w:val="single" w:sz="4" w:space="0" w:color="auto"/>
              <w:left w:val="nil"/>
              <w:bottom w:val="single" w:sz="4" w:space="0" w:color="auto"/>
              <w:right w:val="nil"/>
            </w:tcBorders>
            <w:shd w:val="clear" w:color="000000" w:fill="FFFFFF"/>
            <w:vAlign w:val="center"/>
            <w:hideMark/>
          </w:tcPr>
          <w:p w14:paraId="7AAFFD5C"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Health care</w:t>
            </w:r>
          </w:p>
        </w:tc>
        <w:tc>
          <w:tcPr>
            <w:tcW w:w="0" w:type="auto"/>
            <w:tcBorders>
              <w:top w:val="single" w:sz="4" w:space="0" w:color="auto"/>
              <w:left w:val="nil"/>
              <w:bottom w:val="nil"/>
              <w:right w:val="nil"/>
            </w:tcBorders>
            <w:shd w:val="clear" w:color="000000" w:fill="FFFFFF"/>
            <w:vAlign w:val="center"/>
            <w:hideMark/>
          </w:tcPr>
          <w:p w14:paraId="4C97A9EF"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gridSpan w:val="2"/>
            <w:tcBorders>
              <w:top w:val="single" w:sz="4" w:space="0" w:color="auto"/>
              <w:left w:val="nil"/>
              <w:bottom w:val="single" w:sz="4" w:space="0" w:color="auto"/>
              <w:right w:val="nil"/>
            </w:tcBorders>
            <w:shd w:val="clear" w:color="000000" w:fill="FFFFFF"/>
            <w:vAlign w:val="center"/>
            <w:hideMark/>
          </w:tcPr>
          <w:p w14:paraId="715F04DF"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Long-term care</w:t>
            </w:r>
          </w:p>
        </w:tc>
      </w:tr>
      <w:tr w:rsidR="007E531D" w:rsidRPr="007E531D" w14:paraId="577BFC76" w14:textId="77777777" w:rsidTr="00AF3E1E">
        <w:trPr>
          <w:trHeight w:val="402"/>
        </w:trPr>
        <w:tc>
          <w:tcPr>
            <w:tcW w:w="0" w:type="auto"/>
            <w:gridSpan w:val="5"/>
            <w:tcBorders>
              <w:top w:val="nil"/>
              <w:left w:val="nil"/>
              <w:bottom w:val="nil"/>
              <w:right w:val="nil"/>
            </w:tcBorders>
            <w:shd w:val="clear" w:color="000000" w:fill="FFFFFF"/>
            <w:vAlign w:val="bottom"/>
            <w:hideMark/>
          </w:tcPr>
          <w:p w14:paraId="0242CB40"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Key summary statistics</w:t>
            </w:r>
          </w:p>
        </w:tc>
      </w:tr>
      <w:tr w:rsidR="00A01019" w:rsidRPr="007E531D" w14:paraId="1E05663A" w14:textId="77777777" w:rsidTr="007E531D">
        <w:trPr>
          <w:trHeight w:val="255"/>
        </w:trPr>
        <w:tc>
          <w:tcPr>
            <w:tcW w:w="0" w:type="auto"/>
            <w:tcBorders>
              <w:top w:val="nil"/>
              <w:left w:val="nil"/>
              <w:bottom w:val="nil"/>
              <w:right w:val="nil"/>
            </w:tcBorders>
            <w:shd w:val="clear" w:color="000000" w:fill="FFFFFF"/>
            <w:vAlign w:val="center"/>
            <w:hideMark/>
          </w:tcPr>
          <w:p w14:paraId="4A912D23"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Average population</w:t>
            </w:r>
          </w:p>
        </w:tc>
        <w:tc>
          <w:tcPr>
            <w:tcW w:w="0" w:type="auto"/>
            <w:tcBorders>
              <w:top w:val="nil"/>
              <w:left w:val="nil"/>
              <w:bottom w:val="nil"/>
              <w:right w:val="nil"/>
            </w:tcBorders>
            <w:shd w:val="clear" w:color="000000" w:fill="FFFFFF"/>
            <w:vAlign w:val="center"/>
            <w:hideMark/>
          </w:tcPr>
          <w:p w14:paraId="3E7D6245"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333,083</w:t>
            </w:r>
          </w:p>
        </w:tc>
        <w:tc>
          <w:tcPr>
            <w:tcW w:w="0" w:type="auto"/>
            <w:tcBorders>
              <w:top w:val="nil"/>
              <w:left w:val="nil"/>
              <w:bottom w:val="nil"/>
              <w:right w:val="nil"/>
            </w:tcBorders>
            <w:shd w:val="clear" w:color="000000" w:fill="FFFFFF"/>
            <w:vAlign w:val="center"/>
            <w:hideMark/>
          </w:tcPr>
          <w:p w14:paraId="6B2FC0A3"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vAlign w:val="center"/>
            <w:hideMark/>
          </w:tcPr>
          <w:p w14:paraId="21FE29AC"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Average users</w:t>
            </w:r>
          </w:p>
        </w:tc>
        <w:tc>
          <w:tcPr>
            <w:tcW w:w="0" w:type="auto"/>
            <w:tcBorders>
              <w:top w:val="nil"/>
              <w:left w:val="nil"/>
              <w:bottom w:val="nil"/>
              <w:right w:val="nil"/>
            </w:tcBorders>
            <w:shd w:val="clear" w:color="000000" w:fill="FFFFFF"/>
            <w:vAlign w:val="center"/>
            <w:hideMark/>
          </w:tcPr>
          <w:p w14:paraId="2E917A16"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14,885</w:t>
            </w:r>
          </w:p>
        </w:tc>
      </w:tr>
      <w:tr w:rsidR="00A01019" w:rsidRPr="007E531D" w14:paraId="0D5567C1" w14:textId="77777777" w:rsidTr="007E531D">
        <w:trPr>
          <w:trHeight w:val="255"/>
        </w:trPr>
        <w:tc>
          <w:tcPr>
            <w:tcW w:w="0" w:type="auto"/>
            <w:tcBorders>
              <w:top w:val="nil"/>
              <w:left w:val="nil"/>
              <w:bottom w:val="nil"/>
              <w:right w:val="nil"/>
            </w:tcBorders>
            <w:shd w:val="clear" w:color="000000" w:fill="FFFFFF"/>
            <w:vAlign w:val="center"/>
            <w:hideMark/>
          </w:tcPr>
          <w:p w14:paraId="502F7671"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Average expenditure per capita</w:t>
            </w:r>
          </w:p>
        </w:tc>
        <w:tc>
          <w:tcPr>
            <w:tcW w:w="0" w:type="auto"/>
            <w:tcBorders>
              <w:top w:val="nil"/>
              <w:left w:val="nil"/>
              <w:bottom w:val="nil"/>
              <w:right w:val="nil"/>
            </w:tcBorders>
            <w:shd w:val="clear" w:color="000000" w:fill="FFFFFF"/>
            <w:vAlign w:val="center"/>
            <w:hideMark/>
          </w:tcPr>
          <w:p w14:paraId="47DFAFCE"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1,257</w:t>
            </w:r>
          </w:p>
        </w:tc>
        <w:tc>
          <w:tcPr>
            <w:tcW w:w="0" w:type="auto"/>
            <w:tcBorders>
              <w:top w:val="nil"/>
              <w:left w:val="nil"/>
              <w:bottom w:val="nil"/>
              <w:right w:val="nil"/>
            </w:tcBorders>
            <w:shd w:val="clear" w:color="000000" w:fill="FFFFFF"/>
            <w:vAlign w:val="center"/>
            <w:hideMark/>
          </w:tcPr>
          <w:p w14:paraId="6B685B1C"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vAlign w:val="center"/>
            <w:hideMark/>
          </w:tcPr>
          <w:p w14:paraId="1D7C22E1" w14:textId="37836DC4" w:rsidR="007E531D" w:rsidRPr="007E531D" w:rsidRDefault="00B642B4" w:rsidP="007E531D">
            <w:pPr>
              <w:widowControl/>
              <w:spacing w:after="0"/>
              <w:jc w:val="left"/>
              <w:rPr>
                <w:rFonts w:ascii="Calibri" w:eastAsia="Times New Roman" w:hAnsi="Calibri" w:cs="Calibri"/>
                <w:sz w:val="20"/>
                <w:szCs w:val="20"/>
                <w:lang w:eastAsia="en-GB"/>
              </w:rPr>
            </w:pPr>
            <w:r>
              <w:rPr>
                <w:rFonts w:ascii="Calibri" w:eastAsia="Times New Roman" w:hAnsi="Calibri" w:cs="Calibri"/>
                <w:sz w:val="20"/>
                <w:szCs w:val="20"/>
                <w:lang w:eastAsia="en-GB"/>
              </w:rPr>
              <w:t>Average</w:t>
            </w:r>
            <w:r w:rsidR="007E531D" w:rsidRPr="007E531D">
              <w:rPr>
                <w:rFonts w:ascii="Calibri" w:eastAsia="Times New Roman" w:hAnsi="Calibri" w:cs="Calibri"/>
                <w:sz w:val="20"/>
                <w:szCs w:val="20"/>
                <w:lang w:eastAsia="en-GB"/>
              </w:rPr>
              <w:t xml:space="preserve"> expenditure per user</w:t>
            </w:r>
          </w:p>
        </w:tc>
        <w:tc>
          <w:tcPr>
            <w:tcW w:w="0" w:type="auto"/>
            <w:tcBorders>
              <w:top w:val="nil"/>
              <w:left w:val="nil"/>
              <w:bottom w:val="nil"/>
              <w:right w:val="nil"/>
            </w:tcBorders>
            <w:shd w:val="clear" w:color="000000" w:fill="FFFFFF"/>
            <w:vAlign w:val="center"/>
            <w:hideMark/>
          </w:tcPr>
          <w:p w14:paraId="3E52E62F"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8,633</w:t>
            </w:r>
          </w:p>
        </w:tc>
      </w:tr>
      <w:tr w:rsidR="007E531D" w:rsidRPr="007E531D" w14:paraId="035CE6E5" w14:textId="77777777" w:rsidTr="00AF3E1E">
        <w:trPr>
          <w:trHeight w:val="402"/>
        </w:trPr>
        <w:tc>
          <w:tcPr>
            <w:tcW w:w="0" w:type="auto"/>
            <w:gridSpan w:val="5"/>
            <w:tcBorders>
              <w:top w:val="nil"/>
              <w:left w:val="nil"/>
              <w:bottom w:val="nil"/>
              <w:right w:val="nil"/>
            </w:tcBorders>
            <w:shd w:val="clear" w:color="000000" w:fill="FFFFFF"/>
            <w:noWrap/>
            <w:vAlign w:val="bottom"/>
            <w:hideMark/>
          </w:tcPr>
          <w:p w14:paraId="2079FFF4"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Key marginal effects on expenditure in the other sector</w:t>
            </w:r>
          </w:p>
        </w:tc>
      </w:tr>
      <w:tr w:rsidR="00A01019" w:rsidRPr="007E531D" w14:paraId="0505B9CA" w14:textId="77777777" w:rsidTr="007E531D">
        <w:trPr>
          <w:trHeight w:val="255"/>
        </w:trPr>
        <w:tc>
          <w:tcPr>
            <w:tcW w:w="0" w:type="auto"/>
            <w:tcBorders>
              <w:top w:val="nil"/>
              <w:left w:val="nil"/>
              <w:bottom w:val="nil"/>
              <w:right w:val="nil"/>
            </w:tcBorders>
            <w:shd w:val="clear" w:color="000000" w:fill="FFFFFF"/>
            <w:noWrap/>
            <w:vAlign w:val="center"/>
            <w:hideMark/>
          </w:tcPr>
          <w:p w14:paraId="1E129BF6"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Long-term care expenditure</w:t>
            </w:r>
          </w:p>
        </w:tc>
        <w:tc>
          <w:tcPr>
            <w:tcW w:w="0" w:type="auto"/>
            <w:tcBorders>
              <w:top w:val="nil"/>
              <w:left w:val="nil"/>
              <w:bottom w:val="nil"/>
              <w:right w:val="nil"/>
            </w:tcBorders>
            <w:shd w:val="clear" w:color="000000" w:fill="FFFFFF"/>
            <w:noWrap/>
            <w:vAlign w:val="center"/>
            <w:hideMark/>
          </w:tcPr>
          <w:p w14:paraId="4AF5EBC2"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-0.607**</w:t>
            </w:r>
          </w:p>
        </w:tc>
        <w:tc>
          <w:tcPr>
            <w:tcW w:w="0" w:type="auto"/>
            <w:tcBorders>
              <w:top w:val="nil"/>
              <w:left w:val="nil"/>
              <w:bottom w:val="nil"/>
              <w:right w:val="nil"/>
            </w:tcBorders>
            <w:shd w:val="clear" w:color="000000" w:fill="FFFFFF"/>
            <w:noWrap/>
            <w:vAlign w:val="center"/>
            <w:hideMark/>
          </w:tcPr>
          <w:p w14:paraId="57623E94"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6F078A15"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Non-elective admission expenditure</w:t>
            </w:r>
          </w:p>
        </w:tc>
        <w:tc>
          <w:tcPr>
            <w:tcW w:w="0" w:type="auto"/>
            <w:tcBorders>
              <w:top w:val="nil"/>
              <w:left w:val="nil"/>
              <w:bottom w:val="nil"/>
              <w:right w:val="nil"/>
            </w:tcBorders>
            <w:shd w:val="clear" w:color="000000" w:fill="FFFFFF"/>
            <w:noWrap/>
            <w:vAlign w:val="center"/>
            <w:hideMark/>
          </w:tcPr>
          <w:p w14:paraId="0F492B10"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-0.089***</w:t>
            </w:r>
          </w:p>
        </w:tc>
      </w:tr>
      <w:tr w:rsidR="00A01019" w:rsidRPr="007E531D" w14:paraId="232F2A90" w14:textId="77777777" w:rsidTr="007E531D">
        <w:trPr>
          <w:trHeight w:val="255"/>
        </w:trPr>
        <w:tc>
          <w:tcPr>
            <w:tcW w:w="0" w:type="auto"/>
            <w:tcBorders>
              <w:top w:val="nil"/>
              <w:left w:val="nil"/>
              <w:bottom w:val="nil"/>
              <w:right w:val="nil"/>
            </w:tcBorders>
            <w:shd w:val="clear" w:color="000000" w:fill="FFFFFF"/>
            <w:noWrap/>
            <w:vAlign w:val="center"/>
            <w:hideMark/>
          </w:tcPr>
          <w:p w14:paraId="47B53DF8"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Nursing care expenditure</w:t>
            </w:r>
          </w:p>
        </w:tc>
        <w:tc>
          <w:tcPr>
            <w:tcW w:w="0" w:type="auto"/>
            <w:tcBorders>
              <w:top w:val="nil"/>
              <w:left w:val="nil"/>
              <w:bottom w:val="nil"/>
              <w:right w:val="nil"/>
            </w:tcBorders>
            <w:shd w:val="clear" w:color="000000" w:fill="FFFFFF"/>
            <w:noWrap/>
            <w:vAlign w:val="center"/>
            <w:hideMark/>
          </w:tcPr>
          <w:p w14:paraId="0F1726CB"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-1.198*</w:t>
            </w:r>
          </w:p>
        </w:tc>
        <w:tc>
          <w:tcPr>
            <w:tcW w:w="0" w:type="auto"/>
            <w:tcBorders>
              <w:top w:val="nil"/>
              <w:left w:val="nil"/>
              <w:bottom w:val="nil"/>
              <w:right w:val="nil"/>
            </w:tcBorders>
            <w:shd w:val="clear" w:color="000000" w:fill="FFFFFF"/>
            <w:noWrap/>
            <w:vAlign w:val="center"/>
            <w:hideMark/>
          </w:tcPr>
          <w:p w14:paraId="0637E91B"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29F65C7E"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Accident and emergency expenditure</w:t>
            </w:r>
          </w:p>
        </w:tc>
        <w:tc>
          <w:tcPr>
            <w:tcW w:w="0" w:type="auto"/>
            <w:tcBorders>
              <w:top w:val="nil"/>
              <w:left w:val="nil"/>
              <w:bottom w:val="nil"/>
              <w:right w:val="nil"/>
            </w:tcBorders>
            <w:shd w:val="clear" w:color="000000" w:fill="FFFFFF"/>
            <w:noWrap/>
            <w:vAlign w:val="center"/>
            <w:hideMark/>
          </w:tcPr>
          <w:p w14:paraId="6B4723A4"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-0.092*</w:t>
            </w:r>
          </w:p>
        </w:tc>
      </w:tr>
      <w:tr w:rsidR="00A01019" w:rsidRPr="007E531D" w14:paraId="4DA75644" w14:textId="77777777" w:rsidTr="007E531D">
        <w:trPr>
          <w:trHeight w:val="255"/>
        </w:trPr>
        <w:tc>
          <w:tcPr>
            <w:tcW w:w="0" w:type="auto"/>
            <w:tcBorders>
              <w:top w:val="nil"/>
              <w:left w:val="nil"/>
              <w:bottom w:val="nil"/>
              <w:right w:val="nil"/>
            </w:tcBorders>
            <w:shd w:val="clear" w:color="000000" w:fill="FFFFFF"/>
            <w:noWrap/>
            <w:vAlign w:val="center"/>
            <w:hideMark/>
          </w:tcPr>
          <w:p w14:paraId="6380A403"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Community care expenditure</w:t>
            </w:r>
          </w:p>
        </w:tc>
        <w:tc>
          <w:tcPr>
            <w:tcW w:w="0" w:type="auto"/>
            <w:tcBorders>
              <w:top w:val="nil"/>
              <w:left w:val="nil"/>
              <w:bottom w:val="nil"/>
              <w:right w:val="nil"/>
            </w:tcBorders>
            <w:shd w:val="clear" w:color="000000" w:fill="FFFFFF"/>
            <w:noWrap/>
            <w:vAlign w:val="center"/>
            <w:hideMark/>
          </w:tcPr>
          <w:p w14:paraId="5920EECA"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-1.098***</w:t>
            </w:r>
          </w:p>
        </w:tc>
        <w:tc>
          <w:tcPr>
            <w:tcW w:w="0" w:type="auto"/>
            <w:tcBorders>
              <w:top w:val="nil"/>
              <w:left w:val="nil"/>
              <w:bottom w:val="nil"/>
              <w:right w:val="nil"/>
            </w:tcBorders>
            <w:shd w:val="clear" w:color="000000" w:fill="FFFFFF"/>
            <w:noWrap/>
            <w:vAlign w:val="center"/>
            <w:hideMark/>
          </w:tcPr>
          <w:p w14:paraId="5F75A435"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3F296384" w14:textId="45B5A88E"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Unbundled diagnostic imaging expenditure for largest 4 diseases</w:t>
            </w:r>
          </w:p>
        </w:tc>
        <w:tc>
          <w:tcPr>
            <w:tcW w:w="0" w:type="auto"/>
            <w:tcBorders>
              <w:top w:val="nil"/>
              <w:left w:val="nil"/>
              <w:bottom w:val="nil"/>
              <w:right w:val="nil"/>
            </w:tcBorders>
            <w:shd w:val="clear" w:color="000000" w:fill="FFFFFF"/>
            <w:noWrap/>
            <w:vAlign w:val="center"/>
            <w:hideMark/>
          </w:tcPr>
          <w:p w14:paraId="31DB85C3" w14:textId="65103470"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-0.759**</w:t>
            </w:r>
          </w:p>
        </w:tc>
      </w:tr>
      <w:tr w:rsidR="00A01019" w:rsidRPr="007E531D" w14:paraId="240CC898" w14:textId="77777777" w:rsidTr="007E531D">
        <w:trPr>
          <w:trHeight w:val="255"/>
        </w:trPr>
        <w:tc>
          <w:tcPr>
            <w:tcW w:w="0" w:type="auto"/>
            <w:tcBorders>
              <w:top w:val="nil"/>
              <w:left w:val="nil"/>
              <w:bottom w:val="nil"/>
              <w:right w:val="nil"/>
            </w:tcBorders>
            <w:shd w:val="clear" w:color="000000" w:fill="FFFFFF"/>
            <w:noWrap/>
            <w:vAlign w:val="center"/>
            <w:hideMark/>
          </w:tcPr>
          <w:p w14:paraId="27A55309"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Social support expenditure</w:t>
            </w:r>
          </w:p>
        </w:tc>
        <w:tc>
          <w:tcPr>
            <w:tcW w:w="0" w:type="auto"/>
            <w:tcBorders>
              <w:top w:val="nil"/>
              <w:left w:val="nil"/>
              <w:bottom w:val="nil"/>
              <w:right w:val="nil"/>
            </w:tcBorders>
            <w:shd w:val="clear" w:color="000000" w:fill="FFFFFF"/>
            <w:noWrap/>
            <w:vAlign w:val="center"/>
            <w:hideMark/>
          </w:tcPr>
          <w:p w14:paraId="0C6F3C11"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-4.512**</w:t>
            </w:r>
          </w:p>
        </w:tc>
        <w:tc>
          <w:tcPr>
            <w:tcW w:w="0" w:type="auto"/>
            <w:tcBorders>
              <w:top w:val="nil"/>
              <w:left w:val="nil"/>
              <w:bottom w:val="nil"/>
              <w:right w:val="nil"/>
            </w:tcBorders>
            <w:shd w:val="clear" w:color="000000" w:fill="FFFFFF"/>
            <w:noWrap/>
            <w:vAlign w:val="center"/>
            <w:hideMark/>
          </w:tcPr>
          <w:p w14:paraId="226009B5"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59611AB3" w14:textId="39B89942"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Unbundled critical care expenditure</w:t>
            </w:r>
          </w:p>
        </w:tc>
        <w:tc>
          <w:tcPr>
            <w:tcW w:w="0" w:type="auto"/>
            <w:tcBorders>
              <w:top w:val="nil"/>
              <w:left w:val="nil"/>
              <w:bottom w:val="nil"/>
              <w:right w:val="nil"/>
            </w:tcBorders>
            <w:shd w:val="clear" w:color="000000" w:fill="FFFFFF"/>
            <w:noWrap/>
            <w:vAlign w:val="center"/>
            <w:hideMark/>
          </w:tcPr>
          <w:p w14:paraId="7D4A3CD6" w14:textId="79DC5A61"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-0.192***</w:t>
            </w:r>
          </w:p>
        </w:tc>
      </w:tr>
      <w:tr w:rsidR="00A01019" w:rsidRPr="007E531D" w14:paraId="56D5EEAC" w14:textId="77777777" w:rsidTr="007E531D">
        <w:trPr>
          <w:trHeight w:val="255"/>
        </w:trPr>
        <w:tc>
          <w:tcPr>
            <w:tcW w:w="0" w:type="auto"/>
            <w:tcBorders>
              <w:top w:val="nil"/>
              <w:left w:val="nil"/>
              <w:bottom w:val="nil"/>
              <w:right w:val="nil"/>
            </w:tcBorders>
            <w:shd w:val="clear" w:color="000000" w:fill="FFFFFF"/>
            <w:noWrap/>
            <w:vAlign w:val="center"/>
            <w:hideMark/>
          </w:tcPr>
          <w:p w14:paraId="19782399"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Equipment and adaptations expenditure</w:t>
            </w:r>
          </w:p>
        </w:tc>
        <w:tc>
          <w:tcPr>
            <w:tcW w:w="0" w:type="auto"/>
            <w:tcBorders>
              <w:top w:val="nil"/>
              <w:left w:val="nil"/>
              <w:bottom w:val="nil"/>
              <w:right w:val="nil"/>
            </w:tcBorders>
            <w:shd w:val="clear" w:color="000000" w:fill="FFFFFF"/>
            <w:noWrap/>
            <w:vAlign w:val="center"/>
            <w:hideMark/>
          </w:tcPr>
          <w:p w14:paraId="30FA56C9"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-3.457*</w:t>
            </w:r>
          </w:p>
        </w:tc>
        <w:tc>
          <w:tcPr>
            <w:tcW w:w="0" w:type="auto"/>
            <w:tcBorders>
              <w:top w:val="nil"/>
              <w:left w:val="nil"/>
              <w:bottom w:val="nil"/>
              <w:right w:val="nil"/>
            </w:tcBorders>
            <w:shd w:val="clear" w:color="000000" w:fill="FFFFFF"/>
            <w:noWrap/>
            <w:vAlign w:val="center"/>
            <w:hideMark/>
          </w:tcPr>
          <w:p w14:paraId="0EE02B53"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48EABB82" w14:textId="0DACA702"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Direct access diagnostic imaging expenditure</w:t>
            </w:r>
          </w:p>
        </w:tc>
        <w:tc>
          <w:tcPr>
            <w:tcW w:w="0" w:type="auto"/>
            <w:tcBorders>
              <w:top w:val="nil"/>
              <w:left w:val="nil"/>
              <w:bottom w:val="nil"/>
              <w:right w:val="nil"/>
            </w:tcBorders>
            <w:shd w:val="clear" w:color="000000" w:fill="FFFFFF"/>
            <w:noWrap/>
            <w:vAlign w:val="center"/>
            <w:hideMark/>
          </w:tcPr>
          <w:p w14:paraId="70285872" w14:textId="338FA609"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-0.313**</w:t>
            </w:r>
          </w:p>
        </w:tc>
      </w:tr>
      <w:tr w:rsidR="007E531D" w:rsidRPr="007E531D" w14:paraId="0D3342B3" w14:textId="77777777" w:rsidTr="007E531D">
        <w:trPr>
          <w:trHeight w:val="255"/>
        </w:trPr>
        <w:tc>
          <w:tcPr>
            <w:tcW w:w="0" w:type="auto"/>
            <w:tcBorders>
              <w:top w:val="nil"/>
              <w:left w:val="nil"/>
              <w:bottom w:val="nil"/>
              <w:right w:val="nil"/>
            </w:tcBorders>
            <w:shd w:val="clear" w:color="000000" w:fill="FFFFFF"/>
            <w:noWrap/>
            <w:vAlign w:val="center"/>
            <w:hideMark/>
          </w:tcPr>
          <w:p w14:paraId="68320DA1"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6341CED3"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6EA85FB9"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4C6D2BB3"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Outpatient care expenditure for largest 4 diseases</w:t>
            </w:r>
          </w:p>
        </w:tc>
        <w:tc>
          <w:tcPr>
            <w:tcW w:w="0" w:type="auto"/>
            <w:tcBorders>
              <w:top w:val="nil"/>
              <w:left w:val="nil"/>
              <w:bottom w:val="nil"/>
              <w:right w:val="nil"/>
            </w:tcBorders>
            <w:shd w:val="clear" w:color="000000" w:fill="FFFFFF"/>
            <w:noWrap/>
            <w:vAlign w:val="center"/>
            <w:hideMark/>
          </w:tcPr>
          <w:p w14:paraId="133256A9"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0.089*</w:t>
            </w:r>
          </w:p>
        </w:tc>
      </w:tr>
      <w:tr w:rsidR="007E531D" w:rsidRPr="007E531D" w14:paraId="66BF09D9" w14:textId="77777777" w:rsidTr="007E531D">
        <w:trPr>
          <w:trHeight w:val="255"/>
        </w:trPr>
        <w:tc>
          <w:tcPr>
            <w:tcW w:w="0" w:type="auto"/>
            <w:tcBorders>
              <w:top w:val="nil"/>
              <w:left w:val="nil"/>
              <w:bottom w:val="nil"/>
              <w:right w:val="nil"/>
            </w:tcBorders>
            <w:shd w:val="clear" w:color="000000" w:fill="FFFFFF"/>
            <w:noWrap/>
            <w:vAlign w:val="center"/>
            <w:hideMark/>
          </w:tcPr>
          <w:p w14:paraId="02929470"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4C554422"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7E23B613"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3B0CF30F"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End of life care expenditure</w:t>
            </w:r>
          </w:p>
        </w:tc>
        <w:tc>
          <w:tcPr>
            <w:tcW w:w="0" w:type="auto"/>
            <w:tcBorders>
              <w:top w:val="nil"/>
              <w:left w:val="nil"/>
              <w:bottom w:val="nil"/>
              <w:right w:val="nil"/>
            </w:tcBorders>
            <w:shd w:val="clear" w:color="000000" w:fill="FFFFFF"/>
            <w:noWrap/>
            <w:vAlign w:val="center"/>
            <w:hideMark/>
          </w:tcPr>
          <w:p w14:paraId="7AD55F89"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0.320**</w:t>
            </w:r>
          </w:p>
        </w:tc>
      </w:tr>
      <w:tr w:rsidR="00A01019" w:rsidRPr="007E531D" w14:paraId="568B283E" w14:textId="77777777" w:rsidTr="007E531D">
        <w:trPr>
          <w:trHeight w:val="255"/>
        </w:trPr>
        <w:tc>
          <w:tcPr>
            <w:tcW w:w="0" w:type="auto"/>
            <w:tcBorders>
              <w:top w:val="nil"/>
              <w:left w:val="nil"/>
              <w:bottom w:val="nil"/>
              <w:right w:val="nil"/>
            </w:tcBorders>
            <w:shd w:val="clear" w:color="000000" w:fill="FFFFFF"/>
            <w:noWrap/>
            <w:vAlign w:val="center"/>
            <w:hideMark/>
          </w:tcPr>
          <w:p w14:paraId="49E9A612"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2394CB05"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1E3D476D"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2FE9D473"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Running costs</w:t>
            </w:r>
          </w:p>
        </w:tc>
        <w:tc>
          <w:tcPr>
            <w:tcW w:w="0" w:type="auto"/>
            <w:tcBorders>
              <w:top w:val="nil"/>
              <w:left w:val="nil"/>
              <w:bottom w:val="nil"/>
              <w:right w:val="nil"/>
            </w:tcBorders>
            <w:shd w:val="clear" w:color="000000" w:fill="FFFFFF"/>
            <w:noWrap/>
            <w:vAlign w:val="center"/>
            <w:hideMark/>
          </w:tcPr>
          <w:p w14:paraId="38880DEE"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0.112***</w:t>
            </w:r>
          </w:p>
        </w:tc>
      </w:tr>
      <w:tr w:rsidR="007E531D" w:rsidRPr="007E531D" w14:paraId="47924C0E" w14:textId="77777777" w:rsidTr="00AF3E1E">
        <w:trPr>
          <w:trHeight w:val="402"/>
        </w:trPr>
        <w:tc>
          <w:tcPr>
            <w:tcW w:w="0" w:type="auto"/>
            <w:gridSpan w:val="5"/>
            <w:tcBorders>
              <w:top w:val="nil"/>
              <w:left w:val="nil"/>
              <w:bottom w:val="nil"/>
              <w:right w:val="nil"/>
            </w:tcBorders>
            <w:shd w:val="clear" w:color="000000" w:fill="FFFFFF"/>
            <w:noWrap/>
            <w:vAlign w:val="bottom"/>
            <w:hideMark/>
          </w:tcPr>
          <w:p w14:paraId="3393C8FC"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Marginal mortality effects</w:t>
            </w:r>
          </w:p>
        </w:tc>
      </w:tr>
      <w:tr w:rsidR="00A01019" w:rsidRPr="007E531D" w14:paraId="3C220CA9" w14:textId="77777777" w:rsidTr="007E531D">
        <w:trPr>
          <w:trHeight w:val="255"/>
        </w:trPr>
        <w:tc>
          <w:tcPr>
            <w:tcW w:w="0" w:type="auto"/>
            <w:tcBorders>
              <w:top w:val="nil"/>
              <w:left w:val="nil"/>
              <w:bottom w:val="nil"/>
              <w:right w:val="nil"/>
            </w:tcBorders>
            <w:shd w:val="clear" w:color="000000" w:fill="FFFFFF"/>
            <w:noWrap/>
            <w:vAlign w:val="center"/>
            <w:hideMark/>
          </w:tcPr>
          <w:p w14:paraId="527C8D20"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Direct mortality effect</w:t>
            </w:r>
          </w:p>
        </w:tc>
        <w:tc>
          <w:tcPr>
            <w:tcW w:w="0" w:type="auto"/>
            <w:tcBorders>
              <w:top w:val="nil"/>
              <w:left w:val="nil"/>
              <w:bottom w:val="nil"/>
              <w:right w:val="nil"/>
            </w:tcBorders>
            <w:shd w:val="clear" w:color="000000" w:fill="FFFFFF"/>
            <w:noWrap/>
            <w:vAlign w:val="center"/>
            <w:hideMark/>
          </w:tcPr>
          <w:p w14:paraId="0F3EEEE0"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-0.257***</w:t>
            </w:r>
          </w:p>
        </w:tc>
        <w:tc>
          <w:tcPr>
            <w:tcW w:w="0" w:type="auto"/>
            <w:tcBorders>
              <w:top w:val="nil"/>
              <w:left w:val="nil"/>
              <w:bottom w:val="nil"/>
              <w:right w:val="nil"/>
            </w:tcBorders>
            <w:shd w:val="clear" w:color="000000" w:fill="FFFFFF"/>
            <w:noWrap/>
            <w:vAlign w:val="center"/>
            <w:hideMark/>
          </w:tcPr>
          <w:p w14:paraId="7C5ED094"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noWrap/>
            <w:vAlign w:val="center"/>
            <w:hideMark/>
          </w:tcPr>
          <w:p w14:paraId="5C74A95C"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Direct mortality effect</w:t>
            </w:r>
          </w:p>
        </w:tc>
        <w:tc>
          <w:tcPr>
            <w:tcW w:w="0" w:type="auto"/>
            <w:tcBorders>
              <w:top w:val="nil"/>
              <w:left w:val="nil"/>
              <w:bottom w:val="nil"/>
              <w:right w:val="nil"/>
            </w:tcBorders>
            <w:shd w:val="clear" w:color="000000" w:fill="FFFFFF"/>
            <w:noWrap/>
            <w:vAlign w:val="center"/>
            <w:hideMark/>
          </w:tcPr>
          <w:p w14:paraId="02922856"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None</w:t>
            </w:r>
          </w:p>
        </w:tc>
      </w:tr>
      <w:tr w:rsidR="00A01019" w:rsidRPr="007E531D" w14:paraId="446A9C6F" w14:textId="77777777" w:rsidTr="007E531D">
        <w:trPr>
          <w:trHeight w:val="255"/>
        </w:trPr>
        <w:tc>
          <w:tcPr>
            <w:tcW w:w="0" w:type="auto"/>
            <w:tcBorders>
              <w:top w:val="nil"/>
              <w:left w:val="nil"/>
              <w:bottom w:val="nil"/>
              <w:right w:val="nil"/>
            </w:tcBorders>
            <w:shd w:val="clear" w:color="000000" w:fill="FFFFFF"/>
            <w:vAlign w:val="center"/>
            <w:hideMark/>
          </w:tcPr>
          <w:p w14:paraId="014C89B1"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Indirect mortality effect</w:t>
            </w:r>
          </w:p>
        </w:tc>
        <w:tc>
          <w:tcPr>
            <w:tcW w:w="0" w:type="auto"/>
            <w:tcBorders>
              <w:top w:val="nil"/>
              <w:left w:val="nil"/>
              <w:bottom w:val="nil"/>
              <w:right w:val="nil"/>
            </w:tcBorders>
            <w:shd w:val="clear" w:color="000000" w:fill="FFFFFF"/>
            <w:noWrap/>
            <w:vAlign w:val="center"/>
            <w:hideMark/>
          </w:tcPr>
          <w:p w14:paraId="704AEAB1"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None</w:t>
            </w:r>
          </w:p>
        </w:tc>
        <w:tc>
          <w:tcPr>
            <w:tcW w:w="0" w:type="auto"/>
            <w:tcBorders>
              <w:top w:val="nil"/>
              <w:left w:val="nil"/>
              <w:bottom w:val="nil"/>
              <w:right w:val="nil"/>
            </w:tcBorders>
            <w:shd w:val="clear" w:color="000000" w:fill="FFFFFF"/>
            <w:noWrap/>
            <w:vAlign w:val="center"/>
            <w:hideMark/>
          </w:tcPr>
          <w:p w14:paraId="051A8CA1"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 </w:t>
            </w:r>
          </w:p>
        </w:tc>
        <w:tc>
          <w:tcPr>
            <w:tcW w:w="0" w:type="auto"/>
            <w:tcBorders>
              <w:top w:val="nil"/>
              <w:left w:val="nil"/>
              <w:bottom w:val="nil"/>
              <w:right w:val="nil"/>
            </w:tcBorders>
            <w:shd w:val="clear" w:color="000000" w:fill="FFFFFF"/>
            <w:vAlign w:val="center"/>
            <w:hideMark/>
          </w:tcPr>
          <w:p w14:paraId="6691B2F6"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Indirect mortality effect</w:t>
            </w:r>
          </w:p>
        </w:tc>
        <w:tc>
          <w:tcPr>
            <w:tcW w:w="0" w:type="auto"/>
            <w:tcBorders>
              <w:top w:val="nil"/>
              <w:left w:val="nil"/>
              <w:bottom w:val="nil"/>
              <w:right w:val="nil"/>
            </w:tcBorders>
            <w:shd w:val="clear" w:color="000000" w:fill="FFFFFF"/>
            <w:noWrap/>
            <w:vAlign w:val="center"/>
            <w:hideMark/>
          </w:tcPr>
          <w:p w14:paraId="7E8B633A" w14:textId="77777777" w:rsidR="007E531D" w:rsidRPr="007E531D" w:rsidRDefault="007E531D" w:rsidP="007E531D">
            <w:pPr>
              <w:widowControl/>
              <w:spacing w:after="0"/>
              <w:jc w:val="center"/>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-0.032***</w:t>
            </w:r>
          </w:p>
        </w:tc>
      </w:tr>
      <w:tr w:rsidR="007E531D" w:rsidRPr="007E531D" w14:paraId="2695DEFC" w14:textId="77777777" w:rsidTr="00AF3E1E">
        <w:trPr>
          <w:trHeight w:val="255"/>
        </w:trPr>
        <w:tc>
          <w:tcPr>
            <w:tcW w:w="0" w:type="auto"/>
            <w:gridSpan w:val="5"/>
            <w:tcBorders>
              <w:top w:val="single" w:sz="4" w:space="0" w:color="auto"/>
              <w:left w:val="nil"/>
              <w:bottom w:val="nil"/>
              <w:right w:val="nil"/>
            </w:tcBorders>
            <w:shd w:val="clear" w:color="000000" w:fill="FFFFFF"/>
            <w:vAlign w:val="center"/>
            <w:hideMark/>
          </w:tcPr>
          <w:p w14:paraId="49002B9C"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The average mortality rate is 1,010 deaths per million individuals.</w:t>
            </w:r>
          </w:p>
        </w:tc>
      </w:tr>
      <w:tr w:rsidR="007E531D" w:rsidRPr="007E531D" w14:paraId="0CE33DC0" w14:textId="77777777" w:rsidTr="00AF3E1E">
        <w:trPr>
          <w:trHeight w:val="255"/>
        </w:trPr>
        <w:tc>
          <w:tcPr>
            <w:tcW w:w="0" w:type="auto"/>
            <w:gridSpan w:val="5"/>
            <w:tcBorders>
              <w:top w:val="nil"/>
              <w:left w:val="nil"/>
              <w:bottom w:val="single" w:sz="4" w:space="0" w:color="auto"/>
              <w:right w:val="nil"/>
            </w:tcBorders>
            <w:shd w:val="clear" w:color="000000" w:fill="FFFFFF"/>
            <w:vAlign w:val="center"/>
            <w:hideMark/>
          </w:tcPr>
          <w:p w14:paraId="5E981ED2" w14:textId="77777777" w:rsidR="007E531D" w:rsidRPr="007E531D" w:rsidRDefault="007E531D" w:rsidP="007E531D">
            <w:pPr>
              <w:widowControl/>
              <w:spacing w:after="0"/>
              <w:jc w:val="left"/>
              <w:rPr>
                <w:rFonts w:ascii="Calibri" w:eastAsia="Times New Roman" w:hAnsi="Calibri" w:cs="Calibri"/>
                <w:sz w:val="20"/>
                <w:szCs w:val="20"/>
                <w:lang w:eastAsia="en-GB"/>
              </w:rPr>
            </w:pPr>
            <w:r w:rsidRPr="007E531D">
              <w:rPr>
                <w:rFonts w:ascii="Calibri" w:eastAsia="Times New Roman" w:hAnsi="Calibri" w:cs="Calibri"/>
                <w:sz w:val="20"/>
                <w:szCs w:val="20"/>
                <w:lang w:eastAsia="en-GB"/>
              </w:rPr>
              <w:t>***=p-value&lt;0.01, **=p-value&lt;0.05, *=p-value&lt;0.1</w:t>
            </w:r>
          </w:p>
        </w:tc>
      </w:tr>
    </w:tbl>
    <w:p w14:paraId="122DBAF7" w14:textId="77777777" w:rsidR="00B025AC" w:rsidRPr="00B025AC" w:rsidRDefault="00B025AC" w:rsidP="00B025AC"/>
    <w:p w14:paraId="1CE24BD9" w14:textId="77777777" w:rsidR="00B025AC" w:rsidRPr="00B025AC" w:rsidRDefault="00B025AC" w:rsidP="00B025AC"/>
    <w:p w14:paraId="06CEB182" w14:textId="094F1BE1" w:rsidR="00200A87" w:rsidRDefault="00200A87" w:rsidP="00200A87"/>
    <w:p w14:paraId="3AED35DE" w14:textId="77777777" w:rsidR="00B025AC" w:rsidRPr="002A4884" w:rsidRDefault="00B025AC" w:rsidP="00200A87"/>
    <w:p w14:paraId="1523B17E" w14:textId="64B05DE9" w:rsidR="00200A87" w:rsidRPr="002A4884" w:rsidRDefault="00200A87" w:rsidP="00EA4280"/>
    <w:p w14:paraId="2B98BE6C" w14:textId="1D8D298C" w:rsidR="00200A87" w:rsidRPr="002A4884" w:rsidRDefault="00200A87" w:rsidP="00EA4280"/>
    <w:bookmarkEnd w:id="37"/>
    <w:p w14:paraId="7AB0D3C8" w14:textId="37A8236D" w:rsidR="0055432F" w:rsidRPr="002A4884" w:rsidRDefault="0055432F" w:rsidP="0055432F"/>
    <w:p w14:paraId="7C50F2AC" w14:textId="487AA778" w:rsidR="005B6F22" w:rsidRPr="002A4884" w:rsidRDefault="005B6F22" w:rsidP="00BA7F9F"/>
    <w:p w14:paraId="0F30A274" w14:textId="77777777" w:rsidR="005B6F22" w:rsidRPr="002A4884" w:rsidRDefault="005B6F22" w:rsidP="00BA7F9F">
      <w:pPr>
        <w:sectPr w:rsidR="005B6F22" w:rsidRPr="002A4884" w:rsidSect="00AF3E1E">
          <w:pgSz w:w="16838" w:h="11906" w:orient="landscape"/>
          <w:pgMar w:top="720" w:right="720" w:bottom="720" w:left="720" w:header="708" w:footer="708" w:gutter="0"/>
          <w:cols w:space="708"/>
          <w:docGrid w:linePitch="360"/>
        </w:sectPr>
      </w:pPr>
    </w:p>
    <w:p w14:paraId="11443A87" w14:textId="64765BCA" w:rsidR="00CA5FB0" w:rsidRPr="002A4884" w:rsidRDefault="00657C4C" w:rsidP="00446E0A">
      <w:pPr>
        <w:rPr>
          <w:b/>
          <w:bCs/>
        </w:rPr>
      </w:pPr>
      <w:r w:rsidRPr="002A4884">
        <w:rPr>
          <w:b/>
          <w:bCs/>
        </w:rPr>
        <w:lastRenderedPageBreak/>
        <w:t>References</w:t>
      </w:r>
    </w:p>
    <w:p w14:paraId="0639DD8F" w14:textId="77777777" w:rsidR="00D075D4" w:rsidRPr="00D075D4" w:rsidRDefault="00CA5FB0" w:rsidP="00D075D4">
      <w:pPr>
        <w:pStyle w:val="EndNoteBibliography"/>
        <w:spacing w:after="0"/>
        <w:ind w:left="720" w:hanging="720"/>
      </w:pPr>
      <w:r w:rsidRPr="002A4884">
        <w:rPr>
          <w:lang w:val="en-GB"/>
        </w:rPr>
        <w:fldChar w:fldCharType="begin"/>
      </w:r>
      <w:r w:rsidRPr="002A4884">
        <w:rPr>
          <w:lang w:val="en-GB"/>
        </w:rPr>
        <w:instrText xml:space="preserve"> ADDIN EN.REFLIST </w:instrText>
      </w:r>
      <w:r w:rsidRPr="002A4884">
        <w:rPr>
          <w:lang w:val="en-GB"/>
        </w:rPr>
        <w:fldChar w:fldCharType="separate"/>
      </w:r>
      <w:r w:rsidR="00D075D4" w:rsidRPr="00D075D4">
        <w:t xml:space="preserve">AMIN-SMITH, N., PHILLIPS, D. &amp; SIMPSON, P. 2018. Adult social care funding: a local or national responsibility. </w:t>
      </w:r>
      <w:r w:rsidR="00D075D4" w:rsidRPr="00D075D4">
        <w:rPr>
          <w:i/>
        </w:rPr>
        <w:t>IFS Briefing Note No. BN227.). London: Institute for Fiscal Studies</w:t>
      </w:r>
      <w:r w:rsidR="00D075D4" w:rsidRPr="00D075D4">
        <w:t>.</w:t>
      </w:r>
    </w:p>
    <w:p w14:paraId="7A74694A" w14:textId="77777777" w:rsidR="00D075D4" w:rsidRPr="00D075D4" w:rsidRDefault="00D075D4" w:rsidP="00D075D4">
      <w:pPr>
        <w:pStyle w:val="EndNoteBibliography"/>
        <w:spacing w:after="0"/>
        <w:ind w:left="720" w:hanging="720"/>
      </w:pPr>
      <w:r w:rsidRPr="00D075D4">
        <w:t xml:space="preserve">ANDREWS, I. 2018. Valid two-step identification-robust confidence sets for GMM. </w:t>
      </w:r>
      <w:r w:rsidRPr="00D075D4">
        <w:rPr>
          <w:i/>
        </w:rPr>
        <w:t>Review of Economics and Statistics,</w:t>
      </w:r>
      <w:r w:rsidRPr="00D075D4">
        <w:t xml:space="preserve"> 100</w:t>
      </w:r>
      <w:r w:rsidRPr="00D075D4">
        <w:rPr>
          <w:b/>
        </w:rPr>
        <w:t>,</w:t>
      </w:r>
      <w:r w:rsidRPr="00D075D4">
        <w:t xml:space="preserve"> 337-348.</w:t>
      </w:r>
    </w:p>
    <w:p w14:paraId="3ABE4E0D" w14:textId="77777777" w:rsidR="00D075D4" w:rsidRPr="00D075D4" w:rsidRDefault="00D075D4" w:rsidP="00D075D4">
      <w:pPr>
        <w:pStyle w:val="EndNoteBibliography"/>
        <w:spacing w:after="0"/>
        <w:ind w:left="720" w:hanging="720"/>
      </w:pPr>
      <w:r w:rsidRPr="00D075D4">
        <w:t xml:space="preserve">ANDREWS, M., ELAMIN, O., HALL, A. R., KYRIAKOULIS, K. &amp; SUTTON, M. 2017. Inference in the presence of redundant moment conditions and the impact of government health expenditure on health outcomes in England. </w:t>
      </w:r>
      <w:r w:rsidRPr="00D075D4">
        <w:rPr>
          <w:i/>
        </w:rPr>
        <w:t>Econometric Reviews,</w:t>
      </w:r>
      <w:r w:rsidRPr="00D075D4">
        <w:t xml:space="preserve"> 36</w:t>
      </w:r>
      <w:r w:rsidRPr="00D075D4">
        <w:rPr>
          <w:b/>
        </w:rPr>
        <w:t>,</w:t>
      </w:r>
      <w:r w:rsidRPr="00D075D4">
        <w:t xml:space="preserve"> 23-41.</w:t>
      </w:r>
    </w:p>
    <w:p w14:paraId="74AEAA41" w14:textId="77777777" w:rsidR="00D075D4" w:rsidRPr="00D075D4" w:rsidRDefault="00D075D4" w:rsidP="00D075D4">
      <w:pPr>
        <w:pStyle w:val="EndNoteBibliography"/>
        <w:spacing w:after="0"/>
        <w:ind w:left="720" w:hanging="720"/>
      </w:pPr>
      <w:r w:rsidRPr="00D075D4">
        <w:t xml:space="preserve">ARAGON, M. J., CHALKLEY, M. &amp; RICE, N. 2016. Medical spending and hospital inpatient care in England: an analysis over time. </w:t>
      </w:r>
      <w:r w:rsidRPr="00D075D4">
        <w:rPr>
          <w:i/>
        </w:rPr>
        <w:t>Fiscal Studies,</w:t>
      </w:r>
      <w:r w:rsidRPr="00D075D4">
        <w:t xml:space="preserve"> 37</w:t>
      </w:r>
      <w:r w:rsidRPr="00D075D4">
        <w:rPr>
          <w:b/>
        </w:rPr>
        <w:t>,</w:t>
      </w:r>
      <w:r w:rsidRPr="00D075D4">
        <w:t xml:space="preserve"> 405-432.</w:t>
      </w:r>
    </w:p>
    <w:p w14:paraId="06BDAC33" w14:textId="77777777" w:rsidR="00D075D4" w:rsidRPr="00D075D4" w:rsidRDefault="00D075D4" w:rsidP="00D075D4">
      <w:pPr>
        <w:pStyle w:val="EndNoteBibliography"/>
        <w:spacing w:after="0"/>
        <w:ind w:left="720" w:hanging="720"/>
      </w:pPr>
      <w:r w:rsidRPr="00D075D4">
        <w:t xml:space="preserve">BARCZYK, D. &amp; KREDLER, M. 2019. Long‐Term Care Across Europe and the United States: The Role of Informal and Formal Care. </w:t>
      </w:r>
      <w:r w:rsidRPr="00D075D4">
        <w:rPr>
          <w:i/>
        </w:rPr>
        <w:t>Fiscal Studies,</w:t>
      </w:r>
      <w:r w:rsidRPr="00D075D4">
        <w:t xml:space="preserve"> 40</w:t>
      </w:r>
      <w:r w:rsidRPr="00D075D4">
        <w:rPr>
          <w:b/>
        </w:rPr>
        <w:t>,</w:t>
      </w:r>
      <w:r w:rsidRPr="00D075D4">
        <w:t xml:space="preserve"> 329-373.</w:t>
      </w:r>
    </w:p>
    <w:p w14:paraId="68FD15DF" w14:textId="77777777" w:rsidR="00D075D4" w:rsidRPr="00D075D4" w:rsidRDefault="00D075D4" w:rsidP="00D075D4">
      <w:pPr>
        <w:pStyle w:val="EndNoteBibliography"/>
        <w:spacing w:after="0"/>
        <w:ind w:left="720" w:hanging="720"/>
      </w:pPr>
      <w:r w:rsidRPr="00D075D4">
        <w:t xml:space="preserve">BAXTER, S., JOHNSON, M., CHAMBERS, D., SUTTON, A., GOYDER, E. &amp; BOOTH, A. 2018. The effects of integrated care: a systematic review of UK and international evidence. </w:t>
      </w:r>
      <w:r w:rsidRPr="00D075D4">
        <w:rPr>
          <w:i/>
        </w:rPr>
        <w:t>BMC health services research,</w:t>
      </w:r>
      <w:r w:rsidRPr="00D075D4">
        <w:t xml:space="preserve"> 18</w:t>
      </w:r>
      <w:r w:rsidRPr="00D075D4">
        <w:rPr>
          <w:b/>
        </w:rPr>
        <w:t>,</w:t>
      </w:r>
      <w:r w:rsidRPr="00D075D4">
        <w:t xml:space="preserve"> 1-13.</w:t>
      </w:r>
    </w:p>
    <w:p w14:paraId="4BCEE7EB" w14:textId="77777777" w:rsidR="00D075D4" w:rsidRPr="00D075D4" w:rsidRDefault="00D075D4" w:rsidP="00D075D4">
      <w:pPr>
        <w:pStyle w:val="EndNoteBibliography"/>
        <w:spacing w:after="0"/>
        <w:ind w:left="720" w:hanging="720"/>
      </w:pPr>
      <w:r w:rsidRPr="00D075D4">
        <w:t xml:space="preserve">BENNETT, L. &amp; HUMPHRIES, R. 2014. Making best use of the Better Care Fund: spending to save. </w:t>
      </w:r>
      <w:r w:rsidRPr="00D075D4">
        <w:rPr>
          <w:i/>
        </w:rPr>
        <w:t>Evidence summary. London: The King’s Fund</w:t>
      </w:r>
      <w:r w:rsidRPr="00D075D4">
        <w:t>.</w:t>
      </w:r>
    </w:p>
    <w:p w14:paraId="6BAD5EA5" w14:textId="77777777" w:rsidR="00D075D4" w:rsidRPr="00D075D4" w:rsidRDefault="00D075D4" w:rsidP="00D075D4">
      <w:pPr>
        <w:pStyle w:val="EndNoteBibliography"/>
        <w:spacing w:after="0"/>
        <w:ind w:left="720" w:hanging="720"/>
      </w:pPr>
      <w:r w:rsidRPr="00D075D4">
        <w:t xml:space="preserve">BHALOTRA, S. 2007. Spending to save? State health expenditure and infant mortality in India. </w:t>
      </w:r>
      <w:r w:rsidRPr="00D075D4">
        <w:rPr>
          <w:i/>
        </w:rPr>
        <w:t>Health economics,</w:t>
      </w:r>
      <w:r w:rsidRPr="00D075D4">
        <w:t xml:space="preserve"> 16</w:t>
      </w:r>
      <w:r w:rsidRPr="00D075D4">
        <w:rPr>
          <w:b/>
        </w:rPr>
        <w:t>,</w:t>
      </w:r>
      <w:r w:rsidRPr="00D075D4">
        <w:t xml:space="preserve"> 911-928.</w:t>
      </w:r>
    </w:p>
    <w:p w14:paraId="0DAE60D4" w14:textId="77777777" w:rsidR="00D075D4" w:rsidRPr="00D075D4" w:rsidRDefault="00D075D4" w:rsidP="00D075D4">
      <w:pPr>
        <w:pStyle w:val="EndNoteBibliography"/>
        <w:spacing w:after="0"/>
        <w:ind w:left="720" w:hanging="720"/>
      </w:pPr>
      <w:r w:rsidRPr="00D075D4">
        <w:t xml:space="preserve">BONIFACE, G., MASON, M., MACINTYRE, J., SYNAN, C. &amp; RILEY, J. 2013. The effectiveness of local authority social services' occupational therapy for older people in Great Britain: a critical literature review. </w:t>
      </w:r>
      <w:r w:rsidRPr="00D075D4">
        <w:rPr>
          <w:i/>
        </w:rPr>
        <w:t>British Journal of Occupational Therapy,</w:t>
      </w:r>
      <w:r w:rsidRPr="00D075D4">
        <w:t xml:space="preserve"> 76</w:t>
      </w:r>
      <w:r w:rsidRPr="00D075D4">
        <w:rPr>
          <w:b/>
        </w:rPr>
        <w:t>,</w:t>
      </w:r>
      <w:r w:rsidRPr="00D075D4">
        <w:t xml:space="preserve"> 538-547.</w:t>
      </w:r>
    </w:p>
    <w:p w14:paraId="31F727E2" w14:textId="4B49482D" w:rsidR="00D075D4" w:rsidRPr="00D075D4" w:rsidRDefault="00D075D4" w:rsidP="00D075D4">
      <w:pPr>
        <w:pStyle w:val="EndNoteBibliography"/>
        <w:spacing w:after="0"/>
        <w:ind w:left="720" w:hanging="720"/>
      </w:pPr>
      <w:r w:rsidRPr="00D075D4">
        <w:t xml:space="preserve">BRIEN, P. 2018. Local government finances. London: House of Commons Library. London. Link: </w:t>
      </w:r>
      <w:hyperlink r:id="rId64" w:history="1">
        <w:r w:rsidRPr="00D075D4">
          <w:rPr>
            <w:rStyle w:val="Hyperlink"/>
          </w:rPr>
          <w:t>https://researchbriefings.files.parliament.uk/documents/CBP-8431/CBP-8431.pdf</w:t>
        </w:r>
      </w:hyperlink>
      <w:r w:rsidRPr="00D075D4">
        <w:t>. Access date: 20/11/2020.</w:t>
      </w:r>
    </w:p>
    <w:p w14:paraId="58DA03EE" w14:textId="77777777" w:rsidR="00D075D4" w:rsidRPr="00D075D4" w:rsidRDefault="00D075D4" w:rsidP="00D075D4">
      <w:pPr>
        <w:pStyle w:val="EndNoteBibliography"/>
        <w:spacing w:after="0"/>
        <w:ind w:left="720" w:hanging="720"/>
      </w:pPr>
      <w:r w:rsidRPr="00D075D4">
        <w:t xml:space="preserve">CARR-HILL, R. A., HARDMAN, G., MARTIN, S., PEACOCK, S., SHELDON, T. A. &amp; SMITH, P. C. 1997. A new formula for distributing hospital funds in England. </w:t>
      </w:r>
      <w:r w:rsidRPr="00D075D4">
        <w:rPr>
          <w:i/>
        </w:rPr>
        <w:t>Interfaces,</w:t>
      </w:r>
      <w:r w:rsidRPr="00D075D4">
        <w:t xml:space="preserve"> 27</w:t>
      </w:r>
      <w:r w:rsidRPr="00D075D4">
        <w:rPr>
          <w:b/>
        </w:rPr>
        <w:t>,</w:t>
      </w:r>
      <w:r w:rsidRPr="00D075D4">
        <w:t xml:space="preserve"> 53-70.</w:t>
      </w:r>
    </w:p>
    <w:p w14:paraId="40AC5680" w14:textId="77777777" w:rsidR="00D075D4" w:rsidRPr="00D075D4" w:rsidRDefault="00D075D4" w:rsidP="00D075D4">
      <w:pPr>
        <w:pStyle w:val="EndNoteBibliography"/>
        <w:spacing w:after="0"/>
        <w:ind w:left="720" w:hanging="720"/>
      </w:pPr>
      <w:r w:rsidRPr="00D075D4">
        <w:t xml:space="preserve">CLAXTON, K., LOMAS, J. &amp; MARTIN, S. 2018. The impact of NHS expenditure on health outcomes in England: Alternative approaches to identification in all‐cause and disease specific models of mortality. </w:t>
      </w:r>
      <w:r w:rsidRPr="00D075D4">
        <w:rPr>
          <w:i/>
        </w:rPr>
        <w:t>Health economics,</w:t>
      </w:r>
      <w:r w:rsidRPr="00D075D4">
        <w:t xml:space="preserve"> 27</w:t>
      </w:r>
      <w:r w:rsidRPr="00D075D4">
        <w:rPr>
          <w:b/>
        </w:rPr>
        <w:t>,</w:t>
      </w:r>
      <w:r w:rsidRPr="00D075D4">
        <w:t xml:space="preserve"> 1017-1023.</w:t>
      </w:r>
    </w:p>
    <w:p w14:paraId="4EE9B301" w14:textId="77777777" w:rsidR="00D075D4" w:rsidRPr="00D075D4" w:rsidRDefault="00D075D4" w:rsidP="00D075D4">
      <w:pPr>
        <w:pStyle w:val="EndNoteBibliography"/>
        <w:spacing w:after="0"/>
        <w:ind w:left="720" w:hanging="720"/>
      </w:pPr>
      <w:r w:rsidRPr="00D075D4">
        <w:t xml:space="preserve">CRAWFORD, R., STOYE, G. &amp; ZARANKO, B. 2021. Long-term care spending and hospital use among the older population in England. </w:t>
      </w:r>
      <w:r w:rsidRPr="00D075D4">
        <w:rPr>
          <w:i/>
        </w:rPr>
        <w:t>Journal of Health Economics,</w:t>
      </w:r>
      <w:r w:rsidRPr="00D075D4">
        <w:t xml:space="preserve"> 78</w:t>
      </w:r>
      <w:r w:rsidRPr="00D075D4">
        <w:rPr>
          <w:b/>
        </w:rPr>
        <w:t>,</w:t>
      </w:r>
      <w:r w:rsidRPr="00D075D4">
        <w:t xml:space="preserve"> 102477.</w:t>
      </w:r>
    </w:p>
    <w:p w14:paraId="3BA95FCA" w14:textId="1573C975" w:rsidR="00D075D4" w:rsidRPr="00D075D4" w:rsidRDefault="00D075D4" w:rsidP="00D075D4">
      <w:pPr>
        <w:pStyle w:val="EndNoteBibliography"/>
        <w:spacing w:after="0"/>
        <w:ind w:left="720" w:hanging="720"/>
      </w:pPr>
      <w:r w:rsidRPr="00D075D4">
        <w:t xml:space="preserve">DEPARTMENT FOR COMMUNITIES AND LOCAL GOVERNMENT 2014. Methodology Guide for Adults’ Personal Social Services Relative Needs Formulae 2013/14. London. Link: </w:t>
      </w:r>
      <w:hyperlink r:id="rId65" w:history="1">
        <w:r w:rsidRPr="00D075D4">
          <w:rPr>
            <w:rStyle w:val="Hyperlink"/>
          </w:rPr>
          <w:t>https://webarchive.nationalarchives.gov.uk/20131203161415/http://www.local.communities.gov.uk/finance/1314/methpssas.pdf</w:t>
        </w:r>
      </w:hyperlink>
      <w:r w:rsidRPr="00D075D4">
        <w:t>.</w:t>
      </w:r>
    </w:p>
    <w:p w14:paraId="22D76922" w14:textId="77777777" w:rsidR="00D075D4" w:rsidRPr="00D075D4" w:rsidRDefault="00D075D4" w:rsidP="00D075D4">
      <w:pPr>
        <w:pStyle w:val="EndNoteBibliography"/>
        <w:spacing w:after="0"/>
        <w:ind w:left="720" w:hanging="720"/>
      </w:pPr>
      <w:r w:rsidRPr="00D075D4">
        <w:t>DEPARTMENT FOR COMMUNITIES AND LOCAL GOVERNMENT 2017. Local Authority Revenue Expenditure and Financing: 2017-18 Budget, England. London.</w:t>
      </w:r>
    </w:p>
    <w:p w14:paraId="2E0E6A8B" w14:textId="15990DBA" w:rsidR="00D075D4" w:rsidRPr="00D075D4" w:rsidRDefault="00D075D4" w:rsidP="00D075D4">
      <w:pPr>
        <w:pStyle w:val="EndNoteBibliography"/>
        <w:spacing w:after="0"/>
        <w:ind w:left="720" w:hanging="720"/>
      </w:pPr>
      <w:r w:rsidRPr="00D075D4">
        <w:t xml:space="preserve">DEPARTMENT OF HEALTH AND SOCIAL CARE 2013. Integrated Care and Support: Our Shared Commitment. Available: </w:t>
      </w:r>
      <w:hyperlink r:id="rId66" w:history="1">
        <w:r w:rsidRPr="00D075D4">
          <w:rPr>
            <w:rStyle w:val="Hyperlink"/>
          </w:rPr>
          <w:t>https://assets.publishing.service.gov.uk/government/uploads/system/uploads/attachment_data/file/198748/DEFINITIVE_FINAL_VERSION_Integrated_Care_and_Support_-_Our_Shared_Commitment_2013-05-13.pdf</w:t>
        </w:r>
      </w:hyperlink>
      <w:r w:rsidRPr="00D075D4">
        <w:t xml:space="preserve"> [Accessed 20 Nov 2020].</w:t>
      </w:r>
    </w:p>
    <w:p w14:paraId="59CE6423" w14:textId="77777777" w:rsidR="00D075D4" w:rsidRPr="00D075D4" w:rsidRDefault="00D075D4" w:rsidP="00D075D4">
      <w:pPr>
        <w:pStyle w:val="EndNoteBibliography"/>
        <w:spacing w:after="0"/>
        <w:ind w:left="720" w:hanging="720"/>
      </w:pPr>
      <w:r w:rsidRPr="00D075D4">
        <w:t xml:space="preserve">FERNANDEZ, J.-L. &amp; FORDER, J. 2008. Consequences of local variations in social care on the performance of the acute health care sector. </w:t>
      </w:r>
      <w:r w:rsidRPr="00D075D4">
        <w:rPr>
          <w:i/>
        </w:rPr>
        <w:t>Applied Economics,</w:t>
      </w:r>
      <w:r w:rsidRPr="00D075D4">
        <w:t xml:space="preserve"> 40</w:t>
      </w:r>
      <w:r w:rsidRPr="00D075D4">
        <w:rPr>
          <w:b/>
        </w:rPr>
        <w:t>,</w:t>
      </w:r>
      <w:r w:rsidRPr="00D075D4">
        <w:t xml:space="preserve"> 1503-1518.</w:t>
      </w:r>
    </w:p>
    <w:p w14:paraId="46AD6B1F" w14:textId="77777777" w:rsidR="00D075D4" w:rsidRPr="00D075D4" w:rsidRDefault="00D075D4" w:rsidP="00D075D4">
      <w:pPr>
        <w:pStyle w:val="EndNoteBibliography"/>
        <w:spacing w:after="0"/>
        <w:ind w:left="720" w:hanging="720"/>
        <w:rPr>
          <w:i/>
        </w:rPr>
      </w:pPr>
      <w:r w:rsidRPr="00D075D4">
        <w:t xml:space="preserve">FERNANDEZ, J.-L., FORDER, J. &amp; KNAPP, M. 2011. Long-term care. </w:t>
      </w:r>
      <w:r w:rsidRPr="00D075D4">
        <w:rPr>
          <w:i/>
        </w:rPr>
        <w:t>The Oxford handbook of health economics.</w:t>
      </w:r>
    </w:p>
    <w:p w14:paraId="66D22192" w14:textId="77777777" w:rsidR="00D075D4" w:rsidRPr="00D075D4" w:rsidRDefault="00D075D4" w:rsidP="00D075D4">
      <w:pPr>
        <w:pStyle w:val="EndNoteBibliography"/>
        <w:spacing w:after="0"/>
        <w:ind w:left="720" w:hanging="720"/>
      </w:pPr>
      <w:r w:rsidRPr="00D075D4">
        <w:t xml:space="preserve">FORDER, J. 2009. Long‐term care and hospital utilisation by older people: an analysis of substitution rates. </w:t>
      </w:r>
      <w:r w:rsidRPr="00D075D4">
        <w:rPr>
          <w:i/>
        </w:rPr>
        <w:t>Health Economics,</w:t>
      </w:r>
      <w:r w:rsidRPr="00D075D4">
        <w:t xml:space="preserve"> 18</w:t>
      </w:r>
      <w:r w:rsidRPr="00D075D4">
        <w:rPr>
          <w:b/>
        </w:rPr>
        <w:t>,</w:t>
      </w:r>
      <w:r w:rsidRPr="00D075D4">
        <w:t xml:space="preserve"> 1322-1338.</w:t>
      </w:r>
    </w:p>
    <w:p w14:paraId="2AF3C986" w14:textId="77777777" w:rsidR="00D075D4" w:rsidRPr="00D075D4" w:rsidRDefault="00D075D4" w:rsidP="00D075D4">
      <w:pPr>
        <w:pStyle w:val="EndNoteBibliography"/>
        <w:spacing w:after="0"/>
        <w:ind w:left="720" w:hanging="720"/>
      </w:pPr>
      <w:r w:rsidRPr="00D075D4">
        <w:t xml:space="preserve">FORDER, J., GOUSIA, K. &amp; SALONIKI, E.-C. 2019. The impact of long-term care on primary care doctor consultations for people over 75 years. </w:t>
      </w:r>
      <w:r w:rsidRPr="00D075D4">
        <w:rPr>
          <w:i/>
        </w:rPr>
        <w:t>The European Journal of Health Economics,</w:t>
      </w:r>
      <w:r w:rsidRPr="00D075D4">
        <w:t xml:space="preserve"> 20</w:t>
      </w:r>
      <w:r w:rsidRPr="00D075D4">
        <w:rPr>
          <w:b/>
        </w:rPr>
        <w:t>,</w:t>
      </w:r>
      <w:r w:rsidRPr="00D075D4">
        <w:t xml:space="preserve"> 375-</w:t>
      </w:r>
      <w:r w:rsidRPr="00D075D4">
        <w:lastRenderedPageBreak/>
        <w:t>387.</w:t>
      </w:r>
    </w:p>
    <w:p w14:paraId="1BFBCC2A" w14:textId="77777777" w:rsidR="00D075D4" w:rsidRPr="00D075D4" w:rsidRDefault="00D075D4" w:rsidP="00D075D4">
      <w:pPr>
        <w:pStyle w:val="EndNoteBibliography"/>
        <w:spacing w:after="0"/>
        <w:ind w:left="720" w:hanging="720"/>
      </w:pPr>
      <w:r w:rsidRPr="00D075D4">
        <w:t xml:space="preserve">FORDER, J., MALLEY, J., TOWERS, A. M. &amp; NETTEN, A. 2014. Using cost‐effectiveness estimates from survey data to guide commissioning: An application to home care. </w:t>
      </w:r>
      <w:r w:rsidRPr="00D075D4">
        <w:rPr>
          <w:i/>
        </w:rPr>
        <w:t>Health economics,</w:t>
      </w:r>
      <w:r w:rsidRPr="00D075D4">
        <w:t xml:space="preserve"> 23</w:t>
      </w:r>
      <w:r w:rsidRPr="00D075D4">
        <w:rPr>
          <w:b/>
        </w:rPr>
        <w:t>,</w:t>
      </w:r>
      <w:r w:rsidRPr="00D075D4">
        <w:t xml:space="preserve"> 979-992.</w:t>
      </w:r>
    </w:p>
    <w:p w14:paraId="5451E422" w14:textId="77777777" w:rsidR="00D075D4" w:rsidRPr="00D075D4" w:rsidRDefault="00D075D4" w:rsidP="00D075D4">
      <w:pPr>
        <w:pStyle w:val="EndNoteBibliography"/>
        <w:spacing w:after="0"/>
        <w:ind w:left="720" w:hanging="720"/>
      </w:pPr>
      <w:r w:rsidRPr="00D075D4">
        <w:t xml:space="preserve">FRENCH, E. &amp; KELLY, E. 2016. Medical spending around the developed world. </w:t>
      </w:r>
      <w:r w:rsidRPr="00D075D4">
        <w:rPr>
          <w:i/>
        </w:rPr>
        <w:t>Fiscal Studies,</w:t>
      </w:r>
      <w:r w:rsidRPr="00D075D4">
        <w:t xml:space="preserve"> 37</w:t>
      </w:r>
      <w:r w:rsidRPr="00D075D4">
        <w:rPr>
          <w:b/>
        </w:rPr>
        <w:t>,</w:t>
      </w:r>
      <w:r w:rsidRPr="00D075D4">
        <w:t xml:space="preserve"> 327-344.</w:t>
      </w:r>
    </w:p>
    <w:p w14:paraId="2CE80FA6" w14:textId="77777777" w:rsidR="00D075D4" w:rsidRPr="00D075D4" w:rsidRDefault="00D075D4" w:rsidP="00D075D4">
      <w:pPr>
        <w:pStyle w:val="EndNoteBibliography"/>
        <w:spacing w:after="0"/>
        <w:ind w:left="720" w:hanging="720"/>
      </w:pPr>
      <w:r w:rsidRPr="00D075D4">
        <w:t xml:space="preserve">FRÖLICH, M. &amp; HUBER, M. 2017. Direct and indirect treatment effects–causal chains and mediation analysis with instrumental variables Series B Statistical methodology. </w:t>
      </w:r>
      <w:r w:rsidRPr="00D075D4">
        <w:rPr>
          <w:i/>
        </w:rPr>
        <w:t>Journal of the Royal Statistical Society,</w:t>
      </w:r>
      <w:r w:rsidRPr="00D075D4">
        <w:t xml:space="preserve"> 2017 v.79 no.5</w:t>
      </w:r>
      <w:r w:rsidRPr="00D075D4">
        <w:rPr>
          <w:b/>
        </w:rPr>
        <w:t>,</w:t>
      </w:r>
      <w:r w:rsidRPr="00D075D4">
        <w:t xml:space="preserve"> pp. 1645-1666.</w:t>
      </w:r>
    </w:p>
    <w:p w14:paraId="071CED02" w14:textId="77777777" w:rsidR="00D075D4" w:rsidRPr="00D075D4" w:rsidRDefault="00D075D4" w:rsidP="00D075D4">
      <w:pPr>
        <w:pStyle w:val="EndNoteBibliography"/>
        <w:spacing w:after="0"/>
        <w:ind w:left="720" w:hanging="720"/>
      </w:pPr>
      <w:r w:rsidRPr="00D075D4">
        <w:t xml:space="preserve">GAUGHAN, J., GRAVELLE, H., SANTOS, R. &amp; SICILIANI, L. 2017a. Long-term care provision, hospital bed blocking, and discharge destination for hip fracture and stroke patients. </w:t>
      </w:r>
      <w:r w:rsidRPr="00D075D4">
        <w:rPr>
          <w:i/>
        </w:rPr>
        <w:t>International journal of health economics and management,</w:t>
      </w:r>
      <w:r w:rsidRPr="00D075D4">
        <w:t xml:space="preserve"> 17</w:t>
      </w:r>
      <w:r w:rsidRPr="00D075D4">
        <w:rPr>
          <w:b/>
        </w:rPr>
        <w:t>,</w:t>
      </w:r>
      <w:r w:rsidRPr="00D075D4">
        <w:t xml:space="preserve"> 311-331.</w:t>
      </w:r>
    </w:p>
    <w:p w14:paraId="11F5AF0D" w14:textId="77777777" w:rsidR="00D075D4" w:rsidRPr="00D075D4" w:rsidRDefault="00D075D4" w:rsidP="00D075D4">
      <w:pPr>
        <w:pStyle w:val="EndNoteBibliography"/>
        <w:spacing w:after="0"/>
        <w:ind w:left="720" w:hanging="720"/>
      </w:pPr>
      <w:r w:rsidRPr="00D075D4">
        <w:t xml:space="preserve">GAUGHAN, J., GRAVELLE, H. &amp; SICILIANI, L. 2015. Testing the bed‐blocking hypothesis: does nursing and care home supply reduce delayed hospital discharges? </w:t>
      </w:r>
      <w:r w:rsidRPr="00D075D4">
        <w:rPr>
          <w:i/>
        </w:rPr>
        <w:t>Health economics,</w:t>
      </w:r>
      <w:r w:rsidRPr="00D075D4">
        <w:t xml:space="preserve"> 24</w:t>
      </w:r>
      <w:r w:rsidRPr="00D075D4">
        <w:rPr>
          <w:b/>
        </w:rPr>
        <w:t>,</w:t>
      </w:r>
      <w:r w:rsidRPr="00D075D4">
        <w:t xml:space="preserve"> 32-44.</w:t>
      </w:r>
    </w:p>
    <w:p w14:paraId="2B54B1FB" w14:textId="77777777" w:rsidR="00D075D4" w:rsidRPr="00D075D4" w:rsidRDefault="00D075D4" w:rsidP="00D075D4">
      <w:pPr>
        <w:pStyle w:val="EndNoteBibliography"/>
        <w:spacing w:after="0"/>
        <w:ind w:left="720" w:hanging="720"/>
      </w:pPr>
      <w:r w:rsidRPr="00D075D4">
        <w:t xml:space="preserve">GAUGHAN, J., GRAVELLE, H. &amp; SICILIANI, L. 2017b. Delayed discharges and hospital type: evidence from the English NHS. </w:t>
      </w:r>
      <w:r w:rsidRPr="00D075D4">
        <w:rPr>
          <w:i/>
        </w:rPr>
        <w:t>Fiscal Studies,</w:t>
      </w:r>
      <w:r w:rsidRPr="00D075D4">
        <w:t xml:space="preserve"> 38</w:t>
      </w:r>
      <w:r w:rsidRPr="00D075D4">
        <w:rPr>
          <w:b/>
        </w:rPr>
        <w:t>,</w:t>
      </w:r>
      <w:r w:rsidRPr="00D075D4">
        <w:t xml:space="preserve"> 495-519.</w:t>
      </w:r>
    </w:p>
    <w:p w14:paraId="4F83935D" w14:textId="77777777" w:rsidR="00D075D4" w:rsidRPr="00D075D4" w:rsidRDefault="00D075D4" w:rsidP="00D075D4">
      <w:pPr>
        <w:pStyle w:val="EndNoteBibliography"/>
        <w:spacing w:after="0"/>
        <w:ind w:left="720" w:hanging="720"/>
      </w:pPr>
      <w:r w:rsidRPr="00D075D4">
        <w:t xml:space="preserve">HEYWOOD, F. 2001. </w:t>
      </w:r>
      <w:r w:rsidRPr="00D075D4">
        <w:rPr>
          <w:i/>
        </w:rPr>
        <w:t xml:space="preserve">Money well spent: the effectiveness and value of housing adaptations, </w:t>
      </w:r>
      <w:r w:rsidRPr="00D075D4">
        <w:t>Joseph Rowntree Foundation, Policy Press Bristol.</w:t>
      </w:r>
    </w:p>
    <w:p w14:paraId="7A55A3CB" w14:textId="77777777" w:rsidR="00D075D4" w:rsidRPr="00D075D4" w:rsidRDefault="00D075D4" w:rsidP="00D075D4">
      <w:pPr>
        <w:pStyle w:val="EndNoteBibliography"/>
        <w:spacing w:after="0"/>
        <w:ind w:left="720" w:hanging="720"/>
      </w:pPr>
      <w:r w:rsidRPr="00D075D4">
        <w:t xml:space="preserve">JOHRI, M., BELAND, F. &amp; BERGMAN, H. 2003. International experiments in integrated care for the elderly: a synthesis of the evidence. </w:t>
      </w:r>
      <w:r w:rsidRPr="00D075D4">
        <w:rPr>
          <w:i/>
        </w:rPr>
        <w:t>International journal of geriatric psychiatry,</w:t>
      </w:r>
      <w:r w:rsidRPr="00D075D4">
        <w:t xml:space="preserve"> 18</w:t>
      </w:r>
      <w:r w:rsidRPr="00D075D4">
        <w:rPr>
          <w:b/>
        </w:rPr>
        <w:t>,</w:t>
      </w:r>
      <w:r w:rsidRPr="00D075D4">
        <w:t xml:space="preserve"> 222-235.</w:t>
      </w:r>
    </w:p>
    <w:p w14:paraId="50198E44" w14:textId="77777777" w:rsidR="00D075D4" w:rsidRPr="00D075D4" w:rsidRDefault="00D075D4" w:rsidP="00D075D4">
      <w:pPr>
        <w:pStyle w:val="EndNoteBibliography"/>
        <w:spacing w:after="0"/>
        <w:ind w:left="720" w:hanging="720"/>
      </w:pPr>
      <w:r w:rsidRPr="00D075D4">
        <w:t>JOSHUA, L. 2017. Aging and Long Term Care Systems: A Review of Finance and Governance Arrangements in Europe, North America and Asia-Pacific. Discussion Paper. Vol.  1705. Washington, DC: The World Bank.</w:t>
      </w:r>
    </w:p>
    <w:p w14:paraId="0710E681" w14:textId="77777777" w:rsidR="00D075D4" w:rsidRPr="00B13508" w:rsidRDefault="00D075D4" w:rsidP="00D075D4">
      <w:pPr>
        <w:pStyle w:val="EndNoteBibliography"/>
        <w:spacing w:after="0"/>
        <w:ind w:left="720" w:hanging="720"/>
      </w:pPr>
      <w:r w:rsidRPr="00D075D4">
        <w:t xml:space="preserve">JUN, S. J., PINKSE, J., XU, H. &amp; YıLDıZ, N. 2016. Multiple discrete endogenous variables in weakly-separable triangular models. </w:t>
      </w:r>
      <w:r w:rsidRPr="00B13508">
        <w:rPr>
          <w:i/>
        </w:rPr>
        <w:t>Econometrics,</w:t>
      </w:r>
      <w:r w:rsidRPr="00B13508">
        <w:t xml:space="preserve"> 4</w:t>
      </w:r>
      <w:r w:rsidRPr="00B13508">
        <w:rPr>
          <w:b/>
        </w:rPr>
        <w:t>,</w:t>
      </w:r>
      <w:r w:rsidRPr="00B13508">
        <w:t xml:space="preserve"> 7.</w:t>
      </w:r>
    </w:p>
    <w:p w14:paraId="51C12015" w14:textId="77777777" w:rsidR="00D075D4" w:rsidRPr="00D075D4" w:rsidRDefault="00D075D4" w:rsidP="00D075D4">
      <w:pPr>
        <w:pStyle w:val="EndNoteBibliography"/>
        <w:spacing w:after="0"/>
        <w:ind w:left="720" w:hanging="720"/>
      </w:pPr>
      <w:r w:rsidRPr="00B13508">
        <w:t xml:space="preserve">LEWIN, G. F., ALFONSO, H. S. &amp; ALAN, J. J. 2013. </w:t>
      </w:r>
      <w:r w:rsidRPr="00D075D4">
        <w:t xml:space="preserve">Evidence for the long term cost effectiveness of home care reablement programs. </w:t>
      </w:r>
      <w:r w:rsidRPr="00D075D4">
        <w:rPr>
          <w:i/>
        </w:rPr>
        <w:t>Clinical interventions in aging,</w:t>
      </w:r>
      <w:r w:rsidRPr="00D075D4">
        <w:t xml:space="preserve"> 8</w:t>
      </w:r>
      <w:r w:rsidRPr="00D075D4">
        <w:rPr>
          <w:b/>
        </w:rPr>
        <w:t>,</w:t>
      </w:r>
      <w:r w:rsidRPr="00D075D4">
        <w:t xml:space="preserve"> 1273.</w:t>
      </w:r>
    </w:p>
    <w:p w14:paraId="5A753280" w14:textId="77777777" w:rsidR="00D075D4" w:rsidRPr="00D075D4" w:rsidRDefault="00D075D4" w:rsidP="00D075D4">
      <w:pPr>
        <w:pStyle w:val="EndNoteBibliography"/>
        <w:spacing w:after="0"/>
        <w:ind w:left="720" w:hanging="720"/>
      </w:pPr>
      <w:r w:rsidRPr="00D075D4">
        <w:t xml:space="preserve">LIU, D., PACE, M. L., GODDARD, M., JACOBS, R., WITTENBERG, R. &amp; MASON, A. 2020. Investigating the relationship between social care supply and healthcare utilization by older people in England. </w:t>
      </w:r>
      <w:r w:rsidRPr="00D075D4">
        <w:rPr>
          <w:i/>
        </w:rPr>
        <w:t>Health Economics</w:t>
      </w:r>
      <w:r w:rsidRPr="00D075D4">
        <w:t>.</w:t>
      </w:r>
    </w:p>
    <w:p w14:paraId="1513D4A7" w14:textId="5F9AFEE1" w:rsidR="00D075D4" w:rsidRPr="00D075D4" w:rsidRDefault="00D075D4" w:rsidP="00D075D4">
      <w:pPr>
        <w:pStyle w:val="EndNoteBibliography"/>
        <w:spacing w:after="0"/>
        <w:ind w:left="720" w:hanging="720"/>
      </w:pPr>
      <w:r w:rsidRPr="00D075D4">
        <w:t xml:space="preserve">LOCAL GOVERNMENT ASSOCIATION. 2017. </w:t>
      </w:r>
      <w:r w:rsidRPr="00D075D4">
        <w:rPr>
          <w:i/>
        </w:rPr>
        <w:t xml:space="preserve">How is £1 of your council tax spent? </w:t>
      </w:r>
      <w:r w:rsidRPr="00D075D4">
        <w:t xml:space="preserve">[Online]. Available: </w:t>
      </w:r>
      <w:hyperlink r:id="rId67" w:history="1">
        <w:r w:rsidRPr="00D075D4">
          <w:rPr>
            <w:rStyle w:val="Hyperlink"/>
          </w:rPr>
          <w:t>https://www.local.gov.uk/sites/default/files/documents/A4%20STATIC%20IMAGE_04_1.pdf</w:t>
        </w:r>
      </w:hyperlink>
      <w:r w:rsidRPr="00D075D4">
        <w:t xml:space="preserve"> [Accessed 25 January 2021].</w:t>
      </w:r>
    </w:p>
    <w:p w14:paraId="0EA9BB79" w14:textId="77777777" w:rsidR="00D075D4" w:rsidRPr="00D075D4" w:rsidRDefault="00D075D4" w:rsidP="00D075D4">
      <w:pPr>
        <w:pStyle w:val="EndNoteBibliography"/>
        <w:spacing w:after="0"/>
        <w:ind w:left="720" w:hanging="720"/>
      </w:pPr>
      <w:r w:rsidRPr="00D075D4">
        <w:t xml:space="preserve">LOMAS, J., MARTIN, S. &amp; CLAXTON, K. 2019. Estimating the marginal productivity of the English National health service from 2003 to 2012. </w:t>
      </w:r>
      <w:r w:rsidRPr="00D075D4">
        <w:rPr>
          <w:i/>
        </w:rPr>
        <w:t>Value in Health,</w:t>
      </w:r>
      <w:r w:rsidRPr="00D075D4">
        <w:t xml:space="preserve"> 22</w:t>
      </w:r>
      <w:r w:rsidRPr="00D075D4">
        <w:rPr>
          <w:b/>
        </w:rPr>
        <w:t>,</w:t>
      </w:r>
      <w:r w:rsidRPr="00D075D4">
        <w:t xml:space="preserve"> 995-1002.</w:t>
      </w:r>
    </w:p>
    <w:p w14:paraId="65D48C85" w14:textId="77777777" w:rsidR="00D075D4" w:rsidRPr="00D075D4" w:rsidRDefault="00D075D4" w:rsidP="00D075D4">
      <w:pPr>
        <w:pStyle w:val="EndNoteBibliography"/>
        <w:spacing w:after="0"/>
        <w:ind w:left="720" w:hanging="720"/>
      </w:pPr>
      <w:r w:rsidRPr="00D075D4">
        <w:t xml:space="preserve">LONGO, F., CLAXTON, K., LOMAS, J. &amp; MARTIN, S. 2021. Does public long-term care expenditure improve care-related quality of life of service users in England? </w:t>
      </w:r>
      <w:r w:rsidRPr="00D075D4">
        <w:rPr>
          <w:i/>
        </w:rPr>
        <w:t>Health Economics,</w:t>
      </w:r>
      <w:r w:rsidRPr="00D075D4">
        <w:t xml:space="preserve"> 30</w:t>
      </w:r>
      <w:r w:rsidRPr="00D075D4">
        <w:rPr>
          <w:b/>
        </w:rPr>
        <w:t>,</w:t>
      </w:r>
      <w:r w:rsidRPr="00D075D4">
        <w:t xml:space="preserve"> 2561-2581.</w:t>
      </w:r>
    </w:p>
    <w:p w14:paraId="1BB082BD" w14:textId="77777777" w:rsidR="00D075D4" w:rsidRPr="00D075D4" w:rsidRDefault="00D075D4" w:rsidP="00D075D4">
      <w:pPr>
        <w:pStyle w:val="EndNoteBibliography"/>
        <w:spacing w:after="0"/>
        <w:ind w:left="720" w:hanging="720"/>
      </w:pPr>
      <w:r w:rsidRPr="00D075D4">
        <w:t xml:space="preserve">MARTIN, S., LOMAS, J., CLAXTON, K. &amp; LONGO, F. 2021a. How effective is marginal healthcare expenditure? New evidence from England for 2003/04 to 2012/13. </w:t>
      </w:r>
      <w:r w:rsidRPr="00D075D4">
        <w:rPr>
          <w:i/>
        </w:rPr>
        <w:t>Applied Health Economics and Health Policy</w:t>
      </w:r>
      <w:r w:rsidRPr="00D075D4">
        <w:rPr>
          <w:b/>
        </w:rPr>
        <w:t>,</w:t>
      </w:r>
      <w:r w:rsidRPr="00D075D4">
        <w:t xml:space="preserve"> 1-19.</w:t>
      </w:r>
    </w:p>
    <w:p w14:paraId="1D8F77D1" w14:textId="77777777" w:rsidR="00D075D4" w:rsidRPr="00D075D4" w:rsidRDefault="00D075D4" w:rsidP="00D075D4">
      <w:pPr>
        <w:pStyle w:val="EndNoteBibliography"/>
        <w:spacing w:after="0"/>
        <w:ind w:left="720" w:hanging="720"/>
      </w:pPr>
      <w:r w:rsidRPr="00D075D4">
        <w:t xml:space="preserve">MARTIN, S., LONGO, F., LOMAS, J. &amp; CLAXTON, K. P. 2021b. The causal impact of social care, public health and healthcare expenditure on mortality in England: cross-sectional evidence for 2013/14. </w:t>
      </w:r>
      <w:r w:rsidRPr="00D075D4">
        <w:rPr>
          <w:i/>
        </w:rPr>
        <w:t>BMJ Open</w:t>
      </w:r>
      <w:r w:rsidRPr="00D075D4">
        <w:t>.</w:t>
      </w:r>
    </w:p>
    <w:p w14:paraId="756A9861" w14:textId="77777777" w:rsidR="00D075D4" w:rsidRPr="00D075D4" w:rsidRDefault="00D075D4" w:rsidP="00D075D4">
      <w:pPr>
        <w:pStyle w:val="EndNoteBibliography"/>
        <w:spacing w:after="0"/>
        <w:ind w:left="720" w:hanging="720"/>
      </w:pPr>
      <w:r w:rsidRPr="00D075D4">
        <w:t xml:space="preserve">MASON, A., GODDARD, M., WEATHERLY, H. &amp; CHALKLEY, M. 2015. Integrating funds for health and social care: an evidence review. </w:t>
      </w:r>
      <w:r w:rsidRPr="00D075D4">
        <w:rPr>
          <w:i/>
        </w:rPr>
        <w:t>Journal of health services research &amp; policy,</w:t>
      </w:r>
      <w:r w:rsidRPr="00D075D4">
        <w:t xml:space="preserve"> 20</w:t>
      </w:r>
      <w:r w:rsidRPr="00D075D4">
        <w:rPr>
          <w:b/>
        </w:rPr>
        <w:t>,</w:t>
      </w:r>
      <w:r w:rsidRPr="00D075D4">
        <w:t xml:space="preserve"> 177-188.</w:t>
      </w:r>
    </w:p>
    <w:p w14:paraId="174FDE6E" w14:textId="77777777" w:rsidR="00D075D4" w:rsidRPr="00D075D4" w:rsidRDefault="00D075D4" w:rsidP="00D075D4">
      <w:pPr>
        <w:pStyle w:val="EndNoteBibliography"/>
        <w:spacing w:after="0"/>
        <w:ind w:left="720" w:hanging="720"/>
      </w:pPr>
      <w:r w:rsidRPr="00D075D4">
        <w:t xml:space="preserve">MORCIANO, M., CHECKLAND, K., BILLINGS, J., COLEMAN, A., STOKES, J., TALLACK, C. &amp; SUTTON, M. 2020. New integrated care models in England associated with small reduction in hospital admissions in longer-term: a difference-in-differences analysis. </w:t>
      </w:r>
      <w:r w:rsidRPr="00D075D4">
        <w:rPr>
          <w:i/>
        </w:rPr>
        <w:t>Health Policy</w:t>
      </w:r>
      <w:r w:rsidRPr="00D075D4">
        <w:t>.</w:t>
      </w:r>
    </w:p>
    <w:p w14:paraId="783DFBC8" w14:textId="77777777" w:rsidR="00D075D4" w:rsidRPr="00D075D4" w:rsidRDefault="00D075D4" w:rsidP="00D075D4">
      <w:pPr>
        <w:pStyle w:val="EndNoteBibliography"/>
        <w:spacing w:after="0"/>
        <w:ind w:left="720" w:hanging="720"/>
      </w:pPr>
      <w:r w:rsidRPr="00D075D4">
        <w:t xml:space="preserve">NETTEN, A., BURGE, P., MALLEY, J., POTOGLOU, D., TOWERS, A.-M., BRAZIER, J., FLYNN, T. &amp; FORDER, J. J. H. T. A. 2012. Outcomes of social care for adults: developing a preference-weighted </w:t>
      </w:r>
      <w:r w:rsidRPr="00D075D4">
        <w:lastRenderedPageBreak/>
        <w:t>measure. 16</w:t>
      </w:r>
      <w:r w:rsidRPr="00D075D4">
        <w:rPr>
          <w:b/>
        </w:rPr>
        <w:t>,</w:t>
      </w:r>
      <w:r w:rsidRPr="00D075D4">
        <w:t xml:space="preserve"> 1-166.</w:t>
      </w:r>
    </w:p>
    <w:p w14:paraId="2A625018" w14:textId="1A66CE22" w:rsidR="00D075D4" w:rsidRPr="00D075D4" w:rsidRDefault="00D075D4" w:rsidP="00D075D4">
      <w:pPr>
        <w:pStyle w:val="EndNoteBibliography"/>
        <w:spacing w:after="0"/>
        <w:ind w:left="720" w:hanging="720"/>
      </w:pPr>
      <w:r w:rsidRPr="00D075D4">
        <w:t xml:space="preserve">NHS ENGLAND 2014a. Annex to the NHS England Planning Guidance Developing Plans for the Better Care Fund. London. Link: </w:t>
      </w:r>
      <w:hyperlink r:id="rId68" w:history="1">
        <w:r w:rsidRPr="00D075D4">
          <w:rPr>
            <w:rStyle w:val="Hyperlink"/>
          </w:rPr>
          <w:t>https://www.england.nhs.uk/wp-content/uploads/2013/12/bcf-plann-guid.pdf</w:t>
        </w:r>
      </w:hyperlink>
      <w:r w:rsidRPr="00D075D4">
        <w:t>. Access date: 20/11/2020.</w:t>
      </w:r>
    </w:p>
    <w:p w14:paraId="6A153E7A" w14:textId="77777777" w:rsidR="00D075D4" w:rsidRPr="00D075D4" w:rsidRDefault="00D075D4" w:rsidP="00D075D4">
      <w:pPr>
        <w:pStyle w:val="EndNoteBibliography"/>
        <w:spacing w:after="0"/>
        <w:ind w:left="720" w:hanging="720"/>
      </w:pPr>
      <w:r w:rsidRPr="00D075D4">
        <w:t xml:space="preserve">NHS ENGLAND 2014b. Five year forward view. </w:t>
      </w:r>
      <w:r w:rsidRPr="00D075D4">
        <w:rPr>
          <w:i/>
        </w:rPr>
        <w:t>Five Year Forward View</w:t>
      </w:r>
      <w:r w:rsidRPr="00D075D4">
        <w:t>.</w:t>
      </w:r>
    </w:p>
    <w:p w14:paraId="46EDAA48" w14:textId="51C589AC" w:rsidR="00D075D4" w:rsidRPr="00D075D4" w:rsidRDefault="00D075D4" w:rsidP="00D075D4">
      <w:pPr>
        <w:pStyle w:val="EndNoteBibliography"/>
        <w:spacing w:after="0"/>
        <w:ind w:left="720" w:hanging="720"/>
      </w:pPr>
      <w:r w:rsidRPr="00D075D4">
        <w:t xml:space="preserve">NHS ENGLAND 2014c. Technical Guide to the formulae for 2014–15 and 2015–16 revenue allocations to Clinical Commissioning Groups and Area Teams. London. Link: </w:t>
      </w:r>
      <w:hyperlink r:id="rId69" w:history="1">
        <w:r w:rsidRPr="00D075D4">
          <w:rPr>
            <w:rStyle w:val="Hyperlink"/>
          </w:rPr>
          <w:t>https://webarchive.nationalarchives.gov.uk/20160605060941/https://www.england.nhs.uk/wp-content/uploads/2014/03/tech-guide-rev-allocs.pdf</w:t>
        </w:r>
      </w:hyperlink>
      <w:r w:rsidRPr="00D075D4">
        <w:t>. Access date: 20/11/2020.</w:t>
      </w:r>
    </w:p>
    <w:p w14:paraId="2F04810E" w14:textId="77777777" w:rsidR="00D075D4" w:rsidRPr="00D075D4" w:rsidRDefault="00D075D4" w:rsidP="00D075D4">
      <w:pPr>
        <w:pStyle w:val="EndNoteBibliography"/>
        <w:spacing w:after="0"/>
        <w:ind w:left="720" w:hanging="720"/>
      </w:pPr>
      <w:r w:rsidRPr="00D075D4">
        <w:t>OECD 2020. Long-term Care and Health Care Insurance in OECD and Other Countries. Paris: OECD Publishing.</w:t>
      </w:r>
    </w:p>
    <w:p w14:paraId="202338E2" w14:textId="77777777" w:rsidR="00D075D4" w:rsidRPr="00D075D4" w:rsidRDefault="00D075D4" w:rsidP="00D075D4">
      <w:pPr>
        <w:pStyle w:val="EndNoteBibliography"/>
        <w:spacing w:after="0"/>
        <w:ind w:left="720" w:hanging="720"/>
      </w:pPr>
      <w:r w:rsidRPr="00D075D4">
        <w:t xml:space="preserve">PROPPER, C. &amp; VAN REENEN, J. 2010. Can pay regulation kill? Panel data evidence on the effect of labor markets on hospital performance. </w:t>
      </w:r>
      <w:r w:rsidRPr="00D075D4">
        <w:rPr>
          <w:i/>
        </w:rPr>
        <w:t>Journal of Political Economy,</w:t>
      </w:r>
      <w:r w:rsidRPr="00D075D4">
        <w:t xml:space="preserve"> 118</w:t>
      </w:r>
      <w:r w:rsidRPr="00D075D4">
        <w:rPr>
          <w:b/>
        </w:rPr>
        <w:t>,</w:t>
      </w:r>
      <w:r w:rsidRPr="00D075D4">
        <w:t xml:space="preserve"> 222-273.</w:t>
      </w:r>
    </w:p>
    <w:p w14:paraId="299474EC" w14:textId="77777777" w:rsidR="00D075D4" w:rsidRPr="00D075D4" w:rsidRDefault="00D075D4" w:rsidP="00D075D4">
      <w:pPr>
        <w:pStyle w:val="EndNoteBibliography"/>
        <w:spacing w:after="0"/>
        <w:ind w:left="720" w:hanging="720"/>
      </w:pPr>
      <w:r w:rsidRPr="00D075D4">
        <w:t xml:space="preserve">REEVES, A., MCKEE, M., BASU, S. &amp; STUCKLER, D. 2014. The political economy of austerity and healthcare: Cross-national analysis of expenditure changes in 27 European nations 1995–2011. </w:t>
      </w:r>
      <w:r w:rsidRPr="00D075D4">
        <w:rPr>
          <w:i/>
        </w:rPr>
        <w:t>Health policy,</w:t>
      </w:r>
      <w:r w:rsidRPr="00D075D4">
        <w:t xml:space="preserve"> 115</w:t>
      </w:r>
      <w:r w:rsidRPr="00D075D4">
        <w:rPr>
          <w:b/>
        </w:rPr>
        <w:t>,</w:t>
      </w:r>
      <w:r w:rsidRPr="00D075D4">
        <w:t xml:space="preserve"> 1-8.</w:t>
      </w:r>
    </w:p>
    <w:p w14:paraId="7DF813E2" w14:textId="77777777" w:rsidR="00D075D4" w:rsidRPr="00D075D4" w:rsidRDefault="00D075D4" w:rsidP="00D075D4">
      <w:pPr>
        <w:pStyle w:val="EndNoteBibliography"/>
        <w:spacing w:after="0"/>
        <w:ind w:left="720" w:hanging="720"/>
      </w:pPr>
      <w:r w:rsidRPr="00D075D4">
        <w:t xml:space="preserve">ROBINS, J. M. &amp; GREENLAND, S. 1992. Identifiability and exchangeability for direct and indirect effects. </w:t>
      </w:r>
      <w:r w:rsidRPr="00D075D4">
        <w:rPr>
          <w:i/>
        </w:rPr>
        <w:t>Epidemiology</w:t>
      </w:r>
      <w:r w:rsidRPr="00D075D4">
        <w:rPr>
          <w:b/>
        </w:rPr>
        <w:t>,</w:t>
      </w:r>
      <w:r w:rsidRPr="00D075D4">
        <w:t xml:space="preserve"> 143-155.</w:t>
      </w:r>
    </w:p>
    <w:p w14:paraId="2A6298C6" w14:textId="77777777" w:rsidR="00D075D4" w:rsidRPr="00D075D4" w:rsidRDefault="00D075D4" w:rsidP="00D075D4">
      <w:pPr>
        <w:pStyle w:val="EndNoteBibliography"/>
        <w:spacing w:after="0"/>
        <w:ind w:left="720" w:hanging="720"/>
      </w:pPr>
      <w:r w:rsidRPr="00D075D4">
        <w:t xml:space="preserve">SARGAN, J. D. 1958. The estimation of economic relationships using instrumental variables. </w:t>
      </w:r>
      <w:r w:rsidRPr="00D075D4">
        <w:rPr>
          <w:i/>
        </w:rPr>
        <w:t>Econometrica: Journal of the Econometric Society</w:t>
      </w:r>
      <w:r w:rsidRPr="00D075D4">
        <w:rPr>
          <w:b/>
        </w:rPr>
        <w:t>,</w:t>
      </w:r>
      <w:r w:rsidRPr="00D075D4">
        <w:t xml:space="preserve"> 393-415.</w:t>
      </w:r>
    </w:p>
    <w:p w14:paraId="040E1159" w14:textId="77777777" w:rsidR="00D075D4" w:rsidRPr="00D075D4" w:rsidRDefault="00D075D4" w:rsidP="00D075D4">
      <w:pPr>
        <w:pStyle w:val="EndNoteBibliography"/>
        <w:spacing w:after="0"/>
        <w:ind w:left="720" w:hanging="720"/>
      </w:pPr>
      <w:r w:rsidRPr="00D075D4">
        <w:t xml:space="preserve">SARGAN, J. D. 1988. Testing for misspecification after estimating using instrumental variables. </w:t>
      </w:r>
      <w:r w:rsidRPr="00D075D4">
        <w:rPr>
          <w:i/>
        </w:rPr>
        <w:t>Contributions to Econometrics: John Denis Sargan,</w:t>
      </w:r>
      <w:r w:rsidRPr="00D075D4">
        <w:t xml:space="preserve"> 1</w:t>
      </w:r>
      <w:r w:rsidRPr="00D075D4">
        <w:rPr>
          <w:b/>
        </w:rPr>
        <w:t>,</w:t>
      </w:r>
      <w:r w:rsidRPr="00D075D4">
        <w:t xml:space="preserve"> 213-235.</w:t>
      </w:r>
    </w:p>
    <w:p w14:paraId="68D17657" w14:textId="77777777" w:rsidR="00D075D4" w:rsidRPr="00D075D4" w:rsidRDefault="00D075D4" w:rsidP="00D075D4">
      <w:pPr>
        <w:pStyle w:val="EndNoteBibliography"/>
        <w:spacing w:after="0"/>
        <w:ind w:left="720" w:hanging="720"/>
      </w:pPr>
      <w:r w:rsidRPr="00D075D4">
        <w:t xml:space="preserve">SEAMER, P., BRAKE, S., MOORE, P., MOHAMMED, M. A. &amp; WYATT, S. 2019. Did government spending cuts to social care for older people lead to an increase in emergency hospital admissions? An ecological study, England 2005–2016. </w:t>
      </w:r>
      <w:r w:rsidRPr="00D075D4">
        <w:rPr>
          <w:i/>
        </w:rPr>
        <w:t>BMJ open,</w:t>
      </w:r>
      <w:r w:rsidRPr="00D075D4">
        <w:t xml:space="preserve"> 9</w:t>
      </w:r>
      <w:r w:rsidRPr="00D075D4">
        <w:rPr>
          <w:b/>
        </w:rPr>
        <w:t>,</w:t>
      </w:r>
      <w:r w:rsidRPr="00D075D4">
        <w:t xml:space="preserve"> e024577.</w:t>
      </w:r>
    </w:p>
    <w:p w14:paraId="7A4CC208" w14:textId="77777777" w:rsidR="00D075D4" w:rsidRPr="00D075D4" w:rsidRDefault="00D075D4" w:rsidP="00D075D4">
      <w:pPr>
        <w:pStyle w:val="EndNoteBibliography"/>
        <w:spacing w:after="0"/>
        <w:ind w:left="720" w:hanging="720"/>
      </w:pPr>
      <w:r w:rsidRPr="00D075D4">
        <w:t xml:space="preserve">SIVERSKOG, J. &amp; HENRIKSSON, M. 2019. Estimating the marginal cost of a life year in Sweden’s public healthcare sector. </w:t>
      </w:r>
      <w:r w:rsidRPr="00D075D4">
        <w:rPr>
          <w:i/>
        </w:rPr>
        <w:t>The European Journal of Health Economics,</w:t>
      </w:r>
      <w:r w:rsidRPr="00D075D4">
        <w:t xml:space="preserve"> 20</w:t>
      </w:r>
      <w:r w:rsidRPr="00D075D4">
        <w:rPr>
          <w:b/>
        </w:rPr>
        <w:t>,</w:t>
      </w:r>
      <w:r w:rsidRPr="00D075D4">
        <w:t xml:space="preserve"> 751-762.</w:t>
      </w:r>
    </w:p>
    <w:p w14:paraId="786CB262" w14:textId="77777777" w:rsidR="00D075D4" w:rsidRPr="00D075D4" w:rsidRDefault="00D075D4" w:rsidP="00D075D4">
      <w:pPr>
        <w:pStyle w:val="EndNoteBibliography"/>
        <w:spacing w:after="0"/>
        <w:ind w:left="720" w:hanging="720"/>
      </w:pPr>
      <w:r w:rsidRPr="00D075D4">
        <w:t>STAIGER, D. &amp; STOCK, J. H. 1994. Instrumental variables regression with weak instruments. National Bureau of Economic Research.</w:t>
      </w:r>
    </w:p>
    <w:p w14:paraId="17CDD959" w14:textId="77777777" w:rsidR="00D075D4" w:rsidRPr="00D075D4" w:rsidRDefault="00D075D4" w:rsidP="00D075D4">
      <w:pPr>
        <w:pStyle w:val="EndNoteBibliography"/>
        <w:spacing w:after="0"/>
        <w:ind w:left="720" w:hanging="720"/>
      </w:pPr>
      <w:r w:rsidRPr="00D075D4">
        <w:t xml:space="preserve">STOKES, J., LAU, Y.-S., KRISTENSEN, S. R. &amp; SUTTON, M. 2019. Does pooling health &amp; social care budgets reduce hospital use and lower costs? </w:t>
      </w:r>
      <w:r w:rsidRPr="00D075D4">
        <w:rPr>
          <w:i/>
        </w:rPr>
        <w:t>Social Science &amp; Medicine,</w:t>
      </w:r>
      <w:r w:rsidRPr="00D075D4">
        <w:t xml:space="preserve"> 232</w:t>
      </w:r>
      <w:r w:rsidRPr="00D075D4">
        <w:rPr>
          <w:b/>
        </w:rPr>
        <w:t>,</w:t>
      </w:r>
      <w:r w:rsidRPr="00D075D4">
        <w:t xml:space="preserve"> 382-388.</w:t>
      </w:r>
    </w:p>
    <w:p w14:paraId="3F140E1A" w14:textId="77777777" w:rsidR="00D075D4" w:rsidRPr="00D075D4" w:rsidRDefault="00D075D4" w:rsidP="00D075D4">
      <w:pPr>
        <w:pStyle w:val="EndNoteBibliography"/>
        <w:spacing w:after="0"/>
        <w:ind w:left="720" w:hanging="720"/>
      </w:pPr>
      <w:r w:rsidRPr="00D075D4">
        <w:t xml:space="preserve">STOKES, J., SHAH, V., GOLDZAHL, L., KRISTENSEN, S. R. &amp; SUTTON, M. 2020. Does prevention-focused integration lead to the triple aim? An evaluation of two new care models in England. </w:t>
      </w:r>
      <w:r w:rsidRPr="00D075D4">
        <w:rPr>
          <w:i/>
        </w:rPr>
        <w:t>Journal of Health Services Research &amp; Policy</w:t>
      </w:r>
      <w:r w:rsidRPr="00D075D4">
        <w:rPr>
          <w:b/>
        </w:rPr>
        <w:t>,</w:t>
      </w:r>
      <w:r w:rsidRPr="00D075D4">
        <w:t xml:space="preserve"> 1355819620963500.</w:t>
      </w:r>
    </w:p>
    <w:p w14:paraId="319C7A36" w14:textId="77777777" w:rsidR="00D075D4" w:rsidRPr="00B13508" w:rsidRDefault="00D075D4" w:rsidP="00D075D4">
      <w:pPr>
        <w:pStyle w:val="EndNoteBibliography"/>
        <w:spacing w:after="0"/>
        <w:ind w:left="720" w:hanging="720"/>
      </w:pPr>
      <w:r w:rsidRPr="00D075D4">
        <w:t xml:space="preserve">SUN, L. 2018. Implementing valid two-step identification-robust confidence sets for linear instrumental-variables models. </w:t>
      </w:r>
      <w:r w:rsidRPr="00B13508">
        <w:rPr>
          <w:i/>
        </w:rPr>
        <w:t>The Stata Journal,</w:t>
      </w:r>
      <w:r w:rsidRPr="00B13508">
        <w:t xml:space="preserve"> 18</w:t>
      </w:r>
      <w:r w:rsidRPr="00B13508">
        <w:rPr>
          <w:b/>
        </w:rPr>
        <w:t>,</w:t>
      </w:r>
      <w:r w:rsidRPr="00B13508">
        <w:t xml:space="preserve"> 803-825.</w:t>
      </w:r>
    </w:p>
    <w:p w14:paraId="639A0E9D" w14:textId="77777777" w:rsidR="00D075D4" w:rsidRPr="00D075D4" w:rsidRDefault="00D075D4" w:rsidP="00D075D4">
      <w:pPr>
        <w:pStyle w:val="EndNoteBibliography"/>
        <w:spacing w:after="0"/>
        <w:ind w:left="720" w:hanging="720"/>
      </w:pPr>
      <w:r w:rsidRPr="00B13508">
        <w:t xml:space="preserve">VALLEJO‐TORRES, L., GARCÍA‐LORENZO, B. &amp; SERRANO‐AGUILAR, P. 2018. </w:t>
      </w:r>
      <w:r w:rsidRPr="00D075D4">
        <w:t xml:space="preserve">Estimating a cost‐effectiveness threshold for the Spanish NHS. </w:t>
      </w:r>
      <w:r w:rsidRPr="00D075D4">
        <w:rPr>
          <w:i/>
        </w:rPr>
        <w:t>Health economics,</w:t>
      </w:r>
      <w:r w:rsidRPr="00D075D4">
        <w:t xml:space="preserve"> 27</w:t>
      </w:r>
      <w:r w:rsidRPr="00D075D4">
        <w:rPr>
          <w:b/>
        </w:rPr>
        <w:t>,</w:t>
      </w:r>
      <w:r w:rsidRPr="00D075D4">
        <w:t xml:space="preserve"> 746-761.</w:t>
      </w:r>
    </w:p>
    <w:p w14:paraId="415790E2" w14:textId="77777777" w:rsidR="00D075D4" w:rsidRPr="00D075D4" w:rsidRDefault="00D075D4" w:rsidP="00D075D4">
      <w:pPr>
        <w:pStyle w:val="EndNoteBibliography"/>
        <w:spacing w:after="0"/>
        <w:ind w:left="720" w:hanging="720"/>
      </w:pPr>
      <w:r w:rsidRPr="00D075D4">
        <w:t xml:space="preserve">VETTER, N. 2003. Inappropriately delayed discharge from hospital: What do we know? </w:t>
      </w:r>
      <w:r w:rsidRPr="00D075D4">
        <w:rPr>
          <w:i/>
        </w:rPr>
        <w:t>Bmj,</w:t>
      </w:r>
      <w:r w:rsidRPr="00D075D4">
        <w:t xml:space="preserve"> 326</w:t>
      </w:r>
      <w:r w:rsidRPr="00D075D4">
        <w:rPr>
          <w:b/>
        </w:rPr>
        <w:t>,</w:t>
      </w:r>
      <w:r w:rsidRPr="00D075D4">
        <w:t xml:space="preserve"> 927-928.</w:t>
      </w:r>
    </w:p>
    <w:p w14:paraId="1071A4B3" w14:textId="77777777" w:rsidR="00D075D4" w:rsidRPr="00D075D4" w:rsidRDefault="00D075D4" w:rsidP="00D075D4">
      <w:pPr>
        <w:pStyle w:val="EndNoteBibliography"/>
        <w:spacing w:after="0"/>
        <w:ind w:left="720" w:hanging="720"/>
      </w:pPr>
      <w:r w:rsidRPr="00D075D4">
        <w:t xml:space="preserve">VICTOR, C. R., HEALY, J., THOMAS, A. &amp; SEARGEANT, J. 2000. Older patients and delayed discharge from hospital. </w:t>
      </w:r>
      <w:r w:rsidRPr="00D075D4">
        <w:rPr>
          <w:i/>
        </w:rPr>
        <w:t>Health &amp; social care in the community,</w:t>
      </w:r>
      <w:r w:rsidRPr="00D075D4">
        <w:t xml:space="preserve"> 8</w:t>
      </w:r>
      <w:r w:rsidRPr="00D075D4">
        <w:rPr>
          <w:b/>
        </w:rPr>
        <w:t>,</w:t>
      </w:r>
      <w:r w:rsidRPr="00D075D4">
        <w:t xml:space="preserve"> 443-452.</w:t>
      </w:r>
    </w:p>
    <w:p w14:paraId="422B7D52" w14:textId="77777777" w:rsidR="00D075D4" w:rsidRPr="00D075D4" w:rsidRDefault="00D075D4" w:rsidP="00D075D4">
      <w:pPr>
        <w:pStyle w:val="EndNoteBibliography"/>
        <w:spacing w:after="0"/>
        <w:ind w:left="720" w:hanging="720"/>
      </w:pPr>
      <w:r w:rsidRPr="00D075D4">
        <w:t xml:space="preserve">WALSH, B., LYONS, S., SMITH, S., WREN, M. A., EIGHAN, J. &amp; MORGENROTH, E. 2020. Does formal home care reduce inpatient length of stay? </w:t>
      </w:r>
      <w:r w:rsidRPr="00D075D4">
        <w:rPr>
          <w:i/>
        </w:rPr>
        <w:t>Health Economics</w:t>
      </w:r>
      <w:r w:rsidRPr="00D075D4">
        <w:t>.</w:t>
      </w:r>
    </w:p>
    <w:p w14:paraId="7E600B41" w14:textId="77777777" w:rsidR="00D075D4" w:rsidRPr="00D075D4" w:rsidRDefault="00D075D4" w:rsidP="00D075D4">
      <w:pPr>
        <w:pStyle w:val="EndNoteBibliography"/>
        <w:spacing w:after="0"/>
        <w:ind w:left="720" w:hanging="720"/>
      </w:pPr>
      <w:r w:rsidRPr="00D075D4">
        <w:t xml:space="preserve">WANLESS, D., FORDER, J., FERNÁNDEZ, J.-L., POOLE, T., BEESLEY, L., HENWOOD, M. &amp; MOSCONE, F. 2006. </w:t>
      </w:r>
      <w:r w:rsidRPr="00D075D4">
        <w:rPr>
          <w:i/>
        </w:rPr>
        <w:t>Wanless social care review: securing good care for older people, taking a long-term view</w:t>
      </w:r>
      <w:r w:rsidRPr="00D075D4">
        <w:t>, King's Fund.</w:t>
      </w:r>
    </w:p>
    <w:p w14:paraId="1D28941C" w14:textId="77777777" w:rsidR="00D075D4" w:rsidRPr="00D075D4" w:rsidRDefault="00D075D4" w:rsidP="00D075D4">
      <w:pPr>
        <w:pStyle w:val="EndNoteBibliography"/>
        <w:spacing w:after="0"/>
        <w:ind w:left="720" w:hanging="720"/>
      </w:pPr>
      <w:r w:rsidRPr="00D075D4">
        <w:t xml:space="preserve">WATKINS, J., WULANINGSIH, W., DA ZHOU, C., MARSHALL, D. C., SYLIANTENG, G. D., ROSA, P. G. D., MIGUEL, V. A., RAINE, R., KING, L. P. &amp; MARUTHAPPU, M. 2017. Effects of health and social care spending constraints on mortality in England: a time trend analysis. </w:t>
      </w:r>
      <w:r w:rsidRPr="00D075D4">
        <w:rPr>
          <w:i/>
        </w:rPr>
        <w:t>BMJ open,</w:t>
      </w:r>
      <w:r w:rsidRPr="00D075D4">
        <w:t xml:space="preserve"> 7</w:t>
      </w:r>
      <w:r w:rsidRPr="00D075D4">
        <w:rPr>
          <w:b/>
        </w:rPr>
        <w:t>,</w:t>
      </w:r>
      <w:r w:rsidRPr="00D075D4">
        <w:t xml:space="preserve"> e017722.</w:t>
      </w:r>
    </w:p>
    <w:p w14:paraId="398969EA" w14:textId="77777777" w:rsidR="00D075D4" w:rsidRPr="00D075D4" w:rsidRDefault="00D075D4" w:rsidP="00D075D4">
      <w:pPr>
        <w:pStyle w:val="EndNoteBibliography"/>
        <w:spacing w:after="0"/>
        <w:ind w:left="720" w:hanging="720"/>
      </w:pPr>
      <w:r w:rsidRPr="00D075D4">
        <w:lastRenderedPageBreak/>
        <w:t xml:space="preserve">WOOLDRIDGE, J. M. 2010. </w:t>
      </w:r>
      <w:r w:rsidRPr="00D075D4">
        <w:rPr>
          <w:i/>
        </w:rPr>
        <w:t>Econometric analysis of cross section and panel data</w:t>
      </w:r>
      <w:r w:rsidRPr="00D075D4">
        <w:t>, MIT press.</w:t>
      </w:r>
    </w:p>
    <w:p w14:paraId="0F85E053" w14:textId="77777777" w:rsidR="00D075D4" w:rsidRPr="00D075D4" w:rsidRDefault="00D075D4" w:rsidP="00D075D4">
      <w:pPr>
        <w:pStyle w:val="EndNoteBibliography"/>
        <w:ind w:left="720" w:hanging="720"/>
      </w:pPr>
      <w:r w:rsidRPr="00D075D4">
        <w:t xml:space="preserve">YOGO, M. &amp; STOCK, J. H. 2002. </w:t>
      </w:r>
      <w:r w:rsidRPr="00D075D4">
        <w:rPr>
          <w:i/>
        </w:rPr>
        <w:t>Testing for weak instruments in linear IV regression</w:t>
      </w:r>
      <w:r w:rsidRPr="00D075D4">
        <w:t>, National Bureau of Economic Research.</w:t>
      </w:r>
    </w:p>
    <w:p w14:paraId="7D638BD8" w14:textId="67B1152A" w:rsidR="00DC7318" w:rsidRPr="002A4884" w:rsidRDefault="00CA5FB0" w:rsidP="00446E0A">
      <w:pPr>
        <w:sectPr w:rsidR="00DC7318" w:rsidRPr="002A4884" w:rsidSect="005F06E4">
          <w:pgSz w:w="11906" w:h="16838"/>
          <w:pgMar w:top="1440" w:right="1440" w:bottom="1440" w:left="1440" w:header="0" w:footer="0" w:gutter="0"/>
          <w:cols w:space="708"/>
          <w:docGrid w:linePitch="360"/>
        </w:sectPr>
      </w:pPr>
      <w:r w:rsidRPr="002A4884">
        <w:fldChar w:fldCharType="end"/>
      </w:r>
    </w:p>
    <w:p w14:paraId="7319805C" w14:textId="588869C7" w:rsidR="00314BA5" w:rsidRDefault="003D6E3A" w:rsidP="009B1FF4">
      <w:pPr>
        <w:pStyle w:val="Heading1"/>
        <w:numPr>
          <w:ilvl w:val="0"/>
          <w:numId w:val="0"/>
        </w:numPr>
        <w:ind w:left="284" w:hanging="284"/>
        <w:jc w:val="center"/>
      </w:pPr>
      <w:r w:rsidRPr="002A4884">
        <w:lastRenderedPageBreak/>
        <w:t>Appendix</w:t>
      </w:r>
    </w:p>
    <w:p w14:paraId="7F724707" w14:textId="10062B91" w:rsidR="00314BA5" w:rsidRPr="00B313BA" w:rsidRDefault="00852C9B" w:rsidP="00784E43">
      <w:pPr>
        <w:pStyle w:val="Heading4"/>
      </w:pPr>
      <w:r>
        <w:t>M</w:t>
      </w:r>
      <w:r w:rsidR="00314BA5" w:rsidRPr="00B313BA">
        <w:t>ediation analysis</w:t>
      </w:r>
    </w:p>
    <w:p w14:paraId="5E1BE156" w14:textId="30986C9B" w:rsidR="00314BA5" w:rsidRPr="002A4884" w:rsidRDefault="00852C9B" w:rsidP="00314BA5">
      <w:r>
        <w:rPr>
          <w:rFonts w:cstheme="minorHAnsi"/>
        </w:rPr>
        <w:t>T</w:t>
      </w:r>
      <w:r w:rsidR="00314BA5" w:rsidRPr="002A4884">
        <w:rPr>
          <w:rFonts w:cstheme="minorHAnsi"/>
        </w:rPr>
        <w:t xml:space="preserve">he sequence of regressions discussed </w:t>
      </w:r>
      <w:r>
        <w:rPr>
          <w:rFonts w:cstheme="minorHAnsi"/>
        </w:rPr>
        <w:t xml:space="preserve">in </w:t>
      </w:r>
      <w:r w:rsidR="00145266">
        <w:rPr>
          <w:rFonts w:cstheme="minorHAnsi"/>
        </w:rPr>
        <w:t>S</w:t>
      </w:r>
      <w:r>
        <w:rPr>
          <w:rFonts w:cstheme="minorHAnsi"/>
        </w:rPr>
        <w:t xml:space="preserve">ection </w:t>
      </w:r>
      <w:r>
        <w:rPr>
          <w:rFonts w:cstheme="minorHAnsi"/>
        </w:rPr>
        <w:fldChar w:fldCharType="begin"/>
      </w:r>
      <w:r>
        <w:rPr>
          <w:rFonts w:cstheme="minorHAnsi"/>
        </w:rPr>
        <w:instrText xml:space="preserve"> REF _Ref61529169 \r \h </w:instrText>
      </w:r>
      <w:r>
        <w:rPr>
          <w:rFonts w:cstheme="minorHAnsi"/>
        </w:rPr>
      </w:r>
      <w:r>
        <w:rPr>
          <w:rFonts w:cstheme="minorHAnsi"/>
        </w:rPr>
        <w:fldChar w:fldCharType="separate"/>
      </w:r>
      <w:r w:rsidR="007C7B62">
        <w:rPr>
          <w:rFonts w:cstheme="minorHAnsi"/>
        </w:rPr>
        <w:t>2.3.1</w:t>
      </w:r>
      <w:r>
        <w:rPr>
          <w:rFonts w:cstheme="minorHAnsi"/>
        </w:rPr>
        <w:fldChar w:fldCharType="end"/>
      </w:r>
      <w:r>
        <w:rPr>
          <w:rFonts w:cstheme="minorHAnsi"/>
        </w:rPr>
        <w:t xml:space="preserve"> and </w:t>
      </w:r>
      <w:r>
        <w:rPr>
          <w:rFonts w:cstheme="minorHAnsi"/>
        </w:rPr>
        <w:fldChar w:fldCharType="begin"/>
      </w:r>
      <w:r>
        <w:rPr>
          <w:rFonts w:cstheme="minorHAnsi"/>
        </w:rPr>
        <w:instrText xml:space="preserve"> REF _Ref61529171 \r \h </w:instrText>
      </w:r>
      <w:r>
        <w:rPr>
          <w:rFonts w:cstheme="minorHAnsi"/>
        </w:rPr>
      </w:r>
      <w:r>
        <w:rPr>
          <w:rFonts w:cstheme="minorHAnsi"/>
        </w:rPr>
        <w:fldChar w:fldCharType="separate"/>
      </w:r>
      <w:r w:rsidR="007C7B62">
        <w:rPr>
          <w:rFonts w:cstheme="minorHAnsi"/>
        </w:rPr>
        <w:t>2.3.2</w:t>
      </w:r>
      <w:r>
        <w:rPr>
          <w:rFonts w:cstheme="minorHAnsi"/>
        </w:rPr>
        <w:fldChar w:fldCharType="end"/>
      </w:r>
      <w:r>
        <w:rPr>
          <w:rFonts w:cstheme="minorHAnsi"/>
        </w:rPr>
        <w:t xml:space="preserve"> </w:t>
      </w:r>
      <w:r w:rsidR="00314BA5" w:rsidRPr="002A4884">
        <w:rPr>
          <w:rFonts w:cstheme="minorHAnsi"/>
        </w:rPr>
        <w:t>outline</w:t>
      </w:r>
      <w:r>
        <w:rPr>
          <w:rFonts w:cstheme="minorHAnsi"/>
        </w:rPr>
        <w:t>s</w:t>
      </w:r>
      <w:r w:rsidR="00314BA5" w:rsidRPr="002A4884">
        <w:rPr>
          <w:rFonts w:cstheme="minorHAnsi"/>
        </w:rPr>
        <w:t xml:space="preserve"> a logic which is similar to the logic of mediation analysis </w:t>
      </w:r>
      <w:r w:rsidR="00314BA5" w:rsidRPr="002A4884">
        <w:fldChar w:fldCharType="begin">
          <w:fldData xml:space="preserve">PEVuZE5vdGU+PENpdGU+PEF1dGhvcj5Sb2JpbnM8L0F1dGhvcj48WWVhcj4xOTkyPC9ZZWFyPjxS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</w:fldData>
        </w:fldChar>
      </w:r>
      <w:r w:rsidR="00F472F8">
        <w:instrText xml:space="preserve"> ADDIN EN.CITE </w:instrText>
      </w:r>
      <w:r w:rsidR="00F472F8">
        <w:fldChar w:fldCharType="begin">
          <w:fldData xml:space="preserve">PEVuZE5vdGU+PENpdGU+PEF1dGhvcj5Sb2JpbnM8L0F1dGhvcj48WWVhcj4xOTkyPC9ZZWFyPjxS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</w:fldData>
        </w:fldChar>
      </w:r>
      <w:r w:rsidR="00F472F8">
        <w:instrText xml:space="preserve"> ADDIN EN.CITE.DATA </w:instrText>
      </w:r>
      <w:r w:rsidR="00F472F8">
        <w:fldChar w:fldCharType="end"/>
      </w:r>
      <w:r w:rsidR="00314BA5" w:rsidRPr="002A4884">
        <w:fldChar w:fldCharType="separate"/>
      </w:r>
      <w:r w:rsidR="002A5717">
        <w:rPr>
          <w:noProof/>
        </w:rPr>
        <w:t>(Robins and Greenland, 1992, Jun et al., 2016, Frölich and Huber, 2017)</w:t>
      </w:r>
      <w:r w:rsidR="00314BA5" w:rsidRPr="002A4884">
        <w:fldChar w:fldCharType="end"/>
      </w:r>
      <w:r w:rsidR="00314BA5" w:rsidRPr="002A4884">
        <w:rPr>
          <w:rFonts w:cstheme="minorHAnsi"/>
        </w:rPr>
        <w:t xml:space="preserve">. Briefly, mediation analysis can </w:t>
      </w:r>
      <w:r w:rsidR="00314BA5" w:rsidRPr="002A4884">
        <w:t xml:space="preserve">decompose the </w:t>
      </w:r>
      <w:r w:rsidR="00314BA5" w:rsidRPr="0097391A">
        <w:t>total</w:t>
      </w:r>
      <w:r w:rsidR="00314BA5" w:rsidRPr="002A4884">
        <w:t xml:space="preserve"> effect of a treatment variable on an outcome into </w:t>
      </w:r>
      <w:r w:rsidR="00314BA5" w:rsidRPr="002A4884">
        <w:rPr>
          <w:iCs/>
        </w:rPr>
        <w:t>direct</w:t>
      </w:r>
      <w:r w:rsidR="00314BA5" w:rsidRPr="002A4884">
        <w:t xml:space="preserve"> and </w:t>
      </w:r>
      <w:r w:rsidR="00314BA5" w:rsidRPr="002A4884">
        <w:rPr>
          <w:iCs/>
        </w:rPr>
        <w:t>indirect</w:t>
      </w:r>
      <w:r w:rsidR="00314BA5" w:rsidRPr="002A4884">
        <w:t xml:space="preserve"> effects once the channels yielding the indirect effect, i.e. the mediators, are identified. </w:t>
      </w:r>
      <w:r>
        <w:t>T</w:t>
      </w:r>
      <w:r w:rsidR="00314BA5" w:rsidRPr="002A4884">
        <w:rPr>
          <w:rFonts w:cstheme="minorHAnsi"/>
        </w:rPr>
        <w:t xml:space="preserve">he following IV mediation model </w:t>
      </w:r>
      <w:r>
        <w:rPr>
          <w:rFonts w:cstheme="minorHAnsi"/>
        </w:rPr>
        <w:t xml:space="preserve">aims </w:t>
      </w:r>
      <w:r w:rsidR="00314BA5" w:rsidRPr="002A4884">
        <w:rPr>
          <w:rFonts w:cstheme="minorHAnsi"/>
        </w:rPr>
        <w:t xml:space="preserve">to quantify the </w:t>
      </w:r>
      <w:r>
        <w:rPr>
          <w:rFonts w:cstheme="minorHAnsi"/>
        </w:rPr>
        <w:t xml:space="preserve">LTC </w:t>
      </w:r>
      <w:r w:rsidR="00314BA5" w:rsidRPr="002A4884">
        <w:rPr>
          <w:rFonts w:cstheme="minorHAnsi"/>
        </w:rPr>
        <w:t xml:space="preserve">indirect </w:t>
      </w:r>
      <w:r w:rsidR="00BF77CD">
        <w:rPr>
          <w:rFonts w:cstheme="minorHAnsi"/>
        </w:rPr>
        <w:t xml:space="preserve">mortality </w:t>
      </w:r>
      <w:r w:rsidR="00314BA5" w:rsidRPr="002A4884">
        <w:rPr>
          <w:rFonts w:cstheme="minorHAnsi"/>
        </w:rPr>
        <w:t>effect</w:t>
      </w:r>
      <w:r w:rsidR="00314BA5" w:rsidRPr="002A4884">
        <w:t>:</w:t>
      </w:r>
    </w:p>
    <w:p w14:paraId="6EA07B94" w14:textId="7CC916E3" w:rsidR="00314BA5" w:rsidRPr="002A4884" w:rsidRDefault="00314BA5" w:rsidP="00314BA5">
      <w:pPr>
        <w:pStyle w:val="MTDisplayEquation"/>
        <w:spacing w:after="0"/>
      </w:pPr>
      <w:r w:rsidRPr="002A4884">
        <w:tab/>
      </w:r>
      <w:r w:rsidR="00B23BBC" w:rsidRPr="002A4884">
        <w:rPr>
          <w:position w:val="-16"/>
        </w:rPr>
        <w:object w:dxaOrig="2480" w:dyaOrig="480" w14:anchorId="345E2BF4">
          <v:shape id="_x0000_i1052" type="#_x0000_t75" style="width:123.6pt;height:24.6pt" o:ole="">
            <v:imagedata r:id="rId70" o:title=""/>
          </v:shape>
          <o:OLEObject Type="Embed" ProgID="Equation.DSMT4" ShapeID="_x0000_i1052" DrawAspect="Content" ObjectID="_1736065868" r:id="rId71"/>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41" w:name="ZEqnNum586745"/>
      <w:r w:rsidRPr="002A4884">
        <w:instrText>(</w:instrText>
      </w:r>
      <w:fldSimple w:instr=" SEQ MTEqn \c \* Arabic \* MERGEFORMAT ">
        <w:r w:rsidR="007C7B62">
          <w:rPr>
            <w:noProof/>
          </w:rPr>
          <w:instrText>22</w:instrText>
        </w:r>
      </w:fldSimple>
      <w:r w:rsidRPr="002A4884">
        <w:instrText>)</w:instrText>
      </w:r>
      <w:bookmarkEnd w:id="41"/>
      <w:r w:rsidRPr="002A4884">
        <w:fldChar w:fldCharType="end"/>
      </w:r>
    </w:p>
    <w:p w14:paraId="1DB1C6B7" w14:textId="3836E7EA" w:rsidR="00314BA5" w:rsidRPr="002A4884" w:rsidRDefault="00314BA5" w:rsidP="00314BA5">
      <w:pPr>
        <w:pStyle w:val="MTDisplayEquation"/>
        <w:spacing w:after="0"/>
      </w:pPr>
      <w:r w:rsidRPr="002A4884">
        <w:tab/>
      </w:r>
      <w:r w:rsidR="00B23BBC" w:rsidRPr="002A4884">
        <w:rPr>
          <w:position w:val="-16"/>
        </w:rPr>
        <w:object w:dxaOrig="2620" w:dyaOrig="480" w14:anchorId="1BC90416">
          <v:shape id="_x0000_i1053" type="#_x0000_t75" style="width:129.6pt;height:24.6pt" o:ole="">
            <v:imagedata r:id="rId72" o:title=""/>
          </v:shape>
          <o:OLEObject Type="Embed" ProgID="Equation.DSMT4" ShapeID="_x0000_i1053" DrawAspect="Content" ObjectID="_1736065869" r:id="rId73"/>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r w:rsidRPr="002A4884">
        <w:instrText>(</w:instrText>
      </w:r>
      <w:fldSimple w:instr=" SEQ MTEqn \c \* Arabic \* MERGEFORMAT ">
        <w:r w:rsidR="007C7B62">
          <w:rPr>
            <w:noProof/>
          </w:rPr>
          <w:instrText>23</w:instrText>
        </w:r>
      </w:fldSimple>
      <w:r w:rsidRPr="002A4884">
        <w:instrText>)</w:instrText>
      </w:r>
      <w:r w:rsidRPr="002A4884">
        <w:fldChar w:fldCharType="end"/>
      </w:r>
    </w:p>
    <w:p w14:paraId="48212E53" w14:textId="1896C2A0" w:rsidR="00314BA5" w:rsidRPr="002A4884" w:rsidRDefault="00314BA5" w:rsidP="00314BA5">
      <w:pPr>
        <w:pStyle w:val="MTDisplayEquation"/>
        <w:spacing w:after="0"/>
      </w:pPr>
      <w:r w:rsidRPr="002A4884">
        <w:tab/>
      </w:r>
      <w:r w:rsidR="00B23BBC" w:rsidRPr="002A4884">
        <w:rPr>
          <w:position w:val="-16"/>
        </w:rPr>
        <w:object w:dxaOrig="4900" w:dyaOrig="480" w14:anchorId="09AE8EAC">
          <v:shape id="_x0000_i1054" type="#_x0000_t75" style="width:244.8pt;height:24.6pt" o:ole="">
            <v:imagedata r:id="rId74" o:title=""/>
          </v:shape>
          <o:OLEObject Type="Embed" ProgID="Equation.DSMT4" ShapeID="_x0000_i1054" DrawAspect="Content" ObjectID="_1736065870" r:id="rId75"/>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r w:rsidRPr="002A4884">
        <w:instrText>(</w:instrText>
      </w:r>
      <w:fldSimple w:instr=" SEQ MTEqn \c \* Arabic \* MERGEFORMAT ">
        <w:r w:rsidR="007C7B62">
          <w:rPr>
            <w:noProof/>
          </w:rPr>
          <w:instrText>24</w:instrText>
        </w:r>
      </w:fldSimple>
      <w:r w:rsidRPr="002A4884">
        <w:instrText>)</w:instrText>
      </w:r>
      <w:r w:rsidRPr="002A4884">
        <w:fldChar w:fldCharType="end"/>
      </w:r>
    </w:p>
    <w:p w14:paraId="3BFB09CF" w14:textId="72D0A22C" w:rsidR="00314BA5" w:rsidRPr="002A4884" w:rsidRDefault="00314BA5" w:rsidP="00314BA5">
      <w:pPr>
        <w:pStyle w:val="MTDisplayEquation"/>
        <w:spacing w:after="0"/>
      </w:pPr>
      <w:r w:rsidRPr="002A4884">
        <w:tab/>
      </w:r>
      <w:r w:rsidR="001751BF" w:rsidRPr="002A4884">
        <w:rPr>
          <w:position w:val="-16"/>
        </w:rPr>
        <w:object w:dxaOrig="7140" w:dyaOrig="480" w14:anchorId="08A40553">
          <v:shape id="_x0000_i1055" type="#_x0000_t75" style="width:357.6pt;height:24.6pt" o:ole="">
            <v:imagedata r:id="rId76" o:title=""/>
          </v:shape>
          <o:OLEObject Type="Embed" ProgID="Equation.DSMT4" ShapeID="_x0000_i1055" DrawAspect="Content" ObjectID="_1736065871" r:id="rId77"/>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42" w:name="ZEqnNum509003"/>
      <w:r w:rsidRPr="002A4884">
        <w:instrText>(</w:instrText>
      </w:r>
      <w:fldSimple w:instr=" SEQ MTEqn \c \* Arabic \* MERGEFORMAT ">
        <w:r w:rsidR="007C7B62">
          <w:rPr>
            <w:noProof/>
          </w:rPr>
          <w:instrText>25</w:instrText>
        </w:r>
      </w:fldSimple>
      <w:r w:rsidRPr="002A4884">
        <w:instrText>)</w:instrText>
      </w:r>
      <w:bookmarkEnd w:id="42"/>
      <w:r w:rsidRPr="002A4884">
        <w:fldChar w:fldCharType="end"/>
      </w:r>
    </w:p>
    <w:p w14:paraId="28B41401" w14:textId="67251E13" w:rsidR="00314BA5" w:rsidRPr="002A4884" w:rsidRDefault="00314BA5" w:rsidP="00314BA5">
      <w:pPr>
        <w:pStyle w:val="MTDisplayEquation"/>
      </w:pPr>
      <w:r w:rsidRPr="002A4884">
        <w:tab/>
      </w:r>
      <w:r w:rsidRPr="002A4884">
        <w:rPr>
          <w:position w:val="-16"/>
        </w:rPr>
        <w:object w:dxaOrig="7680" w:dyaOrig="480" w14:anchorId="176CF468">
          <v:shape id="_x0000_i1056" type="#_x0000_t75" style="width:381.6pt;height:24.6pt" o:ole="">
            <v:imagedata r:id="rId78" o:title=""/>
          </v:shape>
          <o:OLEObject Type="Embed" ProgID="Equation.DSMT4" ShapeID="_x0000_i1056" DrawAspect="Content" ObjectID="_1736065872" r:id="rId79"/>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bookmarkStart w:id="43" w:name="ZEqnNum887671"/>
      <w:r w:rsidRPr="002A4884">
        <w:instrText>(</w:instrText>
      </w:r>
      <w:fldSimple w:instr=" SEQ MTEqn \c \* Arabic \* MERGEFORMAT ">
        <w:r w:rsidR="007C7B62">
          <w:rPr>
            <w:noProof/>
          </w:rPr>
          <w:instrText>26</w:instrText>
        </w:r>
      </w:fldSimple>
      <w:r w:rsidRPr="002A4884">
        <w:instrText>)</w:instrText>
      </w:r>
      <w:bookmarkEnd w:id="43"/>
      <w:r w:rsidRPr="002A4884">
        <w:fldChar w:fldCharType="end"/>
      </w:r>
    </w:p>
    <w:p w14:paraId="1F7040FC" w14:textId="1A43F69C" w:rsidR="00314BA5" w:rsidRPr="002A4884" w:rsidRDefault="00B23BBC" w:rsidP="00D02760">
      <w:r>
        <w:t xml:space="preserve">To be noted </w:t>
      </w:r>
      <w:r w:rsidR="001751BF">
        <w:t xml:space="preserve">that the mediation model </w:t>
      </w:r>
      <w:r w:rsidR="001751BF">
        <w:fldChar w:fldCharType="begin"/>
      </w:r>
      <w:r w:rsidR="001751BF">
        <w:instrText xml:space="preserve"> GOTOBUTTON ZEqnNum586745  \* MERGEFORMAT </w:instrText>
      </w:r>
      <w:fldSimple w:instr=" REF ZEqnNum586745 \* Charformat \! \* MERGEFORMAT ">
        <w:r w:rsidR="007C7B62" w:rsidRPr="002A4884">
          <w:instrText>(</w:instrText>
        </w:r>
        <w:r w:rsidR="007C7B62">
          <w:instrText>22</w:instrText>
        </w:r>
        <w:r w:rsidR="007C7B62" w:rsidRPr="002A4884">
          <w:instrText>)</w:instrText>
        </w:r>
      </w:fldSimple>
      <w:r w:rsidR="001751BF">
        <w:fldChar w:fldCharType="end"/>
      </w:r>
      <w:r w:rsidR="001751BF">
        <w:t>-</w:t>
      </w:r>
      <w:r w:rsidR="00D02760">
        <w:fldChar w:fldCharType="begin"/>
      </w:r>
      <w:r w:rsidR="00D02760">
        <w:instrText xml:space="preserve"> GOTOBUTTON ZEqnNum887671  \* MERGEFORMAT </w:instrText>
      </w:r>
      <w:fldSimple w:instr=" REF ZEqnNum887671 \* Charformat \! \* MERGEFORMAT ">
        <w:r w:rsidR="007C7B62" w:rsidRPr="002A4884">
          <w:instrText>(</w:instrText>
        </w:r>
        <w:r w:rsidR="007C7B62">
          <w:instrText>26</w:instrText>
        </w:r>
        <w:r w:rsidR="007C7B62" w:rsidRPr="002A4884">
          <w:instrText>)</w:instrText>
        </w:r>
      </w:fldSimple>
      <w:r w:rsidR="00D02760">
        <w:fldChar w:fldCharType="end"/>
      </w:r>
      <w:r w:rsidR="00D02760">
        <w:t xml:space="preserve"> </w:t>
      </w:r>
      <w:r w:rsidR="001751BF">
        <w:t xml:space="preserve">is to some extent similar to the first and second stage of regression </w:t>
      </w:r>
      <w:r w:rsidR="00D02760">
        <w:fldChar w:fldCharType="begin"/>
      </w:r>
      <w:r w:rsidR="00D02760">
        <w:instrText xml:space="preserve"> GOTOBUTTON ZEqnNum133350  \* MERGEFORMAT </w:instrText>
      </w:r>
      <w:fldSimple w:instr=" REF ZEqnNum133350 \* Charformat \! \* MERGEFORMAT ">
        <w:r w:rsidR="007C7B62" w:rsidRPr="002A4884">
          <w:instrText>(</w:instrText>
        </w:r>
        <w:r w:rsidR="007C7B62">
          <w:instrText>20</w:instrText>
        </w:r>
        <w:r w:rsidR="007C7B62" w:rsidRPr="002A4884">
          <w:instrText>)</w:instrText>
        </w:r>
      </w:fldSimple>
      <w:r w:rsidR="00D02760">
        <w:fldChar w:fldCharType="end"/>
      </w:r>
      <w:r w:rsidR="00D02760">
        <w:t xml:space="preserve">. </w:t>
      </w:r>
      <w:r w:rsidR="00D02760">
        <w:rPr>
          <w:bCs/>
        </w:rPr>
        <w:t xml:space="preserve">From </w:t>
      </w:r>
      <w:r w:rsidR="00D02760">
        <w:rPr>
          <w:bCs/>
        </w:rPr>
        <w:fldChar w:fldCharType="begin"/>
      </w:r>
      <w:r w:rsidR="00D02760">
        <w:rPr>
          <w:bCs/>
        </w:rPr>
        <w:instrText xml:space="preserve"> GOTOBUTTON ZEqnNum586745  \* MERGEFORMAT </w:instrText>
      </w:r>
      <w:r w:rsidR="00D02760">
        <w:rPr>
          <w:bCs/>
        </w:rPr>
        <w:fldChar w:fldCharType="begin"/>
      </w:r>
      <w:r w:rsidR="00D02760">
        <w:rPr>
          <w:bCs/>
        </w:rPr>
        <w:instrText xml:space="preserve"> REF ZEqnNum586745 \* Charformat \! \* MERGEFORMAT </w:instrText>
      </w:r>
      <w:r w:rsidR="00D02760">
        <w:rPr>
          <w:bCs/>
        </w:rPr>
        <w:fldChar w:fldCharType="separate"/>
      </w:r>
      <w:r w:rsidR="007C7B62" w:rsidRPr="007C7B62">
        <w:rPr>
          <w:bCs/>
        </w:rPr>
        <w:instrText>(22)</w:instrText>
      </w:r>
      <w:r w:rsidR="00D02760">
        <w:rPr>
          <w:bCs/>
        </w:rPr>
        <w:fldChar w:fldCharType="end"/>
      </w:r>
      <w:r w:rsidR="00D02760">
        <w:rPr>
          <w:bCs/>
        </w:rPr>
        <w:fldChar w:fldCharType="end"/>
      </w:r>
      <w:r w:rsidR="00D02760">
        <w:rPr>
          <w:bCs/>
        </w:rPr>
        <w:t>-</w:t>
      </w:r>
      <w:r w:rsidR="00D02760">
        <w:rPr>
          <w:bCs/>
          <w:iCs/>
        </w:rPr>
        <w:fldChar w:fldCharType="begin"/>
      </w:r>
      <w:r w:rsidR="00D02760">
        <w:rPr>
          <w:bCs/>
          <w:iCs/>
        </w:rPr>
        <w:instrText xml:space="preserve"> GOTOBUTTON ZEqnNum887671  \* MERGEFORMAT </w:instrText>
      </w:r>
      <w:r w:rsidR="00D02760">
        <w:rPr>
          <w:bCs/>
          <w:iCs/>
        </w:rPr>
        <w:fldChar w:fldCharType="begin"/>
      </w:r>
      <w:r w:rsidR="00D02760">
        <w:rPr>
          <w:bCs/>
          <w:iCs/>
        </w:rPr>
        <w:instrText xml:space="preserve"> REF ZEqnNum887671 \* Charformat \! \* MERGEFORMAT </w:instrText>
      </w:r>
      <w:r w:rsidR="00D02760">
        <w:rPr>
          <w:bCs/>
          <w:iCs/>
        </w:rPr>
        <w:fldChar w:fldCharType="separate"/>
      </w:r>
      <w:r w:rsidR="007C7B62" w:rsidRPr="007C7B62">
        <w:rPr>
          <w:bCs/>
          <w:iCs/>
        </w:rPr>
        <w:instrText>(26)</w:instrText>
      </w:r>
      <w:r w:rsidR="00D02760">
        <w:rPr>
          <w:bCs/>
          <w:iCs/>
        </w:rPr>
        <w:fldChar w:fldCharType="end"/>
      </w:r>
      <w:r w:rsidR="00D02760">
        <w:rPr>
          <w:bCs/>
          <w:iCs/>
        </w:rPr>
        <w:fldChar w:fldCharType="end"/>
      </w:r>
      <w:r w:rsidR="00D02760">
        <w:rPr>
          <w:bCs/>
        </w:rPr>
        <w:t>, the effects of interest are estimated as follows:</w:t>
      </w:r>
    </w:p>
    <w:p w14:paraId="3079B620" w14:textId="4869FDDA" w:rsidR="00314BA5" w:rsidRPr="002A4884" w:rsidRDefault="00314BA5" w:rsidP="00314BA5">
      <w:pPr>
        <w:pStyle w:val="MTDisplayEquation"/>
      </w:pPr>
      <w:r w:rsidRPr="002A4884">
        <w:tab/>
      </w:r>
      <w:r w:rsidRPr="002A4884">
        <w:rPr>
          <w:position w:val="-12"/>
        </w:rPr>
        <w:object w:dxaOrig="2460" w:dyaOrig="400" w14:anchorId="49E8F68C">
          <v:shape id="_x0000_i1057" type="#_x0000_t75" style="width:121.2pt;height:22.2pt" o:ole="">
            <v:imagedata r:id="rId80" o:title=""/>
          </v:shape>
          <o:OLEObject Type="Embed" ProgID="Equation.DSMT4" ShapeID="_x0000_i1057" DrawAspect="Content" ObjectID="_1736065873" r:id="rId81"/>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r w:rsidRPr="002A4884">
        <w:instrText>(</w:instrText>
      </w:r>
      <w:fldSimple w:instr=" SEQ MTEqn \c \* Arabic \* MERGEFORMAT ">
        <w:r w:rsidR="007C7B62">
          <w:rPr>
            <w:noProof/>
          </w:rPr>
          <w:instrText>27</w:instrText>
        </w:r>
      </w:fldSimple>
      <w:r w:rsidRPr="002A4884">
        <w:instrText>)</w:instrText>
      </w:r>
      <w:r w:rsidRPr="002A4884">
        <w:fldChar w:fldCharType="end"/>
      </w:r>
    </w:p>
    <w:p w14:paraId="484CB467" w14:textId="3521FE65" w:rsidR="00314BA5" w:rsidRPr="002A4884" w:rsidRDefault="00314BA5" w:rsidP="00314BA5">
      <w:pPr>
        <w:pStyle w:val="MTDisplayEquation"/>
      </w:pPr>
      <w:r w:rsidRPr="002A4884">
        <w:tab/>
      </w:r>
      <w:r w:rsidRPr="002A4884">
        <w:rPr>
          <w:position w:val="-12"/>
        </w:rPr>
        <w:object w:dxaOrig="1719" w:dyaOrig="400" w14:anchorId="09473E9E">
          <v:shape id="_x0000_i1058" type="#_x0000_t75" style="width:84pt;height:22.2pt" o:ole="">
            <v:imagedata r:id="rId82" o:title=""/>
          </v:shape>
          <o:OLEObject Type="Embed" ProgID="Equation.DSMT4" ShapeID="_x0000_i1058" DrawAspect="Content" ObjectID="_1736065874" r:id="rId83"/>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r w:rsidRPr="002A4884">
        <w:instrText>(</w:instrText>
      </w:r>
      <w:fldSimple w:instr=" SEQ MTEqn \c \* Arabic \* MERGEFORMAT ">
        <w:r w:rsidR="007C7B62">
          <w:rPr>
            <w:noProof/>
          </w:rPr>
          <w:instrText>28</w:instrText>
        </w:r>
      </w:fldSimple>
      <w:r w:rsidRPr="002A4884">
        <w:instrText>)</w:instrText>
      </w:r>
      <w:r w:rsidRPr="002A4884">
        <w:fldChar w:fldCharType="end"/>
      </w:r>
    </w:p>
    <w:p w14:paraId="41B1B7E6" w14:textId="6264F45D" w:rsidR="00314BA5" w:rsidRDefault="00314BA5" w:rsidP="00314BA5">
      <w:pPr>
        <w:pStyle w:val="MTDisplayEquation"/>
      </w:pPr>
      <w:r w:rsidRPr="002A4884">
        <w:tab/>
      </w:r>
      <w:r w:rsidRPr="002A4884">
        <w:rPr>
          <w:position w:val="-12"/>
        </w:rPr>
        <w:object w:dxaOrig="2320" w:dyaOrig="400" w14:anchorId="0D39DA24">
          <v:shape id="_x0000_i1059" type="#_x0000_t75" style="width:115.8pt;height:22.2pt" o:ole="">
            <v:imagedata r:id="rId84" o:title=""/>
          </v:shape>
          <o:OLEObject Type="Embed" ProgID="Equation.DSMT4" ShapeID="_x0000_i1059" DrawAspect="Content" ObjectID="_1736065875" r:id="rId85"/>
        </w:object>
      </w:r>
      <w:r w:rsidRPr="002A4884">
        <w:t>.</w:t>
      </w:r>
      <w:r w:rsidRPr="002A4884">
        <w:tab/>
      </w:r>
      <w:r w:rsidRPr="002A4884">
        <w:fldChar w:fldCharType="begin"/>
      </w:r>
      <w:r w:rsidRPr="002A4884">
        <w:instrText xml:space="preserve"> MACROBUTTON MTPlaceRef \* MERGEFORMAT </w:instrText>
      </w:r>
      <w:r w:rsidRPr="002A4884">
        <w:fldChar w:fldCharType="begin"/>
      </w:r>
      <w:r w:rsidRPr="002A4884">
        <w:instrText xml:space="preserve"> SEQ MTEqn \h \* MERGEFORMAT </w:instrText>
      </w:r>
      <w:r w:rsidRPr="002A4884">
        <w:fldChar w:fldCharType="end"/>
      </w:r>
      <w:r w:rsidRPr="002A4884">
        <w:instrText>(</w:instrText>
      </w:r>
      <w:r w:rsidR="002A7365">
        <w:fldChar w:fldCharType="begin"/>
      </w:r>
      <w:r w:rsidR="002A7365">
        <w:instrText xml:space="preserve"> SEQ MTE</w:instrText>
      </w:r>
      <w:r w:rsidR="002A7365">
        <w:instrText xml:space="preserve">qn \c \* Arabic \* MERGEFORMAT </w:instrText>
      </w:r>
      <w:r w:rsidR="002A7365">
        <w:fldChar w:fldCharType="separate"/>
      </w:r>
      <w:r w:rsidR="007C7B62">
        <w:rPr>
          <w:noProof/>
        </w:rPr>
        <w:instrText>29</w:instrText>
      </w:r>
      <w:r w:rsidR="002A7365">
        <w:rPr>
          <w:noProof/>
        </w:rPr>
        <w:fldChar w:fldCharType="end"/>
      </w:r>
      <w:r w:rsidRPr="002A4884">
        <w:instrText>)</w:instrText>
      </w:r>
      <w:r w:rsidRPr="002A4884">
        <w:fldChar w:fldCharType="end"/>
      </w:r>
    </w:p>
    <w:p w14:paraId="59E8BC48" w14:textId="09A5D117" w:rsidR="00314BA5" w:rsidRDefault="002A5717" w:rsidP="00314BA5">
      <w:r>
        <w:t xml:space="preserve">The key parameters of interest </w:t>
      </w:r>
      <w:r w:rsidRPr="002A5717">
        <w:rPr>
          <w:rFonts w:cstheme="minorHAnsi"/>
          <w:i/>
          <w:iCs/>
        </w:rPr>
        <w:t>φ̂</w:t>
      </w:r>
      <w:r w:rsidRPr="002A5717">
        <w:rPr>
          <w:rFonts w:cstheme="minorHAnsi"/>
          <w:i/>
          <w:iCs/>
          <w:vertAlign w:val="subscript"/>
        </w:rPr>
        <w:t>4</w:t>
      </w:r>
      <w:r>
        <w:rPr>
          <w:rFonts w:cstheme="minorHAnsi"/>
        </w:rPr>
        <w:t xml:space="preserve">, </w:t>
      </w:r>
      <w:r w:rsidRPr="002A5717">
        <w:rPr>
          <w:rFonts w:cstheme="minorHAnsi"/>
          <w:i/>
          <w:iCs/>
        </w:rPr>
        <w:t>φ̂</w:t>
      </w:r>
      <w:r w:rsidRPr="002A5717">
        <w:rPr>
          <w:rFonts w:cstheme="minorHAnsi"/>
          <w:i/>
          <w:iCs/>
          <w:vertAlign w:val="subscript"/>
        </w:rPr>
        <w:t>5</w:t>
      </w:r>
      <w:r>
        <w:rPr>
          <w:rFonts w:cstheme="minorHAnsi"/>
        </w:rPr>
        <w:t xml:space="preserve"> and </w:t>
      </w:r>
      <w:r w:rsidRPr="002A5717">
        <w:rPr>
          <w:rFonts w:cstheme="minorHAnsi"/>
          <w:i/>
          <w:iCs/>
        </w:rPr>
        <w:t>ψ̂</w:t>
      </w:r>
      <w:r w:rsidRPr="002A5717">
        <w:rPr>
          <w:rFonts w:cstheme="minorHAnsi"/>
          <w:i/>
          <w:iCs/>
          <w:vertAlign w:val="subscript"/>
        </w:rPr>
        <w:t>5</w:t>
      </w:r>
      <w:r>
        <w:rPr>
          <w:rFonts w:cstheme="minorHAnsi"/>
        </w:rPr>
        <w:t xml:space="preserve"> are point-identified when using </w:t>
      </w:r>
      <w:r w:rsidR="00871111">
        <w:rPr>
          <w:rFonts w:cstheme="minorHAnsi"/>
        </w:rPr>
        <w:t xml:space="preserve">a </w:t>
      </w:r>
      <w:r>
        <w:rPr>
          <w:rFonts w:cstheme="minorHAnsi"/>
        </w:rPr>
        <w:t xml:space="preserve">dedicated instrument for the treatment variable, </w:t>
      </w:r>
      <w:r w:rsidRPr="002A5717">
        <w:rPr>
          <w:rFonts w:cstheme="minorHAnsi"/>
          <w:i/>
          <w:iCs/>
        </w:rPr>
        <w:t>expenditure</w:t>
      </w:r>
      <w:r w:rsidRPr="002A5717">
        <w:rPr>
          <w:rFonts w:cstheme="minorHAnsi"/>
          <w:i/>
          <w:iCs/>
          <w:vertAlign w:val="subscript"/>
        </w:rPr>
        <w:t>i</w:t>
      </w:r>
      <w:r w:rsidRPr="002A5717">
        <w:rPr>
          <w:rFonts w:cstheme="minorHAnsi"/>
          <w:i/>
          <w:iCs/>
          <w:vertAlign w:val="superscript"/>
        </w:rPr>
        <w:t>LTC</w:t>
      </w:r>
      <w:r>
        <w:rPr>
          <w:rFonts w:cstheme="minorHAnsi"/>
        </w:rPr>
        <w:t xml:space="preserve">, and the mediator, </w:t>
      </w:r>
      <w:r w:rsidRPr="002A5717">
        <w:rPr>
          <w:rFonts w:cstheme="minorHAnsi"/>
          <w:i/>
          <w:iCs/>
        </w:rPr>
        <w:t>expenditure</w:t>
      </w:r>
      <w:r w:rsidRPr="002A5717">
        <w:rPr>
          <w:rFonts w:cstheme="minorHAnsi"/>
          <w:i/>
          <w:iCs/>
          <w:vertAlign w:val="subscript"/>
        </w:rPr>
        <w:t>j</w:t>
      </w:r>
      <w:r w:rsidRPr="002A5717">
        <w:rPr>
          <w:rFonts w:cstheme="minorHAnsi"/>
          <w:i/>
          <w:iCs/>
          <w:vertAlign w:val="superscript"/>
        </w:rPr>
        <w:t>HC</w:t>
      </w:r>
      <w:r>
        <w:rPr>
          <w:rFonts w:cstheme="minorHAnsi"/>
        </w:rPr>
        <w:t>.</w:t>
      </w:r>
      <w:r w:rsidR="00871111">
        <w:rPr>
          <w:rFonts w:cstheme="minorHAnsi"/>
        </w:rPr>
        <w:t xml:space="preserve"> In addition to the two common assumptions of relevance and exogeneity of the instruments, the IV mediation model requires the dedicated instruments to be not correlated. </w:t>
      </w:r>
      <w:r w:rsidR="00314BA5" w:rsidRPr="002A4884">
        <w:t xml:space="preserve">The following figure exemplifies the key aspects of the </w:t>
      </w:r>
      <w:r w:rsidR="00954D04">
        <w:t>discussed</w:t>
      </w:r>
      <w:r w:rsidR="00871111">
        <w:t xml:space="preserve"> </w:t>
      </w:r>
      <w:r w:rsidR="00314BA5" w:rsidRPr="002A4884">
        <w:t>IV mediation model</w:t>
      </w:r>
      <w:r w:rsidR="00871111">
        <w:t>:</w:t>
      </w:r>
    </w:p>
    <w:p w14:paraId="395326FD" w14:textId="21D88671" w:rsidR="00954D04" w:rsidRDefault="009E25BF" w:rsidP="00954D04">
      <w:pPr>
        <w:jc w:val="center"/>
      </w:pPr>
      <w:r>
        <w:lastRenderedPageBreak/>
        <w:pict w14:anchorId="12DADEB0">
          <v:shape id="_x0000_i1060" type="#_x0000_t75" style="width:416.4pt;height:248.4pt">
            <v:imagedata r:id="rId86" o:title="mediation"/>
          </v:shape>
        </w:pict>
      </w:r>
    </w:p>
    <w:p w14:paraId="1E444462" w14:textId="468FDD18" w:rsidR="00C0759E" w:rsidRDefault="00C0759E" w:rsidP="00314BA5">
      <w:r>
        <w:t>Mediation analysis requires the structural assumption that the impact of the treatment variable</w:t>
      </w:r>
      <w:r w:rsidR="000C73A3">
        <w:t xml:space="preserve"> (LTC expenditure per user)</w:t>
      </w:r>
      <w:r>
        <w:t xml:space="preserve"> on the mediator </w:t>
      </w:r>
      <w:r w:rsidR="000C73A3">
        <w:t xml:space="preserve">(HC expenditure per capita for sub-sector </w:t>
      </w:r>
      <w:r w:rsidR="000C73A3" w:rsidRPr="000C73A3">
        <w:rPr>
          <w:i/>
          <w:iCs/>
        </w:rPr>
        <w:t>j</w:t>
      </w:r>
      <w:r w:rsidR="000C73A3">
        <w:t xml:space="preserve">) </w:t>
      </w:r>
      <w:r w:rsidR="000C73A3" w:rsidRPr="0058310C">
        <w:rPr>
          <w:i/>
          <w:iCs/>
        </w:rPr>
        <w:t>must</w:t>
      </w:r>
      <w:r w:rsidR="000C73A3">
        <w:t xml:space="preserve"> have </w:t>
      </w:r>
      <w:r>
        <w:t>indirect consequences on the outcome</w:t>
      </w:r>
      <w:r w:rsidR="000C73A3">
        <w:t xml:space="preserve"> (mortality)</w:t>
      </w:r>
      <w:r>
        <w:t>.</w:t>
      </w:r>
      <w:r w:rsidR="000C73A3">
        <w:t xml:space="preserve"> This assumption, however, is </w:t>
      </w:r>
      <w:r w:rsidR="00053841">
        <w:t>un</w:t>
      </w:r>
      <w:r w:rsidR="000C73A3">
        <w:t xml:space="preserve">likely to </w:t>
      </w:r>
      <w:r w:rsidR="00053841">
        <w:t xml:space="preserve">hold true </w:t>
      </w:r>
      <w:r w:rsidR="000C73A3">
        <w:t xml:space="preserve">within our context. As discussed in </w:t>
      </w:r>
      <w:r w:rsidR="00145266">
        <w:t>S</w:t>
      </w:r>
      <w:r w:rsidR="000C73A3">
        <w:t xml:space="preserve">ection </w:t>
      </w:r>
      <w:r w:rsidR="000C73A3">
        <w:fldChar w:fldCharType="begin"/>
      </w:r>
      <w:r w:rsidR="000C73A3">
        <w:instrText xml:space="preserve"> REF _Ref61441293 \r \h </w:instrText>
      </w:r>
      <w:r w:rsidR="000C73A3">
        <w:fldChar w:fldCharType="separate"/>
      </w:r>
      <w:r w:rsidR="007C7B62">
        <w:t>1.2</w:t>
      </w:r>
      <w:r w:rsidR="000C73A3">
        <w:fldChar w:fldCharType="end"/>
      </w:r>
      <w:r w:rsidR="000C73A3">
        <w:t>,</w:t>
      </w:r>
      <w:r w:rsidR="00053841">
        <w:t xml:space="preserve"> a beneficial </w:t>
      </w:r>
      <w:r w:rsidR="000C73A3">
        <w:t xml:space="preserve">LTC indirect </w:t>
      </w:r>
      <w:r w:rsidR="00436B1D">
        <w:t xml:space="preserve">mortality </w:t>
      </w:r>
      <w:r w:rsidR="000C73A3">
        <w:t xml:space="preserve">effect </w:t>
      </w:r>
      <w:r w:rsidR="00603127">
        <w:t xml:space="preserve">may </w:t>
      </w:r>
      <w:r w:rsidR="00053841">
        <w:t xml:space="preserve">occur because, for example, better supply in the LTC sector reduces demand in the HC sector for services that are less effective than average. </w:t>
      </w:r>
      <w:r w:rsidR="0058310C">
        <w:t xml:space="preserve">This implies </w:t>
      </w:r>
      <w:r w:rsidR="00053841">
        <w:t>that the needs of individuals no longer demanding HC services are fully met through the LTC sector</w:t>
      </w:r>
      <w:r w:rsidR="000C73A3">
        <w:t>.</w:t>
      </w:r>
      <w:r w:rsidR="00053841">
        <w:t xml:space="preserve"> </w:t>
      </w:r>
      <w:r w:rsidR="0058310C">
        <w:t>Therefore, i</w:t>
      </w:r>
      <w:r w:rsidR="00053841">
        <w:t>n this case,</w:t>
      </w:r>
      <w:r w:rsidR="0058310C">
        <w:t xml:space="preserve"> unlike the structural assumption required in mediation analysis, </w:t>
      </w:r>
      <w:r w:rsidR="00053841">
        <w:t>lower expenditure in some HC services is expected not to have any impact on mortality.</w:t>
      </w:r>
      <w:r w:rsidR="0058310C">
        <w:t xml:space="preserve"> This scenario is made possible in the empirical strategy discussed in our main study and, therefore, we prefer it over mediation analysis.</w:t>
      </w:r>
    </w:p>
    <w:p w14:paraId="3A008969" w14:textId="18FF0BB4" w:rsidR="00314BA5" w:rsidRDefault="00314BA5" w:rsidP="00314BA5">
      <w:r w:rsidRPr="002A4884">
        <w:fldChar w:fldCharType="begin"/>
      </w:r>
      <w:r w:rsidRPr="002A4884">
        <w:instrText xml:space="preserve"> REF _Ref61285191 \h </w:instrText>
      </w:r>
      <w:r w:rsidRPr="002A4884">
        <w:fldChar w:fldCharType="separate"/>
      </w:r>
      <w:r w:rsidR="007C7B62" w:rsidRPr="002A4884">
        <w:t>Table A</w:t>
      </w:r>
      <w:r w:rsidR="007C7B62">
        <w:rPr>
          <w:noProof/>
        </w:rPr>
        <w:t>6</w:t>
      </w:r>
      <w:r w:rsidRPr="002A4884">
        <w:fldChar w:fldCharType="end"/>
      </w:r>
      <w:r w:rsidRPr="002A4884">
        <w:t xml:space="preserve"> shows the results </w:t>
      </w:r>
      <w:r w:rsidR="00A60239">
        <w:t xml:space="preserve">obtained through the mediation model </w:t>
      </w:r>
      <w:r w:rsidR="00A60239">
        <w:rPr>
          <w:bCs/>
        </w:rPr>
        <w:fldChar w:fldCharType="begin"/>
      </w:r>
      <w:r w:rsidR="00A60239">
        <w:rPr>
          <w:bCs/>
        </w:rPr>
        <w:instrText xml:space="preserve"> GOTOBUTTON ZEqnNum586745  \* MERGEFORMAT </w:instrText>
      </w:r>
      <w:r w:rsidR="00A60239">
        <w:rPr>
          <w:bCs/>
        </w:rPr>
        <w:fldChar w:fldCharType="begin"/>
      </w:r>
      <w:r w:rsidR="00A60239">
        <w:rPr>
          <w:bCs/>
        </w:rPr>
        <w:instrText xml:space="preserve"> REF ZEqnNum586745 \* Charformat \! \* MERGEFORMAT </w:instrText>
      </w:r>
      <w:r w:rsidR="00A60239">
        <w:rPr>
          <w:bCs/>
        </w:rPr>
        <w:fldChar w:fldCharType="separate"/>
      </w:r>
      <w:r w:rsidR="007C7B62" w:rsidRPr="007C7B62">
        <w:rPr>
          <w:bCs/>
        </w:rPr>
        <w:instrText>(22)</w:instrText>
      </w:r>
      <w:r w:rsidR="00A60239">
        <w:rPr>
          <w:bCs/>
        </w:rPr>
        <w:fldChar w:fldCharType="end"/>
      </w:r>
      <w:r w:rsidR="00A60239">
        <w:rPr>
          <w:bCs/>
        </w:rPr>
        <w:fldChar w:fldCharType="end"/>
      </w:r>
      <w:r w:rsidR="00A60239">
        <w:rPr>
          <w:bCs/>
        </w:rPr>
        <w:t>-</w:t>
      </w:r>
      <w:r w:rsidR="00A60239">
        <w:rPr>
          <w:bCs/>
          <w:iCs/>
        </w:rPr>
        <w:fldChar w:fldCharType="begin"/>
      </w:r>
      <w:r w:rsidR="00A60239">
        <w:rPr>
          <w:bCs/>
          <w:iCs/>
        </w:rPr>
        <w:instrText xml:space="preserve"> GOTOBUTTON ZEqnNum887671  \* MERGEFORMAT </w:instrText>
      </w:r>
      <w:r w:rsidR="00A60239">
        <w:rPr>
          <w:bCs/>
          <w:iCs/>
        </w:rPr>
        <w:fldChar w:fldCharType="begin"/>
      </w:r>
      <w:r w:rsidR="00A60239">
        <w:rPr>
          <w:bCs/>
          <w:iCs/>
        </w:rPr>
        <w:instrText xml:space="preserve"> REF ZEqnNum887671 \* Charformat \! \* MERGEFORMAT </w:instrText>
      </w:r>
      <w:r w:rsidR="00A60239">
        <w:rPr>
          <w:bCs/>
          <w:iCs/>
        </w:rPr>
        <w:fldChar w:fldCharType="separate"/>
      </w:r>
      <w:r w:rsidR="007C7B62" w:rsidRPr="007C7B62">
        <w:rPr>
          <w:bCs/>
          <w:iCs/>
        </w:rPr>
        <w:instrText>(26)</w:instrText>
      </w:r>
      <w:r w:rsidR="00A60239">
        <w:rPr>
          <w:bCs/>
          <w:iCs/>
        </w:rPr>
        <w:fldChar w:fldCharType="end"/>
      </w:r>
      <w:r w:rsidR="00A60239">
        <w:rPr>
          <w:bCs/>
          <w:iCs/>
        </w:rPr>
        <w:fldChar w:fldCharType="end"/>
      </w:r>
      <w:r w:rsidR="00A60239">
        <w:t>.</w:t>
      </w:r>
      <w:r w:rsidRPr="002A4884">
        <w:t xml:space="preserve"> </w:t>
      </w:r>
      <w:r w:rsidR="00A60239">
        <w:t xml:space="preserve">Like our main findings, these results </w:t>
      </w:r>
      <w:r w:rsidRPr="002A4884">
        <w:t xml:space="preserve">suggest that the total </w:t>
      </w:r>
      <w:r w:rsidR="009E47D1">
        <w:t xml:space="preserve">mortality </w:t>
      </w:r>
      <w:r w:rsidRPr="002A4884">
        <w:t>effect is only composed of the indirect</w:t>
      </w:r>
      <w:r w:rsidR="009E47D1">
        <w:t xml:space="preserve"> mortality </w:t>
      </w:r>
      <w:r w:rsidRPr="002A4884">
        <w:t>effect.</w:t>
      </w:r>
    </w:p>
    <w:p w14:paraId="495E99F5" w14:textId="78912894" w:rsidR="00A5398B" w:rsidRDefault="00A5398B" w:rsidP="00314BA5"/>
    <w:p w14:paraId="73CEB272" w14:textId="58922645" w:rsidR="00A5398B" w:rsidRDefault="00A5398B" w:rsidP="00314BA5"/>
    <w:p w14:paraId="2A9ED55F" w14:textId="77777777" w:rsidR="00A5398B" w:rsidRDefault="00A5398B" w:rsidP="00314BA5">
      <w:pPr>
        <w:sectPr w:rsidR="00A5398B" w:rsidSect="00494435">
          <w:pgSz w:w="11906" w:h="16838"/>
          <w:pgMar w:top="1440" w:right="1440" w:bottom="1440" w:left="1440" w:header="0" w:footer="0" w:gutter="0"/>
          <w:cols w:space="708"/>
          <w:docGrid w:linePitch="360"/>
        </w:sectPr>
      </w:pPr>
    </w:p>
    <w:p w14:paraId="79D3050C" w14:textId="2705DA99" w:rsidR="00A5398B" w:rsidRDefault="00A5398B" w:rsidP="005C3100">
      <w:pPr>
        <w:pStyle w:val="Heading4"/>
      </w:pPr>
      <w:r>
        <w:lastRenderedPageBreak/>
        <w:t>LATE</w:t>
      </w:r>
      <w:r w:rsidR="00F76A7A">
        <w:t xml:space="preserve"> and monotonicity</w:t>
      </w:r>
    </w:p>
    <w:p w14:paraId="5CDADBFA" w14:textId="7CF13025" w:rsidR="00F76A7A" w:rsidRPr="00AF437E" w:rsidRDefault="00F76A7A">
      <w:r w:rsidRPr="00F76A7A">
        <w:t>Under the potential outcome model framework (Rubin, 1974, Rubin, 1978), the 2SLS estimate</w:t>
      </w:r>
      <w:r>
        <w:t xml:space="preserve">s of the mortality effects have </w:t>
      </w:r>
      <w:r w:rsidRPr="00F76A7A">
        <w:t xml:space="preserve">a local average treatment effect (LATE) interpretation. </w:t>
      </w:r>
      <w:r>
        <w:t xml:space="preserve">In the case of continuous endogenous treatment variables and continuous instruments, LATE estimates are </w:t>
      </w:r>
      <w:r w:rsidRPr="00F76A7A">
        <w:t>weighted average</w:t>
      </w:r>
      <w:r>
        <w:t>s</w:t>
      </w:r>
      <w:r w:rsidRPr="00F76A7A">
        <w:t xml:space="preserve"> of the </w:t>
      </w:r>
      <w:r>
        <w:t xml:space="preserve">average treatment </w:t>
      </w:r>
      <w:r w:rsidRPr="00F76A7A">
        <w:t xml:space="preserve">effect of </w:t>
      </w:r>
      <w:r>
        <w:t xml:space="preserve">the </w:t>
      </w:r>
      <w:r w:rsidRPr="00F76A7A">
        <w:t xml:space="preserve">expenditure </w:t>
      </w:r>
      <w:r>
        <w:t xml:space="preserve">variables on mortality </w:t>
      </w:r>
      <w:r w:rsidRPr="00F76A7A">
        <w:t xml:space="preserve">for those LAs that are compliers. </w:t>
      </w:r>
      <w:r w:rsidR="001F0241">
        <w:t>T</w:t>
      </w:r>
      <w:r w:rsidRPr="00F76A7A">
        <w:t>hese are LAs which are induced to increase</w:t>
      </w:r>
      <w:r w:rsidR="001F0241">
        <w:t>, for example,</w:t>
      </w:r>
      <w:r w:rsidRPr="00F76A7A">
        <w:t xml:space="preserve"> </w:t>
      </w:r>
      <w:r w:rsidR="00D04948">
        <w:t xml:space="preserve">health care </w:t>
      </w:r>
      <w:r w:rsidRPr="00F76A7A">
        <w:t xml:space="preserve">expenditure per </w:t>
      </w:r>
      <w:r w:rsidR="00D04948">
        <w:t xml:space="preserve">capita </w:t>
      </w:r>
      <w:r w:rsidRPr="00F76A7A">
        <w:t xml:space="preserve">as a result of having a higher </w:t>
      </w:r>
      <w:r w:rsidR="00D04948">
        <w:t>value of the DFT index</w:t>
      </w:r>
      <w:r w:rsidRPr="00F76A7A">
        <w:t xml:space="preserve">. The identification of LATE requires the </w:t>
      </w:r>
      <w:r w:rsidR="00D04948">
        <w:t xml:space="preserve">instruments </w:t>
      </w:r>
      <w:r w:rsidRPr="00F76A7A">
        <w:t xml:space="preserve">to satisfy the monotonicity assumption. This means that LAs with </w:t>
      </w:r>
      <w:r w:rsidR="00D04948">
        <w:t>higher levels of the instrument (e.g. higher DFT index)</w:t>
      </w:r>
      <w:r w:rsidRPr="00F76A7A">
        <w:t xml:space="preserve"> never spend less </w:t>
      </w:r>
      <w:r w:rsidR="00D04948">
        <w:t xml:space="preserve">(e.g. on health care services per capita) </w:t>
      </w:r>
      <w:r w:rsidRPr="00F76A7A">
        <w:t xml:space="preserve">than LAs with lower </w:t>
      </w:r>
      <w:r w:rsidR="00D04948">
        <w:t>levels of the instrument</w:t>
      </w:r>
      <w:r w:rsidRPr="00F76A7A">
        <w:t xml:space="preserve">. </w:t>
      </w:r>
      <w:r w:rsidR="00D04948">
        <w:t xml:space="preserve">In our context this assumption is </w:t>
      </w:r>
      <w:r w:rsidRPr="00F76A7A">
        <w:t xml:space="preserve">plausible because </w:t>
      </w:r>
      <w:r w:rsidR="00D04948">
        <w:t>all the instruments are elements of the funding system which strongly determine spending power across LAs</w:t>
      </w:r>
      <w:r w:rsidRPr="00F76A7A">
        <w:t xml:space="preserve">. </w:t>
      </w:r>
      <w:r w:rsidR="00D04948">
        <w:t xml:space="preserve">The figures below </w:t>
      </w:r>
      <w:r w:rsidRPr="00F76A7A">
        <w:t>show that</w:t>
      </w:r>
      <w:r w:rsidR="00D04948">
        <w:t>, conditional on our covariates,</w:t>
      </w:r>
      <w:r w:rsidRPr="00F76A7A">
        <w:t xml:space="preserve"> </w:t>
      </w:r>
      <w:r w:rsidR="00D04948">
        <w:t xml:space="preserve">there is no </w:t>
      </w:r>
      <w:r w:rsidR="001F0241">
        <w:t xml:space="preserve">clear </w:t>
      </w:r>
      <w:r w:rsidR="00D04948">
        <w:t>systematic violation of the monotonicity assumption</w:t>
      </w:r>
      <w:r w:rsidR="001F0241">
        <w:t xml:space="preserve">. Therefore, this assumption, together with the assumption of exogeneity and relevance (discussed in Section </w:t>
      </w:r>
      <w:r w:rsidR="004F6DA2">
        <w:fldChar w:fldCharType="begin"/>
      </w:r>
      <w:r w:rsidR="004F6DA2">
        <w:instrText xml:space="preserve"> REF _Ref88221332 \r \h </w:instrText>
      </w:r>
      <w:r w:rsidR="004F6DA2">
        <w:fldChar w:fldCharType="separate"/>
      </w:r>
      <w:r w:rsidR="007C7B62">
        <w:t>2.4</w:t>
      </w:r>
      <w:r w:rsidR="004F6DA2">
        <w:fldChar w:fldCharType="end"/>
      </w:r>
      <w:r w:rsidR="001F0241">
        <w:t>), determines the validity of our LATE estimates. These may differ from the average treatment effect estimate</w:t>
      </w:r>
      <w:r w:rsidR="004F6DA2">
        <w:t>s</w:t>
      </w:r>
      <w:r w:rsidR="001F0241">
        <w:t xml:space="preserve"> if there exists heterogeneity in the treatment effect across LAs, i.e. if the treatment effect for LAs that are compliers differ from other LAs.</w:t>
      </w:r>
    </w:p>
    <w:p w14:paraId="211A415D" w14:textId="37678139" w:rsidR="00F76A7A" w:rsidRDefault="00F76A7A">
      <w:r>
        <w:rPr>
          <w:noProof/>
          <w:lang w:eastAsia="en-GB"/>
        </w:rPr>
        <w:drawing>
          <wp:inline distT="0" distB="0" distL="0" distR="0" wp14:anchorId="63B68395" wp14:editId="7FB7F05F">
            <wp:extent cx="2844000" cy="2067932"/>
            <wp:effectExtent l="0" t="0" r="0" b="8890"/>
            <wp:docPr id="1" name="Picture 1" descr="C:\Users\fl680\AppData\Local\Microsoft\Windows\INetCache\Content.Word\monotonicity_dft_c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C:\Users\fl680\AppData\Local\Microsoft\Windows\INetCache\Content.Word\monotonicity_dft_cond.pn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844000" cy="2067932"/>
                    </a:xfrm>
                    <a:prstGeom prst="rect">
                      <a:avLst/>
                    </a:prstGeom>
                    <a:noFill/>
                    <a:ln>
                      <a:noFill/>
                    </a:ln>
                  </pic:spPr>
                </pic:pic>
              </a:graphicData>
            </a:graphic>
          </wp:inline>
        </w:drawing>
      </w:r>
      <w:r w:rsidR="009E25BF">
        <w:pict w14:anchorId="47D123E0">
          <v:shape id="_x0000_i1061" type="#_x0000_t75" style="width:223.8pt;height:161.4pt">
            <v:imagedata r:id="rId88" o:title="monotonicity_age_cond"/>
          </v:shape>
        </w:pict>
      </w:r>
    </w:p>
    <w:p w14:paraId="4F82927A" w14:textId="7942C8A5" w:rsidR="00A5398B" w:rsidRPr="00AF437E" w:rsidRDefault="00F76A7A">
      <w:r>
        <w:rPr>
          <w:noProof/>
          <w:lang w:eastAsia="en-GB"/>
        </w:rPr>
        <w:drawing>
          <wp:inline distT="0" distB="0" distL="0" distR="0" wp14:anchorId="3DF5A13B" wp14:editId="7C2493FF">
            <wp:extent cx="2844000" cy="2067933"/>
            <wp:effectExtent l="0" t="0" r="0" b="8890"/>
            <wp:docPr id="28" name="Picture 28" descr="C:\Users\fl680\AppData\Local\Microsoft\Windows\INetCache\Content.Word\monotonicity_mff_co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C:\Users\fl680\AppData\Local\Microsoft\Windows\INetCache\Content.Word\monotonicity_mff_cond.png"/>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844000" cy="2067933"/>
                    </a:xfrm>
                    <a:prstGeom prst="rect">
                      <a:avLst/>
                    </a:prstGeom>
                    <a:noFill/>
                    <a:ln>
                      <a:noFill/>
                    </a:ln>
                  </pic:spPr>
                </pic:pic>
              </a:graphicData>
            </a:graphic>
          </wp:inline>
        </w:drawing>
      </w:r>
      <w:r w:rsidR="009E25BF">
        <w:pict w14:anchorId="0E7101DD">
          <v:shape id="_x0000_i1062" type="#_x0000_t75" style="width:223.8pt;height:162.6pt">
            <v:imagedata r:id="rId90" o:title="monotonicity_council_tax_cond"/>
          </v:shape>
        </w:pict>
      </w:r>
    </w:p>
    <w:p w14:paraId="6AF799C4" w14:textId="37D2F2FC" w:rsidR="006969BD" w:rsidRDefault="006969BD" w:rsidP="00314BA5"/>
    <w:p w14:paraId="4F4B4DC7" w14:textId="77777777" w:rsidR="006969BD" w:rsidRDefault="006969BD" w:rsidP="00314BA5">
      <w:pPr>
        <w:sectPr w:rsidR="006969BD" w:rsidSect="00494435">
          <w:pgSz w:w="11906" w:h="16838"/>
          <w:pgMar w:top="1440" w:right="1440" w:bottom="1440" w:left="1440" w:header="0" w:footer="0" w:gutter="0"/>
          <w:cols w:space="708"/>
          <w:docGrid w:linePitch="360"/>
        </w:sectPr>
      </w:pPr>
    </w:p>
    <w:p w14:paraId="1E0366C8" w14:textId="4806E2D9" w:rsidR="00495789" w:rsidRPr="002A4884" w:rsidRDefault="00495789" w:rsidP="00495789">
      <w:pPr>
        <w:pStyle w:val="Heading4"/>
      </w:pPr>
      <w:r w:rsidRPr="002A4884">
        <w:lastRenderedPageBreak/>
        <w:t>Descriptive statistics</w:t>
      </w:r>
    </w:p>
    <w:p w14:paraId="0CAC73F7" w14:textId="298CBE02" w:rsidR="00381A4D" w:rsidRDefault="00381A4D" w:rsidP="00495789">
      <w:pPr>
        <w:pStyle w:val="Caption"/>
      </w:pPr>
      <w:r>
        <w:t>Of the 152 LAs, s</w:t>
      </w:r>
      <w:r w:rsidRPr="00FA580B">
        <w:t xml:space="preserve">ix LAs were removed from the sample because of missing data on mortality or HC expenditure. Zero-expenditure tend to be observed more often across LAs for HC and LTC sub-sectors. In the analysis of sub-sector expenditure, as described in Section </w:t>
      </w:r>
      <w:r w:rsidRPr="00FA580B">
        <w:fldChar w:fldCharType="begin"/>
      </w:r>
      <w:r w:rsidRPr="00FA580B">
        <w:instrText xml:space="preserve"> REF _Ref61529169 \r \h </w:instrText>
      </w:r>
      <w:r w:rsidRPr="00FA580B">
        <w:fldChar w:fldCharType="separate"/>
      </w:r>
      <w:r w:rsidR="007C7B62">
        <w:t>2.3.1</w:t>
      </w:r>
      <w:r w:rsidRPr="00FA580B">
        <w:fldChar w:fldCharType="end"/>
      </w:r>
      <w:r w:rsidRPr="00FA580B">
        <w:t xml:space="preserve">, to aid comparability across results by retaining the same sample, we mean-impute expenditure for those LAs with zero-expenditure. LAs with zero-expenditure would otherwise drop out of the sample because we take the logarithm of expenditure, as showed in regression </w:t>
      </w:r>
      <w:r w:rsidRPr="00FA580B">
        <w:rPr>
          <w:iCs/>
        </w:rPr>
        <w:fldChar w:fldCharType="begin"/>
      </w:r>
      <w:r w:rsidRPr="00FA580B">
        <w:rPr>
          <w:iCs/>
        </w:rPr>
        <w:instrText xml:space="preserve"> GOTOBUTTON ZEqnNum910952  \* MERGEFORMAT </w:instrText>
      </w:r>
      <w:r w:rsidRPr="00FA580B">
        <w:rPr>
          <w:iCs/>
        </w:rPr>
        <w:fldChar w:fldCharType="begin"/>
      </w:r>
      <w:r w:rsidRPr="00FA580B">
        <w:rPr>
          <w:iCs/>
        </w:rPr>
        <w:instrText xml:space="preserve"> REF ZEqnNum910952 \* Charformat \! \* MERGEFORMAT </w:instrText>
      </w:r>
      <w:r w:rsidRPr="00FA580B">
        <w:rPr>
          <w:iCs/>
        </w:rPr>
        <w:fldChar w:fldCharType="separate"/>
      </w:r>
      <w:r w:rsidR="007C7B62" w:rsidRPr="007C7B62">
        <w:rPr>
          <w:iCs/>
        </w:rPr>
        <w:instrText>(18)</w:instrText>
      </w:r>
      <w:r w:rsidRPr="00FA580B">
        <w:rPr>
          <w:iCs/>
        </w:rPr>
        <w:fldChar w:fldCharType="end"/>
      </w:r>
      <w:r w:rsidRPr="00FA580B">
        <w:rPr>
          <w:iCs/>
        </w:rPr>
        <w:fldChar w:fldCharType="end"/>
      </w:r>
      <w:r w:rsidRPr="00FA580B">
        <w:rPr>
          <w:iCs/>
        </w:rPr>
        <w:t xml:space="preserve"> and </w:t>
      </w:r>
      <w:r w:rsidRPr="00FA580B">
        <w:fldChar w:fldCharType="begin"/>
      </w:r>
      <w:r w:rsidRPr="00FA580B">
        <w:instrText xml:space="preserve"> GOTOBUTTON ZEqnNum123026  \* MERGEFORMAT </w:instrText>
      </w:r>
      <w:fldSimple w:instr=" REF ZEqnNum123026 \* Charformat \! \* MERGEFORMAT ">
        <w:r w:rsidR="007C7B62" w:rsidRPr="002A4884">
          <w:instrText>(</w:instrText>
        </w:r>
        <w:r w:rsidR="007C7B62">
          <w:instrText>19</w:instrText>
        </w:r>
        <w:r w:rsidR="007C7B62" w:rsidRPr="002A4884">
          <w:instrText>)</w:instrText>
        </w:r>
      </w:fldSimple>
      <w:r w:rsidRPr="00FA580B">
        <w:fldChar w:fldCharType="end"/>
      </w:r>
      <w:r w:rsidRPr="00FA580B">
        <w:t>. When the proportion of LAs with zero-expenditure is greater than 15% we do not carry out the analysis because the sample is likely to be too small for comparability of results.</w:t>
      </w:r>
      <w:r>
        <w:t xml:space="preserve"> Therefore, our sample includes 146 LAs.</w:t>
      </w:r>
    </w:p>
    <w:p w14:paraId="7979C353" w14:textId="48CB3930" w:rsidR="00381A4D" w:rsidRDefault="00381A4D" w:rsidP="00495789">
      <w:pPr>
        <w:pStyle w:val="Caption"/>
      </w:pPr>
      <w:r>
        <w:fldChar w:fldCharType="begin"/>
      </w:r>
      <w:r>
        <w:instrText xml:space="preserve"> REF _Ref88837020 \h </w:instrText>
      </w:r>
      <w:r>
        <w:fldChar w:fldCharType="separate"/>
      </w:r>
      <w:r w:rsidR="007C7B62" w:rsidRPr="002A4884">
        <w:t xml:space="preserve">Table </w:t>
      </w:r>
      <w:r w:rsidR="007C7B62">
        <w:rPr>
          <w:noProof/>
        </w:rPr>
        <w:t>1</w:t>
      </w:r>
      <w:r>
        <w:fldChar w:fldCharType="end"/>
      </w:r>
      <w:r>
        <w:t xml:space="preserve"> </w:t>
      </w:r>
      <w:r w:rsidRPr="002A4884">
        <w:t xml:space="preserve">shows some descriptive statistics on HC and LTC expenditure for multiple sub-sectors. Emergency care expenditure accounts for 22% of HC expenditure with most of this expenditure being for non-elective admissions (15%). The four highest non-emergency care expenditure are expenditure for community and integrated care (35%), primary care prescribing (12%), day case and elective care (11%) and outpatient care (8%). Most of the LTC expenditure is for community (36%) </w:t>
      </w:r>
      <w:r>
        <w:t xml:space="preserve">and </w:t>
      </w:r>
      <w:r w:rsidRPr="002A4884">
        <w:t>residential (29%) care. Other relevant sources of LTC expenditure are social care activities (10%), nursing care (9%), and commissioning and service delivery (7%).</w:t>
      </w:r>
    </w:p>
    <w:p w14:paraId="038ADACE" w14:textId="651E9474" w:rsidR="00495789" w:rsidRPr="002A4884" w:rsidRDefault="00381A4D" w:rsidP="00495789">
      <w:pPr>
        <w:pStyle w:val="Caption"/>
      </w:pPr>
      <w:r>
        <w:fldChar w:fldCharType="begin"/>
      </w:r>
      <w:r>
        <w:instrText xml:space="preserve"> REF _Ref88836994 \h </w:instrText>
      </w:r>
      <w:r>
        <w:fldChar w:fldCharType="separate"/>
      </w:r>
      <w:r w:rsidR="007C7B62">
        <w:t xml:space="preserve">Table </w:t>
      </w:r>
      <w:r w:rsidR="007C7B62">
        <w:rPr>
          <w:noProof/>
        </w:rPr>
        <w:t>2</w:t>
      </w:r>
      <w:r>
        <w:fldChar w:fldCharType="end"/>
      </w:r>
      <w:r>
        <w:t xml:space="preserve"> </w:t>
      </w:r>
      <w:r w:rsidR="00495789" w:rsidRPr="002A4884">
        <w:t xml:space="preserve">shows descriptive statistics for </w:t>
      </w:r>
      <w:r>
        <w:t>other variable involved in the analysis</w:t>
      </w:r>
      <w:r w:rsidR="00495789" w:rsidRPr="002A4884">
        <w:t xml:space="preserve">. On average, there are 1,010 age-standardised deaths per million individuals across LAs. LAs spend on average £412.4m to provide HC to a population of about 333 thousand people, and £107.5m to support about 15 thousand LTC users. This translates into HC spend of £1,257 per capita and LTC spend of £8,633 per user. </w:t>
      </w:r>
    </w:p>
    <w:p w14:paraId="00F8C3A4" w14:textId="77777777" w:rsidR="00495789" w:rsidRPr="002A4884" w:rsidRDefault="00495789" w:rsidP="00495789">
      <w:pPr>
        <w:pStyle w:val="Caption"/>
      </w:pPr>
      <w:r w:rsidRPr="002A4884">
        <w:t xml:space="preserve">Across LAs, </w:t>
      </w:r>
      <w:r>
        <w:t>on average, 0.5% of people are blind or partially sighted and 0.4% deaf or hard of hearing.</w:t>
      </w:r>
      <w:r w:rsidRPr="002A4884">
        <w:t xml:space="preserve"> The average LA has a lower index of disability deprivation (0.097) than the median LA (0.126) suggesting most LAs are more deprived than average. There are almost 3 thousand people per square kilometre and </w:t>
      </w:r>
      <w:r>
        <w:t>t</w:t>
      </w:r>
      <w:r w:rsidRPr="002A4884">
        <w:t xml:space="preserve">he average LA has a higher index of </w:t>
      </w:r>
      <w:r>
        <w:t xml:space="preserve">multiple and </w:t>
      </w:r>
      <w:r w:rsidRPr="002A4884">
        <w:t>education deprivation (</w:t>
      </w:r>
      <w:r>
        <w:t xml:space="preserve">23.4 and </w:t>
      </w:r>
      <w:r w:rsidRPr="002A4884">
        <w:t>21.9) than the median LA (</w:t>
      </w:r>
      <w:r>
        <w:t xml:space="preserve">23.3 and </w:t>
      </w:r>
      <w:r w:rsidRPr="002A4884">
        <w:t>20.5) indicating the most LAs are less deprived than average. In addition, on average, 15.7% of people are income deprived according to the income deprivation index, and the gross disposable household income per capita is almost £20 thousand. Among our 146 LAs there are 33 London boroughs, 22 county LAs, 36 metropolitan LAs and 55 unitary LAs.</w:t>
      </w:r>
      <w:r>
        <w:t xml:space="preserve"> </w:t>
      </w:r>
      <w:r w:rsidRPr="002A4884">
        <w:t>About LTC users,</w:t>
      </w:r>
      <w:r>
        <w:t xml:space="preserve"> 60% are female, 60.9% are aged 65 or older, 20.7% received an easy-read questionnaire, and</w:t>
      </w:r>
      <w:r w:rsidRPr="002A4884">
        <w:t xml:space="preserve"> 21.8% received no help to fill the questionnaire</w:t>
      </w:r>
      <w:r>
        <w:t xml:space="preserve"> while for most users (46.6%) the questionnaire was read by someone else.</w:t>
      </w:r>
      <w:r w:rsidRPr="002A4884">
        <w:t xml:space="preserve"> Data on informal unpaid carers suggest that </w:t>
      </w:r>
      <w:r>
        <w:t>67.1% of carers are female, 43.8% are aged 65 or older and 68.8% care for someone aged 65 or older. Most carers are retired (51.8%) and 4.8% experience a clash between work and the caring role. T</w:t>
      </w:r>
      <w:r w:rsidRPr="002A4884">
        <w:t>he majority of carers</w:t>
      </w:r>
      <w:r>
        <w:t xml:space="preserve"> received help with the questionnaire</w:t>
      </w:r>
      <w:r w:rsidRPr="002A4884">
        <w:t xml:space="preserve"> (</w:t>
      </w:r>
      <w:r>
        <w:t>89.4</w:t>
      </w:r>
      <w:r w:rsidRPr="002A4884">
        <w:t xml:space="preserve">%) </w:t>
      </w:r>
      <w:r>
        <w:t xml:space="preserve">and </w:t>
      </w:r>
      <w:r w:rsidRPr="002A4884">
        <w:t>spent more than 1 year in the</w:t>
      </w:r>
      <w:r>
        <w:t>ir</w:t>
      </w:r>
      <w:r w:rsidRPr="002A4884">
        <w:t xml:space="preserve"> caring role</w:t>
      </w:r>
      <w:r>
        <w:t xml:space="preserve"> (96.4%)</w:t>
      </w:r>
      <w:r w:rsidRPr="002A4884">
        <w:t xml:space="preserve">. </w:t>
      </w:r>
    </w:p>
    <w:p w14:paraId="55777BC9" w14:textId="48654598" w:rsidR="00495789" w:rsidRPr="00AD4E5C" w:rsidRDefault="00495789" w:rsidP="00495789">
      <w:pPr>
        <w:pStyle w:val="Caption"/>
      </w:pPr>
      <w:r w:rsidRPr="002A4884">
        <w:t xml:space="preserve">The DFT index varies between 0.880 and 1.339 suggesting that budget allocation of some LAs in 2014/15 </w:t>
      </w:r>
      <w:r>
        <w:t>is 1</w:t>
      </w:r>
      <w:r w:rsidRPr="002A4884">
        <w:t>2%</w:t>
      </w:r>
      <w:r>
        <w:t xml:space="preserve"> below and </w:t>
      </w:r>
      <w:r w:rsidRPr="002A4884">
        <w:t>33.9%</w:t>
      </w:r>
      <w:r>
        <w:t xml:space="preserve"> above its target allocation, respectively</w:t>
      </w:r>
      <w:r w:rsidRPr="002A4884">
        <w:t xml:space="preserve">. </w:t>
      </w:r>
      <w:r>
        <w:t xml:space="preserve">The age-cost index suggests that because of differences in the demographic profile of the local population LAs may have up to </w:t>
      </w:r>
      <w:r w:rsidRPr="002A4884">
        <w:t>36.8% lower and 24.9% higher</w:t>
      </w:r>
      <w:r>
        <w:t xml:space="preserve"> HC expenditure than the average LA</w:t>
      </w:r>
      <w:r w:rsidRPr="002A4884">
        <w:t xml:space="preserve">. The MFF index of the LAs with the least and most expensive input prices is 3.7% lower and 16% higher, respectively, than the average LA. In addition, there are on average 7.9 domestic properties per user and 4 non-domestic properties every 10,000 users. The ACA index is on </w:t>
      </w:r>
      <w:r w:rsidRPr="002A4884">
        <w:lastRenderedPageBreak/>
        <w:t>average 1.043 indicating that labour costs are on average 4.3% greater than the LA with the lowest labour costs.</w:t>
      </w:r>
    </w:p>
    <w:p w14:paraId="3DA49850" w14:textId="6E73FF64" w:rsidR="00314BA5" w:rsidRDefault="00314BA5" w:rsidP="00314BA5"/>
    <w:p w14:paraId="0EC86980" w14:textId="77777777" w:rsidR="005340A1" w:rsidRDefault="005340A1" w:rsidP="00494435">
      <w:pPr>
        <w:sectPr w:rsidR="005340A1" w:rsidSect="00494435">
          <w:pgSz w:w="11906" w:h="16838"/>
          <w:pgMar w:top="1440" w:right="1440" w:bottom="1440" w:left="1440" w:header="0" w:footer="0" w:gutter="0"/>
          <w:cols w:space="708"/>
          <w:docGrid w:linePitch="360"/>
        </w:sectPr>
      </w:pPr>
    </w:p>
    <w:p w14:paraId="3984154A" w14:textId="263343CF" w:rsidR="005340A1" w:rsidRDefault="00B56A2B" w:rsidP="005340A1">
      <w:pPr>
        <w:pStyle w:val="Heading4"/>
      </w:pPr>
      <w:bookmarkStart w:id="44" w:name="_Ref89088031"/>
      <w:r>
        <w:lastRenderedPageBreak/>
        <w:t>Formal test of instrument strength</w:t>
      </w:r>
      <w:bookmarkEnd w:id="44"/>
    </w:p>
    <w:p w14:paraId="1B317DCB" w14:textId="4BB2B814" w:rsidR="005340A1" w:rsidRDefault="005E1967" w:rsidP="005340A1">
      <w:r>
        <w:t>W</w:t>
      </w:r>
      <w:r w:rsidR="005340A1">
        <w:t xml:space="preserve">e </w:t>
      </w:r>
      <w:r>
        <w:t xml:space="preserve">run a formal test of </w:t>
      </w:r>
      <w:r w:rsidR="00FF12A7">
        <w:t xml:space="preserve">weak identification on our </w:t>
      </w:r>
      <w:r>
        <w:t>instrument</w:t>
      </w:r>
      <w:r w:rsidR="00FF12A7">
        <w:t>s</w:t>
      </w:r>
      <w:r>
        <w:t xml:space="preserve"> </w:t>
      </w:r>
      <w:r w:rsidR="005340A1">
        <w:t xml:space="preserve">following </w:t>
      </w:r>
      <w:r w:rsidR="005340A1">
        <w:fldChar w:fldCharType="begin"/>
      </w:r>
      <w:r w:rsidR="00157743">
        <w:instrText xml:space="preserve"> ADDIN EN.CITE &lt;EndNote&gt;&lt;Cite AuthorYear="1"&gt;&lt;Author&gt;Andrews&lt;/Author&gt;&lt;Year&gt;2018&lt;/Year&gt;&lt;RecNum&gt;547&lt;/RecNum&gt;&lt;DisplayText&gt;Andrews (2018)&lt;/DisplayText&gt;&lt;record&gt;&lt;rec-number&gt;547&lt;/rec-number&gt;&lt;foreign-keys&gt;&lt;key app="EN" db-id="r920as25hw5rrve2fa8psvr8e0dxvzxa200s" timestamp="1613143106" guid="f0d00094-2e93-4920-a114-a483d9df1f50"&gt;547&lt;/key&gt;&lt;/foreign-keys&gt;&lt;ref-type name="Journal Article"&gt;17&lt;/ref-type&gt;&lt;contributors&gt;&lt;authors&gt;&lt;author&gt;Andrews, Isaiah&lt;/author&gt;&lt;/authors&gt;&lt;/contributors&gt;&lt;titles&gt;&lt;title&gt;Valid two-step identification-robust confidence sets for GMM&lt;/title&gt;&lt;secondary-title&gt;Review of Economics and Statistics&lt;/secondary-title&gt;&lt;/titles&gt;&lt;periodical&gt;&lt;full-title&gt;Review of Economics and Statistics&lt;/full-title&gt;&lt;/periodical&gt;&lt;pages&gt;337-348&lt;/pages&gt;&lt;volume&gt;100&lt;/volume&gt;&lt;number&gt;2&lt;/number&gt;&lt;dates&gt;&lt;year&gt;2018&lt;/year&gt;&lt;/dates&gt;&lt;isbn&gt;0034-6535&lt;/isbn&gt;&lt;urls&gt;&lt;/urls&gt;&lt;/record&gt;&lt;/Cite&gt;&lt;/EndNote&gt;</w:instrText>
      </w:r>
      <w:r w:rsidR="005340A1">
        <w:fldChar w:fldCharType="separate"/>
      </w:r>
      <w:r w:rsidR="005340A1">
        <w:rPr>
          <w:noProof/>
        </w:rPr>
        <w:t>Andrews (2018)</w:t>
      </w:r>
      <w:r w:rsidR="005340A1">
        <w:fldChar w:fldCharType="end"/>
      </w:r>
      <w:r w:rsidR="005340A1">
        <w:t>.</w:t>
      </w:r>
      <w:r w:rsidR="00D31058" w:rsidRPr="00D31058">
        <w:t xml:space="preserve"> </w:t>
      </w:r>
      <w:r w:rsidR="00FF12A7">
        <w:t xml:space="preserve">The author </w:t>
      </w:r>
      <w:r w:rsidR="00D31058">
        <w:t>proposes a two-step procedure where, put simply, the first step tests the instrument strength and</w:t>
      </w:r>
      <w:r w:rsidR="004F0DF7">
        <w:t>, depending on the first-step result,</w:t>
      </w:r>
      <w:r w:rsidR="00D31058">
        <w:t xml:space="preserve"> the second step </w:t>
      </w:r>
      <w:r w:rsidR="004F0DF7">
        <w:t xml:space="preserve">allows the choice of either the standard Wald confidence intervals or </w:t>
      </w:r>
      <w:r w:rsidR="00D31058">
        <w:t>confidence intervals</w:t>
      </w:r>
      <w:r w:rsidR="004F0DF7">
        <w:t xml:space="preserve"> that are robust to weak instruments. </w:t>
      </w:r>
      <w:r w:rsidR="00DB1E3A">
        <w:t>In the first step, a distortion coverage cut-off is empirically estimated and compared with the chosen coverage distortion level. The instrument is weak if the estimated distortion coverage cut-off is greater than the chosen coverage distortion level. In the second step, t</w:t>
      </w:r>
      <w:r w:rsidR="004F0DF7">
        <w:t>he weak-instrument-robust confidence intervals are estimated</w:t>
      </w:r>
      <w:r w:rsidR="00D31058">
        <w:t xml:space="preserve"> using a linear combination test. This </w:t>
      </w:r>
      <w:r w:rsidR="007F2367">
        <w:t xml:space="preserve">two-step </w:t>
      </w:r>
      <w:r w:rsidR="00D31058">
        <w:t xml:space="preserve">procedure is valid also under heteroscedasticity and autocorrelation. </w:t>
      </w:r>
      <w:r w:rsidR="00D31058" w:rsidRPr="00FA580B">
        <w:t xml:space="preserve">We </w:t>
      </w:r>
      <w:r w:rsidR="00D31058">
        <w:t xml:space="preserve">implement it </w:t>
      </w:r>
      <w:r w:rsidR="00D31058" w:rsidRPr="00FA580B">
        <w:t xml:space="preserve">using the Stata command </w:t>
      </w:r>
      <w:r w:rsidR="00D31058" w:rsidRPr="00FA580B">
        <w:rPr>
          <w:rFonts w:ascii="Courier New" w:hAnsi="Courier New" w:cs="Courier New"/>
        </w:rPr>
        <w:t>twostepweakiv</w:t>
      </w:r>
      <w:r w:rsidR="00D31058" w:rsidRPr="00FA580B">
        <w:t xml:space="preserve"> </w:t>
      </w:r>
      <w:r w:rsidR="00D31058" w:rsidRPr="00FA580B">
        <w:fldChar w:fldCharType="begin"/>
      </w:r>
      <w:r w:rsidR="00157743">
        <w:instrText xml:space="preserve"> ADDIN EN.CITE &lt;EndNote&gt;&lt;Cite&gt;&lt;Author&gt;Sun&lt;/Author&gt;&lt;Year&gt;2018&lt;/Year&gt;&lt;RecNum&gt;548&lt;/RecNum&gt;&lt;DisplayText&gt;(Sun, 2018)&lt;/DisplayText&gt;&lt;record&gt;&lt;rec-number&gt;548&lt;/rec-number&gt;&lt;foreign-keys&gt;&lt;key app="EN" db-id="r920as25hw5rrve2fa8psvr8e0dxvzxa200s" timestamp="1613144701" guid="fb2970f5-15f1-4d1f-8c94-97f9cfb1540a"&gt;548&lt;/key&gt;&lt;/foreign-keys&gt;&lt;ref-type name="Journal Article"&gt;17&lt;/ref-type&gt;&lt;contributors&gt;&lt;authors&gt;&lt;author&gt;Sun, Liyang&lt;/author&gt;&lt;/authors&gt;&lt;/contributors&gt;&lt;titles&gt;&lt;title&gt;Implementing valid two-step identification-robust confidence sets for linear instrumental-variables models&lt;/title&gt;&lt;secondary-title&gt;The Stata Journal&lt;/secondary-title&gt;&lt;/titles&gt;&lt;periodical&gt;&lt;full-title&gt;The Stata Journal&lt;/full-title&gt;&lt;/periodical&gt;&lt;pages&gt;803-825&lt;/pages&gt;&lt;volume&gt;18&lt;/volume&gt;&lt;number&gt;4&lt;/number&gt;&lt;dates&gt;&lt;year&gt;2018&lt;/year&gt;&lt;/dates&gt;&lt;isbn&gt;1536-867X&lt;/isbn&gt;&lt;urls&gt;&lt;/urls&gt;&lt;/record&gt;&lt;/Cite&gt;&lt;/EndNote&gt;</w:instrText>
      </w:r>
      <w:r w:rsidR="00D31058" w:rsidRPr="00FA580B">
        <w:fldChar w:fldCharType="separate"/>
      </w:r>
      <w:r w:rsidR="00D31058" w:rsidRPr="00FA580B">
        <w:rPr>
          <w:noProof/>
        </w:rPr>
        <w:t>(Sun, 2018)</w:t>
      </w:r>
      <w:r w:rsidR="00D31058" w:rsidRPr="00FA580B">
        <w:fldChar w:fldCharType="end"/>
      </w:r>
      <w:r w:rsidR="00D31058" w:rsidRPr="00FA580B">
        <w:t>.</w:t>
      </w:r>
      <w:r w:rsidR="002B0C3E">
        <w:t xml:space="preserve"> Following </w:t>
      </w:r>
      <w:r w:rsidR="002B0C3E">
        <w:fldChar w:fldCharType="begin"/>
      </w:r>
      <w:r w:rsidR="00157743">
        <w:instrText xml:space="preserve"> ADDIN EN.CITE &lt;EndNote&gt;&lt;Cite AuthorYear="1"&gt;&lt;Author&gt;Yogo&lt;/Author&gt;&lt;Year&gt;2002&lt;/Year&gt;&lt;RecNum&gt;558&lt;/RecNum&gt;&lt;DisplayText&gt;Yogo and Stock (2002)&lt;/DisplayText&gt;&lt;record&gt;&lt;rec-number&gt;558&lt;/rec-number&gt;&lt;foreign-keys&gt;&lt;key app="EN" db-id="r920as25hw5rrve2fa8psvr8e0dxvzxa200s" timestamp="1637947464" guid="71a3c28a-fd9a-4f45-9c94-57558124dc79"&gt;558&lt;/key&gt;&lt;/foreign-keys&gt;&lt;ref-type name="Book"&gt;6&lt;/ref-type&gt;&lt;contributors&gt;&lt;authors&gt;&lt;author&gt;Yogo, Motohiro&lt;/author&gt;&lt;author&gt;Stock, James H&lt;/author&gt;&lt;/authors&gt;&lt;/contributors&gt;&lt;titles&gt;&lt;title&gt;Testing for weak instruments in linear IV regression&lt;/title&gt;&lt;/titles&gt;&lt;dates&gt;&lt;year&gt;2002&lt;/year&gt;&lt;/dates&gt;&lt;publisher&gt;National Bureau of Economic Research&lt;/publisher&gt;&lt;urls&gt;&lt;/urls&gt;&lt;/record&gt;&lt;/Cite&gt;&lt;/EndNote&gt;</w:instrText>
      </w:r>
      <w:r w:rsidR="002B0C3E">
        <w:fldChar w:fldCharType="separate"/>
      </w:r>
      <w:r w:rsidR="002B0C3E">
        <w:rPr>
          <w:noProof/>
        </w:rPr>
        <w:t>Yogo and Stock (2002)</w:t>
      </w:r>
      <w:r w:rsidR="002B0C3E">
        <w:fldChar w:fldCharType="end"/>
      </w:r>
      <w:r w:rsidR="002B0C3E">
        <w:t>, we assess the ins</w:t>
      </w:r>
      <w:r w:rsidR="008679EC">
        <w:t xml:space="preserve">trument strength by tolerating </w:t>
      </w:r>
      <w:r w:rsidR="002B0C3E">
        <w:t>a coverage distortion</w:t>
      </w:r>
      <w:r w:rsidR="007F2367">
        <w:t xml:space="preserve"> cut-off</w:t>
      </w:r>
      <w:r w:rsidR="002B0C3E">
        <w:t xml:space="preserve"> no greater than 10%. </w:t>
      </w:r>
      <w:r w:rsidR="000D5ADC">
        <w:t xml:space="preserve">For </w:t>
      </w:r>
      <w:r w:rsidR="002B0C3E">
        <w:t xml:space="preserve">regression </w:t>
      </w:r>
      <w:r w:rsidR="002B0C3E">
        <w:fldChar w:fldCharType="begin"/>
      </w:r>
      <w:r w:rsidR="002B0C3E">
        <w:instrText xml:space="preserve"> GOTOBUTTON ZEqnNum338866  \* MERGEFORMAT </w:instrText>
      </w:r>
      <w:fldSimple w:instr=" REF ZEqnNum338866 \* Charformat \! \* MERGEFORMAT ">
        <w:r w:rsidR="007C7B62" w:rsidRPr="002A4884">
          <w:instrText>(</w:instrText>
        </w:r>
        <w:r w:rsidR="007C7B62">
          <w:instrText>17</w:instrText>
        </w:r>
        <w:r w:rsidR="007C7B62" w:rsidRPr="002A4884">
          <w:instrText>)</w:instrText>
        </w:r>
      </w:fldSimple>
      <w:r w:rsidR="002B0C3E">
        <w:fldChar w:fldCharType="end"/>
      </w:r>
      <w:r w:rsidR="002B0C3E">
        <w:t xml:space="preserve">, we define a </w:t>
      </w:r>
      <w:r w:rsidR="00CF09D4">
        <w:t>high-dimensional parameter grid of 246</w:t>
      </w:r>
      <w:r w:rsidR="00CF09D4">
        <w:rPr>
          <w:rFonts w:cstheme="minorHAnsi"/>
        </w:rPr>
        <w:t>x</w:t>
      </w:r>
      <w:r w:rsidR="00CF09D4">
        <w:t>32</w:t>
      </w:r>
      <w:r w:rsidR="00CF09D4">
        <w:rPr>
          <w:rFonts w:cstheme="minorHAnsi"/>
        </w:rPr>
        <w:t xml:space="preserve">x305=2,400,650 points. We estimate a </w:t>
      </w:r>
      <w:r w:rsidR="000D5ADC">
        <w:rPr>
          <w:rFonts w:cstheme="minorHAnsi"/>
        </w:rPr>
        <w:t xml:space="preserve">coverage </w:t>
      </w:r>
      <w:r w:rsidR="00CF09D4">
        <w:rPr>
          <w:rFonts w:cstheme="minorHAnsi"/>
        </w:rPr>
        <w:t>distortion cut-off of 5% for all three endogenous variables, well below the 10% accepted limit. This suggests that the instruments are unlikely to be weak and</w:t>
      </w:r>
      <w:r w:rsidR="00E60E65">
        <w:rPr>
          <w:rFonts w:cstheme="minorHAnsi"/>
        </w:rPr>
        <w:t>, in turn,</w:t>
      </w:r>
      <w:r w:rsidR="00CF09D4">
        <w:rPr>
          <w:rFonts w:cstheme="minorHAnsi"/>
        </w:rPr>
        <w:t xml:space="preserve"> the standard Wald confidence intervals are valid. </w:t>
      </w:r>
      <w:r w:rsidR="000D5ADC">
        <w:rPr>
          <w:rFonts w:cstheme="minorHAnsi"/>
        </w:rPr>
        <w:t xml:space="preserve">For </w:t>
      </w:r>
      <w:r w:rsidR="00CF09D4">
        <w:rPr>
          <w:rFonts w:cstheme="minorHAnsi"/>
        </w:rPr>
        <w:t xml:space="preserve">regression </w:t>
      </w:r>
      <w:r w:rsidR="00CF09D4">
        <w:rPr>
          <w:rFonts w:cstheme="minorHAnsi"/>
        </w:rPr>
        <w:fldChar w:fldCharType="begin"/>
      </w:r>
      <w:r w:rsidR="00CF09D4">
        <w:rPr>
          <w:rFonts w:cstheme="minorHAnsi"/>
        </w:rPr>
        <w:instrText xml:space="preserve"> GOTOBUTTON ZEqnNum133350  \* MERGEFORMAT </w:instrText>
      </w:r>
      <w:r w:rsidR="00CF09D4">
        <w:rPr>
          <w:rFonts w:cstheme="minorHAnsi"/>
        </w:rPr>
        <w:fldChar w:fldCharType="begin"/>
      </w:r>
      <w:r w:rsidR="00CF09D4">
        <w:rPr>
          <w:rFonts w:cstheme="minorHAnsi"/>
        </w:rPr>
        <w:instrText xml:space="preserve"> REF ZEqnNum133350 \* Charformat \! \* MERGEFORMAT </w:instrText>
      </w:r>
      <w:r w:rsidR="00CF09D4">
        <w:rPr>
          <w:rFonts w:cstheme="minorHAnsi"/>
        </w:rPr>
        <w:fldChar w:fldCharType="separate"/>
      </w:r>
      <w:r w:rsidR="007C7B62" w:rsidRPr="007C7B62">
        <w:rPr>
          <w:rFonts w:cstheme="minorHAnsi"/>
        </w:rPr>
        <w:instrText>(20)</w:instrText>
      </w:r>
      <w:r w:rsidR="00CF09D4">
        <w:rPr>
          <w:rFonts w:cstheme="minorHAnsi"/>
        </w:rPr>
        <w:fldChar w:fldCharType="end"/>
      </w:r>
      <w:r w:rsidR="00CF09D4">
        <w:rPr>
          <w:rFonts w:cstheme="minorHAnsi"/>
        </w:rPr>
        <w:fldChar w:fldCharType="end"/>
      </w:r>
      <w:r w:rsidR="00CF09D4">
        <w:rPr>
          <w:rFonts w:cstheme="minorHAnsi"/>
        </w:rPr>
        <w:t>, we define a high-dimensional parameter grid of 41x158x196</w:t>
      </w:r>
      <w:r w:rsidR="00E60E65">
        <w:rPr>
          <w:rFonts w:cstheme="minorHAnsi"/>
        </w:rPr>
        <w:t>=</w:t>
      </w:r>
      <w:r w:rsidR="00E60E65" w:rsidRPr="00E60E65">
        <w:rPr>
          <w:rFonts w:cstheme="minorHAnsi"/>
        </w:rPr>
        <w:t>1,269,688</w:t>
      </w:r>
      <w:r w:rsidR="00CF09D4">
        <w:rPr>
          <w:rFonts w:cstheme="minorHAnsi"/>
        </w:rPr>
        <w:t xml:space="preserve"> points. We estimate a </w:t>
      </w:r>
      <w:r w:rsidR="000D5ADC">
        <w:rPr>
          <w:rFonts w:cstheme="minorHAnsi"/>
        </w:rPr>
        <w:t xml:space="preserve">coverage </w:t>
      </w:r>
      <w:r w:rsidR="00CF09D4">
        <w:rPr>
          <w:rFonts w:cstheme="minorHAnsi"/>
        </w:rPr>
        <w:t>distortion cut-off of 6% for LTC expenditure per user and of 5% for the decreasing and increasing portion of HC expenditure per capita. Also in this case, this suggests that instrument</w:t>
      </w:r>
      <w:r w:rsidR="004F0DF7">
        <w:rPr>
          <w:rFonts w:cstheme="minorHAnsi"/>
        </w:rPr>
        <w:t>s</w:t>
      </w:r>
      <w:r w:rsidR="00CF09D4">
        <w:rPr>
          <w:rFonts w:cstheme="minorHAnsi"/>
        </w:rPr>
        <w:t xml:space="preserve"> are unlikely to be weak and, </w:t>
      </w:r>
      <w:r w:rsidR="00D97CB5">
        <w:rPr>
          <w:rFonts w:cstheme="minorHAnsi"/>
        </w:rPr>
        <w:t>in turn</w:t>
      </w:r>
      <w:r w:rsidR="00CF09D4">
        <w:rPr>
          <w:rFonts w:cstheme="minorHAnsi"/>
        </w:rPr>
        <w:t>, the standard Wald confidence intervals are valid.</w:t>
      </w:r>
    </w:p>
    <w:p w14:paraId="3502E8C3" w14:textId="1D52DBD6" w:rsidR="00494435" w:rsidRPr="00494435" w:rsidRDefault="00494435" w:rsidP="00494435"/>
    <w:p w14:paraId="5BFE508A" w14:textId="466494C0" w:rsidR="00494435" w:rsidRDefault="00494435" w:rsidP="003D6E3A">
      <w:pPr>
        <w:jc w:val="center"/>
        <w:rPr>
          <w:b/>
          <w:bCs/>
        </w:rPr>
      </w:pPr>
    </w:p>
    <w:p w14:paraId="4328458C" w14:textId="77777777" w:rsidR="00494435" w:rsidRDefault="00494435" w:rsidP="00494435">
      <w:pPr>
        <w:pStyle w:val="Heading1"/>
        <w:sectPr w:rsidR="00494435" w:rsidSect="00494435">
          <w:pgSz w:w="11906" w:h="16838"/>
          <w:pgMar w:top="1440" w:right="1440" w:bottom="1440" w:left="1440" w:header="0" w:footer="0" w:gutter="0"/>
          <w:cols w:space="708"/>
          <w:docGrid w:linePitch="360"/>
        </w:sectPr>
      </w:pPr>
    </w:p>
    <w:p w14:paraId="6B4F2EB8" w14:textId="27E408C7" w:rsidR="003D6E3A" w:rsidRDefault="00E564D3" w:rsidP="00E564D3">
      <w:pPr>
        <w:pStyle w:val="Caption"/>
      </w:pPr>
      <w:bookmarkStart w:id="45" w:name="_Ref46425622"/>
      <w:r w:rsidRPr="002A4884">
        <w:lastRenderedPageBreak/>
        <w:t>Table A</w:t>
      </w:r>
      <w:r w:rsidR="002A7365">
        <w:fldChar w:fldCharType="begin"/>
      </w:r>
      <w:r w:rsidR="002A7365">
        <w:instrText xml:space="preserve"> SEQ Table_A \* ARABIC </w:instrText>
      </w:r>
      <w:r w:rsidR="002A7365">
        <w:fldChar w:fldCharType="separate"/>
      </w:r>
      <w:r w:rsidR="007C7B62">
        <w:rPr>
          <w:noProof/>
        </w:rPr>
        <w:t>1</w:t>
      </w:r>
      <w:r w:rsidR="002A7365">
        <w:rPr>
          <w:noProof/>
        </w:rPr>
        <w:fldChar w:fldCharType="end"/>
      </w:r>
      <w:bookmarkEnd w:id="45"/>
      <w:r w:rsidRPr="002A4884">
        <w:t xml:space="preserve"> – Data sources.</w:t>
      </w:r>
    </w:p>
    <w:tbl>
      <w:tblPr>
        <w:tblW w:w="12329" w:type="dxa"/>
        <w:tblLayout w:type="fixed"/>
        <w:tblLook w:val="04A0" w:firstRow="1" w:lastRow="0" w:firstColumn="1" w:lastColumn="0" w:noHBand="0" w:noVBand="1"/>
      </w:tblPr>
      <w:tblGrid>
        <w:gridCol w:w="2552"/>
        <w:gridCol w:w="852"/>
        <w:gridCol w:w="818"/>
        <w:gridCol w:w="765"/>
        <w:gridCol w:w="1817"/>
        <w:gridCol w:w="4536"/>
        <w:gridCol w:w="989"/>
      </w:tblGrid>
      <w:tr w:rsidR="006D7E56" w:rsidRPr="006D7E56" w14:paraId="09E94224" w14:textId="77777777" w:rsidTr="00A71E37">
        <w:trPr>
          <w:trHeight w:val="450"/>
          <w:tblHeader/>
        </w:trPr>
        <w:tc>
          <w:tcPr>
            <w:tcW w:w="2552" w:type="dxa"/>
            <w:tcBorders>
              <w:top w:val="single" w:sz="4" w:space="0" w:color="auto"/>
              <w:left w:val="nil"/>
              <w:bottom w:val="single" w:sz="4" w:space="0" w:color="auto"/>
              <w:right w:val="nil"/>
            </w:tcBorders>
            <w:shd w:val="clear" w:color="000000" w:fill="FFFFFF"/>
            <w:vAlign w:val="center"/>
            <w:hideMark/>
          </w:tcPr>
          <w:p w14:paraId="76E416A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Variable</w:t>
            </w:r>
          </w:p>
        </w:tc>
        <w:tc>
          <w:tcPr>
            <w:tcW w:w="852" w:type="dxa"/>
            <w:tcBorders>
              <w:top w:val="single" w:sz="4" w:space="0" w:color="auto"/>
              <w:left w:val="nil"/>
              <w:bottom w:val="single" w:sz="4" w:space="0" w:color="auto"/>
              <w:right w:val="nil"/>
            </w:tcBorders>
            <w:shd w:val="clear" w:color="000000" w:fill="FFFFFF"/>
            <w:vAlign w:val="center"/>
            <w:hideMark/>
          </w:tcPr>
          <w:p w14:paraId="2746E49C"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Original unit</w:t>
            </w:r>
          </w:p>
        </w:tc>
        <w:tc>
          <w:tcPr>
            <w:tcW w:w="818" w:type="dxa"/>
            <w:tcBorders>
              <w:top w:val="single" w:sz="4" w:space="0" w:color="auto"/>
              <w:left w:val="nil"/>
              <w:bottom w:val="single" w:sz="4" w:space="0" w:color="auto"/>
              <w:right w:val="nil"/>
            </w:tcBorders>
            <w:shd w:val="clear" w:color="000000" w:fill="FFFFFF"/>
            <w:vAlign w:val="center"/>
            <w:hideMark/>
          </w:tcPr>
          <w:p w14:paraId="65BCEE9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Unit of analysis</w:t>
            </w:r>
          </w:p>
        </w:tc>
        <w:tc>
          <w:tcPr>
            <w:tcW w:w="765" w:type="dxa"/>
            <w:tcBorders>
              <w:top w:val="single" w:sz="4" w:space="0" w:color="auto"/>
              <w:left w:val="nil"/>
              <w:bottom w:val="single" w:sz="4" w:space="0" w:color="auto"/>
              <w:right w:val="nil"/>
            </w:tcBorders>
            <w:shd w:val="clear" w:color="000000" w:fill="FFFFFF"/>
            <w:vAlign w:val="center"/>
            <w:hideMark/>
          </w:tcPr>
          <w:p w14:paraId="1C1A005B"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Year</w:t>
            </w:r>
          </w:p>
        </w:tc>
        <w:tc>
          <w:tcPr>
            <w:tcW w:w="1817" w:type="dxa"/>
            <w:tcBorders>
              <w:top w:val="single" w:sz="4" w:space="0" w:color="auto"/>
              <w:left w:val="nil"/>
              <w:bottom w:val="single" w:sz="4" w:space="0" w:color="auto"/>
              <w:right w:val="nil"/>
            </w:tcBorders>
            <w:shd w:val="clear" w:color="000000" w:fill="FFFFFF"/>
            <w:vAlign w:val="center"/>
            <w:hideMark/>
          </w:tcPr>
          <w:p w14:paraId="2C8C734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Source of data</w:t>
            </w:r>
          </w:p>
        </w:tc>
        <w:tc>
          <w:tcPr>
            <w:tcW w:w="4536" w:type="dxa"/>
            <w:tcBorders>
              <w:top w:val="single" w:sz="4" w:space="0" w:color="auto"/>
              <w:left w:val="nil"/>
              <w:bottom w:val="single" w:sz="4" w:space="0" w:color="auto"/>
              <w:right w:val="nil"/>
            </w:tcBorders>
            <w:shd w:val="clear" w:color="000000" w:fill="FFFFFF"/>
            <w:vAlign w:val="center"/>
            <w:hideMark/>
          </w:tcPr>
          <w:p w14:paraId="233065C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Link</w:t>
            </w:r>
          </w:p>
        </w:tc>
        <w:tc>
          <w:tcPr>
            <w:tcW w:w="989" w:type="dxa"/>
            <w:tcBorders>
              <w:top w:val="single" w:sz="4" w:space="0" w:color="auto"/>
              <w:left w:val="nil"/>
              <w:bottom w:val="single" w:sz="4" w:space="0" w:color="auto"/>
              <w:right w:val="nil"/>
            </w:tcBorders>
            <w:shd w:val="clear" w:color="000000" w:fill="FFFFFF"/>
            <w:vAlign w:val="center"/>
            <w:hideMark/>
          </w:tcPr>
          <w:p w14:paraId="12BD7975"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Date of last access</w:t>
            </w:r>
          </w:p>
        </w:tc>
      </w:tr>
      <w:tr w:rsidR="006D7E56" w:rsidRPr="006D7E56" w14:paraId="2262E9FC" w14:textId="77777777" w:rsidTr="006D7E56">
        <w:trPr>
          <w:trHeight w:val="900"/>
        </w:trPr>
        <w:tc>
          <w:tcPr>
            <w:tcW w:w="2552" w:type="dxa"/>
            <w:tcBorders>
              <w:top w:val="nil"/>
              <w:left w:val="nil"/>
              <w:bottom w:val="nil"/>
              <w:right w:val="nil"/>
            </w:tcBorders>
            <w:shd w:val="clear" w:color="000000" w:fill="FFFFFF"/>
            <w:vAlign w:val="center"/>
            <w:hideMark/>
          </w:tcPr>
          <w:p w14:paraId="549B213D"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Mortality indicator</w:t>
            </w:r>
          </w:p>
        </w:tc>
        <w:tc>
          <w:tcPr>
            <w:tcW w:w="852" w:type="dxa"/>
            <w:tcBorders>
              <w:top w:val="nil"/>
              <w:left w:val="nil"/>
              <w:bottom w:val="single" w:sz="4" w:space="0" w:color="D0CECE"/>
              <w:right w:val="nil"/>
            </w:tcBorders>
            <w:shd w:val="clear" w:color="000000" w:fill="FFFFFF"/>
            <w:vAlign w:val="center"/>
            <w:hideMark/>
          </w:tcPr>
          <w:p w14:paraId="5E5709E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4C2406F0"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nil"/>
              <w:right w:val="nil"/>
            </w:tcBorders>
            <w:shd w:val="clear" w:color="000000" w:fill="FFFFFF"/>
            <w:vAlign w:val="center"/>
            <w:hideMark/>
          </w:tcPr>
          <w:p w14:paraId="1D2AF01E"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2015</w:t>
            </w:r>
          </w:p>
        </w:tc>
        <w:tc>
          <w:tcPr>
            <w:tcW w:w="1817" w:type="dxa"/>
            <w:tcBorders>
              <w:top w:val="nil"/>
              <w:left w:val="nil"/>
              <w:bottom w:val="nil"/>
              <w:right w:val="nil"/>
            </w:tcBorders>
            <w:shd w:val="clear" w:color="000000" w:fill="FFFFFF"/>
            <w:vAlign w:val="center"/>
            <w:hideMark/>
          </w:tcPr>
          <w:p w14:paraId="134A7AF4"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Office for National Statistics: Deaths registered by area of usual residence</w:t>
            </w:r>
          </w:p>
        </w:tc>
        <w:tc>
          <w:tcPr>
            <w:tcW w:w="4536" w:type="dxa"/>
            <w:tcBorders>
              <w:top w:val="nil"/>
              <w:left w:val="nil"/>
              <w:bottom w:val="nil"/>
              <w:right w:val="nil"/>
            </w:tcBorders>
            <w:shd w:val="clear" w:color="000000" w:fill="FFFFFF"/>
            <w:vAlign w:val="center"/>
            <w:hideMark/>
          </w:tcPr>
          <w:p w14:paraId="2B5BA421" w14:textId="3FC1A455"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1" w:history="1">
              <w:r w:rsidR="006D7E56" w:rsidRPr="006D7E56">
                <w:rPr>
                  <w:rFonts w:ascii="Calibri" w:eastAsia="Times New Roman" w:hAnsi="Calibri" w:cs="Calibri"/>
                  <w:color w:val="0563C1"/>
                  <w:sz w:val="16"/>
                  <w:szCs w:val="16"/>
                  <w:u w:val="single"/>
                  <w:lang w:eastAsia="en-GB"/>
                </w:rPr>
                <w:t>https://www.ons.gov.uk/peoplepopulationandcommunity/birthsdeathsandmarriages/deaths/datasets/deathsregisteredbyareaofusualresidenceenglandandwales</w:t>
              </w:r>
            </w:hyperlink>
          </w:p>
        </w:tc>
        <w:tc>
          <w:tcPr>
            <w:tcW w:w="989" w:type="dxa"/>
            <w:tcBorders>
              <w:top w:val="nil"/>
              <w:left w:val="nil"/>
              <w:bottom w:val="nil"/>
              <w:right w:val="nil"/>
            </w:tcBorders>
            <w:shd w:val="clear" w:color="000000" w:fill="FFFFFF"/>
            <w:vAlign w:val="center"/>
            <w:hideMark/>
          </w:tcPr>
          <w:p w14:paraId="75B45662"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4B045B4A" w14:textId="77777777" w:rsidTr="006D7E56">
        <w:trPr>
          <w:trHeight w:val="510"/>
        </w:trPr>
        <w:tc>
          <w:tcPr>
            <w:tcW w:w="2552" w:type="dxa"/>
            <w:tcBorders>
              <w:top w:val="single" w:sz="4" w:space="0" w:color="D0CECE"/>
              <w:left w:val="nil"/>
              <w:bottom w:val="single" w:sz="4" w:space="0" w:color="D0CECE"/>
              <w:right w:val="nil"/>
            </w:tcBorders>
            <w:shd w:val="clear" w:color="000000" w:fill="FFFFFF"/>
            <w:vAlign w:val="center"/>
            <w:hideMark/>
          </w:tcPr>
          <w:p w14:paraId="47B7301A"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Public health care expenditure</w:t>
            </w:r>
          </w:p>
        </w:tc>
        <w:tc>
          <w:tcPr>
            <w:tcW w:w="852" w:type="dxa"/>
            <w:tcBorders>
              <w:top w:val="nil"/>
              <w:left w:val="nil"/>
              <w:bottom w:val="single" w:sz="4" w:space="0" w:color="D0CECE"/>
              <w:right w:val="nil"/>
            </w:tcBorders>
            <w:shd w:val="clear" w:color="000000" w:fill="FFFFFF"/>
            <w:vAlign w:val="center"/>
            <w:hideMark/>
          </w:tcPr>
          <w:p w14:paraId="59BD4131"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CCG</w:t>
            </w:r>
          </w:p>
        </w:tc>
        <w:tc>
          <w:tcPr>
            <w:tcW w:w="818" w:type="dxa"/>
            <w:tcBorders>
              <w:top w:val="nil"/>
              <w:left w:val="nil"/>
              <w:bottom w:val="single" w:sz="4" w:space="0" w:color="D0CECE"/>
              <w:right w:val="nil"/>
            </w:tcBorders>
            <w:shd w:val="clear" w:color="000000" w:fill="FFFFFF"/>
            <w:vAlign w:val="center"/>
            <w:hideMark/>
          </w:tcPr>
          <w:p w14:paraId="4C7AD64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single" w:sz="4" w:space="0" w:color="D0CECE"/>
              <w:left w:val="nil"/>
              <w:bottom w:val="single" w:sz="4" w:space="0" w:color="D0CECE"/>
              <w:right w:val="nil"/>
            </w:tcBorders>
            <w:shd w:val="clear" w:color="000000" w:fill="FFFFFF"/>
            <w:vAlign w:val="center"/>
            <w:hideMark/>
          </w:tcPr>
          <w:p w14:paraId="1F7B6E10"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single" w:sz="4" w:space="0" w:color="D0CECE"/>
              <w:left w:val="nil"/>
              <w:bottom w:val="single" w:sz="4" w:space="0" w:color="D0CECE"/>
              <w:right w:val="nil"/>
            </w:tcBorders>
            <w:shd w:val="clear" w:color="000000" w:fill="FFFFFF"/>
            <w:vAlign w:val="center"/>
            <w:hideMark/>
          </w:tcPr>
          <w:p w14:paraId="5D3A107C"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NHS England</w:t>
            </w:r>
          </w:p>
        </w:tc>
        <w:tc>
          <w:tcPr>
            <w:tcW w:w="4536" w:type="dxa"/>
            <w:tcBorders>
              <w:top w:val="single" w:sz="4" w:space="0" w:color="D0CECE"/>
              <w:left w:val="nil"/>
              <w:bottom w:val="single" w:sz="4" w:space="0" w:color="D0CECE"/>
              <w:right w:val="nil"/>
            </w:tcBorders>
            <w:shd w:val="clear" w:color="000000" w:fill="FFFFFF"/>
            <w:vAlign w:val="center"/>
            <w:hideMark/>
          </w:tcPr>
          <w:p w14:paraId="1797597D" w14:textId="02CA15AB"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2" w:history="1">
              <w:r w:rsidR="006D7E56" w:rsidRPr="006D7E56">
                <w:rPr>
                  <w:rFonts w:ascii="Calibri" w:eastAsia="Times New Roman" w:hAnsi="Calibri" w:cs="Calibri"/>
                  <w:sz w:val="20"/>
                  <w:szCs w:val="20"/>
                  <w:lang w:eastAsia="en-GB"/>
                </w:rPr>
                <w:t xml:space="preserve">Requests for this dataset should be addressed to </w:t>
              </w:r>
              <w:r w:rsidR="006D7E56" w:rsidRPr="006D7E56">
                <w:rPr>
                  <w:rFonts w:ascii="Calibri" w:eastAsia="Times New Roman" w:hAnsi="Calibri" w:cs="Calibri"/>
                  <w:color w:val="0563C1"/>
                  <w:sz w:val="20"/>
                  <w:szCs w:val="20"/>
                  <w:u w:val="single"/>
                  <w:lang w:eastAsia="en-GB"/>
                </w:rPr>
                <w:t>england.programmebudgeting@nhs.net</w:t>
              </w:r>
            </w:hyperlink>
          </w:p>
        </w:tc>
        <w:tc>
          <w:tcPr>
            <w:tcW w:w="989" w:type="dxa"/>
            <w:tcBorders>
              <w:top w:val="single" w:sz="4" w:space="0" w:color="D0CECE"/>
              <w:left w:val="nil"/>
              <w:bottom w:val="single" w:sz="4" w:space="0" w:color="D0CECE"/>
              <w:right w:val="nil"/>
            </w:tcBorders>
            <w:shd w:val="clear" w:color="000000" w:fill="FFFFFF"/>
            <w:vAlign w:val="center"/>
            <w:hideMark/>
          </w:tcPr>
          <w:p w14:paraId="2450CE3A"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w:t>
            </w:r>
          </w:p>
        </w:tc>
      </w:tr>
      <w:tr w:rsidR="006D7E56" w:rsidRPr="006D7E56" w14:paraId="43968EC8"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012F060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Number of people</w:t>
            </w:r>
          </w:p>
        </w:tc>
        <w:tc>
          <w:tcPr>
            <w:tcW w:w="852" w:type="dxa"/>
            <w:tcBorders>
              <w:top w:val="nil"/>
              <w:left w:val="nil"/>
              <w:bottom w:val="single" w:sz="4" w:space="0" w:color="D0CECE"/>
              <w:right w:val="nil"/>
            </w:tcBorders>
            <w:shd w:val="clear" w:color="000000" w:fill="FFFFFF"/>
            <w:vAlign w:val="center"/>
            <w:hideMark/>
          </w:tcPr>
          <w:p w14:paraId="0406A305"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LSOA</w:t>
            </w:r>
          </w:p>
        </w:tc>
        <w:tc>
          <w:tcPr>
            <w:tcW w:w="818" w:type="dxa"/>
            <w:tcBorders>
              <w:top w:val="nil"/>
              <w:left w:val="nil"/>
              <w:bottom w:val="single" w:sz="4" w:space="0" w:color="D0CECE"/>
              <w:right w:val="nil"/>
            </w:tcBorders>
            <w:shd w:val="clear" w:color="000000" w:fill="FFFFFF"/>
            <w:vAlign w:val="center"/>
            <w:hideMark/>
          </w:tcPr>
          <w:p w14:paraId="0DA8A8F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1A661EB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w:t>
            </w:r>
          </w:p>
        </w:tc>
        <w:tc>
          <w:tcPr>
            <w:tcW w:w="1817" w:type="dxa"/>
            <w:tcBorders>
              <w:top w:val="nil"/>
              <w:left w:val="nil"/>
              <w:bottom w:val="single" w:sz="4" w:space="0" w:color="D0CECE"/>
              <w:right w:val="nil"/>
            </w:tcBorders>
            <w:shd w:val="clear" w:color="000000" w:fill="FFFFFF"/>
            <w:vAlign w:val="center"/>
            <w:hideMark/>
          </w:tcPr>
          <w:p w14:paraId="5AB63CE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Office for National Statistics: Lower layer Super Output Area population estimates</w:t>
            </w:r>
          </w:p>
        </w:tc>
        <w:tc>
          <w:tcPr>
            <w:tcW w:w="4536" w:type="dxa"/>
            <w:tcBorders>
              <w:top w:val="nil"/>
              <w:left w:val="nil"/>
              <w:bottom w:val="single" w:sz="4" w:space="0" w:color="D0CECE"/>
              <w:right w:val="nil"/>
            </w:tcBorders>
            <w:shd w:val="clear" w:color="000000" w:fill="FFFFFF"/>
            <w:vAlign w:val="center"/>
            <w:hideMark/>
          </w:tcPr>
          <w:p w14:paraId="1C4AC902" w14:textId="1DADEADC"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3" w:history="1">
              <w:r w:rsidR="006D7E56" w:rsidRPr="006D7E56">
                <w:rPr>
                  <w:rFonts w:ascii="Calibri" w:eastAsia="Times New Roman" w:hAnsi="Calibri" w:cs="Calibri"/>
                  <w:color w:val="0563C1"/>
                  <w:sz w:val="16"/>
                  <w:szCs w:val="16"/>
                  <w:u w:val="single"/>
                  <w:lang w:eastAsia="en-GB"/>
                </w:rPr>
                <w:t>https://www.ons.gov.uk/peoplepopulationandcommunity/populationandmigration/populationestimates/datasets/lowersuperoutputareamidyearpopulationestimates</w:t>
              </w:r>
            </w:hyperlink>
          </w:p>
        </w:tc>
        <w:tc>
          <w:tcPr>
            <w:tcW w:w="989" w:type="dxa"/>
            <w:tcBorders>
              <w:top w:val="nil"/>
              <w:left w:val="nil"/>
              <w:bottom w:val="single" w:sz="4" w:space="0" w:color="D0CECE"/>
              <w:right w:val="nil"/>
            </w:tcBorders>
            <w:shd w:val="clear" w:color="000000" w:fill="FFFFFF"/>
            <w:vAlign w:val="center"/>
            <w:hideMark/>
          </w:tcPr>
          <w:p w14:paraId="7C0E1708"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2FDFD2FA"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01F078AF"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Public long-term care expenditure</w:t>
            </w:r>
          </w:p>
        </w:tc>
        <w:tc>
          <w:tcPr>
            <w:tcW w:w="852" w:type="dxa"/>
            <w:tcBorders>
              <w:top w:val="nil"/>
              <w:left w:val="nil"/>
              <w:bottom w:val="single" w:sz="4" w:space="0" w:color="D0CECE"/>
              <w:right w:val="nil"/>
            </w:tcBorders>
            <w:shd w:val="clear" w:color="000000" w:fill="FFFFFF"/>
            <w:vAlign w:val="center"/>
            <w:hideMark/>
          </w:tcPr>
          <w:p w14:paraId="015285E1"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55E6B3F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0E9340E1"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vMerge w:val="restart"/>
            <w:tcBorders>
              <w:top w:val="nil"/>
              <w:left w:val="nil"/>
              <w:bottom w:val="single" w:sz="4" w:space="0" w:color="D0CECE"/>
              <w:right w:val="nil"/>
            </w:tcBorders>
            <w:shd w:val="clear" w:color="000000" w:fill="FFFFFF"/>
            <w:vAlign w:val="center"/>
            <w:hideMark/>
          </w:tcPr>
          <w:p w14:paraId="422CADE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NHS Digital: Adult Social Care Activity and Finance Report</w:t>
            </w:r>
          </w:p>
        </w:tc>
        <w:tc>
          <w:tcPr>
            <w:tcW w:w="4536" w:type="dxa"/>
            <w:tcBorders>
              <w:top w:val="nil"/>
              <w:left w:val="nil"/>
              <w:bottom w:val="single" w:sz="4" w:space="0" w:color="D0CECE"/>
              <w:right w:val="nil"/>
            </w:tcBorders>
            <w:shd w:val="clear" w:color="000000" w:fill="FFFFFF"/>
            <w:vAlign w:val="center"/>
            <w:hideMark/>
          </w:tcPr>
          <w:p w14:paraId="4718A9FF" w14:textId="3417B412"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4" w:history="1">
              <w:r w:rsidR="006D7E56" w:rsidRPr="006D7E56">
                <w:rPr>
                  <w:rFonts w:ascii="Calibri" w:eastAsia="Times New Roman" w:hAnsi="Calibri" w:cs="Calibri"/>
                  <w:color w:val="0563C1"/>
                  <w:sz w:val="16"/>
                  <w:szCs w:val="16"/>
                  <w:u w:val="single"/>
                  <w:lang w:eastAsia="en-GB"/>
                </w:rPr>
                <w:t>https://digital.nhs.uk/data-and-information/publications/statistical/adult-social-care-activity-and-finance-report/personal-social-services-expenditure-and-unit-costs-england-2014-15-provisional-release</w:t>
              </w:r>
            </w:hyperlink>
          </w:p>
        </w:tc>
        <w:tc>
          <w:tcPr>
            <w:tcW w:w="989" w:type="dxa"/>
            <w:tcBorders>
              <w:top w:val="nil"/>
              <w:left w:val="nil"/>
              <w:bottom w:val="single" w:sz="4" w:space="0" w:color="D0CECE"/>
              <w:right w:val="nil"/>
            </w:tcBorders>
            <w:shd w:val="clear" w:color="000000" w:fill="FFFFFF"/>
            <w:vAlign w:val="center"/>
            <w:hideMark/>
          </w:tcPr>
          <w:p w14:paraId="183E7A20"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21F87E18"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38AD80E3"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Long-term care activity volumes</w:t>
            </w:r>
          </w:p>
        </w:tc>
        <w:tc>
          <w:tcPr>
            <w:tcW w:w="852" w:type="dxa"/>
            <w:tcBorders>
              <w:top w:val="nil"/>
              <w:left w:val="nil"/>
              <w:bottom w:val="single" w:sz="4" w:space="0" w:color="D0CECE"/>
              <w:right w:val="nil"/>
            </w:tcBorders>
            <w:shd w:val="clear" w:color="000000" w:fill="FFFFFF"/>
            <w:vAlign w:val="center"/>
            <w:hideMark/>
          </w:tcPr>
          <w:p w14:paraId="7336438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03CA762E"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0924833A"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vMerge/>
            <w:tcBorders>
              <w:top w:val="nil"/>
              <w:left w:val="nil"/>
              <w:bottom w:val="single" w:sz="4" w:space="0" w:color="D0CECE"/>
              <w:right w:val="nil"/>
            </w:tcBorders>
            <w:vAlign w:val="center"/>
            <w:hideMark/>
          </w:tcPr>
          <w:p w14:paraId="58CB0A9B"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4536" w:type="dxa"/>
            <w:tcBorders>
              <w:top w:val="nil"/>
              <w:left w:val="nil"/>
              <w:bottom w:val="single" w:sz="4" w:space="0" w:color="D0CECE"/>
              <w:right w:val="nil"/>
            </w:tcBorders>
            <w:shd w:val="clear" w:color="000000" w:fill="FFFFFF"/>
            <w:vAlign w:val="center"/>
            <w:hideMark/>
          </w:tcPr>
          <w:p w14:paraId="0062C18A" w14:textId="0C63DF39"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5" w:history="1">
              <w:r w:rsidR="006D7E56" w:rsidRPr="006D7E56">
                <w:rPr>
                  <w:rFonts w:ascii="Calibri" w:eastAsia="Times New Roman" w:hAnsi="Calibri" w:cs="Calibri"/>
                  <w:color w:val="0563C1"/>
                  <w:sz w:val="16"/>
                  <w:szCs w:val="16"/>
                  <w:u w:val="single"/>
                  <w:lang w:eastAsia="en-GB"/>
                </w:rPr>
                <w:t>https://digital.nhs.uk/data-and-information/publications/statistical/adult-social-care-activity-and-finance-report/community-care-statistics-social-services-activity-england-2014-15</w:t>
              </w:r>
            </w:hyperlink>
          </w:p>
        </w:tc>
        <w:tc>
          <w:tcPr>
            <w:tcW w:w="989" w:type="dxa"/>
            <w:tcBorders>
              <w:top w:val="nil"/>
              <w:left w:val="nil"/>
              <w:bottom w:val="single" w:sz="4" w:space="0" w:color="D0CECE"/>
              <w:right w:val="nil"/>
            </w:tcBorders>
            <w:shd w:val="clear" w:color="000000" w:fill="FFFFFF"/>
            <w:vAlign w:val="center"/>
            <w:hideMark/>
          </w:tcPr>
          <w:p w14:paraId="67A78DD1"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13708B9E" w14:textId="77777777" w:rsidTr="006D7E56">
        <w:trPr>
          <w:trHeight w:val="675"/>
        </w:trPr>
        <w:tc>
          <w:tcPr>
            <w:tcW w:w="2552" w:type="dxa"/>
            <w:tcBorders>
              <w:top w:val="nil"/>
              <w:left w:val="nil"/>
              <w:bottom w:val="single" w:sz="4" w:space="0" w:color="D0CECE"/>
              <w:right w:val="nil"/>
            </w:tcBorders>
            <w:shd w:val="clear" w:color="000000" w:fill="FFFFFF"/>
            <w:vAlign w:val="center"/>
            <w:hideMark/>
          </w:tcPr>
          <w:p w14:paraId="550A278C"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Type of local authority</w:t>
            </w:r>
          </w:p>
        </w:tc>
        <w:tc>
          <w:tcPr>
            <w:tcW w:w="852" w:type="dxa"/>
            <w:tcBorders>
              <w:top w:val="nil"/>
              <w:left w:val="nil"/>
              <w:bottom w:val="single" w:sz="4" w:space="0" w:color="D0CECE"/>
              <w:right w:val="nil"/>
            </w:tcBorders>
            <w:shd w:val="clear" w:color="000000" w:fill="FFFFFF"/>
            <w:vAlign w:val="center"/>
            <w:hideMark/>
          </w:tcPr>
          <w:p w14:paraId="019C14FB"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5BDDA2F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60C1F05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2017/18</w:t>
            </w:r>
          </w:p>
        </w:tc>
        <w:tc>
          <w:tcPr>
            <w:tcW w:w="1817" w:type="dxa"/>
            <w:vMerge/>
            <w:tcBorders>
              <w:top w:val="nil"/>
              <w:left w:val="nil"/>
              <w:bottom w:val="single" w:sz="4" w:space="0" w:color="D0CECE"/>
              <w:right w:val="nil"/>
            </w:tcBorders>
            <w:vAlign w:val="center"/>
            <w:hideMark/>
          </w:tcPr>
          <w:p w14:paraId="0B2F1726"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4536" w:type="dxa"/>
            <w:tcBorders>
              <w:top w:val="nil"/>
              <w:left w:val="nil"/>
              <w:bottom w:val="single" w:sz="4" w:space="0" w:color="D0CECE"/>
              <w:right w:val="nil"/>
            </w:tcBorders>
            <w:shd w:val="clear" w:color="000000" w:fill="FFFFFF"/>
            <w:vAlign w:val="center"/>
            <w:hideMark/>
          </w:tcPr>
          <w:p w14:paraId="2897CDD8" w14:textId="6E774886"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6" w:history="1">
              <w:r w:rsidR="006D7E56" w:rsidRPr="006D7E56">
                <w:rPr>
                  <w:rFonts w:ascii="Calibri" w:eastAsia="Times New Roman" w:hAnsi="Calibri" w:cs="Calibri"/>
                  <w:color w:val="0563C1"/>
                  <w:sz w:val="16"/>
                  <w:szCs w:val="16"/>
                  <w:u w:val="single"/>
                  <w:lang w:eastAsia="en-GB"/>
                </w:rPr>
                <w:t>https://digital.nhs.uk/data-and-information/publications/statistical/adult-social-care-activity-and-finance-report/2017-18</w:t>
              </w:r>
            </w:hyperlink>
          </w:p>
        </w:tc>
        <w:tc>
          <w:tcPr>
            <w:tcW w:w="989" w:type="dxa"/>
            <w:tcBorders>
              <w:top w:val="nil"/>
              <w:left w:val="nil"/>
              <w:bottom w:val="single" w:sz="4" w:space="0" w:color="D0CECE"/>
              <w:right w:val="nil"/>
            </w:tcBorders>
            <w:shd w:val="clear" w:color="000000" w:fill="FFFFFF"/>
            <w:vAlign w:val="center"/>
            <w:hideMark/>
          </w:tcPr>
          <w:p w14:paraId="62C0A46B"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6F1445D9" w14:textId="77777777" w:rsidTr="006D7E56">
        <w:trPr>
          <w:trHeight w:val="675"/>
        </w:trPr>
        <w:tc>
          <w:tcPr>
            <w:tcW w:w="2552" w:type="dxa"/>
            <w:tcBorders>
              <w:top w:val="nil"/>
              <w:left w:val="nil"/>
              <w:bottom w:val="single" w:sz="4" w:space="0" w:color="D0CECE"/>
              <w:right w:val="nil"/>
            </w:tcBorders>
            <w:shd w:val="clear" w:color="000000" w:fill="FFFFFF"/>
            <w:vAlign w:val="center"/>
            <w:hideMark/>
          </w:tcPr>
          <w:p w14:paraId="5FA8F1B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Population characteristics including gender, ethnicity and single-person households</w:t>
            </w:r>
          </w:p>
        </w:tc>
        <w:tc>
          <w:tcPr>
            <w:tcW w:w="852" w:type="dxa"/>
            <w:tcBorders>
              <w:top w:val="nil"/>
              <w:left w:val="nil"/>
              <w:bottom w:val="single" w:sz="4" w:space="0" w:color="D0CECE"/>
              <w:right w:val="nil"/>
            </w:tcBorders>
            <w:shd w:val="clear" w:color="000000" w:fill="FFFFFF"/>
            <w:vAlign w:val="center"/>
            <w:hideMark/>
          </w:tcPr>
          <w:p w14:paraId="6F4D8744"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LSOA</w:t>
            </w:r>
          </w:p>
        </w:tc>
        <w:tc>
          <w:tcPr>
            <w:tcW w:w="818" w:type="dxa"/>
            <w:tcBorders>
              <w:top w:val="nil"/>
              <w:left w:val="nil"/>
              <w:bottom w:val="single" w:sz="4" w:space="0" w:color="D0CECE"/>
              <w:right w:val="nil"/>
            </w:tcBorders>
            <w:shd w:val="clear" w:color="000000" w:fill="FFFFFF"/>
            <w:vAlign w:val="center"/>
            <w:hideMark/>
          </w:tcPr>
          <w:p w14:paraId="0C4B25BB"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39F32B4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2011</w:t>
            </w:r>
          </w:p>
        </w:tc>
        <w:tc>
          <w:tcPr>
            <w:tcW w:w="1817" w:type="dxa"/>
            <w:tcBorders>
              <w:top w:val="nil"/>
              <w:left w:val="nil"/>
              <w:bottom w:val="single" w:sz="4" w:space="0" w:color="D0CECE"/>
              <w:right w:val="nil"/>
            </w:tcBorders>
            <w:shd w:val="clear" w:color="000000" w:fill="FFFFFF"/>
            <w:vAlign w:val="center"/>
            <w:hideMark/>
          </w:tcPr>
          <w:p w14:paraId="40D14E44"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Census</w:t>
            </w:r>
          </w:p>
        </w:tc>
        <w:tc>
          <w:tcPr>
            <w:tcW w:w="4536" w:type="dxa"/>
            <w:tcBorders>
              <w:top w:val="nil"/>
              <w:left w:val="nil"/>
              <w:bottom w:val="single" w:sz="4" w:space="0" w:color="D0CECE"/>
              <w:right w:val="nil"/>
            </w:tcBorders>
            <w:shd w:val="clear" w:color="000000" w:fill="FFFFFF"/>
            <w:vAlign w:val="center"/>
            <w:hideMark/>
          </w:tcPr>
          <w:p w14:paraId="38B45501" w14:textId="71262D12"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7" w:history="1">
              <w:r w:rsidR="006D7E56" w:rsidRPr="006D7E56">
                <w:rPr>
                  <w:rFonts w:ascii="Calibri" w:eastAsia="Times New Roman" w:hAnsi="Calibri" w:cs="Calibri"/>
                  <w:color w:val="0563C1"/>
                  <w:sz w:val="16"/>
                  <w:szCs w:val="16"/>
                  <w:u w:val="single"/>
                  <w:lang w:eastAsia="en-GB"/>
                </w:rPr>
                <w:t>https://census.ukdataservice.ac.uk/get-data/aggregate-data</w:t>
              </w:r>
            </w:hyperlink>
          </w:p>
        </w:tc>
        <w:tc>
          <w:tcPr>
            <w:tcW w:w="989" w:type="dxa"/>
            <w:tcBorders>
              <w:top w:val="nil"/>
              <w:left w:val="nil"/>
              <w:bottom w:val="single" w:sz="4" w:space="0" w:color="D0CECE"/>
              <w:right w:val="nil"/>
            </w:tcBorders>
            <w:shd w:val="clear" w:color="000000" w:fill="FFFFFF"/>
            <w:vAlign w:val="center"/>
            <w:hideMark/>
          </w:tcPr>
          <w:p w14:paraId="792DDA15"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7F71F9E2" w14:textId="77777777" w:rsidTr="006D7E56">
        <w:trPr>
          <w:trHeight w:val="675"/>
        </w:trPr>
        <w:tc>
          <w:tcPr>
            <w:tcW w:w="2552" w:type="dxa"/>
            <w:tcBorders>
              <w:top w:val="nil"/>
              <w:left w:val="nil"/>
              <w:bottom w:val="single" w:sz="4" w:space="0" w:color="D0CECE"/>
              <w:right w:val="nil"/>
            </w:tcBorders>
            <w:shd w:val="clear" w:color="000000" w:fill="FFFFFF"/>
            <w:vAlign w:val="center"/>
            <w:hideMark/>
          </w:tcPr>
          <w:p w14:paraId="77C87729"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Income deprivation, disability deprivation, education deprivation</w:t>
            </w:r>
          </w:p>
        </w:tc>
        <w:tc>
          <w:tcPr>
            <w:tcW w:w="852" w:type="dxa"/>
            <w:tcBorders>
              <w:top w:val="nil"/>
              <w:left w:val="nil"/>
              <w:bottom w:val="single" w:sz="4" w:space="0" w:color="D0CECE"/>
              <w:right w:val="nil"/>
            </w:tcBorders>
            <w:shd w:val="clear" w:color="000000" w:fill="FFFFFF"/>
            <w:vAlign w:val="center"/>
            <w:hideMark/>
          </w:tcPr>
          <w:p w14:paraId="60905E4C"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LSOA</w:t>
            </w:r>
          </w:p>
        </w:tc>
        <w:tc>
          <w:tcPr>
            <w:tcW w:w="818" w:type="dxa"/>
            <w:tcBorders>
              <w:top w:val="nil"/>
              <w:left w:val="nil"/>
              <w:bottom w:val="single" w:sz="4" w:space="0" w:color="D0CECE"/>
              <w:right w:val="nil"/>
            </w:tcBorders>
            <w:shd w:val="clear" w:color="000000" w:fill="FFFFFF"/>
            <w:vAlign w:val="center"/>
            <w:hideMark/>
          </w:tcPr>
          <w:p w14:paraId="1D7E73E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17326800"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2015</w:t>
            </w:r>
          </w:p>
        </w:tc>
        <w:tc>
          <w:tcPr>
            <w:tcW w:w="1817" w:type="dxa"/>
            <w:tcBorders>
              <w:top w:val="nil"/>
              <w:left w:val="nil"/>
              <w:bottom w:val="single" w:sz="4" w:space="0" w:color="D0CECE"/>
              <w:right w:val="nil"/>
            </w:tcBorders>
            <w:shd w:val="clear" w:color="000000" w:fill="FFFFFF"/>
            <w:vAlign w:val="center"/>
            <w:hideMark/>
          </w:tcPr>
          <w:p w14:paraId="03CC891E"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Ministry of Housing, Communities &amp; Local Government website</w:t>
            </w:r>
          </w:p>
        </w:tc>
        <w:tc>
          <w:tcPr>
            <w:tcW w:w="4536" w:type="dxa"/>
            <w:tcBorders>
              <w:top w:val="nil"/>
              <w:left w:val="nil"/>
              <w:bottom w:val="single" w:sz="4" w:space="0" w:color="D0CECE"/>
              <w:right w:val="nil"/>
            </w:tcBorders>
            <w:shd w:val="clear" w:color="000000" w:fill="FFFFFF"/>
            <w:vAlign w:val="center"/>
            <w:hideMark/>
          </w:tcPr>
          <w:p w14:paraId="58B4F174" w14:textId="609BF70F"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8" w:history="1">
              <w:r w:rsidR="006D7E56" w:rsidRPr="006D7E56">
                <w:rPr>
                  <w:rFonts w:ascii="Calibri" w:eastAsia="Times New Roman" w:hAnsi="Calibri" w:cs="Calibri"/>
                  <w:color w:val="0563C1"/>
                  <w:sz w:val="16"/>
                  <w:szCs w:val="16"/>
                  <w:u w:val="single"/>
                  <w:lang w:eastAsia="en-GB"/>
                </w:rPr>
                <w:t>http://opendatacommunities.org/resource?uri=http%3A%2F%2Fopendatacommunities.org%2Fdata%2Fsocietal-wellbeing%2Fimd%2Findices</w:t>
              </w:r>
            </w:hyperlink>
          </w:p>
        </w:tc>
        <w:tc>
          <w:tcPr>
            <w:tcW w:w="989" w:type="dxa"/>
            <w:tcBorders>
              <w:top w:val="nil"/>
              <w:left w:val="nil"/>
              <w:bottom w:val="single" w:sz="4" w:space="0" w:color="D0CECE"/>
              <w:right w:val="nil"/>
            </w:tcBorders>
            <w:shd w:val="clear" w:color="000000" w:fill="FFFFFF"/>
            <w:vAlign w:val="center"/>
            <w:hideMark/>
          </w:tcPr>
          <w:p w14:paraId="309FD9C4"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68E929E1" w14:textId="77777777" w:rsidTr="006D7E56">
        <w:trPr>
          <w:trHeight w:val="675"/>
        </w:trPr>
        <w:tc>
          <w:tcPr>
            <w:tcW w:w="2552" w:type="dxa"/>
            <w:tcBorders>
              <w:top w:val="nil"/>
              <w:left w:val="nil"/>
              <w:bottom w:val="single" w:sz="4" w:space="0" w:color="D0CECE"/>
              <w:right w:val="nil"/>
            </w:tcBorders>
            <w:shd w:val="clear" w:color="000000" w:fill="FFFFFF"/>
            <w:vAlign w:val="center"/>
            <w:hideMark/>
          </w:tcPr>
          <w:p w14:paraId="528C507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Disability support</w:t>
            </w:r>
          </w:p>
        </w:tc>
        <w:tc>
          <w:tcPr>
            <w:tcW w:w="852" w:type="dxa"/>
            <w:tcBorders>
              <w:top w:val="nil"/>
              <w:left w:val="nil"/>
              <w:bottom w:val="single" w:sz="4" w:space="0" w:color="D0CECE"/>
              <w:right w:val="nil"/>
            </w:tcBorders>
            <w:shd w:val="clear" w:color="000000" w:fill="FFFFFF"/>
            <w:vAlign w:val="center"/>
            <w:hideMark/>
          </w:tcPr>
          <w:p w14:paraId="6BF76DF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0E43B325"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563C4E4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62950B8F"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Office for National Statistics: nomis, official labour market statistics</w:t>
            </w:r>
          </w:p>
        </w:tc>
        <w:tc>
          <w:tcPr>
            <w:tcW w:w="4536" w:type="dxa"/>
            <w:tcBorders>
              <w:top w:val="nil"/>
              <w:left w:val="nil"/>
              <w:bottom w:val="single" w:sz="4" w:space="0" w:color="D0CECE"/>
              <w:right w:val="nil"/>
            </w:tcBorders>
            <w:shd w:val="clear" w:color="000000" w:fill="FFFFFF"/>
            <w:vAlign w:val="center"/>
            <w:hideMark/>
          </w:tcPr>
          <w:p w14:paraId="0AE94525" w14:textId="5A61ED76"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99" w:history="1">
              <w:r w:rsidR="006D7E56" w:rsidRPr="006D7E56">
                <w:rPr>
                  <w:rFonts w:ascii="Calibri" w:eastAsia="Times New Roman" w:hAnsi="Calibri" w:cs="Calibri"/>
                  <w:color w:val="0563C1"/>
                  <w:sz w:val="16"/>
                  <w:szCs w:val="16"/>
                  <w:u w:val="single"/>
                  <w:lang w:eastAsia="en-GB"/>
                </w:rPr>
                <w:t>https://www.nomisweb.co.uk/query/construct/summary.asp?mode=construct&amp;version=0&amp;dataset=115</w:t>
              </w:r>
            </w:hyperlink>
          </w:p>
        </w:tc>
        <w:tc>
          <w:tcPr>
            <w:tcW w:w="989" w:type="dxa"/>
            <w:tcBorders>
              <w:top w:val="nil"/>
              <w:left w:val="nil"/>
              <w:bottom w:val="single" w:sz="4" w:space="0" w:color="D0CECE"/>
              <w:right w:val="nil"/>
            </w:tcBorders>
            <w:shd w:val="clear" w:color="000000" w:fill="FFFFFF"/>
            <w:vAlign w:val="center"/>
            <w:hideMark/>
          </w:tcPr>
          <w:p w14:paraId="320E47E7"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418464DF" w14:textId="77777777" w:rsidTr="006D7E56">
        <w:trPr>
          <w:trHeight w:val="1125"/>
        </w:trPr>
        <w:tc>
          <w:tcPr>
            <w:tcW w:w="2552" w:type="dxa"/>
            <w:tcBorders>
              <w:top w:val="nil"/>
              <w:left w:val="nil"/>
              <w:bottom w:val="single" w:sz="4" w:space="0" w:color="D0CECE"/>
              <w:right w:val="nil"/>
            </w:tcBorders>
            <w:shd w:val="clear" w:color="000000" w:fill="FFFFFF"/>
            <w:vAlign w:val="center"/>
            <w:hideMark/>
          </w:tcPr>
          <w:p w14:paraId="53F8891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Gross disposable household income</w:t>
            </w:r>
          </w:p>
        </w:tc>
        <w:tc>
          <w:tcPr>
            <w:tcW w:w="852" w:type="dxa"/>
            <w:tcBorders>
              <w:top w:val="nil"/>
              <w:left w:val="nil"/>
              <w:bottom w:val="single" w:sz="4" w:space="0" w:color="D0CECE"/>
              <w:right w:val="nil"/>
            </w:tcBorders>
            <w:shd w:val="clear" w:color="000000" w:fill="FFFFFF"/>
            <w:vAlign w:val="center"/>
            <w:hideMark/>
          </w:tcPr>
          <w:p w14:paraId="00AFDD80"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75D11611"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71488E9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w:t>
            </w:r>
          </w:p>
        </w:tc>
        <w:tc>
          <w:tcPr>
            <w:tcW w:w="1817" w:type="dxa"/>
            <w:tcBorders>
              <w:top w:val="nil"/>
              <w:left w:val="nil"/>
              <w:bottom w:val="single" w:sz="4" w:space="0" w:color="D0CECE"/>
              <w:right w:val="nil"/>
            </w:tcBorders>
            <w:shd w:val="clear" w:color="000000" w:fill="FFFFFF"/>
            <w:vAlign w:val="center"/>
            <w:hideMark/>
          </w:tcPr>
          <w:p w14:paraId="0792814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Office for National Statistics: Regional gross disposable household income by local authority</w:t>
            </w:r>
          </w:p>
        </w:tc>
        <w:tc>
          <w:tcPr>
            <w:tcW w:w="4536" w:type="dxa"/>
            <w:tcBorders>
              <w:top w:val="nil"/>
              <w:left w:val="nil"/>
              <w:bottom w:val="single" w:sz="4" w:space="0" w:color="D0CECE"/>
              <w:right w:val="nil"/>
            </w:tcBorders>
            <w:shd w:val="clear" w:color="000000" w:fill="FFFFFF"/>
            <w:vAlign w:val="center"/>
            <w:hideMark/>
          </w:tcPr>
          <w:p w14:paraId="1A7685F1" w14:textId="79DFC119"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0" w:history="1">
              <w:r w:rsidR="006D7E56" w:rsidRPr="006D7E56">
                <w:rPr>
                  <w:rFonts w:ascii="Calibri" w:eastAsia="Times New Roman" w:hAnsi="Calibri" w:cs="Calibri"/>
                  <w:color w:val="0563C1"/>
                  <w:sz w:val="16"/>
                  <w:szCs w:val="16"/>
                  <w:u w:val="single"/>
                  <w:lang w:eastAsia="en-GB"/>
                </w:rPr>
                <w:t>https://www.ons.gov.uk/economy/regionalaccounts/grossdisposablehouseholdincome/datasets/regionalgrossdisposablehouseholdincomegdhibylocalauthorityintheuk</w:t>
              </w:r>
            </w:hyperlink>
          </w:p>
        </w:tc>
        <w:tc>
          <w:tcPr>
            <w:tcW w:w="989" w:type="dxa"/>
            <w:tcBorders>
              <w:top w:val="nil"/>
              <w:left w:val="nil"/>
              <w:bottom w:val="single" w:sz="4" w:space="0" w:color="D0CECE"/>
              <w:right w:val="nil"/>
            </w:tcBorders>
            <w:shd w:val="clear" w:color="000000" w:fill="FFFFFF"/>
            <w:vAlign w:val="center"/>
            <w:hideMark/>
          </w:tcPr>
          <w:p w14:paraId="4FFD3FC6"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20E7ECED"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0F1EA5F7"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Long-term care user characteristics including cognitive status and reception of other forms of long-term care</w:t>
            </w:r>
          </w:p>
        </w:tc>
        <w:tc>
          <w:tcPr>
            <w:tcW w:w="852" w:type="dxa"/>
            <w:tcBorders>
              <w:top w:val="nil"/>
              <w:left w:val="nil"/>
              <w:bottom w:val="single" w:sz="4" w:space="0" w:color="D0CECE"/>
              <w:right w:val="nil"/>
            </w:tcBorders>
            <w:shd w:val="clear" w:color="000000" w:fill="FFFFFF"/>
            <w:vAlign w:val="center"/>
            <w:hideMark/>
          </w:tcPr>
          <w:p w14:paraId="25D1BE3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Individual</w:t>
            </w:r>
          </w:p>
        </w:tc>
        <w:tc>
          <w:tcPr>
            <w:tcW w:w="818" w:type="dxa"/>
            <w:tcBorders>
              <w:top w:val="nil"/>
              <w:left w:val="nil"/>
              <w:bottom w:val="single" w:sz="4" w:space="0" w:color="D0CECE"/>
              <w:right w:val="nil"/>
            </w:tcBorders>
            <w:shd w:val="clear" w:color="000000" w:fill="FFFFFF"/>
            <w:vAlign w:val="center"/>
            <w:hideMark/>
          </w:tcPr>
          <w:p w14:paraId="7A7BE4E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7E095B5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4802085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NHS Digital: Personal Social Services Adult Social Care Survey</w:t>
            </w:r>
          </w:p>
        </w:tc>
        <w:tc>
          <w:tcPr>
            <w:tcW w:w="4536" w:type="dxa"/>
            <w:tcBorders>
              <w:top w:val="nil"/>
              <w:left w:val="nil"/>
              <w:bottom w:val="single" w:sz="4" w:space="0" w:color="D0CECE"/>
              <w:right w:val="nil"/>
            </w:tcBorders>
            <w:shd w:val="clear" w:color="000000" w:fill="FFFFFF"/>
            <w:vAlign w:val="center"/>
            <w:hideMark/>
          </w:tcPr>
          <w:p w14:paraId="11062B67" w14:textId="17FFD83E"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1" w:history="1">
              <w:r w:rsidR="006D7E56" w:rsidRPr="006D7E56">
                <w:rPr>
                  <w:rFonts w:ascii="Calibri" w:eastAsia="Times New Roman" w:hAnsi="Calibri" w:cs="Calibri"/>
                  <w:color w:val="0563C1"/>
                  <w:sz w:val="16"/>
                  <w:szCs w:val="16"/>
                  <w:u w:val="single"/>
                  <w:lang w:eastAsia="en-GB"/>
                </w:rPr>
                <w:t>https://digital.nhs.uk/data-and-information/publications/statistical/personal-social-services-adult-social-care-survey/personal-social-services-adult-social-care-survey-england-2014-15</w:t>
              </w:r>
            </w:hyperlink>
          </w:p>
        </w:tc>
        <w:tc>
          <w:tcPr>
            <w:tcW w:w="989" w:type="dxa"/>
            <w:tcBorders>
              <w:top w:val="nil"/>
              <w:left w:val="nil"/>
              <w:bottom w:val="single" w:sz="4" w:space="0" w:color="D0CECE"/>
              <w:right w:val="nil"/>
            </w:tcBorders>
            <w:shd w:val="clear" w:color="000000" w:fill="FFFFFF"/>
            <w:vAlign w:val="center"/>
            <w:hideMark/>
          </w:tcPr>
          <w:p w14:paraId="34BBBA54"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377ADA25"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7C7913B7"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Informal carer characteristics including time in caring role and caring task</w:t>
            </w:r>
          </w:p>
        </w:tc>
        <w:tc>
          <w:tcPr>
            <w:tcW w:w="852" w:type="dxa"/>
            <w:tcBorders>
              <w:top w:val="nil"/>
              <w:left w:val="nil"/>
              <w:bottom w:val="single" w:sz="4" w:space="0" w:color="D0CECE"/>
              <w:right w:val="nil"/>
            </w:tcBorders>
            <w:shd w:val="clear" w:color="000000" w:fill="FFFFFF"/>
            <w:vAlign w:val="center"/>
            <w:hideMark/>
          </w:tcPr>
          <w:p w14:paraId="4BF6489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Individual</w:t>
            </w:r>
          </w:p>
        </w:tc>
        <w:tc>
          <w:tcPr>
            <w:tcW w:w="818" w:type="dxa"/>
            <w:tcBorders>
              <w:top w:val="nil"/>
              <w:left w:val="nil"/>
              <w:bottom w:val="single" w:sz="4" w:space="0" w:color="D0CECE"/>
              <w:right w:val="nil"/>
            </w:tcBorders>
            <w:shd w:val="clear" w:color="000000" w:fill="FFFFFF"/>
            <w:vAlign w:val="center"/>
            <w:hideMark/>
          </w:tcPr>
          <w:p w14:paraId="424BC576"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6FE31C5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76C2A1E5"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NHS Digital: Personal Social Services Survey of Adult Carers in England</w:t>
            </w:r>
          </w:p>
        </w:tc>
        <w:tc>
          <w:tcPr>
            <w:tcW w:w="4536" w:type="dxa"/>
            <w:tcBorders>
              <w:top w:val="nil"/>
              <w:left w:val="nil"/>
              <w:bottom w:val="single" w:sz="4" w:space="0" w:color="D0CECE"/>
              <w:right w:val="nil"/>
            </w:tcBorders>
            <w:shd w:val="clear" w:color="000000" w:fill="FFFFFF"/>
            <w:vAlign w:val="center"/>
            <w:hideMark/>
          </w:tcPr>
          <w:p w14:paraId="23C9D73D" w14:textId="4D177540"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2" w:history="1">
              <w:r w:rsidR="006D7E56" w:rsidRPr="006D7E56">
                <w:rPr>
                  <w:rFonts w:ascii="Calibri" w:eastAsia="Times New Roman" w:hAnsi="Calibri" w:cs="Calibri"/>
                  <w:color w:val="0563C1"/>
                  <w:sz w:val="16"/>
                  <w:szCs w:val="16"/>
                  <w:u w:val="single"/>
                  <w:lang w:eastAsia="en-GB"/>
                </w:rPr>
                <w:t>https://digital.nhs.uk/data-and-information/publications/statistical/personal-social-services-survey-of-adult-carers/personal-social-services-survey-of-adult-carers-in-england-2014-15</w:t>
              </w:r>
            </w:hyperlink>
          </w:p>
        </w:tc>
        <w:tc>
          <w:tcPr>
            <w:tcW w:w="989" w:type="dxa"/>
            <w:tcBorders>
              <w:top w:val="nil"/>
              <w:left w:val="nil"/>
              <w:bottom w:val="single" w:sz="4" w:space="0" w:color="D0CECE"/>
              <w:right w:val="nil"/>
            </w:tcBorders>
            <w:shd w:val="clear" w:color="000000" w:fill="FFFFFF"/>
            <w:vAlign w:val="center"/>
            <w:hideMark/>
          </w:tcPr>
          <w:p w14:paraId="1152FB2E"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1E9E2A47"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7F0F8D63"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Expenditure on non-long-term care services</w:t>
            </w:r>
          </w:p>
        </w:tc>
        <w:tc>
          <w:tcPr>
            <w:tcW w:w="852" w:type="dxa"/>
            <w:tcBorders>
              <w:top w:val="nil"/>
              <w:left w:val="nil"/>
              <w:bottom w:val="single" w:sz="4" w:space="0" w:color="D0CECE"/>
              <w:right w:val="nil"/>
            </w:tcBorders>
            <w:shd w:val="clear" w:color="000000" w:fill="FFFFFF"/>
            <w:vAlign w:val="center"/>
            <w:hideMark/>
          </w:tcPr>
          <w:p w14:paraId="12B007E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062BE2FE"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5CAFD4FB"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608A8F8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Government website: Local authority revenue expenditure and financing</w:t>
            </w:r>
          </w:p>
        </w:tc>
        <w:tc>
          <w:tcPr>
            <w:tcW w:w="4536" w:type="dxa"/>
            <w:tcBorders>
              <w:top w:val="nil"/>
              <w:left w:val="nil"/>
              <w:bottom w:val="single" w:sz="4" w:space="0" w:color="D0CECE"/>
              <w:right w:val="nil"/>
            </w:tcBorders>
            <w:shd w:val="clear" w:color="000000" w:fill="FFFFFF"/>
            <w:vAlign w:val="center"/>
            <w:hideMark/>
          </w:tcPr>
          <w:p w14:paraId="3EB2036B" w14:textId="77777777" w:rsidR="006D7E56" w:rsidRPr="006D7E56" w:rsidRDefault="006D7E56" w:rsidP="006D7E56">
            <w:pPr>
              <w:widowControl/>
              <w:spacing w:after="0"/>
              <w:jc w:val="left"/>
              <w:rPr>
                <w:rFonts w:ascii="Calibri" w:eastAsia="Times New Roman" w:hAnsi="Calibri" w:cs="Calibri"/>
                <w:color w:val="0563C1"/>
                <w:sz w:val="16"/>
                <w:szCs w:val="16"/>
                <w:u w:val="single"/>
                <w:lang w:eastAsia="en-GB"/>
              </w:rPr>
            </w:pPr>
            <w:r w:rsidRPr="006D7E56">
              <w:rPr>
                <w:rFonts w:ascii="Calibri" w:eastAsia="Times New Roman" w:hAnsi="Calibri" w:cs="Calibri"/>
                <w:color w:val="0563C1"/>
                <w:sz w:val="16"/>
                <w:szCs w:val="16"/>
                <w:u w:val="single"/>
                <w:lang w:eastAsia="en-GB"/>
              </w:rPr>
              <w:t>https://www.gov.uk/government/statistical-data-sets/local-authority-revenue-expenditure-and-financing-england-2014-to-2015-individual-local-authority-data-outturn</w:t>
            </w:r>
          </w:p>
        </w:tc>
        <w:tc>
          <w:tcPr>
            <w:tcW w:w="989" w:type="dxa"/>
            <w:tcBorders>
              <w:top w:val="nil"/>
              <w:left w:val="nil"/>
              <w:bottom w:val="single" w:sz="4" w:space="0" w:color="D0CECE"/>
              <w:right w:val="nil"/>
            </w:tcBorders>
            <w:shd w:val="clear" w:color="000000" w:fill="FFFFFF"/>
            <w:vAlign w:val="center"/>
            <w:hideMark/>
          </w:tcPr>
          <w:p w14:paraId="4E39E8A0"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66413626" w14:textId="77777777" w:rsidTr="006D7E56">
        <w:trPr>
          <w:trHeight w:val="450"/>
        </w:trPr>
        <w:tc>
          <w:tcPr>
            <w:tcW w:w="2552" w:type="dxa"/>
            <w:tcBorders>
              <w:top w:val="nil"/>
              <w:left w:val="nil"/>
              <w:bottom w:val="nil"/>
              <w:right w:val="nil"/>
            </w:tcBorders>
            <w:shd w:val="clear" w:color="000000" w:fill="FFFFFF"/>
            <w:vAlign w:val="center"/>
            <w:hideMark/>
          </w:tcPr>
          <w:p w14:paraId="34C8ABB4"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Distance from target index</w:t>
            </w:r>
          </w:p>
        </w:tc>
        <w:tc>
          <w:tcPr>
            <w:tcW w:w="852" w:type="dxa"/>
            <w:vMerge w:val="restart"/>
            <w:tcBorders>
              <w:top w:val="nil"/>
              <w:left w:val="nil"/>
              <w:bottom w:val="single" w:sz="4" w:space="0" w:color="D0CECE"/>
              <w:right w:val="nil"/>
            </w:tcBorders>
            <w:shd w:val="clear" w:color="000000" w:fill="FFFFFF"/>
            <w:vAlign w:val="center"/>
            <w:hideMark/>
          </w:tcPr>
          <w:p w14:paraId="116FDDE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vMerge w:val="restart"/>
            <w:tcBorders>
              <w:top w:val="nil"/>
              <w:left w:val="nil"/>
              <w:bottom w:val="single" w:sz="4" w:space="0" w:color="D0CECE"/>
              <w:right w:val="nil"/>
            </w:tcBorders>
            <w:shd w:val="clear" w:color="000000" w:fill="FFFFFF"/>
            <w:vAlign w:val="center"/>
            <w:hideMark/>
          </w:tcPr>
          <w:p w14:paraId="0BA1962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vMerge w:val="restart"/>
            <w:tcBorders>
              <w:top w:val="nil"/>
              <w:left w:val="nil"/>
              <w:bottom w:val="single" w:sz="4" w:space="0" w:color="D0CECE"/>
              <w:right w:val="nil"/>
            </w:tcBorders>
            <w:shd w:val="clear" w:color="000000" w:fill="FFFFFF"/>
            <w:vAlign w:val="center"/>
            <w:hideMark/>
          </w:tcPr>
          <w:p w14:paraId="510A33D4"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vMerge w:val="restart"/>
            <w:tcBorders>
              <w:top w:val="nil"/>
              <w:left w:val="nil"/>
              <w:bottom w:val="single" w:sz="4" w:space="0" w:color="D0CECE"/>
              <w:right w:val="nil"/>
            </w:tcBorders>
            <w:shd w:val="clear" w:color="000000" w:fill="FFFFFF"/>
            <w:vAlign w:val="center"/>
            <w:hideMark/>
          </w:tcPr>
          <w:p w14:paraId="0F7327CE"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NHS England</w:t>
            </w:r>
          </w:p>
        </w:tc>
        <w:tc>
          <w:tcPr>
            <w:tcW w:w="4536" w:type="dxa"/>
            <w:vMerge w:val="restart"/>
            <w:tcBorders>
              <w:top w:val="nil"/>
              <w:left w:val="nil"/>
              <w:bottom w:val="single" w:sz="4" w:space="0" w:color="D0CECE"/>
              <w:right w:val="nil"/>
            </w:tcBorders>
            <w:shd w:val="clear" w:color="000000" w:fill="FFFFFF"/>
            <w:vAlign w:val="center"/>
            <w:hideMark/>
          </w:tcPr>
          <w:p w14:paraId="4FCAD0DE" w14:textId="17F9F0F8"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3" w:history="1">
              <w:r w:rsidR="006D7E56" w:rsidRPr="006D7E56">
                <w:rPr>
                  <w:rFonts w:ascii="Calibri" w:eastAsia="Times New Roman" w:hAnsi="Calibri" w:cs="Calibri"/>
                  <w:color w:val="0563C1"/>
                  <w:sz w:val="16"/>
                  <w:szCs w:val="16"/>
                  <w:u w:val="single"/>
                  <w:lang w:eastAsia="en-GB"/>
                </w:rPr>
                <w:t xml:space="preserve">https://www.england.nhs.uk/allocations/allocations-2014-15-and-2015-16/ </w:t>
              </w:r>
            </w:hyperlink>
          </w:p>
        </w:tc>
        <w:tc>
          <w:tcPr>
            <w:tcW w:w="989" w:type="dxa"/>
            <w:vMerge w:val="restart"/>
            <w:tcBorders>
              <w:top w:val="nil"/>
              <w:left w:val="nil"/>
              <w:bottom w:val="single" w:sz="4" w:space="0" w:color="D0CECE"/>
              <w:right w:val="nil"/>
            </w:tcBorders>
            <w:shd w:val="clear" w:color="000000" w:fill="FFFFFF"/>
            <w:vAlign w:val="center"/>
            <w:hideMark/>
          </w:tcPr>
          <w:p w14:paraId="32BBB5FB"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214A86A4" w14:textId="77777777" w:rsidTr="006D7E56">
        <w:trPr>
          <w:trHeight w:val="450"/>
        </w:trPr>
        <w:tc>
          <w:tcPr>
            <w:tcW w:w="2552" w:type="dxa"/>
            <w:tcBorders>
              <w:top w:val="nil"/>
              <w:left w:val="nil"/>
              <w:bottom w:val="nil"/>
              <w:right w:val="nil"/>
            </w:tcBorders>
            <w:shd w:val="clear" w:color="000000" w:fill="FFFFFF"/>
            <w:vAlign w:val="center"/>
            <w:hideMark/>
          </w:tcPr>
          <w:p w14:paraId="6EC7331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age-cost index</w:t>
            </w:r>
          </w:p>
        </w:tc>
        <w:tc>
          <w:tcPr>
            <w:tcW w:w="852" w:type="dxa"/>
            <w:vMerge/>
            <w:tcBorders>
              <w:top w:val="nil"/>
              <w:left w:val="nil"/>
              <w:bottom w:val="single" w:sz="4" w:space="0" w:color="D0CECE"/>
              <w:right w:val="nil"/>
            </w:tcBorders>
            <w:vAlign w:val="center"/>
            <w:hideMark/>
          </w:tcPr>
          <w:p w14:paraId="6AFFA051"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818" w:type="dxa"/>
            <w:vMerge/>
            <w:tcBorders>
              <w:top w:val="nil"/>
              <w:left w:val="nil"/>
              <w:bottom w:val="single" w:sz="4" w:space="0" w:color="D0CECE"/>
              <w:right w:val="nil"/>
            </w:tcBorders>
            <w:vAlign w:val="center"/>
            <w:hideMark/>
          </w:tcPr>
          <w:p w14:paraId="6BB62EA5"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765" w:type="dxa"/>
            <w:vMerge/>
            <w:tcBorders>
              <w:top w:val="nil"/>
              <w:left w:val="nil"/>
              <w:bottom w:val="single" w:sz="4" w:space="0" w:color="D0CECE"/>
              <w:right w:val="nil"/>
            </w:tcBorders>
            <w:vAlign w:val="center"/>
            <w:hideMark/>
          </w:tcPr>
          <w:p w14:paraId="47286D72"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1817" w:type="dxa"/>
            <w:vMerge/>
            <w:tcBorders>
              <w:top w:val="nil"/>
              <w:left w:val="nil"/>
              <w:bottom w:val="single" w:sz="4" w:space="0" w:color="D0CECE"/>
              <w:right w:val="nil"/>
            </w:tcBorders>
            <w:vAlign w:val="center"/>
            <w:hideMark/>
          </w:tcPr>
          <w:p w14:paraId="74FB91D7"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4536" w:type="dxa"/>
            <w:vMerge/>
            <w:tcBorders>
              <w:top w:val="nil"/>
              <w:left w:val="nil"/>
              <w:bottom w:val="single" w:sz="4" w:space="0" w:color="D0CECE"/>
              <w:right w:val="nil"/>
            </w:tcBorders>
            <w:vAlign w:val="center"/>
            <w:hideMark/>
          </w:tcPr>
          <w:p w14:paraId="7216E6BB" w14:textId="77777777" w:rsidR="006D7E56" w:rsidRPr="006D7E56" w:rsidRDefault="006D7E56" w:rsidP="006D7E56">
            <w:pPr>
              <w:widowControl/>
              <w:spacing w:after="0"/>
              <w:jc w:val="left"/>
              <w:rPr>
                <w:rFonts w:ascii="Calibri" w:eastAsia="Times New Roman" w:hAnsi="Calibri" w:cs="Calibri"/>
                <w:color w:val="0563C1"/>
                <w:sz w:val="16"/>
                <w:szCs w:val="16"/>
                <w:u w:val="single"/>
                <w:lang w:eastAsia="en-GB"/>
              </w:rPr>
            </w:pPr>
          </w:p>
        </w:tc>
        <w:tc>
          <w:tcPr>
            <w:tcW w:w="989" w:type="dxa"/>
            <w:vMerge/>
            <w:tcBorders>
              <w:top w:val="nil"/>
              <w:left w:val="nil"/>
              <w:bottom w:val="single" w:sz="4" w:space="0" w:color="D0CECE"/>
              <w:right w:val="nil"/>
            </w:tcBorders>
            <w:vAlign w:val="center"/>
            <w:hideMark/>
          </w:tcPr>
          <w:p w14:paraId="739E7710" w14:textId="77777777" w:rsidR="006D7E56" w:rsidRPr="006D7E56" w:rsidRDefault="006D7E56" w:rsidP="006D7E56">
            <w:pPr>
              <w:widowControl/>
              <w:spacing w:after="0"/>
              <w:jc w:val="left"/>
              <w:rPr>
                <w:rFonts w:ascii="Calibri" w:eastAsia="Times New Roman" w:hAnsi="Calibri" w:cs="Calibri"/>
                <w:sz w:val="16"/>
                <w:szCs w:val="16"/>
                <w:lang w:eastAsia="en-GB"/>
              </w:rPr>
            </w:pPr>
          </w:p>
        </w:tc>
      </w:tr>
      <w:tr w:rsidR="006D7E56" w:rsidRPr="006D7E56" w14:paraId="1792DBD9" w14:textId="77777777" w:rsidTr="006D7E56">
        <w:trPr>
          <w:trHeight w:val="450"/>
        </w:trPr>
        <w:tc>
          <w:tcPr>
            <w:tcW w:w="2552" w:type="dxa"/>
            <w:tcBorders>
              <w:top w:val="nil"/>
              <w:left w:val="nil"/>
              <w:bottom w:val="single" w:sz="4" w:space="0" w:color="D0CECE"/>
              <w:right w:val="nil"/>
            </w:tcBorders>
            <w:shd w:val="clear" w:color="000000" w:fill="FFFFFF"/>
            <w:vAlign w:val="center"/>
            <w:hideMark/>
          </w:tcPr>
          <w:p w14:paraId="431C15B9"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Market forces factor index</w:t>
            </w:r>
          </w:p>
        </w:tc>
        <w:tc>
          <w:tcPr>
            <w:tcW w:w="852" w:type="dxa"/>
            <w:vMerge/>
            <w:tcBorders>
              <w:top w:val="nil"/>
              <w:left w:val="nil"/>
              <w:bottom w:val="single" w:sz="4" w:space="0" w:color="D0CECE"/>
              <w:right w:val="nil"/>
            </w:tcBorders>
            <w:vAlign w:val="center"/>
            <w:hideMark/>
          </w:tcPr>
          <w:p w14:paraId="277A3360"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818" w:type="dxa"/>
            <w:vMerge/>
            <w:tcBorders>
              <w:top w:val="nil"/>
              <w:left w:val="nil"/>
              <w:bottom w:val="single" w:sz="4" w:space="0" w:color="D0CECE"/>
              <w:right w:val="nil"/>
            </w:tcBorders>
            <w:vAlign w:val="center"/>
            <w:hideMark/>
          </w:tcPr>
          <w:p w14:paraId="1611A333"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765" w:type="dxa"/>
            <w:vMerge/>
            <w:tcBorders>
              <w:top w:val="nil"/>
              <w:left w:val="nil"/>
              <w:bottom w:val="single" w:sz="4" w:space="0" w:color="D0CECE"/>
              <w:right w:val="nil"/>
            </w:tcBorders>
            <w:vAlign w:val="center"/>
            <w:hideMark/>
          </w:tcPr>
          <w:p w14:paraId="3DAE8D48"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1817" w:type="dxa"/>
            <w:vMerge/>
            <w:tcBorders>
              <w:top w:val="nil"/>
              <w:left w:val="nil"/>
              <w:bottom w:val="single" w:sz="4" w:space="0" w:color="D0CECE"/>
              <w:right w:val="nil"/>
            </w:tcBorders>
            <w:vAlign w:val="center"/>
            <w:hideMark/>
          </w:tcPr>
          <w:p w14:paraId="6C6ECE02"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p>
        </w:tc>
        <w:tc>
          <w:tcPr>
            <w:tcW w:w="4536" w:type="dxa"/>
            <w:vMerge/>
            <w:tcBorders>
              <w:top w:val="nil"/>
              <w:left w:val="nil"/>
              <w:bottom w:val="single" w:sz="4" w:space="0" w:color="D0CECE"/>
              <w:right w:val="nil"/>
            </w:tcBorders>
            <w:vAlign w:val="center"/>
            <w:hideMark/>
          </w:tcPr>
          <w:p w14:paraId="71E20E2C" w14:textId="77777777" w:rsidR="006D7E56" w:rsidRPr="006D7E56" w:rsidRDefault="006D7E56" w:rsidP="006D7E56">
            <w:pPr>
              <w:widowControl/>
              <w:spacing w:after="0"/>
              <w:jc w:val="left"/>
              <w:rPr>
                <w:rFonts w:ascii="Calibri" w:eastAsia="Times New Roman" w:hAnsi="Calibri" w:cs="Calibri"/>
                <w:color w:val="0563C1"/>
                <w:sz w:val="16"/>
                <w:szCs w:val="16"/>
                <w:u w:val="single"/>
                <w:lang w:eastAsia="en-GB"/>
              </w:rPr>
            </w:pPr>
          </w:p>
        </w:tc>
        <w:tc>
          <w:tcPr>
            <w:tcW w:w="989" w:type="dxa"/>
            <w:vMerge/>
            <w:tcBorders>
              <w:top w:val="nil"/>
              <w:left w:val="nil"/>
              <w:bottom w:val="single" w:sz="4" w:space="0" w:color="D0CECE"/>
              <w:right w:val="nil"/>
            </w:tcBorders>
            <w:vAlign w:val="center"/>
            <w:hideMark/>
          </w:tcPr>
          <w:p w14:paraId="08469A1C" w14:textId="77777777" w:rsidR="006D7E56" w:rsidRPr="006D7E56" w:rsidRDefault="006D7E56" w:rsidP="006D7E56">
            <w:pPr>
              <w:widowControl/>
              <w:spacing w:after="0"/>
              <w:jc w:val="left"/>
              <w:rPr>
                <w:rFonts w:ascii="Calibri" w:eastAsia="Times New Roman" w:hAnsi="Calibri" w:cs="Calibri"/>
                <w:sz w:val="16"/>
                <w:szCs w:val="16"/>
                <w:lang w:eastAsia="en-GB"/>
              </w:rPr>
            </w:pPr>
          </w:p>
        </w:tc>
      </w:tr>
      <w:tr w:rsidR="006D7E56" w:rsidRPr="006D7E56" w14:paraId="56C6FB68" w14:textId="77777777" w:rsidTr="006D7E56">
        <w:trPr>
          <w:trHeight w:val="450"/>
        </w:trPr>
        <w:tc>
          <w:tcPr>
            <w:tcW w:w="2552" w:type="dxa"/>
            <w:tcBorders>
              <w:top w:val="nil"/>
              <w:left w:val="nil"/>
              <w:bottom w:val="single" w:sz="4" w:space="0" w:color="D0CECE"/>
              <w:right w:val="nil"/>
            </w:tcBorders>
            <w:shd w:val="clear" w:color="000000" w:fill="FFFFFF"/>
            <w:vAlign w:val="center"/>
            <w:hideMark/>
          </w:tcPr>
          <w:p w14:paraId="7808C5BB"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Council tax base</w:t>
            </w:r>
          </w:p>
        </w:tc>
        <w:tc>
          <w:tcPr>
            <w:tcW w:w="852" w:type="dxa"/>
            <w:tcBorders>
              <w:top w:val="nil"/>
              <w:left w:val="nil"/>
              <w:bottom w:val="single" w:sz="4" w:space="0" w:color="D0CECE"/>
              <w:right w:val="nil"/>
            </w:tcBorders>
            <w:shd w:val="clear" w:color="000000" w:fill="FFFFFF"/>
            <w:vAlign w:val="center"/>
            <w:hideMark/>
          </w:tcPr>
          <w:p w14:paraId="0396961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4308AD46"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3EEC23C2"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04248E5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Government website: Council Tax statistics</w:t>
            </w:r>
          </w:p>
        </w:tc>
        <w:tc>
          <w:tcPr>
            <w:tcW w:w="4536" w:type="dxa"/>
            <w:tcBorders>
              <w:top w:val="nil"/>
              <w:left w:val="nil"/>
              <w:bottom w:val="single" w:sz="4" w:space="0" w:color="D0CECE"/>
              <w:right w:val="nil"/>
            </w:tcBorders>
            <w:shd w:val="clear" w:color="000000" w:fill="FFFFFF"/>
            <w:vAlign w:val="center"/>
            <w:hideMark/>
          </w:tcPr>
          <w:p w14:paraId="09755050" w14:textId="6A9E0FF7"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4" w:history="1">
              <w:r w:rsidR="006D7E56" w:rsidRPr="006D7E56">
                <w:rPr>
                  <w:rFonts w:ascii="Calibri" w:eastAsia="Times New Roman" w:hAnsi="Calibri" w:cs="Calibri"/>
                  <w:color w:val="0563C1"/>
                  <w:sz w:val="16"/>
                  <w:szCs w:val="16"/>
                  <w:u w:val="single"/>
                  <w:lang w:eastAsia="en-GB"/>
                </w:rPr>
                <w:t>https://www.gov.uk/government/statistics/council-tax-levels-set-by-local-authorities-in-england-2014-to-2015</w:t>
              </w:r>
            </w:hyperlink>
          </w:p>
        </w:tc>
        <w:tc>
          <w:tcPr>
            <w:tcW w:w="989" w:type="dxa"/>
            <w:tcBorders>
              <w:top w:val="nil"/>
              <w:left w:val="nil"/>
              <w:bottom w:val="single" w:sz="4" w:space="0" w:color="D0CECE"/>
              <w:right w:val="nil"/>
            </w:tcBorders>
            <w:shd w:val="clear" w:color="000000" w:fill="FFFFFF"/>
            <w:vAlign w:val="center"/>
            <w:hideMark/>
          </w:tcPr>
          <w:p w14:paraId="7496C315"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4F4C4797" w14:textId="77777777" w:rsidTr="006D7E56">
        <w:trPr>
          <w:trHeight w:val="900"/>
        </w:trPr>
        <w:tc>
          <w:tcPr>
            <w:tcW w:w="2552" w:type="dxa"/>
            <w:tcBorders>
              <w:top w:val="nil"/>
              <w:left w:val="nil"/>
              <w:bottom w:val="single" w:sz="4" w:space="0" w:color="D0CECE"/>
              <w:right w:val="nil"/>
            </w:tcBorders>
            <w:shd w:val="clear" w:color="000000" w:fill="FFFFFF"/>
            <w:vAlign w:val="center"/>
            <w:hideMark/>
          </w:tcPr>
          <w:p w14:paraId="2AA7AB82"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Business rate tax base</w:t>
            </w:r>
          </w:p>
        </w:tc>
        <w:tc>
          <w:tcPr>
            <w:tcW w:w="852" w:type="dxa"/>
            <w:tcBorders>
              <w:top w:val="nil"/>
              <w:left w:val="nil"/>
              <w:bottom w:val="single" w:sz="4" w:space="0" w:color="D0CECE"/>
              <w:right w:val="nil"/>
            </w:tcBorders>
            <w:shd w:val="clear" w:color="000000" w:fill="FFFFFF"/>
            <w:vAlign w:val="center"/>
            <w:hideMark/>
          </w:tcPr>
          <w:p w14:paraId="7D6B7530"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D0CECE"/>
              <w:right w:val="nil"/>
            </w:tcBorders>
            <w:shd w:val="clear" w:color="000000" w:fill="FFFFFF"/>
            <w:vAlign w:val="center"/>
            <w:hideMark/>
          </w:tcPr>
          <w:p w14:paraId="1E7B9FE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D0CECE"/>
              <w:right w:val="nil"/>
            </w:tcBorders>
            <w:shd w:val="clear" w:color="000000" w:fill="FFFFFF"/>
            <w:vAlign w:val="center"/>
            <w:hideMark/>
          </w:tcPr>
          <w:p w14:paraId="07B26FA9"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2014/15</w:t>
            </w:r>
          </w:p>
        </w:tc>
        <w:tc>
          <w:tcPr>
            <w:tcW w:w="1817" w:type="dxa"/>
            <w:tcBorders>
              <w:top w:val="nil"/>
              <w:left w:val="nil"/>
              <w:bottom w:val="single" w:sz="4" w:space="0" w:color="D0CECE"/>
              <w:right w:val="nil"/>
            </w:tcBorders>
            <w:shd w:val="clear" w:color="000000" w:fill="FFFFFF"/>
            <w:vAlign w:val="center"/>
            <w:hideMark/>
          </w:tcPr>
          <w:p w14:paraId="63725AD8"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Government website: Non-domestic rating: stock of properties collection</w:t>
            </w:r>
          </w:p>
        </w:tc>
        <w:tc>
          <w:tcPr>
            <w:tcW w:w="4536" w:type="dxa"/>
            <w:tcBorders>
              <w:top w:val="nil"/>
              <w:left w:val="nil"/>
              <w:bottom w:val="single" w:sz="4" w:space="0" w:color="D0CECE"/>
              <w:right w:val="nil"/>
            </w:tcBorders>
            <w:shd w:val="clear" w:color="000000" w:fill="FFFFFF"/>
            <w:vAlign w:val="center"/>
            <w:hideMark/>
          </w:tcPr>
          <w:p w14:paraId="3513F001" w14:textId="4CD76792"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5" w:history="1">
              <w:r w:rsidR="006D7E56" w:rsidRPr="006D7E56">
                <w:rPr>
                  <w:rFonts w:ascii="Calibri" w:eastAsia="Times New Roman" w:hAnsi="Calibri" w:cs="Calibri"/>
                  <w:color w:val="0563C1"/>
                  <w:sz w:val="16"/>
                  <w:szCs w:val="16"/>
                  <w:u w:val="single"/>
                  <w:lang w:eastAsia="en-GB"/>
                </w:rPr>
                <w:t>https://www.gov.uk/government/statistics/central-and-local-rating-lists-summary-england-and-wales</w:t>
              </w:r>
            </w:hyperlink>
          </w:p>
        </w:tc>
        <w:tc>
          <w:tcPr>
            <w:tcW w:w="989" w:type="dxa"/>
            <w:tcBorders>
              <w:top w:val="nil"/>
              <w:left w:val="nil"/>
              <w:bottom w:val="single" w:sz="4" w:space="0" w:color="D0CECE"/>
              <w:right w:val="nil"/>
            </w:tcBorders>
            <w:shd w:val="clear" w:color="000000" w:fill="FFFFFF"/>
            <w:vAlign w:val="center"/>
            <w:hideMark/>
          </w:tcPr>
          <w:p w14:paraId="58EB208B"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r w:rsidR="006D7E56" w:rsidRPr="006D7E56" w14:paraId="47AA1EE9" w14:textId="77777777" w:rsidTr="006D7E56">
        <w:trPr>
          <w:trHeight w:val="450"/>
        </w:trPr>
        <w:tc>
          <w:tcPr>
            <w:tcW w:w="2552" w:type="dxa"/>
            <w:tcBorders>
              <w:top w:val="nil"/>
              <w:left w:val="nil"/>
              <w:bottom w:val="single" w:sz="4" w:space="0" w:color="auto"/>
              <w:right w:val="nil"/>
            </w:tcBorders>
            <w:shd w:val="clear" w:color="000000" w:fill="FFFFFF"/>
            <w:vAlign w:val="center"/>
            <w:hideMark/>
          </w:tcPr>
          <w:p w14:paraId="3C63568E" w14:textId="77777777" w:rsidR="006D7E56" w:rsidRPr="006D7E56" w:rsidRDefault="006D7E56" w:rsidP="006D7E56">
            <w:pPr>
              <w:widowControl/>
              <w:spacing w:after="0"/>
              <w:jc w:val="left"/>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Area cost adjustment index</w:t>
            </w:r>
          </w:p>
        </w:tc>
        <w:tc>
          <w:tcPr>
            <w:tcW w:w="852" w:type="dxa"/>
            <w:tcBorders>
              <w:top w:val="nil"/>
              <w:left w:val="nil"/>
              <w:bottom w:val="single" w:sz="4" w:space="0" w:color="auto"/>
              <w:right w:val="nil"/>
            </w:tcBorders>
            <w:shd w:val="clear" w:color="000000" w:fill="FFFFFF"/>
            <w:vAlign w:val="center"/>
            <w:hideMark/>
          </w:tcPr>
          <w:p w14:paraId="49FC523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818" w:type="dxa"/>
            <w:tcBorders>
              <w:top w:val="nil"/>
              <w:left w:val="nil"/>
              <w:bottom w:val="single" w:sz="4" w:space="0" w:color="auto"/>
              <w:right w:val="nil"/>
            </w:tcBorders>
            <w:shd w:val="clear" w:color="000000" w:fill="FFFFFF"/>
            <w:vAlign w:val="center"/>
            <w:hideMark/>
          </w:tcPr>
          <w:p w14:paraId="6FEBC107"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Local authority</w:t>
            </w:r>
          </w:p>
        </w:tc>
        <w:tc>
          <w:tcPr>
            <w:tcW w:w="765" w:type="dxa"/>
            <w:tcBorders>
              <w:top w:val="nil"/>
              <w:left w:val="nil"/>
              <w:bottom w:val="single" w:sz="4" w:space="0" w:color="auto"/>
              <w:right w:val="nil"/>
            </w:tcBorders>
            <w:shd w:val="clear" w:color="000000" w:fill="FFFFFF"/>
            <w:vAlign w:val="center"/>
            <w:hideMark/>
          </w:tcPr>
          <w:p w14:paraId="425925B3"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2013/14</w:t>
            </w:r>
          </w:p>
        </w:tc>
        <w:tc>
          <w:tcPr>
            <w:tcW w:w="1817" w:type="dxa"/>
            <w:tcBorders>
              <w:top w:val="nil"/>
              <w:left w:val="nil"/>
              <w:bottom w:val="single" w:sz="4" w:space="0" w:color="auto"/>
              <w:right w:val="nil"/>
            </w:tcBorders>
            <w:shd w:val="clear" w:color="000000" w:fill="FFFFFF"/>
            <w:vAlign w:val="center"/>
            <w:hideMark/>
          </w:tcPr>
          <w:p w14:paraId="71081D1D" w14:textId="77777777" w:rsidR="006D7E56" w:rsidRPr="006D7E56" w:rsidRDefault="006D7E56" w:rsidP="006D7E56">
            <w:pPr>
              <w:widowControl/>
              <w:spacing w:after="0"/>
              <w:jc w:val="center"/>
              <w:rPr>
                <w:rFonts w:ascii="Calibri" w:eastAsia="Times New Roman" w:hAnsi="Calibri" w:cs="Calibri"/>
                <w:color w:val="000000"/>
                <w:sz w:val="16"/>
                <w:szCs w:val="16"/>
                <w:lang w:eastAsia="en-GB"/>
              </w:rPr>
            </w:pPr>
            <w:r w:rsidRPr="006D7E56">
              <w:rPr>
                <w:rFonts w:ascii="Calibri" w:eastAsia="Times New Roman" w:hAnsi="Calibri" w:cs="Calibri"/>
                <w:color w:val="000000"/>
                <w:sz w:val="16"/>
                <w:szCs w:val="16"/>
                <w:lang w:eastAsia="en-GB"/>
              </w:rPr>
              <w:t>National archive</w:t>
            </w:r>
          </w:p>
        </w:tc>
        <w:tc>
          <w:tcPr>
            <w:tcW w:w="4536" w:type="dxa"/>
            <w:tcBorders>
              <w:top w:val="nil"/>
              <w:left w:val="nil"/>
              <w:bottom w:val="single" w:sz="4" w:space="0" w:color="auto"/>
              <w:right w:val="nil"/>
            </w:tcBorders>
            <w:shd w:val="clear" w:color="000000" w:fill="FFFFFF"/>
            <w:vAlign w:val="center"/>
            <w:hideMark/>
          </w:tcPr>
          <w:p w14:paraId="5F51E09D" w14:textId="7EAD3B01" w:rsidR="006D7E56" w:rsidRPr="006D7E56" w:rsidRDefault="002A7365" w:rsidP="006D7E56">
            <w:pPr>
              <w:widowControl/>
              <w:spacing w:after="0"/>
              <w:jc w:val="left"/>
              <w:rPr>
                <w:rFonts w:ascii="Calibri" w:eastAsia="Times New Roman" w:hAnsi="Calibri" w:cs="Calibri"/>
                <w:color w:val="0563C1"/>
                <w:sz w:val="16"/>
                <w:szCs w:val="16"/>
                <w:u w:val="single"/>
                <w:lang w:eastAsia="en-GB"/>
              </w:rPr>
            </w:pPr>
            <w:hyperlink r:id="rId106" w:history="1">
              <w:r w:rsidR="006D7E56" w:rsidRPr="006D7E56">
                <w:rPr>
                  <w:rFonts w:ascii="Calibri" w:eastAsia="Times New Roman" w:hAnsi="Calibri" w:cs="Calibri"/>
                  <w:color w:val="0563C1"/>
                  <w:sz w:val="16"/>
                  <w:szCs w:val="16"/>
                  <w:u w:val="single"/>
                  <w:lang w:eastAsia="en-GB"/>
                </w:rPr>
                <w:t>https://webarchive.nationalarchives.gov.uk/20140505105851/http:/www.local.communities.gov.uk/finance/1314/CalcFFs.pdf</w:t>
              </w:r>
            </w:hyperlink>
          </w:p>
        </w:tc>
        <w:tc>
          <w:tcPr>
            <w:tcW w:w="989" w:type="dxa"/>
            <w:tcBorders>
              <w:top w:val="nil"/>
              <w:left w:val="nil"/>
              <w:bottom w:val="single" w:sz="4" w:space="0" w:color="auto"/>
              <w:right w:val="nil"/>
            </w:tcBorders>
            <w:shd w:val="clear" w:color="000000" w:fill="FFFFFF"/>
            <w:vAlign w:val="center"/>
            <w:hideMark/>
          </w:tcPr>
          <w:p w14:paraId="6322C345" w14:textId="77777777" w:rsidR="006D7E56" w:rsidRPr="006D7E56" w:rsidRDefault="006D7E56" w:rsidP="006D7E56">
            <w:pPr>
              <w:widowControl/>
              <w:spacing w:after="0"/>
              <w:jc w:val="center"/>
              <w:rPr>
                <w:rFonts w:ascii="Calibri" w:eastAsia="Times New Roman" w:hAnsi="Calibri" w:cs="Calibri"/>
                <w:sz w:val="16"/>
                <w:szCs w:val="16"/>
                <w:lang w:eastAsia="en-GB"/>
              </w:rPr>
            </w:pPr>
            <w:r w:rsidRPr="006D7E56">
              <w:rPr>
                <w:rFonts w:ascii="Calibri" w:eastAsia="Times New Roman" w:hAnsi="Calibri" w:cs="Calibri"/>
                <w:sz w:val="16"/>
                <w:szCs w:val="16"/>
                <w:lang w:eastAsia="en-GB"/>
              </w:rPr>
              <w:t>08/01/2021</w:t>
            </w:r>
          </w:p>
        </w:tc>
      </w:tr>
    </w:tbl>
    <w:p w14:paraId="650FB3D0" w14:textId="352FC064" w:rsidR="005F06E4" w:rsidRPr="002A4884" w:rsidRDefault="005F06E4" w:rsidP="00E564D3">
      <w:pPr>
        <w:sectPr w:rsidR="005F06E4" w:rsidRPr="002A4884" w:rsidSect="00756F44">
          <w:pgSz w:w="11906" w:h="16838"/>
          <w:pgMar w:top="720" w:right="720" w:bottom="720" w:left="720" w:header="0" w:footer="0" w:gutter="0"/>
          <w:cols w:space="708"/>
          <w:docGrid w:linePitch="360"/>
        </w:sectPr>
      </w:pPr>
    </w:p>
    <w:p w14:paraId="2B1187EA" w14:textId="649CF1E4" w:rsidR="00CD1EA2" w:rsidRPr="002A4884" w:rsidRDefault="00CD1EA2" w:rsidP="00CD1EA2">
      <w:pPr>
        <w:pStyle w:val="Caption"/>
      </w:pPr>
      <w:bookmarkStart w:id="46" w:name="_Ref89097895"/>
      <w:bookmarkStart w:id="47" w:name="_Ref89090653"/>
      <w:bookmarkStart w:id="48" w:name="_Ref61533639"/>
      <w:r w:rsidRPr="002A4884">
        <w:lastRenderedPageBreak/>
        <w:t>Table A</w:t>
      </w:r>
      <w:r w:rsidR="002A7365">
        <w:fldChar w:fldCharType="begin"/>
      </w:r>
      <w:r w:rsidR="002A7365">
        <w:instrText xml:space="preserve"> SEQ Table_A \* ARABIC </w:instrText>
      </w:r>
      <w:r w:rsidR="002A7365">
        <w:fldChar w:fldCharType="separate"/>
      </w:r>
      <w:r w:rsidR="007C7B62">
        <w:rPr>
          <w:noProof/>
        </w:rPr>
        <w:t>2</w:t>
      </w:r>
      <w:r w:rsidR="002A7365">
        <w:rPr>
          <w:noProof/>
        </w:rPr>
        <w:fldChar w:fldCharType="end"/>
      </w:r>
      <w:bookmarkEnd w:id="46"/>
      <w:r w:rsidRPr="002A4884">
        <w:t xml:space="preserve"> –</w:t>
      </w:r>
      <w:r>
        <w:t xml:space="preserve"> First-stage results</w:t>
      </w:r>
      <w:r w:rsidRPr="002A4884">
        <w:t>.</w:t>
      </w:r>
    </w:p>
    <w:tbl>
      <w:tblPr>
        <w:tblW w:w="14640" w:type="dxa"/>
        <w:tblLook w:val="04A0" w:firstRow="1" w:lastRow="0" w:firstColumn="1" w:lastColumn="0" w:noHBand="0" w:noVBand="1"/>
      </w:tblPr>
      <w:tblGrid>
        <w:gridCol w:w="418"/>
        <w:gridCol w:w="3447"/>
        <w:gridCol w:w="1007"/>
        <w:gridCol w:w="1007"/>
        <w:gridCol w:w="253"/>
        <w:gridCol w:w="1007"/>
        <w:gridCol w:w="1007"/>
        <w:gridCol w:w="1007"/>
        <w:gridCol w:w="253"/>
        <w:gridCol w:w="1280"/>
        <w:gridCol w:w="1280"/>
        <w:gridCol w:w="253"/>
        <w:gridCol w:w="1007"/>
        <w:gridCol w:w="1020"/>
        <w:gridCol w:w="1007"/>
      </w:tblGrid>
      <w:tr w:rsidR="00CD1EA2" w:rsidRPr="00FC16DB" w14:paraId="7D40CA17" w14:textId="77777777" w:rsidTr="00143E13">
        <w:trPr>
          <w:trHeight w:val="255"/>
        </w:trPr>
        <w:tc>
          <w:tcPr>
            <w:tcW w:w="3740" w:type="dxa"/>
            <w:gridSpan w:val="2"/>
            <w:vMerge w:val="restart"/>
            <w:tcBorders>
              <w:top w:val="single" w:sz="4" w:space="0" w:color="auto"/>
              <w:left w:val="nil"/>
              <w:bottom w:val="single" w:sz="4" w:space="0" w:color="000000"/>
              <w:right w:val="nil"/>
            </w:tcBorders>
            <w:shd w:val="clear" w:color="000000" w:fill="FFFFFF"/>
            <w:noWrap/>
            <w:vAlign w:val="center"/>
            <w:hideMark/>
          </w:tcPr>
          <w:p w14:paraId="5A97F77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Variable</w:t>
            </w:r>
          </w:p>
        </w:tc>
        <w:tc>
          <w:tcPr>
            <w:tcW w:w="1960" w:type="dxa"/>
            <w:gridSpan w:val="2"/>
            <w:tcBorders>
              <w:top w:val="single" w:sz="4" w:space="0" w:color="auto"/>
              <w:left w:val="nil"/>
              <w:bottom w:val="single" w:sz="4" w:space="0" w:color="auto"/>
              <w:right w:val="nil"/>
            </w:tcBorders>
            <w:shd w:val="clear" w:color="000000" w:fill="FFFFFF"/>
            <w:noWrap/>
            <w:vAlign w:val="center"/>
            <w:hideMark/>
          </w:tcPr>
          <w:p w14:paraId="12FE94A9"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Regression (2)</w:t>
            </w:r>
          </w:p>
        </w:tc>
        <w:tc>
          <w:tcPr>
            <w:tcW w:w="180" w:type="dxa"/>
            <w:tcBorders>
              <w:top w:val="single" w:sz="4" w:space="0" w:color="auto"/>
              <w:left w:val="nil"/>
              <w:bottom w:val="nil"/>
              <w:right w:val="nil"/>
            </w:tcBorders>
            <w:shd w:val="clear" w:color="000000" w:fill="FFFFFF"/>
            <w:noWrap/>
            <w:vAlign w:val="center"/>
            <w:hideMark/>
          </w:tcPr>
          <w:p w14:paraId="4B99E2D9"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2840" w:type="dxa"/>
            <w:gridSpan w:val="3"/>
            <w:tcBorders>
              <w:top w:val="single" w:sz="4" w:space="0" w:color="auto"/>
              <w:left w:val="nil"/>
              <w:bottom w:val="single" w:sz="4" w:space="0" w:color="auto"/>
              <w:right w:val="nil"/>
            </w:tcBorders>
            <w:shd w:val="clear" w:color="000000" w:fill="FFFFFF"/>
            <w:noWrap/>
            <w:vAlign w:val="center"/>
            <w:hideMark/>
          </w:tcPr>
          <w:p w14:paraId="69A0754C"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Regression (5)</w:t>
            </w:r>
          </w:p>
        </w:tc>
        <w:tc>
          <w:tcPr>
            <w:tcW w:w="180" w:type="dxa"/>
            <w:tcBorders>
              <w:top w:val="single" w:sz="4" w:space="0" w:color="auto"/>
              <w:left w:val="nil"/>
              <w:bottom w:val="nil"/>
              <w:right w:val="nil"/>
            </w:tcBorders>
            <w:shd w:val="clear" w:color="000000" w:fill="FFFFFF"/>
            <w:noWrap/>
            <w:vAlign w:val="center"/>
            <w:hideMark/>
          </w:tcPr>
          <w:p w14:paraId="4BC0D5FA"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single" w:sz="4" w:space="0" w:color="auto"/>
              <w:left w:val="nil"/>
              <w:bottom w:val="single" w:sz="4" w:space="0" w:color="auto"/>
              <w:right w:val="nil"/>
            </w:tcBorders>
            <w:shd w:val="clear" w:color="000000" w:fill="FFFFFF"/>
            <w:noWrap/>
            <w:vAlign w:val="center"/>
            <w:hideMark/>
          </w:tcPr>
          <w:p w14:paraId="3FDDAAD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Regression (6)</w:t>
            </w:r>
          </w:p>
        </w:tc>
        <w:tc>
          <w:tcPr>
            <w:tcW w:w="1280" w:type="dxa"/>
            <w:tcBorders>
              <w:top w:val="single" w:sz="4" w:space="0" w:color="auto"/>
              <w:left w:val="nil"/>
              <w:bottom w:val="single" w:sz="4" w:space="0" w:color="auto"/>
              <w:right w:val="nil"/>
            </w:tcBorders>
            <w:shd w:val="clear" w:color="000000" w:fill="FFFFFF"/>
            <w:noWrap/>
            <w:vAlign w:val="center"/>
            <w:hideMark/>
          </w:tcPr>
          <w:p w14:paraId="35EFDDD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Regression (7)</w:t>
            </w:r>
          </w:p>
        </w:tc>
        <w:tc>
          <w:tcPr>
            <w:tcW w:w="180" w:type="dxa"/>
            <w:tcBorders>
              <w:top w:val="single" w:sz="4" w:space="0" w:color="auto"/>
              <w:left w:val="nil"/>
              <w:bottom w:val="nil"/>
              <w:right w:val="nil"/>
            </w:tcBorders>
            <w:shd w:val="clear" w:color="000000" w:fill="FFFFFF"/>
            <w:noWrap/>
            <w:vAlign w:val="center"/>
            <w:hideMark/>
          </w:tcPr>
          <w:p w14:paraId="4E1E2B8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3000" w:type="dxa"/>
            <w:gridSpan w:val="3"/>
            <w:tcBorders>
              <w:top w:val="single" w:sz="4" w:space="0" w:color="auto"/>
              <w:left w:val="nil"/>
              <w:bottom w:val="single" w:sz="4" w:space="0" w:color="auto"/>
              <w:right w:val="nil"/>
            </w:tcBorders>
            <w:shd w:val="clear" w:color="000000" w:fill="FFFFFF"/>
            <w:noWrap/>
            <w:vAlign w:val="center"/>
            <w:hideMark/>
          </w:tcPr>
          <w:p w14:paraId="7678397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Regression (8)</w:t>
            </w:r>
          </w:p>
        </w:tc>
      </w:tr>
      <w:tr w:rsidR="00CD1EA2" w:rsidRPr="00FC16DB" w14:paraId="336676C0" w14:textId="77777777" w:rsidTr="00143E13">
        <w:trPr>
          <w:trHeight w:val="1350"/>
        </w:trPr>
        <w:tc>
          <w:tcPr>
            <w:tcW w:w="3740" w:type="dxa"/>
            <w:gridSpan w:val="2"/>
            <w:vMerge/>
            <w:tcBorders>
              <w:top w:val="single" w:sz="4" w:space="0" w:color="auto"/>
              <w:left w:val="nil"/>
              <w:bottom w:val="single" w:sz="4" w:space="0" w:color="000000"/>
              <w:right w:val="nil"/>
            </w:tcBorders>
            <w:vAlign w:val="center"/>
            <w:hideMark/>
          </w:tcPr>
          <w:p w14:paraId="3995C1FA"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980" w:type="dxa"/>
            <w:tcBorders>
              <w:top w:val="nil"/>
              <w:left w:val="nil"/>
              <w:bottom w:val="single" w:sz="4" w:space="0" w:color="auto"/>
              <w:right w:val="nil"/>
            </w:tcBorders>
            <w:shd w:val="clear" w:color="000000" w:fill="FFFFFF"/>
            <w:vAlign w:val="center"/>
            <w:hideMark/>
          </w:tcPr>
          <w:p w14:paraId="413F63C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health care expenditure per capita</w:t>
            </w:r>
          </w:p>
        </w:tc>
        <w:tc>
          <w:tcPr>
            <w:tcW w:w="980" w:type="dxa"/>
            <w:tcBorders>
              <w:top w:val="nil"/>
              <w:left w:val="nil"/>
              <w:bottom w:val="single" w:sz="4" w:space="0" w:color="auto"/>
              <w:right w:val="nil"/>
            </w:tcBorders>
            <w:shd w:val="clear" w:color="000000" w:fill="FFFFFF"/>
            <w:vAlign w:val="center"/>
            <w:hideMark/>
          </w:tcPr>
          <w:p w14:paraId="37E34F2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long-term care expenditure per user</w:t>
            </w:r>
          </w:p>
        </w:tc>
        <w:tc>
          <w:tcPr>
            <w:tcW w:w="180" w:type="dxa"/>
            <w:tcBorders>
              <w:top w:val="nil"/>
              <w:left w:val="nil"/>
              <w:bottom w:val="single" w:sz="4" w:space="0" w:color="auto"/>
              <w:right w:val="nil"/>
            </w:tcBorders>
            <w:shd w:val="clear" w:color="000000" w:fill="FFFFFF"/>
            <w:vAlign w:val="center"/>
            <w:hideMark/>
          </w:tcPr>
          <w:p w14:paraId="265FD20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single" w:sz="4" w:space="0" w:color="auto"/>
              <w:right w:val="nil"/>
            </w:tcBorders>
            <w:shd w:val="clear" w:color="000000" w:fill="FFFFFF"/>
            <w:vAlign w:val="center"/>
            <w:hideMark/>
          </w:tcPr>
          <w:p w14:paraId="45080D2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health care expenditure per capita</w:t>
            </w:r>
          </w:p>
        </w:tc>
        <w:tc>
          <w:tcPr>
            <w:tcW w:w="880" w:type="dxa"/>
            <w:tcBorders>
              <w:top w:val="nil"/>
              <w:left w:val="nil"/>
              <w:bottom w:val="single" w:sz="4" w:space="0" w:color="auto"/>
              <w:right w:val="nil"/>
            </w:tcBorders>
            <w:shd w:val="clear" w:color="000000" w:fill="FFFFFF"/>
            <w:vAlign w:val="center"/>
            <w:hideMark/>
          </w:tcPr>
          <w:p w14:paraId="60ECC7F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long-term care expenditure per user</w:t>
            </w:r>
          </w:p>
        </w:tc>
        <w:tc>
          <w:tcPr>
            <w:tcW w:w="980" w:type="dxa"/>
            <w:tcBorders>
              <w:top w:val="nil"/>
              <w:left w:val="nil"/>
              <w:bottom w:val="single" w:sz="4" w:space="0" w:color="auto"/>
              <w:right w:val="nil"/>
            </w:tcBorders>
            <w:shd w:val="clear" w:color="000000" w:fill="FFFFFF"/>
            <w:vAlign w:val="center"/>
            <w:hideMark/>
          </w:tcPr>
          <w:p w14:paraId="76C016C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Interaction between expenditure variables</w:t>
            </w:r>
          </w:p>
        </w:tc>
        <w:tc>
          <w:tcPr>
            <w:tcW w:w="180" w:type="dxa"/>
            <w:tcBorders>
              <w:top w:val="nil"/>
              <w:left w:val="nil"/>
              <w:bottom w:val="single" w:sz="4" w:space="0" w:color="auto"/>
              <w:right w:val="nil"/>
            </w:tcBorders>
            <w:shd w:val="clear" w:color="000000" w:fill="FFFFFF"/>
            <w:vAlign w:val="center"/>
            <w:hideMark/>
          </w:tcPr>
          <w:p w14:paraId="4237F95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single" w:sz="4" w:space="0" w:color="auto"/>
              <w:right w:val="nil"/>
            </w:tcBorders>
            <w:shd w:val="clear" w:color="000000" w:fill="FFFFFF"/>
            <w:vAlign w:val="center"/>
            <w:hideMark/>
          </w:tcPr>
          <w:p w14:paraId="7866297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long-term care expenditure per user</w:t>
            </w:r>
          </w:p>
        </w:tc>
        <w:tc>
          <w:tcPr>
            <w:tcW w:w="1280" w:type="dxa"/>
            <w:tcBorders>
              <w:top w:val="nil"/>
              <w:left w:val="nil"/>
              <w:bottom w:val="single" w:sz="4" w:space="0" w:color="auto"/>
              <w:right w:val="nil"/>
            </w:tcBorders>
            <w:shd w:val="clear" w:color="000000" w:fill="FFFFFF"/>
            <w:vAlign w:val="center"/>
            <w:hideMark/>
          </w:tcPr>
          <w:p w14:paraId="0252B64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health care expenditure per capita</w:t>
            </w:r>
          </w:p>
        </w:tc>
        <w:tc>
          <w:tcPr>
            <w:tcW w:w="180" w:type="dxa"/>
            <w:tcBorders>
              <w:top w:val="nil"/>
              <w:left w:val="nil"/>
              <w:bottom w:val="single" w:sz="4" w:space="0" w:color="auto"/>
              <w:right w:val="nil"/>
            </w:tcBorders>
            <w:shd w:val="clear" w:color="000000" w:fill="FFFFFF"/>
            <w:vAlign w:val="center"/>
            <w:hideMark/>
          </w:tcPr>
          <w:p w14:paraId="3A27335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single" w:sz="4" w:space="0" w:color="auto"/>
              <w:right w:val="nil"/>
            </w:tcBorders>
            <w:shd w:val="clear" w:color="000000" w:fill="FFFFFF"/>
            <w:vAlign w:val="center"/>
            <w:hideMark/>
          </w:tcPr>
          <w:p w14:paraId="0CE91B8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decreasing portion of health care expenditure per capita</w:t>
            </w:r>
          </w:p>
        </w:tc>
        <w:tc>
          <w:tcPr>
            <w:tcW w:w="1020" w:type="dxa"/>
            <w:tcBorders>
              <w:top w:val="nil"/>
              <w:left w:val="nil"/>
              <w:bottom w:val="single" w:sz="4" w:space="0" w:color="auto"/>
              <w:right w:val="nil"/>
            </w:tcBorders>
            <w:shd w:val="clear" w:color="000000" w:fill="FFFFFF"/>
            <w:vAlign w:val="center"/>
            <w:hideMark/>
          </w:tcPr>
          <w:p w14:paraId="65D2A84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growing portion of health care expenditure per capita</w:t>
            </w:r>
          </w:p>
        </w:tc>
        <w:tc>
          <w:tcPr>
            <w:tcW w:w="980" w:type="dxa"/>
            <w:tcBorders>
              <w:top w:val="nil"/>
              <w:left w:val="nil"/>
              <w:bottom w:val="single" w:sz="4" w:space="0" w:color="auto"/>
              <w:right w:val="nil"/>
            </w:tcBorders>
            <w:shd w:val="clear" w:color="000000" w:fill="FFFFFF"/>
            <w:vAlign w:val="center"/>
            <w:hideMark/>
          </w:tcPr>
          <w:p w14:paraId="5D8E33C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long-term care expenditure per user</w:t>
            </w:r>
          </w:p>
        </w:tc>
      </w:tr>
      <w:tr w:rsidR="00CD1EA2" w:rsidRPr="00FC16DB" w14:paraId="058D9D4A" w14:textId="77777777" w:rsidTr="00143E13">
        <w:trPr>
          <w:trHeight w:val="255"/>
        </w:trPr>
        <w:tc>
          <w:tcPr>
            <w:tcW w:w="293" w:type="dxa"/>
            <w:vMerge w:val="restart"/>
            <w:tcBorders>
              <w:top w:val="nil"/>
              <w:left w:val="nil"/>
              <w:bottom w:val="nil"/>
              <w:right w:val="nil"/>
            </w:tcBorders>
            <w:shd w:val="clear" w:color="000000" w:fill="FFFFFF"/>
            <w:noWrap/>
            <w:textDirection w:val="btLr"/>
            <w:vAlign w:val="center"/>
            <w:hideMark/>
          </w:tcPr>
          <w:p w14:paraId="7CE6627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Instruments</w:t>
            </w:r>
          </w:p>
        </w:tc>
        <w:tc>
          <w:tcPr>
            <w:tcW w:w="3447" w:type="dxa"/>
            <w:tcBorders>
              <w:top w:val="nil"/>
              <w:left w:val="nil"/>
              <w:bottom w:val="nil"/>
              <w:right w:val="nil"/>
            </w:tcBorders>
            <w:shd w:val="clear" w:color="000000" w:fill="FFFFFF"/>
            <w:noWrap/>
            <w:vAlign w:val="center"/>
            <w:hideMark/>
          </w:tcPr>
          <w:p w14:paraId="2D5C4A58"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Distance From Target index</w:t>
            </w:r>
          </w:p>
        </w:tc>
        <w:tc>
          <w:tcPr>
            <w:tcW w:w="980" w:type="dxa"/>
            <w:tcBorders>
              <w:top w:val="nil"/>
              <w:left w:val="nil"/>
              <w:bottom w:val="nil"/>
              <w:right w:val="nil"/>
            </w:tcBorders>
            <w:shd w:val="clear" w:color="000000" w:fill="FFFFFF"/>
            <w:noWrap/>
            <w:vAlign w:val="center"/>
            <w:hideMark/>
          </w:tcPr>
          <w:p w14:paraId="489CE70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0.671***</w:t>
            </w:r>
          </w:p>
        </w:tc>
        <w:tc>
          <w:tcPr>
            <w:tcW w:w="980" w:type="dxa"/>
            <w:tcBorders>
              <w:top w:val="nil"/>
              <w:left w:val="nil"/>
              <w:bottom w:val="nil"/>
              <w:right w:val="nil"/>
            </w:tcBorders>
            <w:shd w:val="clear" w:color="000000" w:fill="FFFFFF"/>
            <w:noWrap/>
            <w:vAlign w:val="center"/>
            <w:hideMark/>
          </w:tcPr>
          <w:p w14:paraId="46573E2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-0.586**</w:t>
            </w:r>
          </w:p>
        </w:tc>
        <w:tc>
          <w:tcPr>
            <w:tcW w:w="180" w:type="dxa"/>
            <w:tcBorders>
              <w:top w:val="nil"/>
              <w:left w:val="nil"/>
              <w:bottom w:val="nil"/>
              <w:right w:val="nil"/>
            </w:tcBorders>
            <w:shd w:val="clear" w:color="000000" w:fill="FFFFFF"/>
            <w:noWrap/>
            <w:vAlign w:val="center"/>
            <w:hideMark/>
          </w:tcPr>
          <w:p w14:paraId="1BF80C6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160081A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0.797***</w:t>
            </w:r>
          </w:p>
        </w:tc>
        <w:tc>
          <w:tcPr>
            <w:tcW w:w="880" w:type="dxa"/>
            <w:tcBorders>
              <w:top w:val="nil"/>
              <w:left w:val="nil"/>
              <w:bottom w:val="nil"/>
              <w:right w:val="nil"/>
            </w:tcBorders>
            <w:shd w:val="clear" w:color="000000" w:fill="FFFFFF"/>
            <w:noWrap/>
            <w:vAlign w:val="center"/>
            <w:hideMark/>
          </w:tcPr>
          <w:p w14:paraId="2C7B441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-0.030</w:t>
            </w:r>
          </w:p>
        </w:tc>
        <w:tc>
          <w:tcPr>
            <w:tcW w:w="980" w:type="dxa"/>
            <w:tcBorders>
              <w:top w:val="nil"/>
              <w:left w:val="nil"/>
              <w:bottom w:val="nil"/>
              <w:right w:val="nil"/>
            </w:tcBorders>
            <w:shd w:val="clear" w:color="000000" w:fill="FFFFFF"/>
            <w:noWrap/>
            <w:vAlign w:val="center"/>
            <w:hideMark/>
          </w:tcPr>
          <w:p w14:paraId="0FEF8DA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-1.472***</w:t>
            </w:r>
          </w:p>
        </w:tc>
        <w:tc>
          <w:tcPr>
            <w:tcW w:w="180" w:type="dxa"/>
            <w:tcBorders>
              <w:top w:val="nil"/>
              <w:left w:val="nil"/>
              <w:bottom w:val="nil"/>
              <w:right w:val="nil"/>
            </w:tcBorders>
            <w:shd w:val="clear" w:color="000000" w:fill="FFFFFF"/>
            <w:noWrap/>
            <w:vAlign w:val="center"/>
            <w:hideMark/>
          </w:tcPr>
          <w:p w14:paraId="7419359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06292B5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-0.586**</w:t>
            </w:r>
          </w:p>
        </w:tc>
        <w:tc>
          <w:tcPr>
            <w:tcW w:w="1280" w:type="dxa"/>
            <w:tcBorders>
              <w:top w:val="nil"/>
              <w:left w:val="nil"/>
              <w:bottom w:val="nil"/>
              <w:right w:val="nil"/>
            </w:tcBorders>
            <w:shd w:val="clear" w:color="000000" w:fill="FFFFFF"/>
            <w:noWrap/>
            <w:vAlign w:val="center"/>
            <w:hideMark/>
          </w:tcPr>
          <w:p w14:paraId="746F468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0.643***</w:t>
            </w:r>
          </w:p>
        </w:tc>
        <w:tc>
          <w:tcPr>
            <w:tcW w:w="180" w:type="dxa"/>
            <w:tcBorders>
              <w:top w:val="nil"/>
              <w:left w:val="nil"/>
              <w:bottom w:val="nil"/>
              <w:right w:val="nil"/>
            </w:tcBorders>
            <w:shd w:val="clear" w:color="000000" w:fill="FFFFFF"/>
            <w:noWrap/>
            <w:vAlign w:val="center"/>
            <w:hideMark/>
          </w:tcPr>
          <w:p w14:paraId="6BF2425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47E73F7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1.168***</w:t>
            </w:r>
          </w:p>
        </w:tc>
        <w:tc>
          <w:tcPr>
            <w:tcW w:w="1020" w:type="dxa"/>
            <w:tcBorders>
              <w:top w:val="nil"/>
              <w:left w:val="nil"/>
              <w:bottom w:val="nil"/>
              <w:right w:val="nil"/>
            </w:tcBorders>
            <w:shd w:val="clear" w:color="000000" w:fill="FFFFFF"/>
            <w:noWrap/>
            <w:vAlign w:val="center"/>
            <w:hideMark/>
          </w:tcPr>
          <w:p w14:paraId="0D7BC0C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0.097</w:t>
            </w:r>
          </w:p>
        </w:tc>
        <w:tc>
          <w:tcPr>
            <w:tcW w:w="980" w:type="dxa"/>
            <w:tcBorders>
              <w:top w:val="nil"/>
              <w:left w:val="nil"/>
              <w:bottom w:val="nil"/>
              <w:right w:val="nil"/>
            </w:tcBorders>
            <w:shd w:val="clear" w:color="000000" w:fill="FFFFFF"/>
            <w:noWrap/>
            <w:vAlign w:val="center"/>
            <w:hideMark/>
          </w:tcPr>
          <w:p w14:paraId="5F9F83BC"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-0.586**</w:t>
            </w:r>
          </w:p>
        </w:tc>
      </w:tr>
      <w:tr w:rsidR="00CD1EA2" w:rsidRPr="00FC16DB" w14:paraId="76B4C1FF" w14:textId="77777777" w:rsidTr="00143E13">
        <w:trPr>
          <w:trHeight w:val="255"/>
        </w:trPr>
        <w:tc>
          <w:tcPr>
            <w:tcW w:w="293" w:type="dxa"/>
            <w:vMerge/>
            <w:tcBorders>
              <w:top w:val="nil"/>
              <w:left w:val="nil"/>
              <w:bottom w:val="nil"/>
              <w:right w:val="nil"/>
            </w:tcBorders>
            <w:vAlign w:val="center"/>
            <w:hideMark/>
          </w:tcPr>
          <w:p w14:paraId="24D7D921"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noWrap/>
            <w:vAlign w:val="center"/>
            <w:hideMark/>
          </w:tcPr>
          <w:p w14:paraId="07B19824"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age-sex index</w:t>
            </w:r>
          </w:p>
        </w:tc>
        <w:tc>
          <w:tcPr>
            <w:tcW w:w="980" w:type="dxa"/>
            <w:tcBorders>
              <w:top w:val="nil"/>
              <w:left w:val="nil"/>
              <w:bottom w:val="nil"/>
              <w:right w:val="nil"/>
            </w:tcBorders>
            <w:shd w:val="clear" w:color="000000" w:fill="FFFFFF"/>
            <w:noWrap/>
            <w:vAlign w:val="center"/>
            <w:hideMark/>
          </w:tcPr>
          <w:p w14:paraId="432645B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0.409***</w:t>
            </w:r>
          </w:p>
        </w:tc>
        <w:tc>
          <w:tcPr>
            <w:tcW w:w="980" w:type="dxa"/>
            <w:tcBorders>
              <w:top w:val="nil"/>
              <w:left w:val="nil"/>
              <w:bottom w:val="nil"/>
              <w:right w:val="nil"/>
            </w:tcBorders>
            <w:shd w:val="clear" w:color="000000" w:fill="FFFFFF"/>
            <w:noWrap/>
            <w:vAlign w:val="center"/>
            <w:hideMark/>
          </w:tcPr>
          <w:p w14:paraId="2E4C5C0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-0.221</w:t>
            </w:r>
          </w:p>
        </w:tc>
        <w:tc>
          <w:tcPr>
            <w:tcW w:w="180" w:type="dxa"/>
            <w:tcBorders>
              <w:top w:val="nil"/>
              <w:left w:val="nil"/>
              <w:bottom w:val="nil"/>
              <w:right w:val="nil"/>
            </w:tcBorders>
            <w:shd w:val="clear" w:color="000000" w:fill="FFFFFF"/>
            <w:noWrap/>
            <w:vAlign w:val="center"/>
            <w:hideMark/>
          </w:tcPr>
          <w:p w14:paraId="4272A83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43AC50F9"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0.409***</w:t>
            </w:r>
          </w:p>
        </w:tc>
        <w:tc>
          <w:tcPr>
            <w:tcW w:w="880" w:type="dxa"/>
            <w:tcBorders>
              <w:top w:val="nil"/>
              <w:left w:val="nil"/>
              <w:bottom w:val="nil"/>
              <w:right w:val="nil"/>
            </w:tcBorders>
            <w:shd w:val="clear" w:color="000000" w:fill="FFFFFF"/>
            <w:noWrap/>
            <w:vAlign w:val="center"/>
            <w:hideMark/>
          </w:tcPr>
          <w:p w14:paraId="44AB382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-0.222</w:t>
            </w:r>
          </w:p>
        </w:tc>
        <w:tc>
          <w:tcPr>
            <w:tcW w:w="980" w:type="dxa"/>
            <w:tcBorders>
              <w:top w:val="nil"/>
              <w:left w:val="nil"/>
              <w:bottom w:val="nil"/>
              <w:right w:val="nil"/>
            </w:tcBorders>
            <w:shd w:val="clear" w:color="000000" w:fill="FFFFFF"/>
            <w:noWrap/>
            <w:vAlign w:val="center"/>
            <w:hideMark/>
          </w:tcPr>
          <w:p w14:paraId="7794EB0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0.014</w:t>
            </w:r>
          </w:p>
        </w:tc>
        <w:tc>
          <w:tcPr>
            <w:tcW w:w="180" w:type="dxa"/>
            <w:tcBorders>
              <w:top w:val="nil"/>
              <w:left w:val="nil"/>
              <w:bottom w:val="nil"/>
              <w:right w:val="nil"/>
            </w:tcBorders>
            <w:shd w:val="clear" w:color="000000" w:fill="FFFFFF"/>
            <w:noWrap/>
            <w:vAlign w:val="center"/>
            <w:hideMark/>
          </w:tcPr>
          <w:p w14:paraId="27096FB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300FA93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-0.221</w:t>
            </w:r>
          </w:p>
        </w:tc>
        <w:tc>
          <w:tcPr>
            <w:tcW w:w="1280" w:type="dxa"/>
            <w:tcBorders>
              <w:top w:val="nil"/>
              <w:left w:val="nil"/>
              <w:bottom w:val="nil"/>
              <w:right w:val="nil"/>
            </w:tcBorders>
            <w:shd w:val="clear" w:color="000000" w:fill="FFFFFF"/>
            <w:noWrap/>
            <w:vAlign w:val="center"/>
            <w:hideMark/>
          </w:tcPr>
          <w:p w14:paraId="63DB150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0.430***</w:t>
            </w:r>
          </w:p>
        </w:tc>
        <w:tc>
          <w:tcPr>
            <w:tcW w:w="180" w:type="dxa"/>
            <w:tcBorders>
              <w:top w:val="nil"/>
              <w:left w:val="nil"/>
              <w:bottom w:val="nil"/>
              <w:right w:val="nil"/>
            </w:tcBorders>
            <w:shd w:val="clear" w:color="000000" w:fill="FFFFFF"/>
            <w:noWrap/>
            <w:vAlign w:val="center"/>
            <w:hideMark/>
          </w:tcPr>
          <w:p w14:paraId="66C3291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680BB53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0.080</w:t>
            </w:r>
          </w:p>
        </w:tc>
        <w:tc>
          <w:tcPr>
            <w:tcW w:w="1020" w:type="dxa"/>
            <w:tcBorders>
              <w:top w:val="nil"/>
              <w:left w:val="nil"/>
              <w:bottom w:val="nil"/>
              <w:right w:val="nil"/>
            </w:tcBorders>
            <w:shd w:val="clear" w:color="000000" w:fill="FFFFFF"/>
            <w:noWrap/>
            <w:vAlign w:val="center"/>
            <w:hideMark/>
          </w:tcPr>
          <w:p w14:paraId="2432D2D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0.770***</w:t>
            </w:r>
          </w:p>
        </w:tc>
        <w:tc>
          <w:tcPr>
            <w:tcW w:w="980" w:type="dxa"/>
            <w:tcBorders>
              <w:top w:val="nil"/>
              <w:left w:val="nil"/>
              <w:bottom w:val="nil"/>
              <w:right w:val="nil"/>
            </w:tcBorders>
            <w:shd w:val="clear" w:color="000000" w:fill="FFFFFF"/>
            <w:noWrap/>
            <w:vAlign w:val="center"/>
            <w:hideMark/>
          </w:tcPr>
          <w:p w14:paraId="4CD0861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-0.221</w:t>
            </w:r>
          </w:p>
        </w:tc>
      </w:tr>
      <w:tr w:rsidR="00CD1EA2" w:rsidRPr="00FC16DB" w14:paraId="6B47C52A" w14:textId="77777777" w:rsidTr="00143E13">
        <w:trPr>
          <w:trHeight w:val="255"/>
        </w:trPr>
        <w:tc>
          <w:tcPr>
            <w:tcW w:w="293" w:type="dxa"/>
            <w:vMerge/>
            <w:tcBorders>
              <w:top w:val="nil"/>
              <w:left w:val="nil"/>
              <w:bottom w:val="nil"/>
              <w:right w:val="nil"/>
            </w:tcBorders>
            <w:vAlign w:val="center"/>
            <w:hideMark/>
          </w:tcPr>
          <w:p w14:paraId="0F8342D5"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noWrap/>
            <w:vAlign w:val="center"/>
            <w:hideMark/>
          </w:tcPr>
          <w:p w14:paraId="39A7AE23"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Market Forces Factor index</w:t>
            </w:r>
          </w:p>
        </w:tc>
        <w:tc>
          <w:tcPr>
            <w:tcW w:w="980" w:type="dxa"/>
            <w:tcBorders>
              <w:top w:val="nil"/>
              <w:left w:val="nil"/>
              <w:bottom w:val="nil"/>
              <w:right w:val="nil"/>
            </w:tcBorders>
            <w:shd w:val="clear" w:color="000000" w:fill="FFFFFF"/>
            <w:noWrap/>
            <w:vAlign w:val="center"/>
            <w:hideMark/>
          </w:tcPr>
          <w:p w14:paraId="70D0368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0.573**</w:t>
            </w:r>
          </w:p>
        </w:tc>
        <w:tc>
          <w:tcPr>
            <w:tcW w:w="980" w:type="dxa"/>
            <w:tcBorders>
              <w:top w:val="nil"/>
              <w:left w:val="nil"/>
              <w:bottom w:val="nil"/>
              <w:right w:val="nil"/>
            </w:tcBorders>
            <w:shd w:val="clear" w:color="000000" w:fill="FFFFFF"/>
            <w:noWrap/>
            <w:vAlign w:val="center"/>
            <w:hideMark/>
          </w:tcPr>
          <w:p w14:paraId="7EC7B8C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-1.711***</w:t>
            </w:r>
          </w:p>
        </w:tc>
        <w:tc>
          <w:tcPr>
            <w:tcW w:w="180" w:type="dxa"/>
            <w:tcBorders>
              <w:top w:val="nil"/>
              <w:left w:val="nil"/>
              <w:bottom w:val="nil"/>
              <w:right w:val="nil"/>
            </w:tcBorders>
            <w:shd w:val="clear" w:color="000000" w:fill="FFFFFF"/>
            <w:noWrap/>
            <w:vAlign w:val="center"/>
            <w:hideMark/>
          </w:tcPr>
          <w:p w14:paraId="4F08498A"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0BFA033C"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0.580**</w:t>
            </w:r>
          </w:p>
        </w:tc>
        <w:tc>
          <w:tcPr>
            <w:tcW w:w="880" w:type="dxa"/>
            <w:tcBorders>
              <w:top w:val="nil"/>
              <w:left w:val="nil"/>
              <w:bottom w:val="nil"/>
              <w:right w:val="nil"/>
            </w:tcBorders>
            <w:shd w:val="clear" w:color="000000" w:fill="FFFFFF"/>
            <w:noWrap/>
            <w:vAlign w:val="center"/>
            <w:hideMark/>
          </w:tcPr>
          <w:p w14:paraId="115ACEF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-1.680***</w:t>
            </w:r>
          </w:p>
        </w:tc>
        <w:tc>
          <w:tcPr>
            <w:tcW w:w="980" w:type="dxa"/>
            <w:tcBorders>
              <w:top w:val="nil"/>
              <w:left w:val="nil"/>
              <w:bottom w:val="nil"/>
              <w:right w:val="nil"/>
            </w:tcBorders>
            <w:shd w:val="clear" w:color="000000" w:fill="FFFFFF"/>
            <w:noWrap/>
            <w:vAlign w:val="center"/>
            <w:hideMark/>
          </w:tcPr>
          <w:p w14:paraId="63C1CB9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-0.222</w:t>
            </w:r>
          </w:p>
        </w:tc>
        <w:tc>
          <w:tcPr>
            <w:tcW w:w="180" w:type="dxa"/>
            <w:tcBorders>
              <w:top w:val="nil"/>
              <w:left w:val="nil"/>
              <w:bottom w:val="nil"/>
              <w:right w:val="nil"/>
            </w:tcBorders>
            <w:shd w:val="clear" w:color="000000" w:fill="FFFFFF"/>
            <w:noWrap/>
            <w:vAlign w:val="center"/>
            <w:hideMark/>
          </w:tcPr>
          <w:p w14:paraId="1CAC4A1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18A3B70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-1.711***</w:t>
            </w:r>
          </w:p>
        </w:tc>
        <w:tc>
          <w:tcPr>
            <w:tcW w:w="1280" w:type="dxa"/>
            <w:tcBorders>
              <w:top w:val="nil"/>
              <w:left w:val="nil"/>
              <w:bottom w:val="nil"/>
              <w:right w:val="nil"/>
            </w:tcBorders>
            <w:shd w:val="clear" w:color="000000" w:fill="FFFFFF"/>
            <w:noWrap/>
            <w:vAlign w:val="center"/>
            <w:hideMark/>
          </w:tcPr>
          <w:p w14:paraId="5BB0D9A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0.699***</w:t>
            </w:r>
          </w:p>
        </w:tc>
        <w:tc>
          <w:tcPr>
            <w:tcW w:w="180" w:type="dxa"/>
            <w:tcBorders>
              <w:top w:val="nil"/>
              <w:left w:val="nil"/>
              <w:bottom w:val="nil"/>
              <w:right w:val="nil"/>
            </w:tcBorders>
            <w:shd w:val="clear" w:color="000000" w:fill="FFFFFF"/>
            <w:noWrap/>
            <w:vAlign w:val="center"/>
            <w:hideMark/>
          </w:tcPr>
          <w:p w14:paraId="2A9C087C"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3EFE44D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2.093**</w:t>
            </w:r>
          </w:p>
        </w:tc>
        <w:tc>
          <w:tcPr>
            <w:tcW w:w="1020" w:type="dxa"/>
            <w:tcBorders>
              <w:top w:val="nil"/>
              <w:left w:val="nil"/>
              <w:bottom w:val="nil"/>
              <w:right w:val="nil"/>
            </w:tcBorders>
            <w:shd w:val="clear" w:color="000000" w:fill="FFFFFF"/>
            <w:noWrap/>
            <w:vAlign w:val="center"/>
            <w:hideMark/>
          </w:tcPr>
          <w:p w14:paraId="3BA3534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2.548***</w:t>
            </w:r>
          </w:p>
        </w:tc>
        <w:tc>
          <w:tcPr>
            <w:tcW w:w="980" w:type="dxa"/>
            <w:tcBorders>
              <w:top w:val="nil"/>
              <w:left w:val="nil"/>
              <w:bottom w:val="nil"/>
              <w:right w:val="nil"/>
            </w:tcBorders>
            <w:shd w:val="clear" w:color="000000" w:fill="FFFFFF"/>
            <w:noWrap/>
            <w:vAlign w:val="center"/>
            <w:hideMark/>
          </w:tcPr>
          <w:p w14:paraId="03BFAC7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-1.711***</w:t>
            </w:r>
          </w:p>
        </w:tc>
      </w:tr>
      <w:tr w:rsidR="00CD1EA2" w:rsidRPr="00FC16DB" w14:paraId="1319BC88" w14:textId="77777777" w:rsidTr="00143E13">
        <w:trPr>
          <w:trHeight w:val="255"/>
        </w:trPr>
        <w:tc>
          <w:tcPr>
            <w:tcW w:w="293" w:type="dxa"/>
            <w:vMerge/>
            <w:tcBorders>
              <w:top w:val="nil"/>
              <w:left w:val="nil"/>
              <w:bottom w:val="nil"/>
              <w:right w:val="nil"/>
            </w:tcBorders>
            <w:vAlign w:val="center"/>
            <w:hideMark/>
          </w:tcPr>
          <w:p w14:paraId="3B63D318"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noWrap/>
            <w:vAlign w:val="center"/>
            <w:hideMark/>
          </w:tcPr>
          <w:p w14:paraId="7FA61CDA"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council tax base per user</w:t>
            </w:r>
          </w:p>
        </w:tc>
        <w:tc>
          <w:tcPr>
            <w:tcW w:w="980" w:type="dxa"/>
            <w:tcBorders>
              <w:top w:val="nil"/>
              <w:left w:val="nil"/>
              <w:bottom w:val="nil"/>
              <w:right w:val="nil"/>
            </w:tcBorders>
            <w:shd w:val="clear" w:color="000000" w:fill="FFFFFF"/>
            <w:noWrap/>
            <w:vAlign w:val="center"/>
            <w:hideMark/>
          </w:tcPr>
          <w:p w14:paraId="22ADCEE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-0.006</w:t>
            </w:r>
          </w:p>
        </w:tc>
        <w:tc>
          <w:tcPr>
            <w:tcW w:w="980" w:type="dxa"/>
            <w:tcBorders>
              <w:top w:val="nil"/>
              <w:left w:val="nil"/>
              <w:bottom w:val="nil"/>
              <w:right w:val="nil"/>
            </w:tcBorders>
            <w:shd w:val="clear" w:color="000000" w:fill="FFFFFF"/>
            <w:noWrap/>
            <w:vAlign w:val="center"/>
            <w:hideMark/>
          </w:tcPr>
          <w:p w14:paraId="00E8647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0.932***</w:t>
            </w:r>
          </w:p>
        </w:tc>
        <w:tc>
          <w:tcPr>
            <w:tcW w:w="180" w:type="dxa"/>
            <w:tcBorders>
              <w:top w:val="nil"/>
              <w:left w:val="nil"/>
              <w:bottom w:val="nil"/>
              <w:right w:val="nil"/>
            </w:tcBorders>
            <w:shd w:val="clear" w:color="000000" w:fill="FFFFFF"/>
            <w:noWrap/>
            <w:vAlign w:val="center"/>
            <w:hideMark/>
          </w:tcPr>
          <w:p w14:paraId="6E63FC0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0CC98D7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-0.005</w:t>
            </w:r>
          </w:p>
        </w:tc>
        <w:tc>
          <w:tcPr>
            <w:tcW w:w="880" w:type="dxa"/>
            <w:tcBorders>
              <w:top w:val="nil"/>
              <w:left w:val="nil"/>
              <w:bottom w:val="nil"/>
              <w:right w:val="nil"/>
            </w:tcBorders>
            <w:shd w:val="clear" w:color="000000" w:fill="FFFFFF"/>
            <w:noWrap/>
            <w:vAlign w:val="center"/>
            <w:hideMark/>
          </w:tcPr>
          <w:p w14:paraId="2B44CE4C"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0.936***</w:t>
            </w:r>
          </w:p>
        </w:tc>
        <w:tc>
          <w:tcPr>
            <w:tcW w:w="980" w:type="dxa"/>
            <w:tcBorders>
              <w:top w:val="nil"/>
              <w:left w:val="nil"/>
              <w:bottom w:val="nil"/>
              <w:right w:val="nil"/>
            </w:tcBorders>
            <w:shd w:val="clear" w:color="000000" w:fill="FFFFFF"/>
            <w:noWrap/>
            <w:vAlign w:val="center"/>
            <w:hideMark/>
          </w:tcPr>
          <w:p w14:paraId="09AAF8B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-0.009</w:t>
            </w:r>
          </w:p>
        </w:tc>
        <w:tc>
          <w:tcPr>
            <w:tcW w:w="180" w:type="dxa"/>
            <w:tcBorders>
              <w:top w:val="nil"/>
              <w:left w:val="nil"/>
              <w:bottom w:val="nil"/>
              <w:right w:val="nil"/>
            </w:tcBorders>
            <w:shd w:val="clear" w:color="000000" w:fill="FFFFFF"/>
            <w:noWrap/>
            <w:vAlign w:val="center"/>
            <w:hideMark/>
          </w:tcPr>
          <w:p w14:paraId="7F13C29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341E0E3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0.932***</w:t>
            </w:r>
          </w:p>
        </w:tc>
        <w:tc>
          <w:tcPr>
            <w:tcW w:w="1280" w:type="dxa"/>
            <w:tcBorders>
              <w:top w:val="nil"/>
              <w:left w:val="nil"/>
              <w:bottom w:val="nil"/>
              <w:right w:val="nil"/>
            </w:tcBorders>
            <w:shd w:val="clear" w:color="000000" w:fill="FFFFFF"/>
            <w:noWrap/>
            <w:vAlign w:val="center"/>
            <w:hideMark/>
          </w:tcPr>
          <w:p w14:paraId="00139C7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-0.036</w:t>
            </w:r>
          </w:p>
        </w:tc>
        <w:tc>
          <w:tcPr>
            <w:tcW w:w="180" w:type="dxa"/>
            <w:tcBorders>
              <w:top w:val="nil"/>
              <w:left w:val="nil"/>
              <w:bottom w:val="nil"/>
              <w:right w:val="nil"/>
            </w:tcBorders>
            <w:shd w:val="clear" w:color="000000" w:fill="FFFFFF"/>
            <w:noWrap/>
            <w:vAlign w:val="center"/>
            <w:hideMark/>
          </w:tcPr>
          <w:p w14:paraId="0B661DD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67941CD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0.108***</w:t>
            </w:r>
          </w:p>
        </w:tc>
        <w:tc>
          <w:tcPr>
            <w:tcW w:w="1020" w:type="dxa"/>
            <w:tcBorders>
              <w:top w:val="nil"/>
              <w:left w:val="nil"/>
              <w:bottom w:val="nil"/>
              <w:right w:val="nil"/>
            </w:tcBorders>
            <w:shd w:val="clear" w:color="000000" w:fill="FFFFFF"/>
            <w:noWrap/>
            <w:vAlign w:val="center"/>
            <w:hideMark/>
          </w:tcPr>
          <w:p w14:paraId="382474F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-0.101***</w:t>
            </w:r>
          </w:p>
        </w:tc>
        <w:tc>
          <w:tcPr>
            <w:tcW w:w="980" w:type="dxa"/>
            <w:tcBorders>
              <w:top w:val="nil"/>
              <w:left w:val="nil"/>
              <w:bottom w:val="nil"/>
              <w:right w:val="nil"/>
            </w:tcBorders>
            <w:shd w:val="clear" w:color="000000" w:fill="FFFFFF"/>
            <w:noWrap/>
            <w:vAlign w:val="center"/>
            <w:hideMark/>
          </w:tcPr>
          <w:p w14:paraId="69A8FDB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0.932***</w:t>
            </w:r>
          </w:p>
        </w:tc>
      </w:tr>
      <w:tr w:rsidR="00CD1EA2" w:rsidRPr="00FC16DB" w14:paraId="6BAF54AD" w14:textId="77777777" w:rsidTr="00143E13">
        <w:trPr>
          <w:trHeight w:val="255"/>
        </w:trPr>
        <w:tc>
          <w:tcPr>
            <w:tcW w:w="293" w:type="dxa"/>
            <w:vMerge/>
            <w:tcBorders>
              <w:top w:val="nil"/>
              <w:left w:val="nil"/>
              <w:bottom w:val="nil"/>
              <w:right w:val="nil"/>
            </w:tcBorders>
            <w:vAlign w:val="center"/>
            <w:hideMark/>
          </w:tcPr>
          <w:p w14:paraId="5D627496"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vAlign w:val="center"/>
            <w:hideMark/>
          </w:tcPr>
          <w:p w14:paraId="251F8DC3"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business rates tax base per user</w:t>
            </w:r>
          </w:p>
        </w:tc>
        <w:tc>
          <w:tcPr>
            <w:tcW w:w="980" w:type="dxa"/>
            <w:tcBorders>
              <w:top w:val="nil"/>
              <w:left w:val="nil"/>
              <w:bottom w:val="nil"/>
              <w:right w:val="nil"/>
            </w:tcBorders>
            <w:shd w:val="clear" w:color="000000" w:fill="FFFFFF"/>
            <w:noWrap/>
            <w:vAlign w:val="center"/>
            <w:hideMark/>
          </w:tcPr>
          <w:p w14:paraId="468E419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5A76155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7F1D973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2D405AA0"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880" w:type="dxa"/>
            <w:tcBorders>
              <w:top w:val="nil"/>
              <w:left w:val="nil"/>
              <w:bottom w:val="nil"/>
              <w:right w:val="nil"/>
            </w:tcBorders>
            <w:shd w:val="clear" w:color="000000" w:fill="FFFFFF"/>
            <w:noWrap/>
            <w:vAlign w:val="center"/>
            <w:hideMark/>
          </w:tcPr>
          <w:p w14:paraId="18E1870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1F05649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2CF0E14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2FFF344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6C84D58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0.029</w:t>
            </w:r>
          </w:p>
        </w:tc>
        <w:tc>
          <w:tcPr>
            <w:tcW w:w="180" w:type="dxa"/>
            <w:tcBorders>
              <w:top w:val="nil"/>
              <w:left w:val="nil"/>
              <w:bottom w:val="nil"/>
              <w:right w:val="nil"/>
            </w:tcBorders>
            <w:shd w:val="clear" w:color="000000" w:fill="FFFFFF"/>
            <w:noWrap/>
            <w:vAlign w:val="center"/>
            <w:hideMark/>
          </w:tcPr>
          <w:p w14:paraId="3F00075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7F274F8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20" w:type="dxa"/>
            <w:tcBorders>
              <w:top w:val="nil"/>
              <w:left w:val="nil"/>
              <w:bottom w:val="nil"/>
              <w:right w:val="nil"/>
            </w:tcBorders>
            <w:shd w:val="clear" w:color="000000" w:fill="FFFFFF"/>
            <w:noWrap/>
            <w:vAlign w:val="center"/>
            <w:hideMark/>
          </w:tcPr>
          <w:p w14:paraId="2222D89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2DDBFE1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r>
      <w:tr w:rsidR="00CD1EA2" w:rsidRPr="00FC16DB" w14:paraId="63318EE2" w14:textId="77777777" w:rsidTr="00143E13">
        <w:trPr>
          <w:trHeight w:val="255"/>
        </w:trPr>
        <w:tc>
          <w:tcPr>
            <w:tcW w:w="293" w:type="dxa"/>
            <w:vMerge/>
            <w:tcBorders>
              <w:top w:val="nil"/>
              <w:left w:val="nil"/>
              <w:bottom w:val="nil"/>
              <w:right w:val="nil"/>
            </w:tcBorders>
            <w:vAlign w:val="center"/>
            <w:hideMark/>
          </w:tcPr>
          <w:p w14:paraId="40506403"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vAlign w:val="center"/>
            <w:hideMark/>
          </w:tcPr>
          <w:p w14:paraId="6719A7F8"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Area Cost Adjustment index</w:t>
            </w:r>
          </w:p>
        </w:tc>
        <w:tc>
          <w:tcPr>
            <w:tcW w:w="980" w:type="dxa"/>
            <w:tcBorders>
              <w:top w:val="nil"/>
              <w:left w:val="nil"/>
              <w:bottom w:val="nil"/>
              <w:right w:val="nil"/>
            </w:tcBorders>
            <w:shd w:val="clear" w:color="000000" w:fill="FFFFFF"/>
            <w:noWrap/>
            <w:vAlign w:val="center"/>
            <w:hideMark/>
          </w:tcPr>
          <w:p w14:paraId="5E4DCFFA"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6A307F7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6196C34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6FCF87A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880" w:type="dxa"/>
            <w:tcBorders>
              <w:top w:val="nil"/>
              <w:left w:val="nil"/>
              <w:bottom w:val="nil"/>
              <w:right w:val="nil"/>
            </w:tcBorders>
            <w:shd w:val="clear" w:color="000000" w:fill="FFFFFF"/>
            <w:noWrap/>
            <w:vAlign w:val="center"/>
            <w:hideMark/>
          </w:tcPr>
          <w:p w14:paraId="07954A8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0559AE0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5C7551B3"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1BCC2B1A"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029E4D9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-0.105</w:t>
            </w:r>
          </w:p>
        </w:tc>
        <w:tc>
          <w:tcPr>
            <w:tcW w:w="180" w:type="dxa"/>
            <w:tcBorders>
              <w:top w:val="nil"/>
              <w:left w:val="nil"/>
              <w:bottom w:val="nil"/>
              <w:right w:val="nil"/>
            </w:tcBorders>
            <w:shd w:val="clear" w:color="000000" w:fill="FFFFFF"/>
            <w:noWrap/>
            <w:vAlign w:val="center"/>
            <w:hideMark/>
          </w:tcPr>
          <w:p w14:paraId="0E12E509"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05E93B9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20" w:type="dxa"/>
            <w:tcBorders>
              <w:top w:val="nil"/>
              <w:left w:val="nil"/>
              <w:bottom w:val="nil"/>
              <w:right w:val="nil"/>
            </w:tcBorders>
            <w:shd w:val="clear" w:color="000000" w:fill="FFFFFF"/>
            <w:noWrap/>
            <w:vAlign w:val="center"/>
            <w:hideMark/>
          </w:tcPr>
          <w:p w14:paraId="5F9F54CF"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7E85844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r>
      <w:tr w:rsidR="00CD1EA2" w:rsidRPr="00FC16DB" w14:paraId="06692297" w14:textId="77777777" w:rsidTr="00143E13">
        <w:trPr>
          <w:trHeight w:val="450"/>
        </w:trPr>
        <w:tc>
          <w:tcPr>
            <w:tcW w:w="293" w:type="dxa"/>
            <w:vMerge/>
            <w:tcBorders>
              <w:top w:val="nil"/>
              <w:left w:val="nil"/>
              <w:bottom w:val="nil"/>
              <w:right w:val="nil"/>
            </w:tcBorders>
            <w:vAlign w:val="center"/>
            <w:hideMark/>
          </w:tcPr>
          <w:p w14:paraId="7F435953" w14:textId="77777777" w:rsidR="00CD1EA2" w:rsidRPr="00FC16DB" w:rsidRDefault="00CD1EA2" w:rsidP="00143E13">
            <w:pPr>
              <w:widowControl/>
              <w:spacing w:after="0"/>
              <w:jc w:val="left"/>
              <w:rPr>
                <w:rFonts w:ascii="Calibri" w:eastAsia="Times New Roman" w:hAnsi="Calibri" w:cs="Calibri"/>
                <w:sz w:val="16"/>
                <w:szCs w:val="16"/>
                <w:lang w:eastAsia="en-GB"/>
              </w:rPr>
            </w:pPr>
          </w:p>
        </w:tc>
        <w:tc>
          <w:tcPr>
            <w:tcW w:w="3447" w:type="dxa"/>
            <w:tcBorders>
              <w:top w:val="nil"/>
              <w:left w:val="nil"/>
              <w:bottom w:val="nil"/>
              <w:right w:val="nil"/>
            </w:tcBorders>
            <w:shd w:val="clear" w:color="000000" w:fill="FFFFFF"/>
            <w:vAlign w:val="center"/>
            <w:hideMark/>
          </w:tcPr>
          <w:p w14:paraId="55C6D490"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Ln of Distance From Target index × Ln of council tax base per user</w:t>
            </w:r>
          </w:p>
        </w:tc>
        <w:tc>
          <w:tcPr>
            <w:tcW w:w="980" w:type="dxa"/>
            <w:tcBorders>
              <w:top w:val="nil"/>
              <w:left w:val="nil"/>
              <w:bottom w:val="nil"/>
              <w:right w:val="nil"/>
            </w:tcBorders>
            <w:shd w:val="clear" w:color="000000" w:fill="FFFFFF"/>
            <w:noWrap/>
            <w:vAlign w:val="center"/>
            <w:hideMark/>
          </w:tcPr>
          <w:p w14:paraId="47D58BA1"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665A67D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354F9B5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4A06734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-0.059</w:t>
            </w:r>
          </w:p>
        </w:tc>
        <w:tc>
          <w:tcPr>
            <w:tcW w:w="880" w:type="dxa"/>
            <w:tcBorders>
              <w:top w:val="nil"/>
              <w:left w:val="nil"/>
              <w:bottom w:val="nil"/>
              <w:right w:val="nil"/>
            </w:tcBorders>
            <w:shd w:val="clear" w:color="000000" w:fill="FFFFFF"/>
            <w:noWrap/>
            <w:vAlign w:val="center"/>
            <w:hideMark/>
          </w:tcPr>
          <w:p w14:paraId="74823AF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-0.259</w:t>
            </w:r>
          </w:p>
        </w:tc>
        <w:tc>
          <w:tcPr>
            <w:tcW w:w="980" w:type="dxa"/>
            <w:tcBorders>
              <w:top w:val="nil"/>
              <w:left w:val="nil"/>
              <w:bottom w:val="nil"/>
              <w:right w:val="nil"/>
            </w:tcBorders>
            <w:shd w:val="clear" w:color="000000" w:fill="FFFFFF"/>
            <w:noWrap/>
            <w:vAlign w:val="center"/>
            <w:hideMark/>
          </w:tcPr>
          <w:p w14:paraId="431E234D"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0.690***</w:t>
            </w:r>
          </w:p>
        </w:tc>
        <w:tc>
          <w:tcPr>
            <w:tcW w:w="180" w:type="dxa"/>
            <w:tcBorders>
              <w:top w:val="nil"/>
              <w:left w:val="nil"/>
              <w:bottom w:val="nil"/>
              <w:right w:val="nil"/>
            </w:tcBorders>
            <w:shd w:val="clear" w:color="000000" w:fill="FFFFFF"/>
            <w:noWrap/>
            <w:vAlign w:val="center"/>
            <w:hideMark/>
          </w:tcPr>
          <w:p w14:paraId="763D12B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2003FD3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nil"/>
              <w:left w:val="nil"/>
              <w:bottom w:val="nil"/>
              <w:right w:val="nil"/>
            </w:tcBorders>
            <w:shd w:val="clear" w:color="000000" w:fill="FFFFFF"/>
            <w:noWrap/>
            <w:vAlign w:val="center"/>
            <w:hideMark/>
          </w:tcPr>
          <w:p w14:paraId="54157E2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80" w:type="dxa"/>
            <w:tcBorders>
              <w:top w:val="nil"/>
              <w:left w:val="nil"/>
              <w:bottom w:val="nil"/>
              <w:right w:val="nil"/>
            </w:tcBorders>
            <w:shd w:val="clear" w:color="000000" w:fill="FFFFFF"/>
            <w:noWrap/>
            <w:vAlign w:val="center"/>
            <w:hideMark/>
          </w:tcPr>
          <w:p w14:paraId="57952B81"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nil"/>
              <w:left w:val="nil"/>
              <w:bottom w:val="nil"/>
              <w:right w:val="nil"/>
            </w:tcBorders>
            <w:shd w:val="clear" w:color="000000" w:fill="FFFFFF"/>
            <w:noWrap/>
            <w:vAlign w:val="center"/>
            <w:hideMark/>
          </w:tcPr>
          <w:p w14:paraId="10B2DA71"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20" w:type="dxa"/>
            <w:tcBorders>
              <w:top w:val="nil"/>
              <w:left w:val="nil"/>
              <w:bottom w:val="nil"/>
              <w:right w:val="nil"/>
            </w:tcBorders>
            <w:shd w:val="clear" w:color="000000" w:fill="FFFFFF"/>
            <w:noWrap/>
            <w:vAlign w:val="center"/>
            <w:hideMark/>
          </w:tcPr>
          <w:p w14:paraId="3872EE1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center"/>
            <w:hideMark/>
          </w:tcPr>
          <w:p w14:paraId="2C24449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r>
      <w:tr w:rsidR="00CD1EA2" w:rsidRPr="00FC16DB" w14:paraId="524074D5" w14:textId="77777777" w:rsidTr="00143E13">
        <w:trPr>
          <w:trHeight w:val="255"/>
        </w:trPr>
        <w:tc>
          <w:tcPr>
            <w:tcW w:w="3740" w:type="dxa"/>
            <w:gridSpan w:val="2"/>
            <w:tcBorders>
              <w:top w:val="single" w:sz="4" w:space="0" w:color="auto"/>
              <w:left w:val="nil"/>
              <w:bottom w:val="single" w:sz="4" w:space="0" w:color="auto"/>
              <w:right w:val="nil"/>
            </w:tcBorders>
            <w:shd w:val="clear" w:color="000000" w:fill="FFFFFF"/>
            <w:noWrap/>
            <w:vAlign w:val="center"/>
            <w:hideMark/>
          </w:tcPr>
          <w:p w14:paraId="0A60AF62"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Sanderson-Windmeijer F statistics</w:t>
            </w:r>
          </w:p>
        </w:tc>
        <w:tc>
          <w:tcPr>
            <w:tcW w:w="980" w:type="dxa"/>
            <w:tcBorders>
              <w:top w:val="single" w:sz="4" w:space="0" w:color="auto"/>
              <w:left w:val="nil"/>
              <w:bottom w:val="single" w:sz="4" w:space="0" w:color="auto"/>
              <w:right w:val="nil"/>
            </w:tcBorders>
            <w:shd w:val="clear" w:color="000000" w:fill="FFFFFF"/>
            <w:noWrap/>
            <w:vAlign w:val="center"/>
            <w:hideMark/>
          </w:tcPr>
          <w:p w14:paraId="3A3502B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61.9</w:t>
            </w:r>
          </w:p>
        </w:tc>
        <w:tc>
          <w:tcPr>
            <w:tcW w:w="980" w:type="dxa"/>
            <w:tcBorders>
              <w:top w:val="single" w:sz="4" w:space="0" w:color="auto"/>
              <w:left w:val="nil"/>
              <w:bottom w:val="single" w:sz="4" w:space="0" w:color="auto"/>
              <w:right w:val="nil"/>
            </w:tcBorders>
            <w:shd w:val="clear" w:color="000000" w:fill="FFFFFF"/>
            <w:noWrap/>
            <w:vAlign w:val="center"/>
            <w:hideMark/>
          </w:tcPr>
          <w:p w14:paraId="1EB6F91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403.6</w:t>
            </w:r>
          </w:p>
        </w:tc>
        <w:tc>
          <w:tcPr>
            <w:tcW w:w="180" w:type="dxa"/>
            <w:tcBorders>
              <w:top w:val="single" w:sz="4" w:space="0" w:color="auto"/>
              <w:left w:val="nil"/>
              <w:bottom w:val="single" w:sz="4" w:space="0" w:color="auto"/>
              <w:right w:val="nil"/>
            </w:tcBorders>
            <w:shd w:val="clear" w:color="000000" w:fill="FFFFFF"/>
            <w:noWrap/>
            <w:vAlign w:val="center"/>
            <w:hideMark/>
          </w:tcPr>
          <w:p w14:paraId="6C7E6E19"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980" w:type="dxa"/>
            <w:tcBorders>
              <w:top w:val="single" w:sz="4" w:space="0" w:color="auto"/>
              <w:left w:val="nil"/>
              <w:bottom w:val="single" w:sz="4" w:space="0" w:color="auto"/>
              <w:right w:val="nil"/>
            </w:tcBorders>
            <w:shd w:val="clear" w:color="000000" w:fill="FFFFFF"/>
            <w:noWrap/>
            <w:vAlign w:val="center"/>
            <w:hideMark/>
          </w:tcPr>
          <w:p w14:paraId="49529C42"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60.6</w:t>
            </w:r>
          </w:p>
        </w:tc>
        <w:tc>
          <w:tcPr>
            <w:tcW w:w="880" w:type="dxa"/>
            <w:tcBorders>
              <w:top w:val="single" w:sz="4" w:space="0" w:color="auto"/>
              <w:left w:val="nil"/>
              <w:bottom w:val="single" w:sz="4" w:space="0" w:color="auto"/>
              <w:right w:val="nil"/>
            </w:tcBorders>
            <w:shd w:val="clear" w:color="000000" w:fill="FFFFFF"/>
            <w:noWrap/>
            <w:vAlign w:val="center"/>
            <w:hideMark/>
          </w:tcPr>
          <w:p w14:paraId="01416E77"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391.1</w:t>
            </w:r>
          </w:p>
        </w:tc>
        <w:tc>
          <w:tcPr>
            <w:tcW w:w="980" w:type="dxa"/>
            <w:tcBorders>
              <w:top w:val="single" w:sz="4" w:space="0" w:color="auto"/>
              <w:left w:val="nil"/>
              <w:bottom w:val="single" w:sz="4" w:space="0" w:color="auto"/>
              <w:right w:val="nil"/>
            </w:tcBorders>
            <w:shd w:val="clear" w:color="000000" w:fill="FFFFFF"/>
            <w:noWrap/>
            <w:vAlign w:val="center"/>
            <w:hideMark/>
          </w:tcPr>
          <w:p w14:paraId="46378094"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6.2</w:t>
            </w:r>
          </w:p>
        </w:tc>
        <w:tc>
          <w:tcPr>
            <w:tcW w:w="180" w:type="dxa"/>
            <w:tcBorders>
              <w:top w:val="single" w:sz="4" w:space="0" w:color="auto"/>
              <w:left w:val="nil"/>
              <w:bottom w:val="single" w:sz="4" w:space="0" w:color="auto"/>
              <w:right w:val="nil"/>
            </w:tcBorders>
            <w:shd w:val="clear" w:color="000000" w:fill="FFFFFF"/>
            <w:noWrap/>
            <w:vAlign w:val="center"/>
            <w:hideMark/>
          </w:tcPr>
          <w:p w14:paraId="5A4C9431"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280" w:type="dxa"/>
            <w:tcBorders>
              <w:top w:val="single" w:sz="4" w:space="0" w:color="auto"/>
              <w:left w:val="nil"/>
              <w:bottom w:val="single" w:sz="4" w:space="0" w:color="auto"/>
              <w:right w:val="nil"/>
            </w:tcBorders>
            <w:shd w:val="clear" w:color="000000" w:fill="FFFFFF"/>
            <w:noWrap/>
            <w:vAlign w:val="center"/>
            <w:hideMark/>
          </w:tcPr>
          <w:p w14:paraId="46DE0CB8"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1,234.8</w:t>
            </w:r>
          </w:p>
        </w:tc>
        <w:tc>
          <w:tcPr>
            <w:tcW w:w="1280" w:type="dxa"/>
            <w:tcBorders>
              <w:top w:val="single" w:sz="4" w:space="0" w:color="auto"/>
              <w:left w:val="nil"/>
              <w:bottom w:val="single" w:sz="4" w:space="0" w:color="auto"/>
              <w:right w:val="nil"/>
            </w:tcBorders>
            <w:shd w:val="clear" w:color="000000" w:fill="FFFFFF"/>
            <w:noWrap/>
            <w:vAlign w:val="center"/>
            <w:hideMark/>
          </w:tcPr>
          <w:p w14:paraId="4F9ABE6B"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58.7</w:t>
            </w:r>
          </w:p>
        </w:tc>
        <w:tc>
          <w:tcPr>
            <w:tcW w:w="180" w:type="dxa"/>
            <w:tcBorders>
              <w:top w:val="single" w:sz="4" w:space="0" w:color="auto"/>
              <w:left w:val="nil"/>
              <w:bottom w:val="single" w:sz="4" w:space="0" w:color="auto"/>
              <w:right w:val="nil"/>
            </w:tcBorders>
            <w:shd w:val="clear" w:color="000000" w:fill="FFFFFF"/>
            <w:noWrap/>
            <w:vAlign w:val="center"/>
            <w:hideMark/>
          </w:tcPr>
          <w:p w14:paraId="7E87E4F6"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 </w:t>
            </w:r>
          </w:p>
        </w:tc>
        <w:tc>
          <w:tcPr>
            <w:tcW w:w="1000" w:type="dxa"/>
            <w:tcBorders>
              <w:top w:val="single" w:sz="4" w:space="0" w:color="auto"/>
              <w:left w:val="nil"/>
              <w:bottom w:val="single" w:sz="4" w:space="0" w:color="auto"/>
              <w:right w:val="nil"/>
            </w:tcBorders>
            <w:shd w:val="clear" w:color="000000" w:fill="FFFFFF"/>
            <w:noWrap/>
            <w:vAlign w:val="center"/>
            <w:hideMark/>
          </w:tcPr>
          <w:p w14:paraId="3E67A641"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10.5</w:t>
            </w:r>
          </w:p>
        </w:tc>
        <w:tc>
          <w:tcPr>
            <w:tcW w:w="1020" w:type="dxa"/>
            <w:tcBorders>
              <w:top w:val="single" w:sz="4" w:space="0" w:color="auto"/>
              <w:left w:val="nil"/>
              <w:bottom w:val="single" w:sz="4" w:space="0" w:color="auto"/>
              <w:right w:val="nil"/>
            </w:tcBorders>
            <w:shd w:val="clear" w:color="000000" w:fill="FFFFFF"/>
            <w:noWrap/>
            <w:vAlign w:val="center"/>
            <w:hideMark/>
          </w:tcPr>
          <w:p w14:paraId="2961F33E"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11.6</w:t>
            </w:r>
          </w:p>
        </w:tc>
        <w:tc>
          <w:tcPr>
            <w:tcW w:w="980" w:type="dxa"/>
            <w:tcBorders>
              <w:top w:val="single" w:sz="4" w:space="0" w:color="auto"/>
              <w:left w:val="nil"/>
              <w:bottom w:val="single" w:sz="4" w:space="0" w:color="auto"/>
              <w:right w:val="nil"/>
            </w:tcBorders>
            <w:shd w:val="clear" w:color="000000" w:fill="FFFFFF"/>
            <w:noWrap/>
            <w:vAlign w:val="center"/>
            <w:hideMark/>
          </w:tcPr>
          <w:p w14:paraId="2DBD4D05" w14:textId="77777777" w:rsidR="00CD1EA2" w:rsidRPr="00FC16DB" w:rsidRDefault="00CD1EA2" w:rsidP="00143E13">
            <w:pPr>
              <w:widowControl/>
              <w:spacing w:after="0"/>
              <w:jc w:val="center"/>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10.5</w:t>
            </w:r>
          </w:p>
        </w:tc>
      </w:tr>
      <w:tr w:rsidR="00CD1EA2" w:rsidRPr="00FC16DB" w14:paraId="58AD1A4C" w14:textId="77777777" w:rsidTr="00143E13">
        <w:trPr>
          <w:trHeight w:val="255"/>
        </w:trPr>
        <w:tc>
          <w:tcPr>
            <w:tcW w:w="14640" w:type="dxa"/>
            <w:gridSpan w:val="15"/>
            <w:tcBorders>
              <w:top w:val="single" w:sz="4" w:space="0" w:color="auto"/>
              <w:left w:val="nil"/>
              <w:bottom w:val="single" w:sz="4" w:space="0" w:color="auto"/>
              <w:right w:val="nil"/>
            </w:tcBorders>
            <w:shd w:val="clear" w:color="000000" w:fill="FFFFFF"/>
            <w:vAlign w:val="center"/>
            <w:hideMark/>
          </w:tcPr>
          <w:p w14:paraId="0DCEFC2E" w14:textId="77777777" w:rsidR="00CD1EA2" w:rsidRPr="00FC16DB" w:rsidRDefault="00CD1EA2" w:rsidP="00143E13">
            <w:pPr>
              <w:widowControl/>
              <w:spacing w:after="0"/>
              <w:jc w:val="left"/>
              <w:rPr>
                <w:rFonts w:ascii="Calibri" w:eastAsia="Times New Roman" w:hAnsi="Calibri" w:cs="Calibri"/>
                <w:sz w:val="16"/>
                <w:szCs w:val="16"/>
                <w:lang w:eastAsia="en-GB"/>
              </w:rPr>
            </w:pPr>
            <w:r w:rsidRPr="00FC16DB">
              <w:rPr>
                <w:rFonts w:ascii="Calibri" w:eastAsia="Times New Roman" w:hAnsi="Calibri" w:cs="Calibri"/>
                <w:sz w:val="16"/>
                <w:szCs w:val="16"/>
                <w:lang w:eastAsia="en-GB"/>
              </w:rPr>
              <w:t>The sample includes 146 LAs. Estimates for control variables and intercept are not reported. ***=p-value&lt;0.01, **=p-value&lt;0.05, *=p-value&lt;0.1</w:t>
            </w:r>
          </w:p>
        </w:tc>
      </w:tr>
    </w:tbl>
    <w:p w14:paraId="03D6A82F" w14:textId="77777777" w:rsidR="00CD1EA2" w:rsidRDefault="00CD1EA2" w:rsidP="00CD1EA2"/>
    <w:p w14:paraId="297705EC" w14:textId="77777777" w:rsidR="00CD1EA2" w:rsidRDefault="00CD1EA2" w:rsidP="00931C7C">
      <w:pPr>
        <w:pStyle w:val="Caption"/>
        <w:sectPr w:rsidR="00CD1EA2" w:rsidSect="00CD1EA2">
          <w:pgSz w:w="16838" w:h="11906" w:orient="landscape"/>
          <w:pgMar w:top="720" w:right="720" w:bottom="720" w:left="720" w:header="0" w:footer="0" w:gutter="0"/>
          <w:cols w:space="708"/>
          <w:docGrid w:linePitch="360"/>
        </w:sectPr>
      </w:pPr>
    </w:p>
    <w:p w14:paraId="1CCA156F" w14:textId="54CA0B4F" w:rsidR="00931C7C" w:rsidRDefault="00931C7C" w:rsidP="00931C7C">
      <w:pPr>
        <w:pStyle w:val="Caption"/>
      </w:pPr>
      <w:bookmarkStart w:id="49" w:name="_Ref93917452"/>
      <w:r w:rsidRPr="002A4884">
        <w:lastRenderedPageBreak/>
        <w:t>Table A</w:t>
      </w:r>
      <w:r w:rsidR="002A7365">
        <w:fldChar w:fldCharType="begin"/>
      </w:r>
      <w:r w:rsidR="002A7365">
        <w:instrText xml:space="preserve"> SEQ Table_A \* ARABIC </w:instrText>
      </w:r>
      <w:r w:rsidR="002A7365">
        <w:fldChar w:fldCharType="separate"/>
      </w:r>
      <w:r w:rsidR="007C7B62">
        <w:rPr>
          <w:noProof/>
        </w:rPr>
        <w:t>3</w:t>
      </w:r>
      <w:r w:rsidR="002A7365">
        <w:rPr>
          <w:noProof/>
        </w:rPr>
        <w:fldChar w:fldCharType="end"/>
      </w:r>
      <w:bookmarkEnd w:id="47"/>
      <w:bookmarkEnd w:id="49"/>
      <w:r w:rsidRPr="002A4884">
        <w:t xml:space="preserve"> –</w:t>
      </w:r>
      <w:r w:rsidR="00D76235">
        <w:t xml:space="preserve"> Sensitivity analysis to controlling for other LA expenditures</w:t>
      </w:r>
      <w:r w:rsidRPr="002A4884">
        <w:t>.</w:t>
      </w:r>
    </w:p>
    <w:tbl>
      <w:tblPr>
        <w:tblW w:w="8227" w:type="dxa"/>
        <w:tblLook w:val="04A0" w:firstRow="1" w:lastRow="0" w:firstColumn="1" w:lastColumn="0" w:noHBand="0" w:noVBand="1"/>
      </w:tblPr>
      <w:tblGrid>
        <w:gridCol w:w="467"/>
        <w:gridCol w:w="6640"/>
        <w:gridCol w:w="1120"/>
      </w:tblGrid>
      <w:tr w:rsidR="005E2DC3" w:rsidRPr="005E2DC3" w14:paraId="0EFC13E5" w14:textId="77777777" w:rsidTr="005C3100">
        <w:trPr>
          <w:trHeight w:val="255"/>
        </w:trPr>
        <w:tc>
          <w:tcPr>
            <w:tcW w:w="7107" w:type="dxa"/>
            <w:gridSpan w:val="2"/>
            <w:tcBorders>
              <w:top w:val="single" w:sz="4" w:space="0" w:color="auto"/>
              <w:left w:val="nil"/>
              <w:bottom w:val="single" w:sz="4" w:space="0" w:color="auto"/>
              <w:right w:val="nil"/>
            </w:tcBorders>
            <w:shd w:val="clear" w:color="000000" w:fill="FFFFFF"/>
            <w:noWrap/>
            <w:vAlign w:val="center"/>
            <w:hideMark/>
          </w:tcPr>
          <w:p w14:paraId="11B869AB" w14:textId="68084346" w:rsidR="005E2DC3" w:rsidRPr="005E2DC3" w:rsidRDefault="00300A8A" w:rsidP="00300A8A">
            <w:pPr>
              <w:widowControl/>
              <w:spacing w:after="0"/>
              <w:jc w:val="center"/>
              <w:rPr>
                <w:rFonts w:ascii="Calibri" w:eastAsia="Times New Roman" w:hAnsi="Calibri" w:cs="Calibri"/>
                <w:sz w:val="20"/>
                <w:szCs w:val="20"/>
                <w:lang w:eastAsia="en-GB"/>
              </w:rPr>
            </w:pPr>
            <w:r>
              <w:rPr>
                <w:rFonts w:ascii="Calibri" w:eastAsia="Times New Roman" w:hAnsi="Calibri" w:cs="Calibri"/>
                <w:sz w:val="20"/>
                <w:szCs w:val="20"/>
                <w:lang w:eastAsia="en-GB"/>
              </w:rPr>
              <w:t>Independent v</w:t>
            </w:r>
            <w:r w:rsidR="005E2DC3" w:rsidRPr="005E2DC3">
              <w:rPr>
                <w:rFonts w:ascii="Calibri" w:eastAsia="Times New Roman" w:hAnsi="Calibri" w:cs="Calibri"/>
                <w:sz w:val="20"/>
                <w:szCs w:val="20"/>
                <w:lang w:eastAsia="en-GB"/>
              </w:rPr>
              <w:t>ariable</w:t>
            </w:r>
          </w:p>
        </w:tc>
        <w:tc>
          <w:tcPr>
            <w:tcW w:w="1120" w:type="dxa"/>
            <w:tcBorders>
              <w:top w:val="single" w:sz="4" w:space="0" w:color="auto"/>
              <w:left w:val="nil"/>
              <w:bottom w:val="single" w:sz="4" w:space="0" w:color="auto"/>
              <w:right w:val="nil"/>
            </w:tcBorders>
            <w:shd w:val="clear" w:color="000000" w:fill="FFFFFF"/>
            <w:noWrap/>
            <w:vAlign w:val="center"/>
            <w:hideMark/>
          </w:tcPr>
          <w:p w14:paraId="6ABA7A8B"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 </w:t>
            </w:r>
          </w:p>
        </w:tc>
      </w:tr>
      <w:tr w:rsidR="005E2DC3" w:rsidRPr="005E2DC3" w14:paraId="2D0C325A" w14:textId="77777777" w:rsidTr="005C3100">
        <w:trPr>
          <w:trHeight w:val="255"/>
        </w:trPr>
        <w:tc>
          <w:tcPr>
            <w:tcW w:w="7107" w:type="dxa"/>
            <w:gridSpan w:val="2"/>
            <w:vMerge w:val="restart"/>
            <w:tcBorders>
              <w:top w:val="nil"/>
              <w:left w:val="nil"/>
              <w:bottom w:val="nil"/>
              <w:right w:val="nil"/>
            </w:tcBorders>
            <w:shd w:val="clear" w:color="000000" w:fill="FFFFFF"/>
            <w:noWrap/>
            <w:vAlign w:val="center"/>
            <w:hideMark/>
          </w:tcPr>
          <w:p w14:paraId="7793F328"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health care expenditure per capita</w:t>
            </w:r>
          </w:p>
        </w:tc>
        <w:tc>
          <w:tcPr>
            <w:tcW w:w="1120" w:type="dxa"/>
            <w:tcBorders>
              <w:top w:val="nil"/>
              <w:left w:val="nil"/>
              <w:bottom w:val="nil"/>
              <w:right w:val="nil"/>
            </w:tcBorders>
            <w:shd w:val="clear" w:color="000000" w:fill="FFFFFF"/>
            <w:noWrap/>
            <w:vAlign w:val="bottom"/>
            <w:hideMark/>
          </w:tcPr>
          <w:p w14:paraId="01E443DD"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-0.304***</w:t>
            </w:r>
          </w:p>
        </w:tc>
      </w:tr>
      <w:tr w:rsidR="005E2DC3" w:rsidRPr="005E2DC3" w14:paraId="1D95F1AA" w14:textId="77777777" w:rsidTr="005C3100">
        <w:trPr>
          <w:trHeight w:val="255"/>
        </w:trPr>
        <w:tc>
          <w:tcPr>
            <w:tcW w:w="7107" w:type="dxa"/>
            <w:gridSpan w:val="2"/>
            <w:vMerge/>
            <w:tcBorders>
              <w:top w:val="nil"/>
              <w:left w:val="nil"/>
              <w:bottom w:val="nil"/>
              <w:right w:val="nil"/>
            </w:tcBorders>
            <w:vAlign w:val="center"/>
            <w:hideMark/>
          </w:tcPr>
          <w:p w14:paraId="47F481F6"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1120" w:type="dxa"/>
            <w:tcBorders>
              <w:top w:val="nil"/>
              <w:left w:val="nil"/>
              <w:bottom w:val="nil"/>
              <w:right w:val="nil"/>
            </w:tcBorders>
            <w:shd w:val="clear" w:color="000000" w:fill="FFFFFF"/>
            <w:noWrap/>
            <w:vAlign w:val="bottom"/>
            <w:hideMark/>
          </w:tcPr>
          <w:p w14:paraId="0A2A8DFE"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(0.115)</w:t>
            </w:r>
          </w:p>
        </w:tc>
      </w:tr>
      <w:tr w:rsidR="005E2DC3" w:rsidRPr="005E2DC3" w14:paraId="01B2CD58" w14:textId="77777777" w:rsidTr="005C3100">
        <w:trPr>
          <w:trHeight w:val="255"/>
        </w:trPr>
        <w:tc>
          <w:tcPr>
            <w:tcW w:w="7107" w:type="dxa"/>
            <w:gridSpan w:val="2"/>
            <w:vMerge w:val="restart"/>
            <w:tcBorders>
              <w:top w:val="nil"/>
              <w:left w:val="nil"/>
              <w:bottom w:val="nil"/>
              <w:right w:val="nil"/>
            </w:tcBorders>
            <w:shd w:val="clear" w:color="000000" w:fill="FFFFFF"/>
            <w:noWrap/>
            <w:vAlign w:val="center"/>
            <w:hideMark/>
          </w:tcPr>
          <w:p w14:paraId="1C64B691"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5EBC87CE"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-0.035***</w:t>
            </w:r>
          </w:p>
        </w:tc>
      </w:tr>
      <w:tr w:rsidR="005E2DC3" w:rsidRPr="005E2DC3" w14:paraId="1495B724" w14:textId="77777777" w:rsidTr="005C3100">
        <w:trPr>
          <w:trHeight w:val="255"/>
        </w:trPr>
        <w:tc>
          <w:tcPr>
            <w:tcW w:w="7107" w:type="dxa"/>
            <w:gridSpan w:val="2"/>
            <w:vMerge/>
            <w:tcBorders>
              <w:top w:val="nil"/>
              <w:left w:val="nil"/>
              <w:bottom w:val="nil"/>
              <w:right w:val="nil"/>
            </w:tcBorders>
            <w:vAlign w:val="center"/>
            <w:hideMark/>
          </w:tcPr>
          <w:p w14:paraId="437C64D6"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1120" w:type="dxa"/>
            <w:tcBorders>
              <w:top w:val="nil"/>
              <w:left w:val="nil"/>
              <w:bottom w:val="nil"/>
              <w:right w:val="nil"/>
            </w:tcBorders>
            <w:shd w:val="clear" w:color="000000" w:fill="FFFFFF"/>
            <w:noWrap/>
            <w:vAlign w:val="bottom"/>
            <w:hideMark/>
          </w:tcPr>
          <w:p w14:paraId="1635449B"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(0.012)</w:t>
            </w:r>
          </w:p>
        </w:tc>
      </w:tr>
      <w:tr w:rsidR="005E2DC3" w:rsidRPr="005E2DC3" w14:paraId="794506F5" w14:textId="77777777" w:rsidTr="005C3100">
        <w:trPr>
          <w:trHeight w:val="255"/>
        </w:trPr>
        <w:tc>
          <w:tcPr>
            <w:tcW w:w="467" w:type="dxa"/>
            <w:vMerge w:val="restart"/>
            <w:tcBorders>
              <w:top w:val="single" w:sz="4" w:space="0" w:color="D0CECE"/>
              <w:left w:val="nil"/>
              <w:bottom w:val="single" w:sz="4" w:space="0" w:color="D0CECE"/>
              <w:right w:val="nil"/>
            </w:tcBorders>
            <w:shd w:val="clear" w:color="auto" w:fill="auto"/>
            <w:noWrap/>
            <w:textDirection w:val="btLr"/>
            <w:vAlign w:val="center"/>
            <w:hideMark/>
          </w:tcPr>
          <w:p w14:paraId="4E9FA8D5"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LA population</w:t>
            </w:r>
          </w:p>
        </w:tc>
        <w:tc>
          <w:tcPr>
            <w:tcW w:w="6640" w:type="dxa"/>
            <w:tcBorders>
              <w:top w:val="single" w:sz="4" w:space="0" w:color="D0CECE"/>
              <w:left w:val="nil"/>
              <w:bottom w:val="nil"/>
              <w:right w:val="nil"/>
            </w:tcBorders>
            <w:shd w:val="clear" w:color="000000" w:fill="FFFFFF"/>
            <w:noWrap/>
            <w:vAlign w:val="bottom"/>
            <w:hideMark/>
          </w:tcPr>
          <w:p w14:paraId="5E1CDB87"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people who are blind or partially sighted</w:t>
            </w:r>
          </w:p>
        </w:tc>
        <w:tc>
          <w:tcPr>
            <w:tcW w:w="1120" w:type="dxa"/>
            <w:tcBorders>
              <w:top w:val="single" w:sz="4" w:space="0" w:color="D0CECE"/>
              <w:left w:val="nil"/>
              <w:bottom w:val="nil"/>
              <w:right w:val="nil"/>
            </w:tcBorders>
            <w:shd w:val="clear" w:color="000000" w:fill="FFFFFF"/>
            <w:noWrap/>
            <w:vAlign w:val="bottom"/>
            <w:hideMark/>
          </w:tcPr>
          <w:p w14:paraId="141EB651"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-0.007</w:t>
            </w:r>
          </w:p>
        </w:tc>
      </w:tr>
      <w:tr w:rsidR="005E2DC3" w:rsidRPr="005E2DC3" w14:paraId="443A5A1C"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6828D46C"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016A10F9"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people who are deaf or hard of hearing 2010</w:t>
            </w:r>
          </w:p>
        </w:tc>
        <w:tc>
          <w:tcPr>
            <w:tcW w:w="1120" w:type="dxa"/>
            <w:tcBorders>
              <w:top w:val="nil"/>
              <w:left w:val="nil"/>
              <w:bottom w:val="nil"/>
              <w:right w:val="nil"/>
            </w:tcBorders>
            <w:shd w:val="clear" w:color="000000" w:fill="FFFFFF"/>
            <w:noWrap/>
            <w:vAlign w:val="bottom"/>
            <w:hideMark/>
          </w:tcPr>
          <w:p w14:paraId="5D19DCD9"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0.032**</w:t>
            </w:r>
          </w:p>
        </w:tc>
      </w:tr>
      <w:tr w:rsidR="005E2DC3" w:rsidRPr="005E2DC3" w14:paraId="617FB628"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0D9FAAFC"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416F2B9C"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Index of disability deprivation</w:t>
            </w:r>
          </w:p>
        </w:tc>
        <w:tc>
          <w:tcPr>
            <w:tcW w:w="1120" w:type="dxa"/>
            <w:tcBorders>
              <w:top w:val="nil"/>
              <w:left w:val="nil"/>
              <w:bottom w:val="nil"/>
              <w:right w:val="nil"/>
            </w:tcBorders>
            <w:shd w:val="clear" w:color="000000" w:fill="FFFFFF"/>
            <w:noWrap/>
            <w:vAlign w:val="bottom"/>
            <w:hideMark/>
          </w:tcPr>
          <w:p w14:paraId="60E8E400"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0.168***</w:t>
            </w:r>
          </w:p>
        </w:tc>
      </w:tr>
      <w:tr w:rsidR="005E2DC3" w:rsidRPr="005E2DC3" w14:paraId="46A01E2F"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7B7BF46B"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5D5CAF8B"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Population density</w:t>
            </w:r>
          </w:p>
        </w:tc>
        <w:tc>
          <w:tcPr>
            <w:tcW w:w="1120" w:type="dxa"/>
            <w:tcBorders>
              <w:top w:val="nil"/>
              <w:left w:val="nil"/>
              <w:bottom w:val="nil"/>
              <w:right w:val="nil"/>
            </w:tcBorders>
            <w:shd w:val="clear" w:color="000000" w:fill="FFFFFF"/>
            <w:noWrap/>
            <w:vAlign w:val="bottom"/>
            <w:hideMark/>
          </w:tcPr>
          <w:p w14:paraId="47C75F4E"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030B2447"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07B2CBAB"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713C0362"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index of multiple deprivation 2010</w:t>
            </w:r>
          </w:p>
        </w:tc>
        <w:tc>
          <w:tcPr>
            <w:tcW w:w="1120" w:type="dxa"/>
            <w:tcBorders>
              <w:top w:val="nil"/>
              <w:left w:val="nil"/>
              <w:bottom w:val="nil"/>
              <w:right w:val="nil"/>
            </w:tcBorders>
            <w:shd w:val="clear" w:color="000000" w:fill="FFFFFF"/>
            <w:noWrap/>
            <w:vAlign w:val="bottom"/>
            <w:hideMark/>
          </w:tcPr>
          <w:p w14:paraId="265AC382"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-0.104**</w:t>
            </w:r>
          </w:p>
        </w:tc>
      </w:tr>
      <w:tr w:rsidR="005E2DC3" w:rsidRPr="005E2DC3" w14:paraId="0FE91980"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5D7B674C"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6236AE98"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Index of education deprivation</w:t>
            </w:r>
          </w:p>
        </w:tc>
        <w:tc>
          <w:tcPr>
            <w:tcW w:w="1120" w:type="dxa"/>
            <w:tcBorders>
              <w:top w:val="nil"/>
              <w:left w:val="nil"/>
              <w:bottom w:val="nil"/>
              <w:right w:val="nil"/>
            </w:tcBorders>
            <w:shd w:val="clear" w:color="000000" w:fill="FFFFFF"/>
            <w:noWrap/>
            <w:vAlign w:val="bottom"/>
            <w:hideMark/>
          </w:tcPr>
          <w:p w14:paraId="66D4E1D8"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130DB47F"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7C840AE7"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70A34417"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of people who are income deprived</w:t>
            </w:r>
          </w:p>
        </w:tc>
        <w:tc>
          <w:tcPr>
            <w:tcW w:w="1120" w:type="dxa"/>
            <w:tcBorders>
              <w:top w:val="nil"/>
              <w:left w:val="nil"/>
              <w:bottom w:val="nil"/>
              <w:right w:val="nil"/>
            </w:tcBorders>
            <w:shd w:val="clear" w:color="000000" w:fill="FFFFFF"/>
            <w:noWrap/>
            <w:vAlign w:val="bottom"/>
            <w:hideMark/>
          </w:tcPr>
          <w:p w14:paraId="42781014"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0.009**</w:t>
            </w:r>
          </w:p>
        </w:tc>
      </w:tr>
      <w:tr w:rsidR="005E2DC3" w:rsidRPr="005E2DC3" w14:paraId="55E51AD4"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0FD22ED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0D5B2175"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Gross disposable household income per capita: quartile 2</w:t>
            </w:r>
          </w:p>
        </w:tc>
        <w:tc>
          <w:tcPr>
            <w:tcW w:w="1120" w:type="dxa"/>
            <w:tcBorders>
              <w:top w:val="nil"/>
              <w:left w:val="nil"/>
              <w:bottom w:val="nil"/>
              <w:right w:val="nil"/>
            </w:tcBorders>
            <w:shd w:val="clear" w:color="000000" w:fill="FFFFFF"/>
            <w:noWrap/>
            <w:vAlign w:val="bottom"/>
            <w:hideMark/>
          </w:tcPr>
          <w:p w14:paraId="7C1F3FF2"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0.012</w:t>
            </w:r>
          </w:p>
        </w:tc>
      </w:tr>
      <w:tr w:rsidR="005E2DC3" w:rsidRPr="005E2DC3" w14:paraId="7A28A7E0"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514310DB"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14EA733C"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Gross disposable household income per capita: quartile 3</w:t>
            </w:r>
          </w:p>
        </w:tc>
        <w:tc>
          <w:tcPr>
            <w:tcW w:w="1120" w:type="dxa"/>
            <w:tcBorders>
              <w:top w:val="nil"/>
              <w:left w:val="nil"/>
              <w:bottom w:val="nil"/>
              <w:right w:val="nil"/>
            </w:tcBorders>
            <w:shd w:val="clear" w:color="000000" w:fill="FFFFFF"/>
            <w:noWrap/>
            <w:vAlign w:val="bottom"/>
            <w:hideMark/>
          </w:tcPr>
          <w:p w14:paraId="015377D4"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7BC6416C" w14:textId="77777777" w:rsidTr="005C3100">
        <w:trPr>
          <w:trHeight w:val="255"/>
        </w:trPr>
        <w:tc>
          <w:tcPr>
            <w:tcW w:w="467" w:type="dxa"/>
            <w:vMerge/>
            <w:tcBorders>
              <w:top w:val="single" w:sz="4" w:space="0" w:color="D0CECE"/>
              <w:left w:val="nil"/>
              <w:bottom w:val="single" w:sz="4" w:space="0" w:color="D0CECE"/>
              <w:right w:val="nil"/>
            </w:tcBorders>
            <w:vAlign w:val="center"/>
            <w:hideMark/>
          </w:tcPr>
          <w:p w14:paraId="04BD2E7F"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single" w:sz="4" w:space="0" w:color="D0CECE"/>
              <w:right w:val="nil"/>
            </w:tcBorders>
            <w:shd w:val="clear" w:color="000000" w:fill="FFFFFF"/>
            <w:noWrap/>
            <w:vAlign w:val="bottom"/>
            <w:hideMark/>
          </w:tcPr>
          <w:p w14:paraId="68AD6F5D"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Gross disposable household income per capita: quartile 4 (highest income)</w:t>
            </w:r>
          </w:p>
        </w:tc>
        <w:tc>
          <w:tcPr>
            <w:tcW w:w="1120" w:type="dxa"/>
            <w:tcBorders>
              <w:top w:val="nil"/>
              <w:left w:val="nil"/>
              <w:bottom w:val="single" w:sz="4" w:space="0" w:color="D0CECE"/>
              <w:right w:val="nil"/>
            </w:tcBorders>
            <w:shd w:val="clear" w:color="000000" w:fill="FFFFFF"/>
            <w:noWrap/>
            <w:vAlign w:val="bottom"/>
            <w:hideMark/>
          </w:tcPr>
          <w:p w14:paraId="60962996"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-0.004</w:t>
            </w:r>
          </w:p>
        </w:tc>
      </w:tr>
      <w:tr w:rsidR="005E2DC3" w:rsidRPr="005E2DC3" w14:paraId="63C4DF98" w14:textId="77777777" w:rsidTr="005C3100">
        <w:trPr>
          <w:trHeight w:val="255"/>
        </w:trPr>
        <w:tc>
          <w:tcPr>
            <w:tcW w:w="467" w:type="dxa"/>
            <w:vMerge w:val="restart"/>
            <w:tcBorders>
              <w:top w:val="nil"/>
              <w:left w:val="nil"/>
              <w:bottom w:val="single" w:sz="4" w:space="0" w:color="D0CECE"/>
              <w:right w:val="nil"/>
            </w:tcBorders>
            <w:shd w:val="clear" w:color="auto" w:fill="auto"/>
            <w:noWrap/>
            <w:textDirection w:val="btLr"/>
            <w:vAlign w:val="center"/>
            <w:hideMark/>
          </w:tcPr>
          <w:p w14:paraId="7FC8B594"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LTC users</w:t>
            </w:r>
          </w:p>
        </w:tc>
        <w:tc>
          <w:tcPr>
            <w:tcW w:w="6640" w:type="dxa"/>
            <w:tcBorders>
              <w:top w:val="nil"/>
              <w:left w:val="nil"/>
              <w:bottom w:val="nil"/>
              <w:right w:val="nil"/>
            </w:tcBorders>
            <w:shd w:val="clear" w:color="000000" w:fill="FFFFFF"/>
            <w:noWrap/>
            <w:vAlign w:val="bottom"/>
            <w:hideMark/>
          </w:tcPr>
          <w:p w14:paraId="51EAFDF4"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County LA</w:t>
            </w:r>
          </w:p>
        </w:tc>
        <w:tc>
          <w:tcPr>
            <w:tcW w:w="1120" w:type="dxa"/>
            <w:tcBorders>
              <w:top w:val="nil"/>
              <w:left w:val="nil"/>
              <w:bottom w:val="nil"/>
              <w:right w:val="nil"/>
            </w:tcBorders>
            <w:shd w:val="clear" w:color="000000" w:fill="FFFFFF"/>
            <w:noWrap/>
            <w:vAlign w:val="bottom"/>
            <w:hideMark/>
          </w:tcPr>
          <w:p w14:paraId="3F1D57FA"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0.017</w:t>
            </w:r>
          </w:p>
        </w:tc>
      </w:tr>
      <w:tr w:rsidR="005E2DC3" w:rsidRPr="005E2DC3" w14:paraId="45624043" w14:textId="77777777" w:rsidTr="005C3100">
        <w:trPr>
          <w:trHeight w:val="255"/>
        </w:trPr>
        <w:tc>
          <w:tcPr>
            <w:tcW w:w="467" w:type="dxa"/>
            <w:vMerge/>
            <w:tcBorders>
              <w:top w:val="nil"/>
              <w:left w:val="nil"/>
              <w:bottom w:val="single" w:sz="4" w:space="0" w:color="D0CECE"/>
              <w:right w:val="nil"/>
            </w:tcBorders>
            <w:vAlign w:val="center"/>
            <w:hideMark/>
          </w:tcPr>
          <w:p w14:paraId="12C2B8E4"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533BC12B"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Metropolitan LA</w:t>
            </w:r>
          </w:p>
        </w:tc>
        <w:tc>
          <w:tcPr>
            <w:tcW w:w="1120" w:type="dxa"/>
            <w:tcBorders>
              <w:top w:val="nil"/>
              <w:left w:val="nil"/>
              <w:bottom w:val="nil"/>
              <w:right w:val="nil"/>
            </w:tcBorders>
            <w:shd w:val="clear" w:color="000000" w:fill="FFFFFF"/>
            <w:noWrap/>
            <w:vAlign w:val="bottom"/>
            <w:hideMark/>
          </w:tcPr>
          <w:p w14:paraId="366E6D42"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-0.012</w:t>
            </w:r>
          </w:p>
        </w:tc>
      </w:tr>
      <w:tr w:rsidR="005E2DC3" w:rsidRPr="005E2DC3" w14:paraId="660E0C42" w14:textId="77777777" w:rsidTr="005C3100">
        <w:trPr>
          <w:trHeight w:val="255"/>
        </w:trPr>
        <w:tc>
          <w:tcPr>
            <w:tcW w:w="467" w:type="dxa"/>
            <w:vMerge/>
            <w:tcBorders>
              <w:top w:val="nil"/>
              <w:left w:val="nil"/>
              <w:bottom w:val="single" w:sz="4" w:space="0" w:color="D0CECE"/>
              <w:right w:val="nil"/>
            </w:tcBorders>
            <w:vAlign w:val="center"/>
            <w:hideMark/>
          </w:tcPr>
          <w:p w14:paraId="65482886"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1C4782E2"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Unitary Authority LA</w:t>
            </w:r>
          </w:p>
        </w:tc>
        <w:tc>
          <w:tcPr>
            <w:tcW w:w="1120" w:type="dxa"/>
            <w:tcBorders>
              <w:top w:val="nil"/>
              <w:left w:val="nil"/>
              <w:bottom w:val="nil"/>
              <w:right w:val="nil"/>
            </w:tcBorders>
            <w:shd w:val="clear" w:color="000000" w:fill="FFFFFF"/>
            <w:noWrap/>
            <w:vAlign w:val="bottom"/>
            <w:hideMark/>
          </w:tcPr>
          <w:p w14:paraId="7E74E8A5"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0.024</w:t>
            </w:r>
          </w:p>
        </w:tc>
      </w:tr>
      <w:tr w:rsidR="005E2DC3" w:rsidRPr="005E2DC3" w14:paraId="692B251F" w14:textId="77777777" w:rsidTr="005C3100">
        <w:trPr>
          <w:trHeight w:val="255"/>
        </w:trPr>
        <w:tc>
          <w:tcPr>
            <w:tcW w:w="467" w:type="dxa"/>
            <w:vMerge/>
            <w:tcBorders>
              <w:top w:val="nil"/>
              <w:left w:val="nil"/>
              <w:bottom w:val="single" w:sz="4" w:space="0" w:color="D0CECE"/>
              <w:right w:val="nil"/>
            </w:tcBorders>
            <w:vAlign w:val="center"/>
            <w:hideMark/>
          </w:tcPr>
          <w:p w14:paraId="43F925CE"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482C23E8"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female users</w:t>
            </w:r>
          </w:p>
        </w:tc>
        <w:tc>
          <w:tcPr>
            <w:tcW w:w="1120" w:type="dxa"/>
            <w:tcBorders>
              <w:top w:val="nil"/>
              <w:left w:val="nil"/>
              <w:bottom w:val="nil"/>
              <w:right w:val="nil"/>
            </w:tcBorders>
            <w:shd w:val="clear" w:color="000000" w:fill="FFFFFF"/>
            <w:noWrap/>
            <w:vAlign w:val="bottom"/>
            <w:hideMark/>
          </w:tcPr>
          <w:p w14:paraId="606A4D7A"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17A2DE40" w14:textId="77777777" w:rsidTr="005C3100">
        <w:trPr>
          <w:trHeight w:val="255"/>
        </w:trPr>
        <w:tc>
          <w:tcPr>
            <w:tcW w:w="467" w:type="dxa"/>
            <w:vMerge/>
            <w:tcBorders>
              <w:top w:val="nil"/>
              <w:left w:val="nil"/>
              <w:bottom w:val="single" w:sz="4" w:space="0" w:color="D0CECE"/>
              <w:right w:val="nil"/>
            </w:tcBorders>
            <w:vAlign w:val="center"/>
            <w:hideMark/>
          </w:tcPr>
          <w:p w14:paraId="373C145E"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16E62887"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aged 65 or older</w:t>
            </w:r>
          </w:p>
        </w:tc>
        <w:tc>
          <w:tcPr>
            <w:tcW w:w="1120" w:type="dxa"/>
            <w:tcBorders>
              <w:top w:val="nil"/>
              <w:left w:val="nil"/>
              <w:bottom w:val="nil"/>
              <w:right w:val="nil"/>
            </w:tcBorders>
            <w:shd w:val="clear" w:color="000000" w:fill="FFFFFF"/>
            <w:noWrap/>
            <w:vAlign w:val="bottom"/>
            <w:hideMark/>
          </w:tcPr>
          <w:p w14:paraId="16AD765F"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0.000</w:t>
            </w:r>
          </w:p>
        </w:tc>
      </w:tr>
      <w:tr w:rsidR="005E2DC3" w:rsidRPr="005E2DC3" w14:paraId="0195D453" w14:textId="77777777" w:rsidTr="005C3100">
        <w:trPr>
          <w:trHeight w:val="255"/>
        </w:trPr>
        <w:tc>
          <w:tcPr>
            <w:tcW w:w="467" w:type="dxa"/>
            <w:vMerge/>
            <w:tcBorders>
              <w:top w:val="nil"/>
              <w:left w:val="nil"/>
              <w:bottom w:val="single" w:sz="4" w:space="0" w:color="D0CECE"/>
              <w:right w:val="nil"/>
            </w:tcBorders>
            <w:vAlign w:val="center"/>
            <w:hideMark/>
          </w:tcPr>
          <w:p w14:paraId="5E34F884"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312ED3CB"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receiving easy-read questionnaire</w:t>
            </w:r>
          </w:p>
        </w:tc>
        <w:tc>
          <w:tcPr>
            <w:tcW w:w="1120" w:type="dxa"/>
            <w:tcBorders>
              <w:top w:val="nil"/>
              <w:left w:val="nil"/>
              <w:bottom w:val="nil"/>
              <w:right w:val="nil"/>
            </w:tcBorders>
            <w:shd w:val="clear" w:color="000000" w:fill="FFFFFF"/>
            <w:noWrap/>
            <w:vAlign w:val="bottom"/>
            <w:hideMark/>
          </w:tcPr>
          <w:p w14:paraId="6C7FE58A"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0.0000</w:t>
            </w:r>
          </w:p>
        </w:tc>
      </w:tr>
      <w:tr w:rsidR="005E2DC3" w:rsidRPr="005E2DC3" w14:paraId="11AA3EC1" w14:textId="77777777" w:rsidTr="005C3100">
        <w:trPr>
          <w:trHeight w:val="255"/>
        </w:trPr>
        <w:tc>
          <w:tcPr>
            <w:tcW w:w="467" w:type="dxa"/>
            <w:vMerge/>
            <w:tcBorders>
              <w:top w:val="nil"/>
              <w:left w:val="nil"/>
              <w:bottom w:val="single" w:sz="4" w:space="0" w:color="D0CECE"/>
              <w:right w:val="nil"/>
            </w:tcBorders>
            <w:vAlign w:val="center"/>
            <w:hideMark/>
          </w:tcPr>
          <w:p w14:paraId="6BFF2AEC"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371E9779"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receiving no help with questionnaire</w:t>
            </w:r>
          </w:p>
        </w:tc>
        <w:tc>
          <w:tcPr>
            <w:tcW w:w="1120" w:type="dxa"/>
            <w:tcBorders>
              <w:top w:val="nil"/>
              <w:left w:val="nil"/>
              <w:bottom w:val="nil"/>
              <w:right w:val="nil"/>
            </w:tcBorders>
            <w:shd w:val="clear" w:color="000000" w:fill="FFFFFF"/>
            <w:noWrap/>
            <w:vAlign w:val="bottom"/>
            <w:hideMark/>
          </w:tcPr>
          <w:p w14:paraId="2BA5C604"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00CF14E7" w14:textId="77777777" w:rsidTr="005C3100">
        <w:trPr>
          <w:trHeight w:val="255"/>
        </w:trPr>
        <w:tc>
          <w:tcPr>
            <w:tcW w:w="467" w:type="dxa"/>
            <w:vMerge/>
            <w:tcBorders>
              <w:top w:val="nil"/>
              <w:left w:val="nil"/>
              <w:bottom w:val="single" w:sz="4" w:space="0" w:color="D0CECE"/>
              <w:right w:val="nil"/>
            </w:tcBorders>
            <w:vAlign w:val="center"/>
            <w:hideMark/>
          </w:tcPr>
          <w:p w14:paraId="4B362789"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7797A029"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whose questionnaire was read by someone else</w:t>
            </w:r>
          </w:p>
        </w:tc>
        <w:tc>
          <w:tcPr>
            <w:tcW w:w="1120" w:type="dxa"/>
            <w:tcBorders>
              <w:top w:val="nil"/>
              <w:left w:val="nil"/>
              <w:bottom w:val="nil"/>
              <w:right w:val="nil"/>
            </w:tcBorders>
            <w:shd w:val="clear" w:color="000000" w:fill="FFFFFF"/>
            <w:noWrap/>
            <w:vAlign w:val="bottom"/>
            <w:hideMark/>
          </w:tcPr>
          <w:p w14:paraId="0EE84C98"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5D6C7F59" w14:textId="77777777" w:rsidTr="005C3100">
        <w:trPr>
          <w:trHeight w:val="255"/>
        </w:trPr>
        <w:tc>
          <w:tcPr>
            <w:tcW w:w="467" w:type="dxa"/>
            <w:vMerge/>
            <w:tcBorders>
              <w:top w:val="nil"/>
              <w:left w:val="nil"/>
              <w:bottom w:val="single" w:sz="4" w:space="0" w:color="D0CECE"/>
              <w:right w:val="nil"/>
            </w:tcBorders>
            <w:vAlign w:val="center"/>
            <w:hideMark/>
          </w:tcPr>
          <w:p w14:paraId="23617F71"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6E62DB41"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whose questionnaire was translated by someone else</w:t>
            </w:r>
          </w:p>
        </w:tc>
        <w:tc>
          <w:tcPr>
            <w:tcW w:w="1120" w:type="dxa"/>
            <w:tcBorders>
              <w:top w:val="nil"/>
              <w:left w:val="nil"/>
              <w:bottom w:val="nil"/>
              <w:right w:val="nil"/>
            </w:tcBorders>
            <w:shd w:val="clear" w:color="000000" w:fill="FFFFFF"/>
            <w:noWrap/>
            <w:vAlign w:val="bottom"/>
            <w:hideMark/>
          </w:tcPr>
          <w:p w14:paraId="618243B6"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413C390C" w14:textId="77777777" w:rsidTr="005C3100">
        <w:trPr>
          <w:trHeight w:val="255"/>
        </w:trPr>
        <w:tc>
          <w:tcPr>
            <w:tcW w:w="467" w:type="dxa"/>
            <w:vMerge/>
            <w:tcBorders>
              <w:top w:val="nil"/>
              <w:left w:val="nil"/>
              <w:bottom w:val="single" w:sz="4" w:space="0" w:color="D0CECE"/>
              <w:right w:val="nil"/>
            </w:tcBorders>
            <w:vAlign w:val="center"/>
            <w:hideMark/>
          </w:tcPr>
          <w:p w14:paraId="265E5831"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0C6A27FF"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whose questionnaire was only filled in by someone else</w:t>
            </w:r>
          </w:p>
        </w:tc>
        <w:tc>
          <w:tcPr>
            <w:tcW w:w="1120" w:type="dxa"/>
            <w:tcBorders>
              <w:top w:val="nil"/>
              <w:left w:val="nil"/>
              <w:bottom w:val="nil"/>
              <w:right w:val="nil"/>
            </w:tcBorders>
            <w:shd w:val="clear" w:color="000000" w:fill="FFFFFF"/>
            <w:noWrap/>
            <w:vAlign w:val="bottom"/>
            <w:hideMark/>
          </w:tcPr>
          <w:p w14:paraId="5F8D0D18"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-0.0010</w:t>
            </w:r>
          </w:p>
        </w:tc>
      </w:tr>
      <w:tr w:rsidR="005E2DC3" w:rsidRPr="005E2DC3" w14:paraId="6271D5DD" w14:textId="77777777" w:rsidTr="005C3100">
        <w:trPr>
          <w:trHeight w:val="255"/>
        </w:trPr>
        <w:tc>
          <w:tcPr>
            <w:tcW w:w="467" w:type="dxa"/>
            <w:vMerge/>
            <w:tcBorders>
              <w:top w:val="nil"/>
              <w:left w:val="nil"/>
              <w:bottom w:val="single" w:sz="4" w:space="0" w:color="D0CECE"/>
              <w:right w:val="nil"/>
            </w:tcBorders>
            <w:vAlign w:val="center"/>
            <w:hideMark/>
          </w:tcPr>
          <w:p w14:paraId="3E654758"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4E6EC778"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whose questionnaire was talked through with someone else</w:t>
            </w:r>
          </w:p>
        </w:tc>
        <w:tc>
          <w:tcPr>
            <w:tcW w:w="1120" w:type="dxa"/>
            <w:tcBorders>
              <w:top w:val="nil"/>
              <w:left w:val="nil"/>
              <w:bottom w:val="nil"/>
              <w:right w:val="nil"/>
            </w:tcBorders>
            <w:shd w:val="clear" w:color="000000" w:fill="FFFFFF"/>
            <w:noWrap/>
            <w:vAlign w:val="bottom"/>
            <w:hideMark/>
          </w:tcPr>
          <w:p w14:paraId="0AE731E5"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50AB64F7" w14:textId="77777777" w:rsidTr="005C3100">
        <w:trPr>
          <w:trHeight w:val="255"/>
        </w:trPr>
        <w:tc>
          <w:tcPr>
            <w:tcW w:w="467" w:type="dxa"/>
            <w:vMerge/>
            <w:tcBorders>
              <w:top w:val="nil"/>
              <w:left w:val="nil"/>
              <w:bottom w:val="single" w:sz="4" w:space="0" w:color="D0CECE"/>
              <w:right w:val="nil"/>
            </w:tcBorders>
            <w:vAlign w:val="center"/>
            <w:hideMark/>
          </w:tcPr>
          <w:p w14:paraId="4426578D"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0DF99504"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users whose questionnaire was answered by someone else</w:t>
            </w:r>
          </w:p>
        </w:tc>
        <w:tc>
          <w:tcPr>
            <w:tcW w:w="1120" w:type="dxa"/>
            <w:tcBorders>
              <w:top w:val="nil"/>
              <w:left w:val="nil"/>
              <w:bottom w:val="nil"/>
              <w:right w:val="nil"/>
            </w:tcBorders>
            <w:shd w:val="clear" w:color="000000" w:fill="FFFFFF"/>
            <w:noWrap/>
            <w:vAlign w:val="bottom"/>
            <w:hideMark/>
          </w:tcPr>
          <w:p w14:paraId="3AD6774C"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0.0010</w:t>
            </w:r>
          </w:p>
        </w:tc>
      </w:tr>
      <w:tr w:rsidR="005E2DC3" w:rsidRPr="005E2DC3" w14:paraId="4E4D2DA5" w14:textId="77777777" w:rsidTr="005C3100">
        <w:trPr>
          <w:trHeight w:val="255"/>
        </w:trPr>
        <w:tc>
          <w:tcPr>
            <w:tcW w:w="467" w:type="dxa"/>
            <w:vMerge/>
            <w:tcBorders>
              <w:top w:val="nil"/>
              <w:left w:val="nil"/>
              <w:bottom w:val="single" w:sz="4" w:space="0" w:color="D0CECE"/>
              <w:right w:val="nil"/>
            </w:tcBorders>
            <w:vAlign w:val="center"/>
            <w:hideMark/>
          </w:tcPr>
          <w:p w14:paraId="5A4D471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61AC7A98"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female carers</w:t>
            </w:r>
          </w:p>
        </w:tc>
        <w:tc>
          <w:tcPr>
            <w:tcW w:w="1120" w:type="dxa"/>
            <w:tcBorders>
              <w:top w:val="nil"/>
              <w:left w:val="nil"/>
              <w:bottom w:val="nil"/>
              <w:right w:val="nil"/>
            </w:tcBorders>
            <w:shd w:val="clear" w:color="000000" w:fill="FFFFFF"/>
            <w:noWrap/>
            <w:vAlign w:val="bottom"/>
            <w:hideMark/>
          </w:tcPr>
          <w:p w14:paraId="30E7F921"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0.0000</w:t>
            </w:r>
          </w:p>
        </w:tc>
      </w:tr>
      <w:tr w:rsidR="005E2DC3" w:rsidRPr="005E2DC3" w14:paraId="66244050" w14:textId="77777777" w:rsidTr="005C3100">
        <w:trPr>
          <w:trHeight w:val="255"/>
        </w:trPr>
        <w:tc>
          <w:tcPr>
            <w:tcW w:w="467" w:type="dxa"/>
            <w:vMerge/>
            <w:tcBorders>
              <w:top w:val="nil"/>
              <w:left w:val="nil"/>
              <w:bottom w:val="single" w:sz="4" w:space="0" w:color="D0CECE"/>
              <w:right w:val="nil"/>
            </w:tcBorders>
            <w:vAlign w:val="center"/>
            <w:hideMark/>
          </w:tcPr>
          <w:p w14:paraId="01DCF7CD"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151B1352"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aged 65 or older</w:t>
            </w:r>
          </w:p>
        </w:tc>
        <w:tc>
          <w:tcPr>
            <w:tcW w:w="1120" w:type="dxa"/>
            <w:tcBorders>
              <w:top w:val="nil"/>
              <w:left w:val="nil"/>
              <w:bottom w:val="nil"/>
              <w:right w:val="nil"/>
            </w:tcBorders>
            <w:shd w:val="clear" w:color="000000" w:fill="FFFFFF"/>
            <w:noWrap/>
            <w:vAlign w:val="bottom"/>
            <w:hideMark/>
          </w:tcPr>
          <w:p w14:paraId="4AC0EBD6"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2703E3CB" w14:textId="77777777" w:rsidTr="005C3100">
        <w:trPr>
          <w:trHeight w:val="255"/>
        </w:trPr>
        <w:tc>
          <w:tcPr>
            <w:tcW w:w="467" w:type="dxa"/>
            <w:vMerge/>
            <w:tcBorders>
              <w:top w:val="nil"/>
              <w:left w:val="nil"/>
              <w:bottom w:val="single" w:sz="4" w:space="0" w:color="D0CECE"/>
              <w:right w:val="nil"/>
            </w:tcBorders>
            <w:vAlign w:val="center"/>
            <w:hideMark/>
          </w:tcPr>
          <w:p w14:paraId="17C43985"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5DDF71D7"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whose care recipient is 65 or older</w:t>
            </w:r>
          </w:p>
        </w:tc>
        <w:tc>
          <w:tcPr>
            <w:tcW w:w="1120" w:type="dxa"/>
            <w:tcBorders>
              <w:top w:val="nil"/>
              <w:left w:val="nil"/>
              <w:bottom w:val="nil"/>
              <w:right w:val="nil"/>
            </w:tcBorders>
            <w:shd w:val="clear" w:color="000000" w:fill="FFFFFF"/>
            <w:noWrap/>
            <w:vAlign w:val="bottom"/>
            <w:hideMark/>
          </w:tcPr>
          <w:p w14:paraId="601F2CBB"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0.0010</w:t>
            </w:r>
          </w:p>
        </w:tc>
      </w:tr>
      <w:tr w:rsidR="005E2DC3" w:rsidRPr="005E2DC3" w14:paraId="38E169D4" w14:textId="77777777" w:rsidTr="005C3100">
        <w:trPr>
          <w:trHeight w:val="255"/>
        </w:trPr>
        <w:tc>
          <w:tcPr>
            <w:tcW w:w="467" w:type="dxa"/>
            <w:vMerge/>
            <w:tcBorders>
              <w:top w:val="nil"/>
              <w:left w:val="nil"/>
              <w:bottom w:val="single" w:sz="4" w:space="0" w:color="D0CECE"/>
              <w:right w:val="nil"/>
            </w:tcBorders>
            <w:vAlign w:val="center"/>
            <w:hideMark/>
          </w:tcPr>
          <w:p w14:paraId="5B469EC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3F458BA3"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in caring role between 6 months and 1 year</w:t>
            </w:r>
          </w:p>
        </w:tc>
        <w:tc>
          <w:tcPr>
            <w:tcW w:w="1120" w:type="dxa"/>
            <w:tcBorders>
              <w:top w:val="nil"/>
              <w:left w:val="nil"/>
              <w:bottom w:val="nil"/>
              <w:right w:val="nil"/>
            </w:tcBorders>
            <w:shd w:val="clear" w:color="000000" w:fill="FFFFFF"/>
            <w:noWrap/>
            <w:vAlign w:val="bottom"/>
            <w:hideMark/>
          </w:tcPr>
          <w:p w14:paraId="6A0ABC29"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49911851" w14:textId="77777777" w:rsidTr="005C3100">
        <w:trPr>
          <w:trHeight w:val="255"/>
        </w:trPr>
        <w:tc>
          <w:tcPr>
            <w:tcW w:w="467" w:type="dxa"/>
            <w:vMerge/>
            <w:tcBorders>
              <w:top w:val="nil"/>
              <w:left w:val="nil"/>
              <w:bottom w:val="single" w:sz="4" w:space="0" w:color="D0CECE"/>
              <w:right w:val="nil"/>
            </w:tcBorders>
            <w:vAlign w:val="center"/>
            <w:hideMark/>
          </w:tcPr>
          <w:p w14:paraId="3AA5CA4D"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054EAF1D"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in caring role for more than 1 year</w:t>
            </w:r>
          </w:p>
        </w:tc>
        <w:tc>
          <w:tcPr>
            <w:tcW w:w="1120" w:type="dxa"/>
            <w:tcBorders>
              <w:top w:val="nil"/>
              <w:left w:val="nil"/>
              <w:bottom w:val="nil"/>
              <w:right w:val="nil"/>
            </w:tcBorders>
            <w:shd w:val="clear" w:color="000000" w:fill="FFFFFF"/>
            <w:noWrap/>
            <w:vAlign w:val="bottom"/>
            <w:hideMark/>
          </w:tcPr>
          <w:p w14:paraId="36A0956C"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0.007</w:t>
            </w:r>
          </w:p>
        </w:tc>
      </w:tr>
      <w:tr w:rsidR="005E2DC3" w:rsidRPr="005E2DC3" w14:paraId="08BDEAD6" w14:textId="77777777" w:rsidTr="005C3100">
        <w:trPr>
          <w:trHeight w:val="255"/>
        </w:trPr>
        <w:tc>
          <w:tcPr>
            <w:tcW w:w="467" w:type="dxa"/>
            <w:vMerge/>
            <w:tcBorders>
              <w:top w:val="nil"/>
              <w:left w:val="nil"/>
              <w:bottom w:val="single" w:sz="4" w:space="0" w:color="D0CECE"/>
              <w:right w:val="nil"/>
            </w:tcBorders>
            <w:vAlign w:val="center"/>
            <w:hideMark/>
          </w:tcPr>
          <w:p w14:paraId="5E5EAB39"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70DB94B4"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who are retired</w:t>
            </w:r>
          </w:p>
        </w:tc>
        <w:tc>
          <w:tcPr>
            <w:tcW w:w="1120" w:type="dxa"/>
            <w:tcBorders>
              <w:top w:val="nil"/>
              <w:left w:val="nil"/>
              <w:bottom w:val="nil"/>
              <w:right w:val="nil"/>
            </w:tcBorders>
            <w:shd w:val="clear" w:color="000000" w:fill="FFFFFF"/>
            <w:noWrap/>
            <w:vAlign w:val="bottom"/>
            <w:hideMark/>
          </w:tcPr>
          <w:p w14:paraId="32E4A5EB"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14143B88" w14:textId="77777777" w:rsidTr="005C3100">
        <w:trPr>
          <w:trHeight w:val="255"/>
        </w:trPr>
        <w:tc>
          <w:tcPr>
            <w:tcW w:w="467" w:type="dxa"/>
            <w:vMerge/>
            <w:tcBorders>
              <w:top w:val="nil"/>
              <w:left w:val="nil"/>
              <w:bottom w:val="single" w:sz="4" w:space="0" w:color="D0CECE"/>
              <w:right w:val="nil"/>
            </w:tcBorders>
            <w:vAlign w:val="center"/>
            <w:hideMark/>
          </w:tcPr>
          <w:p w14:paraId="78E6CBA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491F1963"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experiencing a clash between work and caring role</w:t>
            </w:r>
          </w:p>
        </w:tc>
        <w:tc>
          <w:tcPr>
            <w:tcW w:w="1120" w:type="dxa"/>
            <w:tcBorders>
              <w:top w:val="nil"/>
              <w:left w:val="nil"/>
              <w:bottom w:val="nil"/>
              <w:right w:val="nil"/>
            </w:tcBorders>
            <w:shd w:val="clear" w:color="000000" w:fill="FFFFFF"/>
            <w:noWrap/>
            <w:vAlign w:val="bottom"/>
            <w:hideMark/>
          </w:tcPr>
          <w:p w14:paraId="491DB777"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0.004</w:t>
            </w:r>
          </w:p>
        </w:tc>
      </w:tr>
      <w:tr w:rsidR="005E2DC3" w:rsidRPr="005E2DC3" w14:paraId="255BEA5F" w14:textId="77777777" w:rsidTr="005C3100">
        <w:trPr>
          <w:trHeight w:val="255"/>
        </w:trPr>
        <w:tc>
          <w:tcPr>
            <w:tcW w:w="467" w:type="dxa"/>
            <w:vMerge/>
            <w:tcBorders>
              <w:top w:val="nil"/>
              <w:left w:val="nil"/>
              <w:bottom w:val="single" w:sz="4" w:space="0" w:color="D0CECE"/>
              <w:right w:val="nil"/>
            </w:tcBorders>
            <w:vAlign w:val="center"/>
            <w:hideMark/>
          </w:tcPr>
          <w:p w14:paraId="673C881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single" w:sz="4" w:space="0" w:color="D0CECE"/>
              <w:right w:val="nil"/>
            </w:tcBorders>
            <w:shd w:val="clear" w:color="000000" w:fill="FFFFFF"/>
            <w:noWrap/>
            <w:vAlign w:val="bottom"/>
            <w:hideMark/>
          </w:tcPr>
          <w:p w14:paraId="183D3F89"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Prop carers receiving help with questionnaire</w:t>
            </w:r>
          </w:p>
        </w:tc>
        <w:tc>
          <w:tcPr>
            <w:tcW w:w="1120" w:type="dxa"/>
            <w:tcBorders>
              <w:top w:val="nil"/>
              <w:left w:val="nil"/>
              <w:bottom w:val="single" w:sz="4" w:space="0" w:color="D0CECE"/>
              <w:right w:val="nil"/>
            </w:tcBorders>
            <w:shd w:val="clear" w:color="000000" w:fill="FFFFFF"/>
            <w:noWrap/>
            <w:vAlign w:val="bottom"/>
            <w:hideMark/>
          </w:tcPr>
          <w:p w14:paraId="00BB1D33"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0.001</w:t>
            </w:r>
          </w:p>
        </w:tc>
      </w:tr>
      <w:tr w:rsidR="005E2DC3" w:rsidRPr="005E2DC3" w14:paraId="2C3E9EEC" w14:textId="77777777" w:rsidTr="005C3100">
        <w:trPr>
          <w:trHeight w:val="255"/>
        </w:trPr>
        <w:tc>
          <w:tcPr>
            <w:tcW w:w="467" w:type="dxa"/>
            <w:vMerge w:val="restart"/>
            <w:tcBorders>
              <w:top w:val="nil"/>
              <w:left w:val="nil"/>
              <w:bottom w:val="single" w:sz="4" w:space="0" w:color="D0CECE"/>
              <w:right w:val="nil"/>
            </w:tcBorders>
            <w:shd w:val="clear" w:color="auto" w:fill="auto"/>
            <w:noWrap/>
            <w:textDirection w:val="btLr"/>
            <w:vAlign w:val="center"/>
            <w:hideMark/>
          </w:tcPr>
          <w:p w14:paraId="523B04DF" w14:textId="6A7E7F2E" w:rsidR="005E2DC3" w:rsidRPr="005E2DC3" w:rsidRDefault="005E2DC3" w:rsidP="005E2DC3">
            <w:pPr>
              <w:widowControl/>
              <w:spacing w:after="0"/>
              <w:jc w:val="center"/>
              <w:rPr>
                <w:rFonts w:ascii="Calibri" w:eastAsia="Times New Roman" w:hAnsi="Calibri" w:cs="Calibri"/>
                <w:sz w:val="20"/>
                <w:szCs w:val="20"/>
                <w:lang w:eastAsia="en-GB"/>
              </w:rPr>
            </w:pPr>
            <w:r>
              <w:rPr>
                <w:rFonts w:ascii="Calibri" w:eastAsia="Times New Roman" w:hAnsi="Calibri" w:cs="Calibri"/>
                <w:sz w:val="20"/>
                <w:szCs w:val="20"/>
                <w:lang w:eastAsia="en-GB"/>
              </w:rPr>
              <w:t>LA</w:t>
            </w:r>
            <w:r w:rsidRPr="005E2DC3">
              <w:rPr>
                <w:rFonts w:ascii="Calibri" w:eastAsia="Times New Roman" w:hAnsi="Calibri" w:cs="Calibri"/>
                <w:sz w:val="20"/>
                <w:szCs w:val="20"/>
                <w:lang w:eastAsia="en-GB"/>
              </w:rPr>
              <w:t xml:space="preserve"> expenditures</w:t>
            </w:r>
          </w:p>
        </w:tc>
        <w:tc>
          <w:tcPr>
            <w:tcW w:w="6640" w:type="dxa"/>
            <w:tcBorders>
              <w:top w:val="nil"/>
              <w:left w:val="nil"/>
              <w:bottom w:val="nil"/>
              <w:right w:val="nil"/>
            </w:tcBorders>
            <w:shd w:val="clear" w:color="000000" w:fill="FFFFFF"/>
            <w:noWrap/>
            <w:vAlign w:val="bottom"/>
            <w:hideMark/>
          </w:tcPr>
          <w:p w14:paraId="3D36B37E"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education services</w:t>
            </w:r>
          </w:p>
        </w:tc>
        <w:tc>
          <w:tcPr>
            <w:tcW w:w="1120" w:type="dxa"/>
            <w:tcBorders>
              <w:top w:val="nil"/>
              <w:left w:val="nil"/>
              <w:bottom w:val="nil"/>
              <w:right w:val="nil"/>
            </w:tcBorders>
            <w:shd w:val="clear" w:color="000000" w:fill="FFFFFF"/>
            <w:noWrap/>
            <w:vAlign w:val="bottom"/>
            <w:hideMark/>
          </w:tcPr>
          <w:p w14:paraId="7690CE13"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-0.015</w:t>
            </w:r>
          </w:p>
        </w:tc>
      </w:tr>
      <w:tr w:rsidR="005E2DC3" w:rsidRPr="005E2DC3" w14:paraId="5C71790E" w14:textId="77777777" w:rsidTr="005C3100">
        <w:trPr>
          <w:trHeight w:val="255"/>
        </w:trPr>
        <w:tc>
          <w:tcPr>
            <w:tcW w:w="467" w:type="dxa"/>
            <w:vMerge/>
            <w:tcBorders>
              <w:top w:val="nil"/>
              <w:left w:val="nil"/>
              <w:bottom w:val="single" w:sz="4" w:space="0" w:color="D0CECE"/>
              <w:right w:val="nil"/>
            </w:tcBorders>
            <w:vAlign w:val="center"/>
            <w:hideMark/>
          </w:tcPr>
          <w:p w14:paraId="79638C7D"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7B117F8F"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transport services</w:t>
            </w:r>
          </w:p>
        </w:tc>
        <w:tc>
          <w:tcPr>
            <w:tcW w:w="1120" w:type="dxa"/>
            <w:tcBorders>
              <w:top w:val="nil"/>
              <w:left w:val="nil"/>
              <w:bottom w:val="nil"/>
              <w:right w:val="nil"/>
            </w:tcBorders>
            <w:shd w:val="clear" w:color="000000" w:fill="FFFFFF"/>
            <w:noWrap/>
            <w:vAlign w:val="bottom"/>
            <w:hideMark/>
          </w:tcPr>
          <w:p w14:paraId="69577D5E"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-0.044***</w:t>
            </w:r>
          </w:p>
        </w:tc>
      </w:tr>
      <w:tr w:rsidR="005E2DC3" w:rsidRPr="005E2DC3" w14:paraId="1EB3D22E" w14:textId="77777777" w:rsidTr="005C3100">
        <w:trPr>
          <w:trHeight w:val="255"/>
        </w:trPr>
        <w:tc>
          <w:tcPr>
            <w:tcW w:w="467" w:type="dxa"/>
            <w:vMerge/>
            <w:tcBorders>
              <w:top w:val="nil"/>
              <w:left w:val="nil"/>
              <w:bottom w:val="single" w:sz="4" w:space="0" w:color="D0CECE"/>
              <w:right w:val="nil"/>
            </w:tcBorders>
            <w:vAlign w:val="center"/>
            <w:hideMark/>
          </w:tcPr>
          <w:p w14:paraId="083DFC3C"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4D023DB9"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housing services</w:t>
            </w:r>
          </w:p>
        </w:tc>
        <w:tc>
          <w:tcPr>
            <w:tcW w:w="1120" w:type="dxa"/>
            <w:tcBorders>
              <w:top w:val="nil"/>
              <w:left w:val="nil"/>
              <w:bottom w:val="nil"/>
              <w:right w:val="nil"/>
            </w:tcBorders>
            <w:shd w:val="clear" w:color="000000" w:fill="FFFFFF"/>
            <w:noWrap/>
            <w:vAlign w:val="bottom"/>
            <w:hideMark/>
          </w:tcPr>
          <w:p w14:paraId="6A06B753"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0.003</w:t>
            </w:r>
          </w:p>
        </w:tc>
      </w:tr>
      <w:tr w:rsidR="005E2DC3" w:rsidRPr="005E2DC3" w14:paraId="02B144E2" w14:textId="77777777" w:rsidTr="005C3100">
        <w:trPr>
          <w:trHeight w:val="255"/>
        </w:trPr>
        <w:tc>
          <w:tcPr>
            <w:tcW w:w="467" w:type="dxa"/>
            <w:vMerge/>
            <w:tcBorders>
              <w:top w:val="nil"/>
              <w:left w:val="nil"/>
              <w:bottom w:val="single" w:sz="4" w:space="0" w:color="D0CECE"/>
              <w:right w:val="nil"/>
            </w:tcBorders>
            <w:vAlign w:val="center"/>
            <w:hideMark/>
          </w:tcPr>
          <w:p w14:paraId="7392FF2E"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69548B0F"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cultural, environmental and planning services</w:t>
            </w:r>
          </w:p>
        </w:tc>
        <w:tc>
          <w:tcPr>
            <w:tcW w:w="1120" w:type="dxa"/>
            <w:tcBorders>
              <w:top w:val="nil"/>
              <w:left w:val="nil"/>
              <w:bottom w:val="nil"/>
              <w:right w:val="nil"/>
            </w:tcBorders>
            <w:shd w:val="clear" w:color="000000" w:fill="FFFFFF"/>
            <w:noWrap/>
            <w:vAlign w:val="bottom"/>
            <w:hideMark/>
          </w:tcPr>
          <w:p w14:paraId="6B67A852"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0.017</w:t>
            </w:r>
          </w:p>
        </w:tc>
      </w:tr>
      <w:tr w:rsidR="005E2DC3" w:rsidRPr="005E2DC3" w14:paraId="3554AFCA" w14:textId="77777777" w:rsidTr="005C3100">
        <w:trPr>
          <w:trHeight w:val="255"/>
        </w:trPr>
        <w:tc>
          <w:tcPr>
            <w:tcW w:w="467" w:type="dxa"/>
            <w:vMerge/>
            <w:tcBorders>
              <w:top w:val="nil"/>
              <w:left w:val="nil"/>
              <w:bottom w:val="single" w:sz="4" w:space="0" w:color="D0CECE"/>
              <w:right w:val="nil"/>
            </w:tcBorders>
            <w:vAlign w:val="center"/>
            <w:hideMark/>
          </w:tcPr>
          <w:p w14:paraId="65AC4593"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nil"/>
              <w:right w:val="nil"/>
            </w:tcBorders>
            <w:shd w:val="clear" w:color="000000" w:fill="FFFFFF"/>
            <w:noWrap/>
            <w:vAlign w:val="bottom"/>
            <w:hideMark/>
          </w:tcPr>
          <w:p w14:paraId="1CF61071"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police services</w:t>
            </w:r>
          </w:p>
        </w:tc>
        <w:tc>
          <w:tcPr>
            <w:tcW w:w="1120" w:type="dxa"/>
            <w:tcBorders>
              <w:top w:val="nil"/>
              <w:left w:val="nil"/>
              <w:bottom w:val="nil"/>
              <w:right w:val="nil"/>
            </w:tcBorders>
            <w:shd w:val="clear" w:color="000000" w:fill="FFFFFF"/>
            <w:noWrap/>
            <w:vAlign w:val="bottom"/>
            <w:hideMark/>
          </w:tcPr>
          <w:p w14:paraId="26E18915"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-0.002</w:t>
            </w:r>
          </w:p>
        </w:tc>
      </w:tr>
      <w:tr w:rsidR="005E2DC3" w:rsidRPr="005E2DC3" w14:paraId="2B2CCAD3" w14:textId="77777777" w:rsidTr="005C3100">
        <w:trPr>
          <w:trHeight w:val="255"/>
        </w:trPr>
        <w:tc>
          <w:tcPr>
            <w:tcW w:w="467" w:type="dxa"/>
            <w:vMerge/>
            <w:tcBorders>
              <w:top w:val="nil"/>
              <w:left w:val="nil"/>
              <w:bottom w:val="single" w:sz="4" w:space="0" w:color="D0CECE"/>
              <w:right w:val="nil"/>
            </w:tcBorders>
            <w:vAlign w:val="center"/>
            <w:hideMark/>
          </w:tcPr>
          <w:p w14:paraId="0CE8A4F7" w14:textId="77777777" w:rsidR="005E2DC3" w:rsidRPr="005E2DC3" w:rsidRDefault="005E2DC3" w:rsidP="005E2DC3">
            <w:pPr>
              <w:widowControl/>
              <w:spacing w:after="0"/>
              <w:jc w:val="left"/>
              <w:rPr>
                <w:rFonts w:ascii="Calibri" w:eastAsia="Times New Roman" w:hAnsi="Calibri" w:cs="Calibri"/>
                <w:sz w:val="20"/>
                <w:szCs w:val="20"/>
                <w:lang w:eastAsia="en-GB"/>
              </w:rPr>
            </w:pPr>
          </w:p>
        </w:tc>
        <w:tc>
          <w:tcPr>
            <w:tcW w:w="6640" w:type="dxa"/>
            <w:tcBorders>
              <w:top w:val="nil"/>
              <w:left w:val="nil"/>
              <w:bottom w:val="single" w:sz="4" w:space="0" w:color="D0CECE"/>
              <w:right w:val="nil"/>
            </w:tcBorders>
            <w:shd w:val="clear" w:color="000000" w:fill="FFFFFF"/>
            <w:noWrap/>
            <w:vAlign w:val="bottom"/>
            <w:hideMark/>
          </w:tcPr>
          <w:p w14:paraId="540D3D45"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Ln of expenditure per capita for fire and rescue services</w:t>
            </w:r>
          </w:p>
        </w:tc>
        <w:tc>
          <w:tcPr>
            <w:tcW w:w="1120" w:type="dxa"/>
            <w:tcBorders>
              <w:top w:val="nil"/>
              <w:left w:val="nil"/>
              <w:bottom w:val="single" w:sz="4" w:space="0" w:color="D0CECE"/>
              <w:right w:val="nil"/>
            </w:tcBorders>
            <w:shd w:val="clear" w:color="000000" w:fill="FFFFFF"/>
            <w:noWrap/>
            <w:vAlign w:val="bottom"/>
            <w:hideMark/>
          </w:tcPr>
          <w:p w14:paraId="1AF459FC"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0.048</w:t>
            </w:r>
          </w:p>
        </w:tc>
      </w:tr>
      <w:tr w:rsidR="005E2DC3" w:rsidRPr="005E2DC3" w14:paraId="699EE48C" w14:textId="77777777" w:rsidTr="005C3100">
        <w:trPr>
          <w:trHeight w:val="255"/>
        </w:trPr>
        <w:tc>
          <w:tcPr>
            <w:tcW w:w="7107" w:type="dxa"/>
            <w:gridSpan w:val="2"/>
            <w:tcBorders>
              <w:top w:val="nil"/>
              <w:left w:val="nil"/>
              <w:bottom w:val="nil"/>
              <w:right w:val="nil"/>
            </w:tcBorders>
            <w:shd w:val="clear" w:color="000000" w:fill="FFFFFF"/>
            <w:noWrap/>
            <w:vAlign w:val="center"/>
            <w:hideMark/>
          </w:tcPr>
          <w:p w14:paraId="706DD5EB"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Constant</w:t>
            </w:r>
          </w:p>
        </w:tc>
        <w:tc>
          <w:tcPr>
            <w:tcW w:w="1120" w:type="dxa"/>
            <w:tcBorders>
              <w:top w:val="nil"/>
              <w:left w:val="nil"/>
              <w:bottom w:val="nil"/>
              <w:right w:val="nil"/>
            </w:tcBorders>
            <w:shd w:val="clear" w:color="000000" w:fill="FFFFFF"/>
            <w:noWrap/>
            <w:vAlign w:val="bottom"/>
            <w:hideMark/>
          </w:tcPr>
          <w:p w14:paraId="40B48D56"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8.868***</w:t>
            </w:r>
          </w:p>
        </w:tc>
      </w:tr>
      <w:tr w:rsidR="005E2DC3" w:rsidRPr="005E2DC3" w14:paraId="62162290" w14:textId="77777777" w:rsidTr="005C3100">
        <w:trPr>
          <w:trHeight w:val="255"/>
        </w:trPr>
        <w:tc>
          <w:tcPr>
            <w:tcW w:w="7107" w:type="dxa"/>
            <w:gridSpan w:val="2"/>
            <w:tcBorders>
              <w:top w:val="single" w:sz="4" w:space="0" w:color="auto"/>
              <w:left w:val="nil"/>
              <w:bottom w:val="nil"/>
              <w:right w:val="nil"/>
            </w:tcBorders>
            <w:shd w:val="clear" w:color="000000" w:fill="FFFFFF"/>
            <w:noWrap/>
            <w:vAlign w:val="center"/>
            <w:hideMark/>
          </w:tcPr>
          <w:p w14:paraId="0FB2B391"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Observations</w:t>
            </w:r>
          </w:p>
        </w:tc>
        <w:tc>
          <w:tcPr>
            <w:tcW w:w="1120" w:type="dxa"/>
            <w:tcBorders>
              <w:top w:val="single" w:sz="4" w:space="0" w:color="auto"/>
              <w:left w:val="nil"/>
              <w:bottom w:val="nil"/>
              <w:right w:val="nil"/>
            </w:tcBorders>
            <w:shd w:val="clear" w:color="000000" w:fill="FFFFFF"/>
            <w:noWrap/>
            <w:vAlign w:val="bottom"/>
            <w:hideMark/>
          </w:tcPr>
          <w:p w14:paraId="559F79F2"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144</w:t>
            </w:r>
          </w:p>
        </w:tc>
      </w:tr>
      <w:tr w:rsidR="005E2DC3" w:rsidRPr="005E2DC3" w14:paraId="383B7C27" w14:textId="77777777" w:rsidTr="005C3100">
        <w:trPr>
          <w:trHeight w:val="255"/>
        </w:trPr>
        <w:tc>
          <w:tcPr>
            <w:tcW w:w="7107" w:type="dxa"/>
            <w:gridSpan w:val="2"/>
            <w:tcBorders>
              <w:top w:val="nil"/>
              <w:left w:val="nil"/>
              <w:bottom w:val="nil"/>
              <w:right w:val="nil"/>
            </w:tcBorders>
            <w:shd w:val="clear" w:color="000000" w:fill="FFFFFF"/>
            <w:noWrap/>
            <w:vAlign w:val="center"/>
            <w:hideMark/>
          </w:tcPr>
          <w:p w14:paraId="0638CC80"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Kleibergen-Paap rk Wald F statistic</w:t>
            </w:r>
          </w:p>
        </w:tc>
        <w:tc>
          <w:tcPr>
            <w:tcW w:w="1120" w:type="dxa"/>
            <w:tcBorders>
              <w:top w:val="nil"/>
              <w:left w:val="nil"/>
              <w:bottom w:val="nil"/>
              <w:right w:val="nil"/>
            </w:tcBorders>
            <w:shd w:val="clear" w:color="000000" w:fill="FFFFFF"/>
            <w:noWrap/>
            <w:vAlign w:val="bottom"/>
            <w:hideMark/>
          </w:tcPr>
          <w:p w14:paraId="4C0A0A57"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19.6</w:t>
            </w:r>
          </w:p>
        </w:tc>
      </w:tr>
      <w:tr w:rsidR="005E2DC3" w:rsidRPr="005E2DC3" w14:paraId="2B970DAF" w14:textId="77777777" w:rsidTr="005C3100">
        <w:trPr>
          <w:trHeight w:val="255"/>
        </w:trPr>
        <w:tc>
          <w:tcPr>
            <w:tcW w:w="7107" w:type="dxa"/>
            <w:gridSpan w:val="2"/>
            <w:tcBorders>
              <w:top w:val="nil"/>
              <w:left w:val="nil"/>
              <w:bottom w:val="single" w:sz="4" w:space="0" w:color="auto"/>
              <w:right w:val="nil"/>
            </w:tcBorders>
            <w:shd w:val="clear" w:color="000000" w:fill="FFFFFF"/>
            <w:noWrap/>
            <w:vAlign w:val="center"/>
            <w:hideMark/>
          </w:tcPr>
          <w:p w14:paraId="5D16C81F"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Over-identification test's p-value</w:t>
            </w:r>
          </w:p>
        </w:tc>
        <w:tc>
          <w:tcPr>
            <w:tcW w:w="1120" w:type="dxa"/>
            <w:tcBorders>
              <w:top w:val="nil"/>
              <w:left w:val="nil"/>
              <w:bottom w:val="single" w:sz="4" w:space="0" w:color="auto"/>
              <w:right w:val="nil"/>
            </w:tcBorders>
            <w:shd w:val="clear" w:color="000000" w:fill="FFFFFF"/>
            <w:noWrap/>
            <w:vAlign w:val="bottom"/>
            <w:hideMark/>
          </w:tcPr>
          <w:p w14:paraId="4E0832F0" w14:textId="77777777" w:rsidR="005E2DC3" w:rsidRPr="005E2DC3" w:rsidRDefault="005E2DC3" w:rsidP="005E2DC3">
            <w:pPr>
              <w:widowControl/>
              <w:spacing w:after="0"/>
              <w:jc w:val="center"/>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0.564</w:t>
            </w:r>
          </w:p>
        </w:tc>
      </w:tr>
      <w:tr w:rsidR="005E2DC3" w:rsidRPr="005E2DC3" w14:paraId="3669CF25" w14:textId="77777777" w:rsidTr="005C3100">
        <w:trPr>
          <w:trHeight w:val="255"/>
        </w:trPr>
        <w:tc>
          <w:tcPr>
            <w:tcW w:w="8227" w:type="dxa"/>
            <w:gridSpan w:val="3"/>
            <w:tcBorders>
              <w:top w:val="single" w:sz="4" w:space="0" w:color="auto"/>
              <w:left w:val="nil"/>
              <w:bottom w:val="nil"/>
              <w:right w:val="nil"/>
            </w:tcBorders>
            <w:shd w:val="clear" w:color="000000" w:fill="FFFFFF"/>
            <w:noWrap/>
            <w:vAlign w:val="center"/>
            <w:hideMark/>
          </w:tcPr>
          <w:p w14:paraId="5CF4CD03" w14:textId="30F3C0ED"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 xml:space="preserve">The dependent variable is the </w:t>
            </w:r>
            <w:r w:rsidR="00300A8A">
              <w:rPr>
                <w:rFonts w:ascii="Calibri" w:eastAsia="Times New Roman" w:hAnsi="Calibri" w:cs="Calibri"/>
                <w:sz w:val="20"/>
                <w:szCs w:val="20"/>
                <w:lang w:eastAsia="en-GB"/>
              </w:rPr>
              <w:t xml:space="preserve">ln of </w:t>
            </w:r>
            <w:r w:rsidRPr="005E2DC3">
              <w:rPr>
                <w:rFonts w:ascii="Calibri" w:eastAsia="Times New Roman" w:hAnsi="Calibri" w:cs="Calibri"/>
                <w:sz w:val="20"/>
                <w:szCs w:val="20"/>
                <w:lang w:eastAsia="en-GB"/>
              </w:rPr>
              <w:t>age-standardised mortality rate.</w:t>
            </w:r>
          </w:p>
        </w:tc>
      </w:tr>
      <w:tr w:rsidR="005E2DC3" w:rsidRPr="005E2DC3" w14:paraId="74688B4A" w14:textId="77777777" w:rsidTr="005C3100">
        <w:trPr>
          <w:trHeight w:val="765"/>
        </w:trPr>
        <w:tc>
          <w:tcPr>
            <w:tcW w:w="8227" w:type="dxa"/>
            <w:gridSpan w:val="3"/>
            <w:tcBorders>
              <w:top w:val="nil"/>
              <w:left w:val="nil"/>
              <w:bottom w:val="nil"/>
              <w:right w:val="nil"/>
            </w:tcBorders>
            <w:shd w:val="clear" w:color="000000" w:fill="FFFFFF"/>
            <w:vAlign w:val="center"/>
            <w:hideMark/>
          </w:tcPr>
          <w:p w14:paraId="143C9D3B"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All estimates are obtained from an over-identified instrumental variable specification. The instruments are ln of distance from target index, ln of age-cost index, ln of market forces factor index, and ln of council tax base per user.</w:t>
            </w:r>
          </w:p>
        </w:tc>
      </w:tr>
      <w:tr w:rsidR="005E2DC3" w:rsidRPr="005E2DC3" w14:paraId="4F592277" w14:textId="77777777" w:rsidTr="005C3100">
        <w:trPr>
          <w:trHeight w:val="255"/>
        </w:trPr>
        <w:tc>
          <w:tcPr>
            <w:tcW w:w="8227" w:type="dxa"/>
            <w:gridSpan w:val="3"/>
            <w:tcBorders>
              <w:top w:val="nil"/>
              <w:left w:val="nil"/>
              <w:bottom w:val="single" w:sz="4" w:space="0" w:color="auto"/>
              <w:right w:val="nil"/>
            </w:tcBorders>
            <w:shd w:val="clear" w:color="000000" w:fill="FFFFFF"/>
            <w:noWrap/>
            <w:vAlign w:val="center"/>
            <w:hideMark/>
          </w:tcPr>
          <w:p w14:paraId="69B49230" w14:textId="77777777" w:rsidR="005E2DC3" w:rsidRPr="005E2DC3" w:rsidRDefault="005E2DC3" w:rsidP="005E2DC3">
            <w:pPr>
              <w:widowControl/>
              <w:spacing w:after="0"/>
              <w:jc w:val="left"/>
              <w:rPr>
                <w:rFonts w:ascii="Calibri" w:eastAsia="Times New Roman" w:hAnsi="Calibri" w:cs="Calibri"/>
                <w:sz w:val="20"/>
                <w:szCs w:val="20"/>
                <w:lang w:eastAsia="en-GB"/>
              </w:rPr>
            </w:pPr>
            <w:r w:rsidRPr="005E2DC3">
              <w:rPr>
                <w:rFonts w:ascii="Calibri" w:eastAsia="Times New Roman" w:hAnsi="Calibri" w:cs="Calibri"/>
                <w:sz w:val="20"/>
                <w:szCs w:val="20"/>
                <w:lang w:eastAsia="en-GB"/>
              </w:rPr>
              <w:t>Robust standard errors in parentheses, ***=p-value&lt;0.01, **=p-value&lt;0.05, *=p-value&lt;0.1</w:t>
            </w:r>
          </w:p>
        </w:tc>
      </w:tr>
    </w:tbl>
    <w:p w14:paraId="0161B478" w14:textId="77777777" w:rsidR="00931C7C" w:rsidRDefault="00931C7C" w:rsidP="00931C7C">
      <w:pPr>
        <w:sectPr w:rsidR="00931C7C" w:rsidSect="005C3100">
          <w:pgSz w:w="11906" w:h="16838"/>
          <w:pgMar w:top="720" w:right="720" w:bottom="720" w:left="720" w:header="0" w:footer="0" w:gutter="0"/>
          <w:cols w:space="708"/>
          <w:docGrid w:linePitch="360"/>
        </w:sectPr>
      </w:pPr>
    </w:p>
    <w:p w14:paraId="7124C530" w14:textId="164B1FD7" w:rsidR="000D6095" w:rsidRDefault="000D6095" w:rsidP="000D6095">
      <w:pPr>
        <w:pStyle w:val="Caption"/>
      </w:pPr>
      <w:bookmarkStart w:id="50" w:name="_Ref89093911"/>
      <w:r w:rsidRPr="002A4884">
        <w:lastRenderedPageBreak/>
        <w:t>Table A</w:t>
      </w:r>
      <w:r w:rsidR="002A7365">
        <w:fldChar w:fldCharType="begin"/>
      </w:r>
      <w:r w:rsidR="002A7365">
        <w:instrText xml:space="preserve"> SEQ Table_A \* ARABIC </w:instrText>
      </w:r>
      <w:r w:rsidR="002A7365">
        <w:fldChar w:fldCharType="separate"/>
      </w:r>
      <w:r w:rsidR="007C7B62">
        <w:rPr>
          <w:noProof/>
        </w:rPr>
        <w:t>4</w:t>
      </w:r>
      <w:r w:rsidR="002A7365">
        <w:rPr>
          <w:noProof/>
        </w:rPr>
        <w:fldChar w:fldCharType="end"/>
      </w:r>
      <w:bookmarkEnd w:id="48"/>
      <w:bookmarkEnd w:id="50"/>
      <w:r w:rsidRPr="002A4884">
        <w:t xml:space="preserve"> – Estimates </w:t>
      </w:r>
      <w:r w:rsidR="00756F44">
        <w:t>o</w:t>
      </w:r>
      <w:r w:rsidRPr="002A4884">
        <w:t>f</w:t>
      </w:r>
      <w:r w:rsidR="00756F44">
        <w:t xml:space="preserve"> the effect of</w:t>
      </w:r>
      <w:r w:rsidRPr="002A4884">
        <w:t xml:space="preserve"> </w:t>
      </w:r>
      <w:r w:rsidR="00756F44">
        <w:t xml:space="preserve">long-term care expenditure per user on </w:t>
      </w:r>
      <w:r w:rsidRPr="002A4884">
        <w:t xml:space="preserve">health care expenditure per capita </w:t>
      </w:r>
      <w:r w:rsidR="00756F44">
        <w:t>sub-</w:t>
      </w:r>
      <w:r w:rsidRPr="002A4884">
        <w:t>sector</w:t>
      </w:r>
      <w:r w:rsidR="00756F44">
        <w:t>s</w:t>
      </w:r>
      <w:r w:rsidRPr="002A4884">
        <w:t>.</w:t>
      </w:r>
    </w:p>
    <w:tbl>
      <w:tblPr>
        <w:tblW w:w="12040" w:type="dxa"/>
        <w:tblLook w:val="04A0" w:firstRow="1" w:lastRow="0" w:firstColumn="1" w:lastColumn="0" w:noHBand="0" w:noVBand="1"/>
      </w:tblPr>
      <w:tblGrid>
        <w:gridCol w:w="3080"/>
        <w:gridCol w:w="1120"/>
        <w:gridCol w:w="1120"/>
        <w:gridCol w:w="1120"/>
        <w:gridCol w:w="1120"/>
        <w:gridCol w:w="1120"/>
        <w:gridCol w:w="1120"/>
        <w:gridCol w:w="1120"/>
        <w:gridCol w:w="1120"/>
      </w:tblGrid>
      <w:tr w:rsidR="00C96254" w:rsidRPr="00C96254" w14:paraId="27A99B8C" w14:textId="77777777" w:rsidTr="00C96254">
        <w:trPr>
          <w:trHeight w:val="255"/>
        </w:trPr>
        <w:tc>
          <w:tcPr>
            <w:tcW w:w="3080" w:type="dxa"/>
            <w:tcBorders>
              <w:top w:val="single" w:sz="4" w:space="0" w:color="auto"/>
              <w:left w:val="nil"/>
              <w:bottom w:val="nil"/>
              <w:right w:val="nil"/>
            </w:tcBorders>
            <w:shd w:val="clear" w:color="000000" w:fill="FFFFFF"/>
            <w:noWrap/>
            <w:vAlign w:val="center"/>
            <w:hideMark/>
          </w:tcPr>
          <w:p w14:paraId="7F33E1D3"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8960" w:type="dxa"/>
            <w:gridSpan w:val="8"/>
            <w:tcBorders>
              <w:top w:val="single" w:sz="4" w:space="0" w:color="auto"/>
              <w:left w:val="nil"/>
              <w:bottom w:val="nil"/>
              <w:right w:val="nil"/>
            </w:tcBorders>
            <w:shd w:val="clear" w:color="000000" w:fill="FFFFFF"/>
            <w:vAlign w:val="bottom"/>
            <w:hideMark/>
          </w:tcPr>
          <w:p w14:paraId="046B690C" w14:textId="77777777" w:rsidR="00C96254" w:rsidRPr="00C96254" w:rsidRDefault="00C96254" w:rsidP="00C96254">
            <w:pPr>
              <w:widowControl/>
              <w:spacing w:after="0"/>
              <w:jc w:val="center"/>
              <w:rPr>
                <w:rFonts w:ascii="Calibri" w:eastAsia="Times New Roman" w:hAnsi="Calibri" w:cs="Calibri"/>
                <w:i/>
                <w:iCs/>
                <w:sz w:val="16"/>
                <w:szCs w:val="16"/>
                <w:lang w:eastAsia="en-GB"/>
              </w:rPr>
            </w:pPr>
            <w:r w:rsidRPr="00C96254">
              <w:rPr>
                <w:rFonts w:ascii="Calibri" w:eastAsia="Times New Roman" w:hAnsi="Calibri" w:cs="Calibri"/>
                <w:i/>
                <w:iCs/>
                <w:sz w:val="16"/>
                <w:szCs w:val="16"/>
                <w:lang w:eastAsia="en-GB"/>
              </w:rPr>
              <w:t>All disease areas</w:t>
            </w:r>
          </w:p>
        </w:tc>
      </w:tr>
      <w:tr w:rsidR="00C96254" w:rsidRPr="00C96254" w14:paraId="42253933" w14:textId="77777777" w:rsidTr="00C96254">
        <w:trPr>
          <w:trHeight w:val="1125"/>
        </w:trPr>
        <w:tc>
          <w:tcPr>
            <w:tcW w:w="3080" w:type="dxa"/>
            <w:tcBorders>
              <w:top w:val="nil"/>
              <w:left w:val="nil"/>
              <w:bottom w:val="nil"/>
              <w:right w:val="nil"/>
            </w:tcBorders>
            <w:shd w:val="clear" w:color="000000" w:fill="FFFFFF"/>
            <w:noWrap/>
            <w:vAlign w:val="center"/>
            <w:hideMark/>
          </w:tcPr>
          <w:p w14:paraId="30C10774" w14:textId="07E3C97A"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r w:rsidR="00300A8A" w:rsidRPr="00FC16DB">
              <w:rPr>
                <w:rFonts w:ascii="Calibri" w:eastAsia="Times New Roman" w:hAnsi="Calibri" w:cs="Calibri"/>
                <w:sz w:val="16"/>
                <w:szCs w:val="16"/>
                <w:lang w:eastAsia="en-GB"/>
              </w:rPr>
              <w:t>Variable</w:t>
            </w:r>
          </w:p>
        </w:tc>
        <w:tc>
          <w:tcPr>
            <w:tcW w:w="1120" w:type="dxa"/>
            <w:tcBorders>
              <w:top w:val="nil"/>
              <w:left w:val="nil"/>
              <w:bottom w:val="nil"/>
              <w:right w:val="nil"/>
            </w:tcBorders>
            <w:shd w:val="clear" w:color="000000" w:fill="FFFFFF"/>
            <w:vAlign w:val="center"/>
            <w:hideMark/>
          </w:tcPr>
          <w:p w14:paraId="7847AC74"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health care expenditure</w:t>
            </w:r>
          </w:p>
        </w:tc>
        <w:tc>
          <w:tcPr>
            <w:tcW w:w="1120" w:type="dxa"/>
            <w:tcBorders>
              <w:top w:val="nil"/>
              <w:left w:val="nil"/>
              <w:bottom w:val="nil"/>
              <w:right w:val="nil"/>
            </w:tcBorders>
            <w:shd w:val="clear" w:color="000000" w:fill="FFFFFF"/>
            <w:vAlign w:val="center"/>
            <w:hideMark/>
          </w:tcPr>
          <w:p w14:paraId="70AFCAA2"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non-elective admission expenditure per capita</w:t>
            </w:r>
          </w:p>
        </w:tc>
        <w:tc>
          <w:tcPr>
            <w:tcW w:w="1120" w:type="dxa"/>
            <w:tcBorders>
              <w:top w:val="nil"/>
              <w:left w:val="nil"/>
              <w:bottom w:val="nil"/>
              <w:right w:val="nil"/>
            </w:tcBorders>
            <w:shd w:val="clear" w:color="000000" w:fill="FFFFFF"/>
            <w:vAlign w:val="center"/>
            <w:hideMark/>
          </w:tcPr>
          <w:p w14:paraId="22FDA9A8"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accident and emergency expenditure per capita</w:t>
            </w:r>
          </w:p>
        </w:tc>
        <w:tc>
          <w:tcPr>
            <w:tcW w:w="1120" w:type="dxa"/>
            <w:tcBorders>
              <w:top w:val="nil"/>
              <w:left w:val="nil"/>
              <w:bottom w:val="nil"/>
              <w:right w:val="nil"/>
            </w:tcBorders>
            <w:shd w:val="clear" w:color="000000" w:fill="FFFFFF"/>
            <w:vAlign w:val="center"/>
            <w:hideMark/>
          </w:tcPr>
          <w:p w14:paraId="78624ECC"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emergency transport expenditure per capita</w:t>
            </w:r>
          </w:p>
        </w:tc>
        <w:tc>
          <w:tcPr>
            <w:tcW w:w="1120" w:type="dxa"/>
            <w:tcBorders>
              <w:top w:val="nil"/>
              <w:left w:val="nil"/>
              <w:bottom w:val="nil"/>
              <w:right w:val="nil"/>
            </w:tcBorders>
            <w:shd w:val="clear" w:color="000000" w:fill="FFFFFF"/>
            <w:vAlign w:val="center"/>
            <w:hideMark/>
          </w:tcPr>
          <w:p w14:paraId="6E75CDDC"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other unscheduled care expenditure per capita</w:t>
            </w:r>
          </w:p>
        </w:tc>
        <w:tc>
          <w:tcPr>
            <w:tcW w:w="1120" w:type="dxa"/>
            <w:tcBorders>
              <w:top w:val="nil"/>
              <w:left w:val="nil"/>
              <w:bottom w:val="nil"/>
              <w:right w:val="nil"/>
            </w:tcBorders>
            <w:shd w:val="clear" w:color="000000" w:fill="FFFFFF"/>
            <w:vAlign w:val="center"/>
            <w:hideMark/>
          </w:tcPr>
          <w:p w14:paraId="38676489"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day case and elective expenditure per capita</w:t>
            </w:r>
          </w:p>
        </w:tc>
        <w:tc>
          <w:tcPr>
            <w:tcW w:w="1120" w:type="dxa"/>
            <w:tcBorders>
              <w:top w:val="nil"/>
              <w:left w:val="nil"/>
              <w:bottom w:val="nil"/>
              <w:right w:val="nil"/>
            </w:tcBorders>
            <w:shd w:val="clear" w:color="000000" w:fill="FFFFFF"/>
            <w:vAlign w:val="center"/>
            <w:hideMark/>
          </w:tcPr>
          <w:p w14:paraId="7188C019"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outpatient expenditure per capita</w:t>
            </w:r>
          </w:p>
        </w:tc>
        <w:tc>
          <w:tcPr>
            <w:tcW w:w="1120" w:type="dxa"/>
            <w:tcBorders>
              <w:top w:val="nil"/>
              <w:left w:val="nil"/>
              <w:bottom w:val="nil"/>
              <w:right w:val="nil"/>
            </w:tcBorders>
            <w:shd w:val="clear" w:color="000000" w:fill="FFFFFF"/>
            <w:vAlign w:val="center"/>
            <w:hideMark/>
          </w:tcPr>
          <w:p w14:paraId="263E613D"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unbundled diagnostic imaging expenditure</w:t>
            </w:r>
          </w:p>
        </w:tc>
      </w:tr>
      <w:tr w:rsidR="00C96254" w:rsidRPr="00C96254" w14:paraId="301925B1" w14:textId="77777777" w:rsidTr="00C96254">
        <w:trPr>
          <w:trHeight w:val="237"/>
        </w:trPr>
        <w:tc>
          <w:tcPr>
            <w:tcW w:w="3080" w:type="dxa"/>
            <w:tcBorders>
              <w:top w:val="nil"/>
              <w:left w:val="nil"/>
              <w:bottom w:val="nil"/>
              <w:right w:val="nil"/>
            </w:tcBorders>
            <w:shd w:val="clear" w:color="000000" w:fill="FFFFFF"/>
            <w:noWrap/>
            <w:vAlign w:val="center"/>
            <w:hideMark/>
          </w:tcPr>
          <w:p w14:paraId="291043C7" w14:textId="77777777" w:rsidR="00C96254" w:rsidRPr="00C96254" w:rsidRDefault="00C96254" w:rsidP="00C96254">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7004F27F"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-0.007</w:t>
            </w:r>
          </w:p>
        </w:tc>
        <w:tc>
          <w:tcPr>
            <w:tcW w:w="1120" w:type="dxa"/>
            <w:tcBorders>
              <w:top w:val="nil"/>
              <w:left w:val="nil"/>
              <w:bottom w:val="nil"/>
              <w:right w:val="nil"/>
            </w:tcBorders>
            <w:shd w:val="clear" w:color="000000" w:fill="FFFFFF"/>
            <w:noWrap/>
            <w:vAlign w:val="bottom"/>
            <w:hideMark/>
          </w:tcPr>
          <w:p w14:paraId="08D7DDBD"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-0.089***</w:t>
            </w:r>
          </w:p>
        </w:tc>
        <w:tc>
          <w:tcPr>
            <w:tcW w:w="1120" w:type="dxa"/>
            <w:tcBorders>
              <w:top w:val="nil"/>
              <w:left w:val="nil"/>
              <w:bottom w:val="nil"/>
              <w:right w:val="nil"/>
            </w:tcBorders>
            <w:shd w:val="clear" w:color="000000" w:fill="FFFFFF"/>
            <w:noWrap/>
            <w:vAlign w:val="bottom"/>
            <w:hideMark/>
          </w:tcPr>
          <w:p w14:paraId="5C6248D7"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-0.092*</w:t>
            </w:r>
          </w:p>
        </w:tc>
        <w:tc>
          <w:tcPr>
            <w:tcW w:w="1120" w:type="dxa"/>
            <w:tcBorders>
              <w:top w:val="nil"/>
              <w:left w:val="nil"/>
              <w:bottom w:val="nil"/>
              <w:right w:val="nil"/>
            </w:tcBorders>
            <w:shd w:val="clear" w:color="000000" w:fill="FFFFFF"/>
            <w:noWrap/>
            <w:vAlign w:val="bottom"/>
            <w:hideMark/>
          </w:tcPr>
          <w:p w14:paraId="41914E40"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0.013</w:t>
            </w:r>
          </w:p>
        </w:tc>
        <w:tc>
          <w:tcPr>
            <w:tcW w:w="1120" w:type="dxa"/>
            <w:tcBorders>
              <w:top w:val="nil"/>
              <w:left w:val="nil"/>
              <w:bottom w:val="nil"/>
              <w:right w:val="nil"/>
            </w:tcBorders>
            <w:shd w:val="clear" w:color="000000" w:fill="FFFFFF"/>
            <w:noWrap/>
            <w:vAlign w:val="bottom"/>
            <w:hideMark/>
          </w:tcPr>
          <w:p w14:paraId="7E73C789"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0.087</w:t>
            </w:r>
          </w:p>
        </w:tc>
        <w:tc>
          <w:tcPr>
            <w:tcW w:w="1120" w:type="dxa"/>
            <w:tcBorders>
              <w:top w:val="nil"/>
              <w:left w:val="nil"/>
              <w:bottom w:val="nil"/>
              <w:right w:val="nil"/>
            </w:tcBorders>
            <w:shd w:val="clear" w:color="000000" w:fill="FFFFFF"/>
            <w:noWrap/>
            <w:vAlign w:val="bottom"/>
            <w:hideMark/>
          </w:tcPr>
          <w:p w14:paraId="3ABACE41"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-0.023</w:t>
            </w:r>
          </w:p>
        </w:tc>
        <w:tc>
          <w:tcPr>
            <w:tcW w:w="1120" w:type="dxa"/>
            <w:tcBorders>
              <w:top w:val="nil"/>
              <w:left w:val="nil"/>
              <w:bottom w:val="nil"/>
              <w:right w:val="nil"/>
            </w:tcBorders>
            <w:shd w:val="clear" w:color="000000" w:fill="FFFFFF"/>
            <w:noWrap/>
            <w:vAlign w:val="bottom"/>
            <w:hideMark/>
          </w:tcPr>
          <w:p w14:paraId="2B875447"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-0.028</w:t>
            </w:r>
          </w:p>
        </w:tc>
        <w:tc>
          <w:tcPr>
            <w:tcW w:w="1120" w:type="dxa"/>
            <w:tcBorders>
              <w:top w:val="nil"/>
              <w:left w:val="nil"/>
              <w:bottom w:val="nil"/>
              <w:right w:val="nil"/>
            </w:tcBorders>
            <w:shd w:val="clear" w:color="000000" w:fill="FFFFFF"/>
            <w:noWrap/>
            <w:vAlign w:val="bottom"/>
            <w:hideMark/>
          </w:tcPr>
          <w:p w14:paraId="01B8F845"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-0.122</w:t>
            </w:r>
          </w:p>
        </w:tc>
      </w:tr>
      <w:tr w:rsidR="00C96254" w:rsidRPr="00C96254" w14:paraId="0205BC9E" w14:textId="77777777" w:rsidTr="00C96254">
        <w:trPr>
          <w:trHeight w:val="237"/>
        </w:trPr>
        <w:tc>
          <w:tcPr>
            <w:tcW w:w="3080" w:type="dxa"/>
            <w:tcBorders>
              <w:top w:val="nil"/>
              <w:left w:val="nil"/>
              <w:bottom w:val="nil"/>
              <w:right w:val="nil"/>
            </w:tcBorders>
            <w:shd w:val="clear" w:color="000000" w:fill="FFFFFF"/>
            <w:noWrap/>
            <w:vAlign w:val="center"/>
            <w:hideMark/>
          </w:tcPr>
          <w:p w14:paraId="4FC7BABD" w14:textId="77777777" w:rsidR="00C96254" w:rsidRPr="00C96254" w:rsidRDefault="00C96254" w:rsidP="00C96254">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Over-identification test's p-value</w:t>
            </w:r>
          </w:p>
        </w:tc>
        <w:tc>
          <w:tcPr>
            <w:tcW w:w="1120" w:type="dxa"/>
            <w:tcBorders>
              <w:top w:val="nil"/>
              <w:left w:val="nil"/>
              <w:bottom w:val="nil"/>
              <w:right w:val="nil"/>
            </w:tcBorders>
            <w:shd w:val="clear" w:color="000000" w:fill="FFFFFF"/>
            <w:noWrap/>
            <w:vAlign w:val="bottom"/>
            <w:hideMark/>
          </w:tcPr>
          <w:p w14:paraId="3C53C16C"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0.179</w:t>
            </w:r>
          </w:p>
        </w:tc>
        <w:tc>
          <w:tcPr>
            <w:tcW w:w="1120" w:type="dxa"/>
            <w:tcBorders>
              <w:top w:val="nil"/>
              <w:left w:val="nil"/>
              <w:bottom w:val="nil"/>
              <w:right w:val="nil"/>
            </w:tcBorders>
            <w:shd w:val="clear" w:color="000000" w:fill="FFFFFF"/>
            <w:noWrap/>
            <w:vAlign w:val="bottom"/>
            <w:hideMark/>
          </w:tcPr>
          <w:p w14:paraId="74302120"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0.166</w:t>
            </w:r>
          </w:p>
        </w:tc>
        <w:tc>
          <w:tcPr>
            <w:tcW w:w="1120" w:type="dxa"/>
            <w:tcBorders>
              <w:top w:val="nil"/>
              <w:left w:val="nil"/>
              <w:bottom w:val="nil"/>
              <w:right w:val="nil"/>
            </w:tcBorders>
            <w:shd w:val="clear" w:color="000000" w:fill="FFFFFF"/>
            <w:noWrap/>
            <w:vAlign w:val="bottom"/>
            <w:hideMark/>
          </w:tcPr>
          <w:p w14:paraId="7573C11B"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0.287</w:t>
            </w:r>
          </w:p>
        </w:tc>
        <w:tc>
          <w:tcPr>
            <w:tcW w:w="1120" w:type="dxa"/>
            <w:tcBorders>
              <w:top w:val="nil"/>
              <w:left w:val="nil"/>
              <w:bottom w:val="nil"/>
              <w:right w:val="nil"/>
            </w:tcBorders>
            <w:shd w:val="clear" w:color="000000" w:fill="FFFFFF"/>
            <w:noWrap/>
            <w:vAlign w:val="bottom"/>
            <w:hideMark/>
          </w:tcPr>
          <w:p w14:paraId="74C42C01"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&lt;0.001***</w:t>
            </w:r>
          </w:p>
        </w:tc>
        <w:tc>
          <w:tcPr>
            <w:tcW w:w="1120" w:type="dxa"/>
            <w:tcBorders>
              <w:top w:val="nil"/>
              <w:left w:val="nil"/>
              <w:bottom w:val="nil"/>
              <w:right w:val="nil"/>
            </w:tcBorders>
            <w:shd w:val="clear" w:color="000000" w:fill="FFFFFF"/>
            <w:noWrap/>
            <w:vAlign w:val="bottom"/>
            <w:hideMark/>
          </w:tcPr>
          <w:p w14:paraId="24D924AA"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0.769</w:t>
            </w:r>
          </w:p>
        </w:tc>
        <w:tc>
          <w:tcPr>
            <w:tcW w:w="1120" w:type="dxa"/>
            <w:tcBorders>
              <w:top w:val="nil"/>
              <w:left w:val="nil"/>
              <w:bottom w:val="nil"/>
              <w:right w:val="nil"/>
            </w:tcBorders>
            <w:shd w:val="clear" w:color="000000" w:fill="FFFFFF"/>
            <w:noWrap/>
            <w:vAlign w:val="bottom"/>
            <w:hideMark/>
          </w:tcPr>
          <w:p w14:paraId="396062CD"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0.100</w:t>
            </w:r>
          </w:p>
        </w:tc>
        <w:tc>
          <w:tcPr>
            <w:tcW w:w="1120" w:type="dxa"/>
            <w:tcBorders>
              <w:top w:val="nil"/>
              <w:left w:val="nil"/>
              <w:bottom w:val="nil"/>
              <w:right w:val="nil"/>
            </w:tcBorders>
            <w:shd w:val="clear" w:color="000000" w:fill="FFFFFF"/>
            <w:noWrap/>
            <w:vAlign w:val="bottom"/>
            <w:hideMark/>
          </w:tcPr>
          <w:p w14:paraId="41BB3288"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0.012**</w:t>
            </w:r>
          </w:p>
        </w:tc>
        <w:tc>
          <w:tcPr>
            <w:tcW w:w="1120" w:type="dxa"/>
            <w:tcBorders>
              <w:top w:val="nil"/>
              <w:left w:val="nil"/>
              <w:bottom w:val="nil"/>
              <w:right w:val="nil"/>
            </w:tcBorders>
            <w:shd w:val="clear" w:color="000000" w:fill="FFFFFF"/>
            <w:noWrap/>
            <w:vAlign w:val="bottom"/>
            <w:hideMark/>
          </w:tcPr>
          <w:p w14:paraId="458E6000"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0.768</w:t>
            </w:r>
          </w:p>
        </w:tc>
      </w:tr>
      <w:tr w:rsidR="00C96254" w:rsidRPr="00C96254" w14:paraId="5746B582" w14:textId="77777777" w:rsidTr="00C96254">
        <w:trPr>
          <w:trHeight w:val="237"/>
        </w:trPr>
        <w:tc>
          <w:tcPr>
            <w:tcW w:w="3080" w:type="dxa"/>
            <w:tcBorders>
              <w:top w:val="nil"/>
              <w:left w:val="nil"/>
              <w:bottom w:val="nil"/>
              <w:right w:val="nil"/>
            </w:tcBorders>
            <w:shd w:val="clear" w:color="000000" w:fill="FFFFFF"/>
            <w:noWrap/>
            <w:vAlign w:val="center"/>
            <w:hideMark/>
          </w:tcPr>
          <w:p w14:paraId="312199FE" w14:textId="77777777" w:rsidR="00C96254" w:rsidRPr="00C96254" w:rsidRDefault="00C96254" w:rsidP="00C96254">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711D7FA3"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13B6834F"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5BD8212C"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0D7D8D06"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2497D235"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6F68097A"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05407F71"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1665B7BE" w14:textId="77777777" w:rsidR="00C96254" w:rsidRPr="00C96254" w:rsidRDefault="00C96254" w:rsidP="00C96254">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r>
      <w:tr w:rsidR="00300A8A" w:rsidRPr="00C96254" w14:paraId="501E828F" w14:textId="77777777" w:rsidTr="00C96254">
        <w:trPr>
          <w:trHeight w:val="1350"/>
        </w:trPr>
        <w:tc>
          <w:tcPr>
            <w:tcW w:w="3080" w:type="dxa"/>
            <w:tcBorders>
              <w:top w:val="nil"/>
              <w:left w:val="nil"/>
              <w:bottom w:val="nil"/>
              <w:right w:val="nil"/>
            </w:tcBorders>
            <w:shd w:val="clear" w:color="000000" w:fill="FFFFFF"/>
            <w:noWrap/>
            <w:vAlign w:val="center"/>
            <w:hideMark/>
          </w:tcPr>
          <w:p w14:paraId="4EAE32FD" w14:textId="540EF6EF" w:rsidR="00300A8A" w:rsidRPr="00C96254" w:rsidRDefault="00300A8A" w:rsidP="00AF3E1E">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r w:rsidRPr="00FC16DB">
              <w:rPr>
                <w:rFonts w:ascii="Calibri" w:eastAsia="Times New Roman" w:hAnsi="Calibri" w:cs="Calibri"/>
                <w:sz w:val="16"/>
                <w:szCs w:val="16"/>
                <w:lang w:eastAsia="en-GB"/>
              </w:rPr>
              <w:t>Variable</w:t>
            </w:r>
          </w:p>
        </w:tc>
        <w:tc>
          <w:tcPr>
            <w:tcW w:w="1120" w:type="dxa"/>
            <w:tcBorders>
              <w:top w:val="nil"/>
              <w:left w:val="nil"/>
              <w:bottom w:val="nil"/>
              <w:right w:val="nil"/>
            </w:tcBorders>
            <w:shd w:val="clear" w:color="000000" w:fill="FFFFFF"/>
            <w:vAlign w:val="center"/>
            <w:hideMark/>
          </w:tcPr>
          <w:p w14:paraId="0BE6E9EE"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critical care expenditure</w:t>
            </w:r>
          </w:p>
        </w:tc>
        <w:tc>
          <w:tcPr>
            <w:tcW w:w="1120" w:type="dxa"/>
            <w:tcBorders>
              <w:top w:val="nil"/>
              <w:left w:val="nil"/>
              <w:bottom w:val="nil"/>
              <w:right w:val="nil"/>
            </w:tcBorders>
            <w:shd w:val="clear" w:color="000000" w:fill="FFFFFF"/>
            <w:vAlign w:val="center"/>
            <w:hideMark/>
          </w:tcPr>
          <w:p w14:paraId="34A91705"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drugs and devices expenditure</w:t>
            </w:r>
          </w:p>
        </w:tc>
        <w:tc>
          <w:tcPr>
            <w:tcW w:w="1120" w:type="dxa"/>
            <w:tcBorders>
              <w:top w:val="nil"/>
              <w:left w:val="nil"/>
              <w:bottom w:val="nil"/>
              <w:right w:val="nil"/>
            </w:tcBorders>
            <w:shd w:val="clear" w:color="000000" w:fill="FFFFFF"/>
            <w:vAlign w:val="center"/>
            <w:hideMark/>
          </w:tcPr>
          <w:p w14:paraId="55E4E03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other secondary care expenditure</w:t>
            </w:r>
          </w:p>
        </w:tc>
        <w:tc>
          <w:tcPr>
            <w:tcW w:w="1120" w:type="dxa"/>
            <w:tcBorders>
              <w:top w:val="nil"/>
              <w:left w:val="nil"/>
              <w:bottom w:val="nil"/>
              <w:right w:val="nil"/>
            </w:tcBorders>
            <w:shd w:val="clear" w:color="000000" w:fill="FFFFFF"/>
            <w:vAlign w:val="center"/>
            <w:hideMark/>
          </w:tcPr>
          <w:p w14:paraId="4879E602"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primary care prescribing expenditure per capita</w:t>
            </w:r>
          </w:p>
        </w:tc>
        <w:tc>
          <w:tcPr>
            <w:tcW w:w="1120" w:type="dxa"/>
            <w:tcBorders>
              <w:top w:val="nil"/>
              <w:left w:val="nil"/>
              <w:bottom w:val="nil"/>
              <w:right w:val="nil"/>
            </w:tcBorders>
            <w:shd w:val="clear" w:color="000000" w:fill="FFFFFF"/>
            <w:vAlign w:val="center"/>
            <w:hideMark/>
          </w:tcPr>
          <w:p w14:paraId="0779C0A2"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direct access diagnostic imaging expenditure</w:t>
            </w:r>
          </w:p>
        </w:tc>
        <w:tc>
          <w:tcPr>
            <w:tcW w:w="1120" w:type="dxa"/>
            <w:tcBorders>
              <w:top w:val="nil"/>
              <w:left w:val="nil"/>
              <w:bottom w:val="nil"/>
              <w:right w:val="nil"/>
            </w:tcBorders>
            <w:shd w:val="clear" w:color="000000" w:fill="FFFFFF"/>
            <w:vAlign w:val="center"/>
            <w:hideMark/>
          </w:tcPr>
          <w:p w14:paraId="64DFBB8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community and integrated care expenditure</w:t>
            </w:r>
          </w:p>
        </w:tc>
        <w:tc>
          <w:tcPr>
            <w:tcW w:w="1120" w:type="dxa"/>
            <w:tcBorders>
              <w:top w:val="nil"/>
              <w:left w:val="nil"/>
              <w:bottom w:val="nil"/>
              <w:right w:val="nil"/>
            </w:tcBorders>
            <w:shd w:val="clear" w:color="000000" w:fill="FFFFFF"/>
            <w:vAlign w:val="center"/>
            <w:hideMark/>
          </w:tcPr>
          <w:p w14:paraId="7629F81E"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end of life care expenditure</w:t>
            </w:r>
          </w:p>
        </w:tc>
        <w:tc>
          <w:tcPr>
            <w:tcW w:w="1120" w:type="dxa"/>
            <w:tcBorders>
              <w:top w:val="nil"/>
              <w:left w:val="nil"/>
              <w:bottom w:val="nil"/>
              <w:right w:val="nil"/>
            </w:tcBorders>
            <w:shd w:val="clear" w:color="000000" w:fill="FFFFFF"/>
            <w:vAlign w:val="center"/>
            <w:hideMark/>
          </w:tcPr>
          <w:p w14:paraId="43207B14"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running costs</w:t>
            </w:r>
          </w:p>
        </w:tc>
      </w:tr>
      <w:tr w:rsidR="00300A8A" w:rsidRPr="00C96254" w14:paraId="6BF0ABB2" w14:textId="77777777" w:rsidTr="00C96254">
        <w:trPr>
          <w:trHeight w:val="237"/>
        </w:trPr>
        <w:tc>
          <w:tcPr>
            <w:tcW w:w="3080" w:type="dxa"/>
            <w:tcBorders>
              <w:top w:val="nil"/>
              <w:left w:val="nil"/>
              <w:bottom w:val="nil"/>
              <w:right w:val="nil"/>
            </w:tcBorders>
            <w:shd w:val="clear" w:color="000000" w:fill="FFFFFF"/>
            <w:noWrap/>
            <w:vAlign w:val="center"/>
            <w:hideMark/>
          </w:tcPr>
          <w:p w14:paraId="3D838F0D"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7B13BD2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-0.192***</w:t>
            </w:r>
          </w:p>
        </w:tc>
        <w:tc>
          <w:tcPr>
            <w:tcW w:w="1120" w:type="dxa"/>
            <w:tcBorders>
              <w:top w:val="nil"/>
              <w:left w:val="nil"/>
              <w:bottom w:val="nil"/>
              <w:right w:val="nil"/>
            </w:tcBorders>
            <w:shd w:val="clear" w:color="000000" w:fill="FFFFFF"/>
            <w:noWrap/>
            <w:vAlign w:val="bottom"/>
            <w:hideMark/>
          </w:tcPr>
          <w:p w14:paraId="3F4CCD20"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0.048</w:t>
            </w:r>
          </w:p>
        </w:tc>
        <w:tc>
          <w:tcPr>
            <w:tcW w:w="1120" w:type="dxa"/>
            <w:tcBorders>
              <w:top w:val="nil"/>
              <w:left w:val="nil"/>
              <w:bottom w:val="nil"/>
              <w:right w:val="nil"/>
            </w:tcBorders>
            <w:shd w:val="clear" w:color="000000" w:fill="FFFFFF"/>
            <w:noWrap/>
            <w:vAlign w:val="bottom"/>
            <w:hideMark/>
          </w:tcPr>
          <w:p w14:paraId="0066089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0.115</w:t>
            </w:r>
          </w:p>
        </w:tc>
        <w:tc>
          <w:tcPr>
            <w:tcW w:w="1120" w:type="dxa"/>
            <w:tcBorders>
              <w:top w:val="nil"/>
              <w:left w:val="nil"/>
              <w:bottom w:val="nil"/>
              <w:right w:val="nil"/>
            </w:tcBorders>
            <w:shd w:val="clear" w:color="000000" w:fill="FFFFFF"/>
            <w:noWrap/>
            <w:vAlign w:val="bottom"/>
            <w:hideMark/>
          </w:tcPr>
          <w:p w14:paraId="656432AA"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-0.013</w:t>
            </w:r>
          </w:p>
        </w:tc>
        <w:tc>
          <w:tcPr>
            <w:tcW w:w="1120" w:type="dxa"/>
            <w:tcBorders>
              <w:top w:val="nil"/>
              <w:left w:val="nil"/>
              <w:bottom w:val="nil"/>
              <w:right w:val="nil"/>
            </w:tcBorders>
            <w:shd w:val="clear" w:color="000000" w:fill="FFFFFF"/>
            <w:noWrap/>
            <w:vAlign w:val="bottom"/>
            <w:hideMark/>
          </w:tcPr>
          <w:p w14:paraId="4FF88B3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-0.313**</w:t>
            </w:r>
          </w:p>
        </w:tc>
        <w:tc>
          <w:tcPr>
            <w:tcW w:w="1120" w:type="dxa"/>
            <w:tcBorders>
              <w:top w:val="nil"/>
              <w:left w:val="nil"/>
              <w:bottom w:val="nil"/>
              <w:right w:val="nil"/>
            </w:tcBorders>
            <w:shd w:val="clear" w:color="000000" w:fill="FFFFFF"/>
            <w:noWrap/>
            <w:vAlign w:val="bottom"/>
            <w:hideMark/>
          </w:tcPr>
          <w:p w14:paraId="0D025F1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0.032</w:t>
            </w:r>
          </w:p>
        </w:tc>
        <w:tc>
          <w:tcPr>
            <w:tcW w:w="1120" w:type="dxa"/>
            <w:tcBorders>
              <w:top w:val="nil"/>
              <w:left w:val="nil"/>
              <w:bottom w:val="nil"/>
              <w:right w:val="nil"/>
            </w:tcBorders>
            <w:shd w:val="clear" w:color="000000" w:fill="FFFFFF"/>
            <w:noWrap/>
            <w:vAlign w:val="bottom"/>
            <w:hideMark/>
          </w:tcPr>
          <w:p w14:paraId="2F074E4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0.320**</w:t>
            </w:r>
          </w:p>
        </w:tc>
        <w:tc>
          <w:tcPr>
            <w:tcW w:w="1120" w:type="dxa"/>
            <w:tcBorders>
              <w:top w:val="nil"/>
              <w:left w:val="nil"/>
              <w:bottom w:val="nil"/>
              <w:right w:val="nil"/>
            </w:tcBorders>
            <w:shd w:val="clear" w:color="000000" w:fill="FFFFFF"/>
            <w:noWrap/>
            <w:vAlign w:val="bottom"/>
            <w:hideMark/>
          </w:tcPr>
          <w:p w14:paraId="4652A780"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0.112***</w:t>
            </w:r>
          </w:p>
        </w:tc>
      </w:tr>
      <w:tr w:rsidR="00300A8A" w:rsidRPr="00C96254" w14:paraId="2ACAF7E5" w14:textId="77777777" w:rsidTr="00C96254">
        <w:trPr>
          <w:trHeight w:val="237"/>
        </w:trPr>
        <w:tc>
          <w:tcPr>
            <w:tcW w:w="3080" w:type="dxa"/>
            <w:tcBorders>
              <w:top w:val="nil"/>
              <w:left w:val="nil"/>
              <w:bottom w:val="nil"/>
              <w:right w:val="nil"/>
            </w:tcBorders>
            <w:shd w:val="clear" w:color="000000" w:fill="FFFFFF"/>
            <w:noWrap/>
            <w:vAlign w:val="center"/>
            <w:hideMark/>
          </w:tcPr>
          <w:p w14:paraId="0AF7AF79"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Over-identification test's p-value</w:t>
            </w:r>
          </w:p>
        </w:tc>
        <w:tc>
          <w:tcPr>
            <w:tcW w:w="1120" w:type="dxa"/>
            <w:tcBorders>
              <w:top w:val="nil"/>
              <w:left w:val="nil"/>
              <w:bottom w:val="nil"/>
              <w:right w:val="nil"/>
            </w:tcBorders>
            <w:shd w:val="clear" w:color="000000" w:fill="FFFFFF"/>
            <w:noWrap/>
            <w:vAlign w:val="bottom"/>
            <w:hideMark/>
          </w:tcPr>
          <w:p w14:paraId="5B136655"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0.077*</w:t>
            </w:r>
          </w:p>
        </w:tc>
        <w:tc>
          <w:tcPr>
            <w:tcW w:w="1120" w:type="dxa"/>
            <w:tcBorders>
              <w:top w:val="nil"/>
              <w:left w:val="nil"/>
              <w:bottom w:val="nil"/>
              <w:right w:val="nil"/>
            </w:tcBorders>
            <w:shd w:val="clear" w:color="000000" w:fill="FFFFFF"/>
            <w:noWrap/>
            <w:vAlign w:val="bottom"/>
            <w:hideMark/>
          </w:tcPr>
          <w:p w14:paraId="1249BF9F"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0.291</w:t>
            </w:r>
          </w:p>
        </w:tc>
        <w:tc>
          <w:tcPr>
            <w:tcW w:w="1120" w:type="dxa"/>
            <w:tcBorders>
              <w:top w:val="nil"/>
              <w:left w:val="nil"/>
              <w:bottom w:val="nil"/>
              <w:right w:val="nil"/>
            </w:tcBorders>
            <w:shd w:val="clear" w:color="000000" w:fill="FFFFFF"/>
            <w:noWrap/>
            <w:vAlign w:val="bottom"/>
            <w:hideMark/>
          </w:tcPr>
          <w:p w14:paraId="3248EA1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0.355</w:t>
            </w:r>
          </w:p>
        </w:tc>
        <w:tc>
          <w:tcPr>
            <w:tcW w:w="1120" w:type="dxa"/>
            <w:tcBorders>
              <w:top w:val="nil"/>
              <w:left w:val="nil"/>
              <w:bottom w:val="nil"/>
              <w:right w:val="nil"/>
            </w:tcBorders>
            <w:shd w:val="clear" w:color="000000" w:fill="FFFFFF"/>
            <w:noWrap/>
            <w:vAlign w:val="bottom"/>
            <w:hideMark/>
          </w:tcPr>
          <w:p w14:paraId="3249381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0.853</w:t>
            </w:r>
          </w:p>
        </w:tc>
        <w:tc>
          <w:tcPr>
            <w:tcW w:w="1120" w:type="dxa"/>
            <w:tcBorders>
              <w:top w:val="nil"/>
              <w:left w:val="nil"/>
              <w:bottom w:val="nil"/>
              <w:right w:val="nil"/>
            </w:tcBorders>
            <w:shd w:val="clear" w:color="000000" w:fill="FFFFFF"/>
            <w:noWrap/>
            <w:vAlign w:val="bottom"/>
            <w:hideMark/>
          </w:tcPr>
          <w:p w14:paraId="3DF9ABFD"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0.481</w:t>
            </w:r>
          </w:p>
        </w:tc>
        <w:tc>
          <w:tcPr>
            <w:tcW w:w="1120" w:type="dxa"/>
            <w:tcBorders>
              <w:top w:val="nil"/>
              <w:left w:val="nil"/>
              <w:bottom w:val="nil"/>
              <w:right w:val="nil"/>
            </w:tcBorders>
            <w:shd w:val="clear" w:color="000000" w:fill="FFFFFF"/>
            <w:noWrap/>
            <w:vAlign w:val="bottom"/>
            <w:hideMark/>
          </w:tcPr>
          <w:p w14:paraId="2E47D66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0.025**</w:t>
            </w:r>
          </w:p>
        </w:tc>
        <w:tc>
          <w:tcPr>
            <w:tcW w:w="1120" w:type="dxa"/>
            <w:tcBorders>
              <w:top w:val="nil"/>
              <w:left w:val="nil"/>
              <w:bottom w:val="nil"/>
              <w:right w:val="nil"/>
            </w:tcBorders>
            <w:shd w:val="clear" w:color="000000" w:fill="FFFFFF"/>
            <w:noWrap/>
            <w:vAlign w:val="bottom"/>
            <w:hideMark/>
          </w:tcPr>
          <w:p w14:paraId="14F866C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0.403</w:t>
            </w:r>
          </w:p>
        </w:tc>
        <w:tc>
          <w:tcPr>
            <w:tcW w:w="1120" w:type="dxa"/>
            <w:tcBorders>
              <w:top w:val="nil"/>
              <w:left w:val="nil"/>
              <w:bottom w:val="nil"/>
              <w:right w:val="nil"/>
            </w:tcBorders>
            <w:shd w:val="clear" w:color="000000" w:fill="FFFFFF"/>
            <w:noWrap/>
            <w:vAlign w:val="bottom"/>
            <w:hideMark/>
          </w:tcPr>
          <w:p w14:paraId="188B15A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0.235</w:t>
            </w:r>
          </w:p>
        </w:tc>
      </w:tr>
      <w:tr w:rsidR="00300A8A" w:rsidRPr="00C96254" w14:paraId="12745383" w14:textId="77777777" w:rsidTr="00C96254">
        <w:trPr>
          <w:trHeight w:val="402"/>
        </w:trPr>
        <w:tc>
          <w:tcPr>
            <w:tcW w:w="3080" w:type="dxa"/>
            <w:tcBorders>
              <w:top w:val="nil"/>
              <w:left w:val="nil"/>
              <w:bottom w:val="nil"/>
              <w:right w:val="nil"/>
            </w:tcBorders>
            <w:shd w:val="clear" w:color="000000" w:fill="FFFFFF"/>
            <w:noWrap/>
            <w:vAlign w:val="center"/>
            <w:hideMark/>
          </w:tcPr>
          <w:p w14:paraId="4794DD90"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8960" w:type="dxa"/>
            <w:gridSpan w:val="8"/>
            <w:tcBorders>
              <w:top w:val="nil"/>
              <w:left w:val="nil"/>
              <w:bottom w:val="nil"/>
              <w:right w:val="nil"/>
            </w:tcBorders>
            <w:shd w:val="clear" w:color="000000" w:fill="FFFFFF"/>
            <w:vAlign w:val="bottom"/>
            <w:hideMark/>
          </w:tcPr>
          <w:p w14:paraId="3504C131" w14:textId="77777777" w:rsidR="00300A8A" w:rsidRPr="00C96254" w:rsidRDefault="00300A8A" w:rsidP="00300A8A">
            <w:pPr>
              <w:widowControl/>
              <w:spacing w:after="0"/>
              <w:jc w:val="center"/>
              <w:rPr>
                <w:rFonts w:ascii="Calibri" w:eastAsia="Times New Roman" w:hAnsi="Calibri" w:cs="Calibri"/>
                <w:i/>
                <w:iCs/>
                <w:sz w:val="16"/>
                <w:szCs w:val="16"/>
                <w:lang w:eastAsia="en-GB"/>
              </w:rPr>
            </w:pPr>
            <w:r w:rsidRPr="00C96254">
              <w:rPr>
                <w:rFonts w:ascii="Calibri" w:eastAsia="Times New Roman" w:hAnsi="Calibri" w:cs="Calibri"/>
                <w:i/>
                <w:iCs/>
                <w:sz w:val="16"/>
                <w:szCs w:val="16"/>
                <w:lang w:eastAsia="en-GB"/>
              </w:rPr>
              <w:t>Largest 2 disease areas (cancer and circulatory disease)</w:t>
            </w:r>
          </w:p>
        </w:tc>
      </w:tr>
      <w:tr w:rsidR="00300A8A" w:rsidRPr="00C96254" w14:paraId="3666D181" w14:textId="77777777" w:rsidTr="00C96254">
        <w:trPr>
          <w:trHeight w:val="1350"/>
        </w:trPr>
        <w:tc>
          <w:tcPr>
            <w:tcW w:w="3080" w:type="dxa"/>
            <w:tcBorders>
              <w:top w:val="nil"/>
              <w:left w:val="nil"/>
              <w:bottom w:val="nil"/>
              <w:right w:val="nil"/>
            </w:tcBorders>
            <w:shd w:val="clear" w:color="000000" w:fill="FFFFFF"/>
            <w:noWrap/>
            <w:vAlign w:val="center"/>
            <w:hideMark/>
          </w:tcPr>
          <w:p w14:paraId="13B492D9" w14:textId="341FFB4D" w:rsidR="00300A8A" w:rsidRPr="00C96254" w:rsidRDefault="00300A8A" w:rsidP="00AF3E1E">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r w:rsidRPr="00FC16DB">
              <w:rPr>
                <w:rFonts w:ascii="Calibri" w:eastAsia="Times New Roman" w:hAnsi="Calibri" w:cs="Calibri"/>
                <w:sz w:val="16"/>
                <w:szCs w:val="16"/>
                <w:lang w:eastAsia="en-GB"/>
              </w:rPr>
              <w:t>Variable</w:t>
            </w:r>
          </w:p>
        </w:tc>
        <w:tc>
          <w:tcPr>
            <w:tcW w:w="1120" w:type="dxa"/>
            <w:tcBorders>
              <w:top w:val="nil"/>
              <w:left w:val="nil"/>
              <w:bottom w:val="nil"/>
              <w:right w:val="nil"/>
            </w:tcBorders>
            <w:shd w:val="clear" w:color="000000" w:fill="FFFFFF"/>
            <w:vAlign w:val="center"/>
            <w:hideMark/>
          </w:tcPr>
          <w:p w14:paraId="1172428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emergency transport expenditure per capita</w:t>
            </w:r>
          </w:p>
        </w:tc>
        <w:tc>
          <w:tcPr>
            <w:tcW w:w="1120" w:type="dxa"/>
            <w:tcBorders>
              <w:top w:val="nil"/>
              <w:left w:val="nil"/>
              <w:bottom w:val="nil"/>
              <w:right w:val="nil"/>
            </w:tcBorders>
            <w:shd w:val="clear" w:color="000000" w:fill="FFFFFF"/>
            <w:vAlign w:val="center"/>
            <w:hideMark/>
          </w:tcPr>
          <w:p w14:paraId="676F41F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day case and elective expenditure per capita</w:t>
            </w:r>
          </w:p>
        </w:tc>
        <w:tc>
          <w:tcPr>
            <w:tcW w:w="1120" w:type="dxa"/>
            <w:tcBorders>
              <w:top w:val="nil"/>
              <w:left w:val="nil"/>
              <w:bottom w:val="nil"/>
              <w:right w:val="nil"/>
            </w:tcBorders>
            <w:shd w:val="clear" w:color="000000" w:fill="FFFFFF"/>
            <w:vAlign w:val="center"/>
            <w:hideMark/>
          </w:tcPr>
          <w:p w14:paraId="32432D9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outpatient expenditure per capita</w:t>
            </w:r>
          </w:p>
        </w:tc>
        <w:tc>
          <w:tcPr>
            <w:tcW w:w="1120" w:type="dxa"/>
            <w:tcBorders>
              <w:top w:val="nil"/>
              <w:left w:val="nil"/>
              <w:bottom w:val="nil"/>
              <w:right w:val="nil"/>
            </w:tcBorders>
            <w:shd w:val="clear" w:color="000000" w:fill="FFFFFF"/>
            <w:vAlign w:val="center"/>
            <w:hideMark/>
          </w:tcPr>
          <w:p w14:paraId="56382FC0"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unbundled diagnostic imaging expenditure</w:t>
            </w:r>
          </w:p>
        </w:tc>
        <w:tc>
          <w:tcPr>
            <w:tcW w:w="1120" w:type="dxa"/>
            <w:tcBorders>
              <w:top w:val="nil"/>
              <w:left w:val="nil"/>
              <w:bottom w:val="nil"/>
              <w:right w:val="nil"/>
            </w:tcBorders>
            <w:shd w:val="clear" w:color="000000" w:fill="FFFFFF"/>
            <w:vAlign w:val="center"/>
            <w:hideMark/>
          </w:tcPr>
          <w:p w14:paraId="448CC04D" w14:textId="5C8B9540"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xml:space="preserve">Ln of </w:t>
            </w:r>
            <w:r>
              <w:rPr>
                <w:rFonts w:ascii="Calibri" w:eastAsia="Times New Roman" w:hAnsi="Calibri" w:cs="Calibri"/>
                <w:sz w:val="16"/>
                <w:szCs w:val="16"/>
                <w:lang w:eastAsia="en-GB"/>
              </w:rPr>
              <w:t xml:space="preserve">unbundled </w:t>
            </w:r>
            <w:r w:rsidRPr="00C96254">
              <w:rPr>
                <w:rFonts w:ascii="Calibri" w:eastAsia="Times New Roman" w:hAnsi="Calibri" w:cs="Calibri"/>
                <w:sz w:val="16"/>
                <w:szCs w:val="16"/>
                <w:lang w:eastAsia="en-GB"/>
              </w:rPr>
              <w:t>drugs and devices expenditure</w:t>
            </w:r>
          </w:p>
        </w:tc>
        <w:tc>
          <w:tcPr>
            <w:tcW w:w="1120" w:type="dxa"/>
            <w:tcBorders>
              <w:top w:val="nil"/>
              <w:left w:val="nil"/>
              <w:bottom w:val="nil"/>
              <w:right w:val="nil"/>
            </w:tcBorders>
            <w:shd w:val="clear" w:color="000000" w:fill="FFFFFF"/>
            <w:vAlign w:val="center"/>
            <w:hideMark/>
          </w:tcPr>
          <w:p w14:paraId="66BA24D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other secondary care expenditure</w:t>
            </w:r>
          </w:p>
        </w:tc>
        <w:tc>
          <w:tcPr>
            <w:tcW w:w="1120" w:type="dxa"/>
            <w:tcBorders>
              <w:top w:val="nil"/>
              <w:left w:val="nil"/>
              <w:bottom w:val="nil"/>
              <w:right w:val="nil"/>
            </w:tcBorders>
            <w:shd w:val="clear" w:color="000000" w:fill="FFFFFF"/>
            <w:vAlign w:val="center"/>
            <w:hideMark/>
          </w:tcPr>
          <w:p w14:paraId="0E24F26D"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primary care prescribing expenditure per capita</w:t>
            </w:r>
          </w:p>
        </w:tc>
        <w:tc>
          <w:tcPr>
            <w:tcW w:w="1120" w:type="dxa"/>
            <w:tcBorders>
              <w:top w:val="nil"/>
              <w:left w:val="nil"/>
              <w:bottom w:val="nil"/>
              <w:right w:val="nil"/>
            </w:tcBorders>
            <w:shd w:val="clear" w:color="000000" w:fill="FFFFFF"/>
            <w:vAlign w:val="center"/>
            <w:hideMark/>
          </w:tcPr>
          <w:p w14:paraId="3A7505A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community and integrated care expenditure</w:t>
            </w:r>
          </w:p>
        </w:tc>
      </w:tr>
      <w:tr w:rsidR="00300A8A" w:rsidRPr="00C96254" w14:paraId="5D15F4C7" w14:textId="77777777" w:rsidTr="00C96254">
        <w:trPr>
          <w:trHeight w:val="237"/>
        </w:trPr>
        <w:tc>
          <w:tcPr>
            <w:tcW w:w="3080" w:type="dxa"/>
            <w:tcBorders>
              <w:top w:val="nil"/>
              <w:left w:val="nil"/>
              <w:bottom w:val="nil"/>
              <w:right w:val="nil"/>
            </w:tcBorders>
            <w:shd w:val="clear" w:color="000000" w:fill="FFFFFF"/>
            <w:noWrap/>
            <w:vAlign w:val="center"/>
            <w:hideMark/>
          </w:tcPr>
          <w:p w14:paraId="218002AE"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46F38542"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0.004</w:t>
            </w:r>
          </w:p>
        </w:tc>
        <w:tc>
          <w:tcPr>
            <w:tcW w:w="1120" w:type="dxa"/>
            <w:tcBorders>
              <w:top w:val="nil"/>
              <w:left w:val="nil"/>
              <w:bottom w:val="nil"/>
              <w:right w:val="nil"/>
            </w:tcBorders>
            <w:shd w:val="clear" w:color="000000" w:fill="FFFFFF"/>
            <w:noWrap/>
            <w:vAlign w:val="bottom"/>
            <w:hideMark/>
          </w:tcPr>
          <w:p w14:paraId="074C09B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0.020</w:t>
            </w:r>
          </w:p>
        </w:tc>
        <w:tc>
          <w:tcPr>
            <w:tcW w:w="1120" w:type="dxa"/>
            <w:tcBorders>
              <w:top w:val="nil"/>
              <w:left w:val="nil"/>
              <w:bottom w:val="nil"/>
              <w:right w:val="nil"/>
            </w:tcBorders>
            <w:shd w:val="clear" w:color="000000" w:fill="FFFFFF"/>
            <w:noWrap/>
            <w:vAlign w:val="bottom"/>
            <w:hideMark/>
          </w:tcPr>
          <w:p w14:paraId="0B1DC265"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0.156**</w:t>
            </w:r>
          </w:p>
        </w:tc>
        <w:tc>
          <w:tcPr>
            <w:tcW w:w="1120" w:type="dxa"/>
            <w:tcBorders>
              <w:top w:val="nil"/>
              <w:left w:val="nil"/>
              <w:bottom w:val="nil"/>
              <w:right w:val="nil"/>
            </w:tcBorders>
            <w:shd w:val="clear" w:color="000000" w:fill="FFFFFF"/>
            <w:noWrap/>
            <w:vAlign w:val="bottom"/>
            <w:hideMark/>
          </w:tcPr>
          <w:p w14:paraId="0FB75B6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-0.141</w:t>
            </w:r>
          </w:p>
        </w:tc>
        <w:tc>
          <w:tcPr>
            <w:tcW w:w="1120" w:type="dxa"/>
            <w:tcBorders>
              <w:top w:val="nil"/>
              <w:left w:val="nil"/>
              <w:bottom w:val="nil"/>
              <w:right w:val="nil"/>
            </w:tcBorders>
            <w:shd w:val="clear" w:color="000000" w:fill="FFFFFF"/>
            <w:noWrap/>
            <w:vAlign w:val="bottom"/>
            <w:hideMark/>
          </w:tcPr>
          <w:p w14:paraId="083A7FE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0.278</w:t>
            </w:r>
          </w:p>
        </w:tc>
        <w:tc>
          <w:tcPr>
            <w:tcW w:w="1120" w:type="dxa"/>
            <w:tcBorders>
              <w:top w:val="nil"/>
              <w:left w:val="nil"/>
              <w:bottom w:val="nil"/>
              <w:right w:val="nil"/>
            </w:tcBorders>
            <w:shd w:val="clear" w:color="000000" w:fill="FFFFFF"/>
            <w:noWrap/>
            <w:vAlign w:val="bottom"/>
            <w:hideMark/>
          </w:tcPr>
          <w:p w14:paraId="4749493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-0.202</w:t>
            </w:r>
          </w:p>
        </w:tc>
        <w:tc>
          <w:tcPr>
            <w:tcW w:w="1120" w:type="dxa"/>
            <w:tcBorders>
              <w:top w:val="nil"/>
              <w:left w:val="nil"/>
              <w:bottom w:val="nil"/>
              <w:right w:val="nil"/>
            </w:tcBorders>
            <w:shd w:val="clear" w:color="000000" w:fill="FFFFFF"/>
            <w:noWrap/>
            <w:vAlign w:val="bottom"/>
            <w:hideMark/>
          </w:tcPr>
          <w:p w14:paraId="618B62DA"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-0.021</w:t>
            </w:r>
          </w:p>
        </w:tc>
        <w:tc>
          <w:tcPr>
            <w:tcW w:w="1120" w:type="dxa"/>
            <w:tcBorders>
              <w:top w:val="nil"/>
              <w:left w:val="nil"/>
              <w:bottom w:val="nil"/>
              <w:right w:val="nil"/>
            </w:tcBorders>
            <w:shd w:val="clear" w:color="000000" w:fill="FFFFFF"/>
            <w:noWrap/>
            <w:vAlign w:val="bottom"/>
            <w:hideMark/>
          </w:tcPr>
          <w:p w14:paraId="3B5C402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0.103</w:t>
            </w:r>
          </w:p>
        </w:tc>
      </w:tr>
      <w:tr w:rsidR="00300A8A" w:rsidRPr="00C96254" w14:paraId="28F750E3" w14:textId="77777777" w:rsidTr="00C96254">
        <w:trPr>
          <w:trHeight w:val="237"/>
        </w:trPr>
        <w:tc>
          <w:tcPr>
            <w:tcW w:w="3080" w:type="dxa"/>
            <w:tcBorders>
              <w:top w:val="nil"/>
              <w:left w:val="nil"/>
              <w:bottom w:val="nil"/>
              <w:right w:val="nil"/>
            </w:tcBorders>
            <w:shd w:val="clear" w:color="000000" w:fill="FFFFFF"/>
            <w:noWrap/>
            <w:vAlign w:val="center"/>
            <w:hideMark/>
          </w:tcPr>
          <w:p w14:paraId="2E5C639D"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Over-identification test's p-value</w:t>
            </w:r>
          </w:p>
        </w:tc>
        <w:tc>
          <w:tcPr>
            <w:tcW w:w="1120" w:type="dxa"/>
            <w:tcBorders>
              <w:top w:val="nil"/>
              <w:left w:val="nil"/>
              <w:bottom w:val="nil"/>
              <w:right w:val="nil"/>
            </w:tcBorders>
            <w:shd w:val="clear" w:color="000000" w:fill="FFFFFF"/>
            <w:noWrap/>
            <w:vAlign w:val="bottom"/>
            <w:hideMark/>
          </w:tcPr>
          <w:p w14:paraId="2966586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&lt;0.001***</w:t>
            </w:r>
          </w:p>
        </w:tc>
        <w:tc>
          <w:tcPr>
            <w:tcW w:w="1120" w:type="dxa"/>
            <w:tcBorders>
              <w:top w:val="nil"/>
              <w:left w:val="nil"/>
              <w:bottom w:val="nil"/>
              <w:right w:val="nil"/>
            </w:tcBorders>
            <w:shd w:val="clear" w:color="000000" w:fill="FFFFFF"/>
            <w:noWrap/>
            <w:vAlign w:val="bottom"/>
            <w:hideMark/>
          </w:tcPr>
          <w:p w14:paraId="565A1D24"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0.646</w:t>
            </w:r>
          </w:p>
        </w:tc>
        <w:tc>
          <w:tcPr>
            <w:tcW w:w="1120" w:type="dxa"/>
            <w:tcBorders>
              <w:top w:val="nil"/>
              <w:left w:val="nil"/>
              <w:bottom w:val="nil"/>
              <w:right w:val="nil"/>
            </w:tcBorders>
            <w:shd w:val="clear" w:color="000000" w:fill="FFFFFF"/>
            <w:noWrap/>
            <w:vAlign w:val="bottom"/>
            <w:hideMark/>
          </w:tcPr>
          <w:p w14:paraId="5A1CD0F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0.421</w:t>
            </w:r>
          </w:p>
        </w:tc>
        <w:tc>
          <w:tcPr>
            <w:tcW w:w="1120" w:type="dxa"/>
            <w:tcBorders>
              <w:top w:val="nil"/>
              <w:left w:val="nil"/>
              <w:bottom w:val="nil"/>
              <w:right w:val="nil"/>
            </w:tcBorders>
            <w:shd w:val="clear" w:color="000000" w:fill="FFFFFF"/>
            <w:noWrap/>
            <w:vAlign w:val="bottom"/>
            <w:hideMark/>
          </w:tcPr>
          <w:p w14:paraId="1E8A246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0.106</w:t>
            </w:r>
          </w:p>
        </w:tc>
        <w:tc>
          <w:tcPr>
            <w:tcW w:w="1120" w:type="dxa"/>
            <w:tcBorders>
              <w:top w:val="nil"/>
              <w:left w:val="nil"/>
              <w:bottom w:val="nil"/>
              <w:right w:val="nil"/>
            </w:tcBorders>
            <w:shd w:val="clear" w:color="000000" w:fill="FFFFFF"/>
            <w:noWrap/>
            <w:vAlign w:val="bottom"/>
            <w:hideMark/>
          </w:tcPr>
          <w:p w14:paraId="34A3102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0.076*</w:t>
            </w:r>
          </w:p>
        </w:tc>
        <w:tc>
          <w:tcPr>
            <w:tcW w:w="1120" w:type="dxa"/>
            <w:tcBorders>
              <w:top w:val="nil"/>
              <w:left w:val="nil"/>
              <w:bottom w:val="nil"/>
              <w:right w:val="nil"/>
            </w:tcBorders>
            <w:shd w:val="clear" w:color="000000" w:fill="FFFFFF"/>
            <w:noWrap/>
            <w:vAlign w:val="bottom"/>
            <w:hideMark/>
          </w:tcPr>
          <w:p w14:paraId="6EAFA3B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0.705</w:t>
            </w:r>
          </w:p>
        </w:tc>
        <w:tc>
          <w:tcPr>
            <w:tcW w:w="1120" w:type="dxa"/>
            <w:tcBorders>
              <w:top w:val="nil"/>
              <w:left w:val="nil"/>
              <w:bottom w:val="nil"/>
              <w:right w:val="nil"/>
            </w:tcBorders>
            <w:shd w:val="clear" w:color="000000" w:fill="FFFFFF"/>
            <w:noWrap/>
            <w:vAlign w:val="bottom"/>
            <w:hideMark/>
          </w:tcPr>
          <w:p w14:paraId="6328DE3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0.876</w:t>
            </w:r>
          </w:p>
        </w:tc>
        <w:tc>
          <w:tcPr>
            <w:tcW w:w="1120" w:type="dxa"/>
            <w:tcBorders>
              <w:top w:val="nil"/>
              <w:left w:val="nil"/>
              <w:bottom w:val="nil"/>
              <w:right w:val="nil"/>
            </w:tcBorders>
            <w:shd w:val="clear" w:color="000000" w:fill="FFFFFF"/>
            <w:noWrap/>
            <w:vAlign w:val="bottom"/>
            <w:hideMark/>
          </w:tcPr>
          <w:p w14:paraId="31E13D3E"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0.442</w:t>
            </w:r>
          </w:p>
        </w:tc>
      </w:tr>
      <w:tr w:rsidR="00300A8A" w:rsidRPr="00C96254" w14:paraId="121C1FF3" w14:textId="77777777" w:rsidTr="00C96254">
        <w:trPr>
          <w:trHeight w:val="402"/>
        </w:trPr>
        <w:tc>
          <w:tcPr>
            <w:tcW w:w="3080" w:type="dxa"/>
            <w:tcBorders>
              <w:top w:val="nil"/>
              <w:left w:val="nil"/>
              <w:bottom w:val="nil"/>
              <w:right w:val="nil"/>
            </w:tcBorders>
            <w:shd w:val="clear" w:color="000000" w:fill="FFFFFF"/>
            <w:noWrap/>
            <w:vAlign w:val="center"/>
            <w:hideMark/>
          </w:tcPr>
          <w:p w14:paraId="32E6D461"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p>
        </w:tc>
        <w:tc>
          <w:tcPr>
            <w:tcW w:w="8960" w:type="dxa"/>
            <w:gridSpan w:val="8"/>
            <w:tcBorders>
              <w:top w:val="nil"/>
              <w:left w:val="nil"/>
              <w:bottom w:val="nil"/>
              <w:right w:val="nil"/>
            </w:tcBorders>
            <w:shd w:val="clear" w:color="000000" w:fill="FFFFFF"/>
            <w:vAlign w:val="bottom"/>
            <w:hideMark/>
          </w:tcPr>
          <w:p w14:paraId="5C6E64C1" w14:textId="77777777" w:rsidR="00300A8A" w:rsidRPr="00C96254" w:rsidRDefault="00300A8A" w:rsidP="00300A8A">
            <w:pPr>
              <w:widowControl/>
              <w:spacing w:after="0"/>
              <w:jc w:val="center"/>
              <w:rPr>
                <w:rFonts w:ascii="Calibri" w:eastAsia="Times New Roman" w:hAnsi="Calibri" w:cs="Calibri"/>
                <w:i/>
                <w:iCs/>
                <w:sz w:val="16"/>
                <w:szCs w:val="16"/>
                <w:lang w:eastAsia="en-GB"/>
              </w:rPr>
            </w:pPr>
            <w:r w:rsidRPr="00C96254">
              <w:rPr>
                <w:rFonts w:ascii="Calibri" w:eastAsia="Times New Roman" w:hAnsi="Calibri" w:cs="Calibri"/>
                <w:i/>
                <w:iCs/>
                <w:sz w:val="16"/>
                <w:szCs w:val="16"/>
                <w:lang w:eastAsia="en-GB"/>
              </w:rPr>
              <w:t>Largest 4 disease areas (cancer, circulatory, respiratory and gastro-intestinal disease)</w:t>
            </w:r>
          </w:p>
        </w:tc>
      </w:tr>
      <w:tr w:rsidR="00300A8A" w:rsidRPr="00C96254" w14:paraId="0871B446" w14:textId="77777777" w:rsidTr="00C96254">
        <w:trPr>
          <w:trHeight w:val="1350"/>
        </w:trPr>
        <w:tc>
          <w:tcPr>
            <w:tcW w:w="3080" w:type="dxa"/>
            <w:tcBorders>
              <w:top w:val="nil"/>
              <w:left w:val="nil"/>
              <w:bottom w:val="nil"/>
              <w:right w:val="nil"/>
            </w:tcBorders>
            <w:shd w:val="clear" w:color="000000" w:fill="FFFFFF"/>
            <w:noWrap/>
            <w:vAlign w:val="center"/>
            <w:hideMark/>
          </w:tcPr>
          <w:p w14:paraId="5C026CF7" w14:textId="5D4DCFCC" w:rsidR="00300A8A" w:rsidRPr="00C96254" w:rsidRDefault="00300A8A" w:rsidP="00AF3E1E">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r w:rsidRPr="00FC16DB">
              <w:rPr>
                <w:rFonts w:ascii="Calibri" w:eastAsia="Times New Roman" w:hAnsi="Calibri" w:cs="Calibri"/>
                <w:sz w:val="16"/>
                <w:szCs w:val="16"/>
                <w:lang w:eastAsia="en-GB"/>
              </w:rPr>
              <w:t>Variable</w:t>
            </w:r>
          </w:p>
        </w:tc>
        <w:tc>
          <w:tcPr>
            <w:tcW w:w="1120" w:type="dxa"/>
            <w:tcBorders>
              <w:top w:val="nil"/>
              <w:left w:val="nil"/>
              <w:bottom w:val="nil"/>
              <w:right w:val="nil"/>
            </w:tcBorders>
            <w:shd w:val="clear" w:color="000000" w:fill="FFFFFF"/>
            <w:vAlign w:val="center"/>
            <w:hideMark/>
          </w:tcPr>
          <w:p w14:paraId="641B28B4"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emergency transport expenditure per capita</w:t>
            </w:r>
          </w:p>
        </w:tc>
        <w:tc>
          <w:tcPr>
            <w:tcW w:w="1120" w:type="dxa"/>
            <w:tcBorders>
              <w:top w:val="nil"/>
              <w:left w:val="nil"/>
              <w:bottom w:val="nil"/>
              <w:right w:val="nil"/>
            </w:tcBorders>
            <w:shd w:val="clear" w:color="000000" w:fill="FFFFFF"/>
            <w:vAlign w:val="center"/>
            <w:hideMark/>
          </w:tcPr>
          <w:p w14:paraId="00F56D9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day case and elective expenditure per capita</w:t>
            </w:r>
          </w:p>
        </w:tc>
        <w:tc>
          <w:tcPr>
            <w:tcW w:w="1120" w:type="dxa"/>
            <w:tcBorders>
              <w:top w:val="nil"/>
              <w:left w:val="nil"/>
              <w:bottom w:val="nil"/>
              <w:right w:val="nil"/>
            </w:tcBorders>
            <w:shd w:val="clear" w:color="000000" w:fill="FFFFFF"/>
            <w:vAlign w:val="center"/>
            <w:hideMark/>
          </w:tcPr>
          <w:p w14:paraId="6279F86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outpatient expenditure per capita</w:t>
            </w:r>
          </w:p>
        </w:tc>
        <w:tc>
          <w:tcPr>
            <w:tcW w:w="1120" w:type="dxa"/>
            <w:tcBorders>
              <w:top w:val="nil"/>
              <w:left w:val="nil"/>
              <w:bottom w:val="nil"/>
              <w:right w:val="nil"/>
            </w:tcBorders>
            <w:shd w:val="clear" w:color="000000" w:fill="FFFFFF"/>
            <w:vAlign w:val="center"/>
            <w:hideMark/>
          </w:tcPr>
          <w:p w14:paraId="7C3C1469"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unbundled diagnostic imaging expenditure</w:t>
            </w:r>
          </w:p>
        </w:tc>
        <w:tc>
          <w:tcPr>
            <w:tcW w:w="1120" w:type="dxa"/>
            <w:tcBorders>
              <w:top w:val="nil"/>
              <w:left w:val="nil"/>
              <w:bottom w:val="nil"/>
              <w:right w:val="nil"/>
            </w:tcBorders>
            <w:shd w:val="clear" w:color="000000" w:fill="FFFFFF"/>
            <w:vAlign w:val="center"/>
            <w:hideMark/>
          </w:tcPr>
          <w:p w14:paraId="27E7E8E5" w14:textId="027C6BAD"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xml:space="preserve">Ln of </w:t>
            </w:r>
            <w:r>
              <w:rPr>
                <w:rFonts w:ascii="Calibri" w:eastAsia="Times New Roman" w:hAnsi="Calibri" w:cs="Calibri"/>
                <w:sz w:val="16"/>
                <w:szCs w:val="16"/>
                <w:lang w:eastAsia="en-GB"/>
              </w:rPr>
              <w:t xml:space="preserve">unbundled </w:t>
            </w:r>
            <w:r w:rsidRPr="00C96254">
              <w:rPr>
                <w:rFonts w:ascii="Calibri" w:eastAsia="Times New Roman" w:hAnsi="Calibri" w:cs="Calibri"/>
                <w:sz w:val="16"/>
                <w:szCs w:val="16"/>
                <w:lang w:eastAsia="en-GB"/>
              </w:rPr>
              <w:t>drugs and devices expenditure</w:t>
            </w:r>
          </w:p>
        </w:tc>
        <w:tc>
          <w:tcPr>
            <w:tcW w:w="1120" w:type="dxa"/>
            <w:tcBorders>
              <w:top w:val="nil"/>
              <w:left w:val="nil"/>
              <w:bottom w:val="nil"/>
              <w:right w:val="nil"/>
            </w:tcBorders>
            <w:shd w:val="clear" w:color="000000" w:fill="FFFFFF"/>
            <w:vAlign w:val="center"/>
            <w:hideMark/>
          </w:tcPr>
          <w:p w14:paraId="06DE70A3"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other secondary care expenditure</w:t>
            </w:r>
          </w:p>
        </w:tc>
        <w:tc>
          <w:tcPr>
            <w:tcW w:w="1120" w:type="dxa"/>
            <w:tcBorders>
              <w:top w:val="nil"/>
              <w:left w:val="nil"/>
              <w:bottom w:val="nil"/>
              <w:right w:val="nil"/>
            </w:tcBorders>
            <w:shd w:val="clear" w:color="000000" w:fill="FFFFFF"/>
            <w:vAlign w:val="center"/>
            <w:hideMark/>
          </w:tcPr>
          <w:p w14:paraId="1E93CFB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primary care prescribing expenditure per capita</w:t>
            </w:r>
          </w:p>
        </w:tc>
        <w:tc>
          <w:tcPr>
            <w:tcW w:w="1120" w:type="dxa"/>
            <w:tcBorders>
              <w:top w:val="nil"/>
              <w:left w:val="nil"/>
              <w:bottom w:val="nil"/>
              <w:right w:val="nil"/>
            </w:tcBorders>
            <w:shd w:val="clear" w:color="000000" w:fill="FFFFFF"/>
            <w:vAlign w:val="center"/>
            <w:hideMark/>
          </w:tcPr>
          <w:p w14:paraId="279489A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community and integrated care expenditure</w:t>
            </w:r>
          </w:p>
        </w:tc>
      </w:tr>
      <w:tr w:rsidR="00300A8A" w:rsidRPr="00C96254" w14:paraId="17B1C89C" w14:textId="77777777" w:rsidTr="00C96254">
        <w:trPr>
          <w:trHeight w:val="237"/>
        </w:trPr>
        <w:tc>
          <w:tcPr>
            <w:tcW w:w="3080" w:type="dxa"/>
            <w:tcBorders>
              <w:top w:val="nil"/>
              <w:left w:val="nil"/>
              <w:bottom w:val="nil"/>
              <w:right w:val="nil"/>
            </w:tcBorders>
            <w:shd w:val="clear" w:color="000000" w:fill="FFFFFF"/>
            <w:noWrap/>
            <w:vAlign w:val="center"/>
            <w:hideMark/>
          </w:tcPr>
          <w:p w14:paraId="0D1D846D"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Ln of long-term care expenditure per user</w:t>
            </w:r>
          </w:p>
        </w:tc>
        <w:tc>
          <w:tcPr>
            <w:tcW w:w="1120" w:type="dxa"/>
            <w:tcBorders>
              <w:top w:val="nil"/>
              <w:left w:val="nil"/>
              <w:bottom w:val="nil"/>
              <w:right w:val="nil"/>
            </w:tcBorders>
            <w:shd w:val="clear" w:color="000000" w:fill="FFFFFF"/>
            <w:noWrap/>
            <w:vAlign w:val="bottom"/>
            <w:hideMark/>
          </w:tcPr>
          <w:p w14:paraId="406DF668"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-0.008</w:t>
            </w:r>
          </w:p>
        </w:tc>
        <w:tc>
          <w:tcPr>
            <w:tcW w:w="1120" w:type="dxa"/>
            <w:tcBorders>
              <w:top w:val="nil"/>
              <w:left w:val="nil"/>
              <w:bottom w:val="nil"/>
              <w:right w:val="nil"/>
            </w:tcBorders>
            <w:shd w:val="clear" w:color="000000" w:fill="FFFFFF"/>
            <w:noWrap/>
            <w:vAlign w:val="bottom"/>
            <w:hideMark/>
          </w:tcPr>
          <w:p w14:paraId="5592BF15"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-0.009</w:t>
            </w:r>
          </w:p>
        </w:tc>
        <w:tc>
          <w:tcPr>
            <w:tcW w:w="1120" w:type="dxa"/>
            <w:tcBorders>
              <w:top w:val="nil"/>
              <w:left w:val="nil"/>
              <w:bottom w:val="nil"/>
              <w:right w:val="nil"/>
            </w:tcBorders>
            <w:shd w:val="clear" w:color="000000" w:fill="FFFFFF"/>
            <w:noWrap/>
            <w:vAlign w:val="bottom"/>
            <w:hideMark/>
          </w:tcPr>
          <w:p w14:paraId="79B97785"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0.089*</w:t>
            </w:r>
          </w:p>
        </w:tc>
        <w:tc>
          <w:tcPr>
            <w:tcW w:w="1120" w:type="dxa"/>
            <w:tcBorders>
              <w:top w:val="nil"/>
              <w:left w:val="nil"/>
              <w:bottom w:val="nil"/>
              <w:right w:val="nil"/>
            </w:tcBorders>
            <w:shd w:val="clear" w:color="000000" w:fill="FFFFFF"/>
            <w:noWrap/>
            <w:vAlign w:val="bottom"/>
            <w:hideMark/>
          </w:tcPr>
          <w:p w14:paraId="5B2B22E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-0.759**</w:t>
            </w:r>
          </w:p>
        </w:tc>
        <w:tc>
          <w:tcPr>
            <w:tcW w:w="1120" w:type="dxa"/>
            <w:tcBorders>
              <w:top w:val="nil"/>
              <w:left w:val="nil"/>
              <w:bottom w:val="nil"/>
              <w:right w:val="nil"/>
            </w:tcBorders>
            <w:shd w:val="clear" w:color="000000" w:fill="FFFFFF"/>
            <w:noWrap/>
            <w:vAlign w:val="bottom"/>
            <w:hideMark/>
          </w:tcPr>
          <w:p w14:paraId="20E7B072"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-0.121</w:t>
            </w:r>
          </w:p>
        </w:tc>
        <w:tc>
          <w:tcPr>
            <w:tcW w:w="1120" w:type="dxa"/>
            <w:tcBorders>
              <w:top w:val="nil"/>
              <w:left w:val="nil"/>
              <w:bottom w:val="nil"/>
              <w:right w:val="nil"/>
            </w:tcBorders>
            <w:shd w:val="clear" w:color="000000" w:fill="FFFFFF"/>
            <w:noWrap/>
            <w:vAlign w:val="bottom"/>
            <w:hideMark/>
          </w:tcPr>
          <w:p w14:paraId="7368D0CA"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0.089</w:t>
            </w:r>
          </w:p>
        </w:tc>
        <w:tc>
          <w:tcPr>
            <w:tcW w:w="1120" w:type="dxa"/>
            <w:tcBorders>
              <w:top w:val="nil"/>
              <w:left w:val="nil"/>
              <w:bottom w:val="nil"/>
              <w:right w:val="nil"/>
            </w:tcBorders>
            <w:shd w:val="clear" w:color="000000" w:fill="FFFFFF"/>
            <w:noWrap/>
            <w:vAlign w:val="bottom"/>
            <w:hideMark/>
          </w:tcPr>
          <w:p w14:paraId="171ECB3F"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0.067</w:t>
            </w:r>
          </w:p>
        </w:tc>
        <w:tc>
          <w:tcPr>
            <w:tcW w:w="1120" w:type="dxa"/>
            <w:tcBorders>
              <w:top w:val="nil"/>
              <w:left w:val="nil"/>
              <w:bottom w:val="nil"/>
              <w:right w:val="nil"/>
            </w:tcBorders>
            <w:shd w:val="clear" w:color="000000" w:fill="FFFFFF"/>
            <w:noWrap/>
            <w:vAlign w:val="bottom"/>
            <w:hideMark/>
          </w:tcPr>
          <w:p w14:paraId="1367FF1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0.146</w:t>
            </w:r>
          </w:p>
        </w:tc>
      </w:tr>
      <w:tr w:rsidR="00300A8A" w:rsidRPr="00C96254" w14:paraId="620ECE2E" w14:textId="77777777" w:rsidTr="00C96254">
        <w:trPr>
          <w:trHeight w:val="237"/>
        </w:trPr>
        <w:tc>
          <w:tcPr>
            <w:tcW w:w="3080" w:type="dxa"/>
            <w:tcBorders>
              <w:top w:val="nil"/>
              <w:left w:val="nil"/>
              <w:bottom w:val="nil"/>
              <w:right w:val="nil"/>
            </w:tcBorders>
            <w:shd w:val="clear" w:color="000000" w:fill="FFFFFF"/>
            <w:noWrap/>
            <w:vAlign w:val="center"/>
            <w:hideMark/>
          </w:tcPr>
          <w:p w14:paraId="1A69C571"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Over-identification test's p-value</w:t>
            </w:r>
          </w:p>
        </w:tc>
        <w:tc>
          <w:tcPr>
            <w:tcW w:w="1120" w:type="dxa"/>
            <w:tcBorders>
              <w:top w:val="nil"/>
              <w:left w:val="nil"/>
              <w:bottom w:val="nil"/>
              <w:right w:val="nil"/>
            </w:tcBorders>
            <w:shd w:val="clear" w:color="000000" w:fill="FFFFFF"/>
            <w:noWrap/>
            <w:vAlign w:val="bottom"/>
            <w:hideMark/>
          </w:tcPr>
          <w:p w14:paraId="66C83F70"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&lt;0.001***</w:t>
            </w:r>
          </w:p>
        </w:tc>
        <w:tc>
          <w:tcPr>
            <w:tcW w:w="1120" w:type="dxa"/>
            <w:tcBorders>
              <w:top w:val="nil"/>
              <w:left w:val="nil"/>
              <w:bottom w:val="single" w:sz="4" w:space="0" w:color="auto"/>
              <w:right w:val="nil"/>
            </w:tcBorders>
            <w:shd w:val="clear" w:color="000000" w:fill="FFFFFF"/>
            <w:noWrap/>
            <w:vAlign w:val="bottom"/>
            <w:hideMark/>
          </w:tcPr>
          <w:p w14:paraId="2B369F27"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0.176</w:t>
            </w:r>
          </w:p>
        </w:tc>
        <w:tc>
          <w:tcPr>
            <w:tcW w:w="1120" w:type="dxa"/>
            <w:tcBorders>
              <w:top w:val="nil"/>
              <w:left w:val="nil"/>
              <w:bottom w:val="single" w:sz="4" w:space="0" w:color="auto"/>
              <w:right w:val="nil"/>
            </w:tcBorders>
            <w:shd w:val="clear" w:color="000000" w:fill="FFFFFF"/>
            <w:noWrap/>
            <w:vAlign w:val="bottom"/>
            <w:hideMark/>
          </w:tcPr>
          <w:p w14:paraId="6984717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0.685</w:t>
            </w:r>
          </w:p>
        </w:tc>
        <w:tc>
          <w:tcPr>
            <w:tcW w:w="1120" w:type="dxa"/>
            <w:tcBorders>
              <w:top w:val="nil"/>
              <w:left w:val="nil"/>
              <w:bottom w:val="single" w:sz="4" w:space="0" w:color="auto"/>
              <w:right w:val="nil"/>
            </w:tcBorders>
            <w:shd w:val="clear" w:color="000000" w:fill="FFFFFF"/>
            <w:noWrap/>
            <w:vAlign w:val="bottom"/>
            <w:hideMark/>
          </w:tcPr>
          <w:p w14:paraId="1902857B"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0.488</w:t>
            </w:r>
          </w:p>
        </w:tc>
        <w:tc>
          <w:tcPr>
            <w:tcW w:w="1120" w:type="dxa"/>
            <w:tcBorders>
              <w:top w:val="nil"/>
              <w:left w:val="nil"/>
              <w:bottom w:val="single" w:sz="4" w:space="0" w:color="auto"/>
              <w:right w:val="nil"/>
            </w:tcBorders>
            <w:shd w:val="clear" w:color="000000" w:fill="FFFFFF"/>
            <w:noWrap/>
            <w:vAlign w:val="bottom"/>
            <w:hideMark/>
          </w:tcPr>
          <w:p w14:paraId="10C77496"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0.129</w:t>
            </w:r>
          </w:p>
        </w:tc>
        <w:tc>
          <w:tcPr>
            <w:tcW w:w="1120" w:type="dxa"/>
            <w:tcBorders>
              <w:top w:val="nil"/>
              <w:left w:val="nil"/>
              <w:bottom w:val="single" w:sz="4" w:space="0" w:color="auto"/>
              <w:right w:val="nil"/>
            </w:tcBorders>
            <w:shd w:val="clear" w:color="000000" w:fill="FFFFFF"/>
            <w:noWrap/>
            <w:vAlign w:val="bottom"/>
            <w:hideMark/>
          </w:tcPr>
          <w:p w14:paraId="4ED05B1C"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0.135</w:t>
            </w:r>
          </w:p>
        </w:tc>
        <w:tc>
          <w:tcPr>
            <w:tcW w:w="1120" w:type="dxa"/>
            <w:tcBorders>
              <w:top w:val="nil"/>
              <w:left w:val="nil"/>
              <w:bottom w:val="single" w:sz="4" w:space="0" w:color="auto"/>
              <w:right w:val="nil"/>
            </w:tcBorders>
            <w:shd w:val="clear" w:color="000000" w:fill="FFFFFF"/>
            <w:noWrap/>
            <w:vAlign w:val="bottom"/>
            <w:hideMark/>
          </w:tcPr>
          <w:p w14:paraId="2A4418FD"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0.760</w:t>
            </w:r>
          </w:p>
        </w:tc>
        <w:tc>
          <w:tcPr>
            <w:tcW w:w="1120" w:type="dxa"/>
            <w:tcBorders>
              <w:top w:val="nil"/>
              <w:left w:val="nil"/>
              <w:bottom w:val="single" w:sz="4" w:space="0" w:color="auto"/>
              <w:right w:val="nil"/>
            </w:tcBorders>
            <w:shd w:val="clear" w:color="000000" w:fill="FFFFFF"/>
            <w:noWrap/>
            <w:vAlign w:val="bottom"/>
            <w:hideMark/>
          </w:tcPr>
          <w:p w14:paraId="117F7742" w14:textId="77777777" w:rsidR="00300A8A" w:rsidRPr="00C96254"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0.732</w:t>
            </w:r>
          </w:p>
        </w:tc>
      </w:tr>
      <w:tr w:rsidR="00300A8A" w:rsidRPr="00C96254" w14:paraId="7FB5DA2E" w14:textId="77777777" w:rsidTr="00C96254">
        <w:trPr>
          <w:trHeight w:val="915"/>
        </w:trPr>
        <w:tc>
          <w:tcPr>
            <w:tcW w:w="12040" w:type="dxa"/>
            <w:gridSpan w:val="9"/>
            <w:tcBorders>
              <w:top w:val="single" w:sz="4" w:space="0" w:color="auto"/>
              <w:left w:val="nil"/>
              <w:bottom w:val="single" w:sz="4" w:space="0" w:color="auto"/>
              <w:right w:val="nil"/>
            </w:tcBorders>
            <w:shd w:val="clear" w:color="000000" w:fill="FFFFFF"/>
            <w:vAlign w:val="center"/>
            <w:hideMark/>
          </w:tcPr>
          <w:p w14:paraId="6D08A52E" w14:textId="77777777" w:rsidR="00300A8A" w:rsidRPr="00C96254" w:rsidRDefault="00300A8A" w:rsidP="00300A8A">
            <w:pPr>
              <w:widowControl/>
              <w:spacing w:after="0"/>
              <w:jc w:val="left"/>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All estimates are obtained from a just-identified instrumental variable specification, where the only instrument is ln of council tax base per user. The number of observations is 146. The Kleibergen-Paap rk Wald F statistic is 1,234.8. The reported over-identification test is run using the Hansen J statistic and all available instruments for ln of long-term care expenditure per user. These include ln of council tax base, ln of business rate tax base and ln of area cost adjustment index. ***=p-value&lt;0.01, **=p-value&lt;0.05, *=p-value&lt;0.1</w:t>
            </w:r>
          </w:p>
        </w:tc>
      </w:tr>
    </w:tbl>
    <w:p w14:paraId="62291B11" w14:textId="20127F83" w:rsidR="00B71FB5" w:rsidRPr="002A4884" w:rsidRDefault="00B71FB5" w:rsidP="00E564D3"/>
    <w:p w14:paraId="1C15101A" w14:textId="77777777" w:rsidR="00B71FB5" w:rsidRPr="002A4884" w:rsidRDefault="00B71FB5" w:rsidP="00E564D3">
      <w:pPr>
        <w:sectPr w:rsidR="00B71FB5" w:rsidRPr="002A4884" w:rsidSect="00756F44">
          <w:pgSz w:w="16838" w:h="11906" w:orient="landscape"/>
          <w:pgMar w:top="720" w:right="720" w:bottom="720" w:left="720" w:header="0" w:footer="0" w:gutter="0"/>
          <w:cols w:space="708"/>
          <w:docGrid w:linePitch="360"/>
        </w:sectPr>
      </w:pPr>
    </w:p>
    <w:p w14:paraId="6FA83CD6" w14:textId="2CC01FF0" w:rsidR="00B71FB5" w:rsidRPr="002A4884" w:rsidRDefault="00B71FB5" w:rsidP="00B71FB5">
      <w:pPr>
        <w:pStyle w:val="Caption"/>
      </w:pPr>
      <w:bookmarkStart w:id="51" w:name="_Ref61533646"/>
      <w:r w:rsidRPr="002A4884">
        <w:lastRenderedPageBreak/>
        <w:t>Table A</w:t>
      </w:r>
      <w:r w:rsidR="002A7365">
        <w:fldChar w:fldCharType="begin"/>
      </w:r>
      <w:r w:rsidR="002A7365">
        <w:instrText xml:space="preserve"> SEQ Table_A \* ARABIC </w:instrText>
      </w:r>
      <w:r w:rsidR="002A7365">
        <w:fldChar w:fldCharType="separate"/>
      </w:r>
      <w:r w:rsidR="007C7B62">
        <w:rPr>
          <w:noProof/>
        </w:rPr>
        <w:t>5</w:t>
      </w:r>
      <w:r w:rsidR="002A7365">
        <w:rPr>
          <w:noProof/>
        </w:rPr>
        <w:fldChar w:fldCharType="end"/>
      </w:r>
      <w:bookmarkEnd w:id="51"/>
      <w:r w:rsidRPr="002A4884">
        <w:t xml:space="preserve"> – Estimates </w:t>
      </w:r>
      <w:r w:rsidR="00756F44">
        <w:t>o</w:t>
      </w:r>
      <w:r w:rsidRPr="002A4884">
        <w:t>f</w:t>
      </w:r>
      <w:r w:rsidR="00756F44">
        <w:t xml:space="preserve"> the effect of health care expenditure per capita on</w:t>
      </w:r>
      <w:r w:rsidRPr="002A4884">
        <w:t xml:space="preserve"> long-term care expenditure per </w:t>
      </w:r>
      <w:r w:rsidR="00756F44">
        <w:t>user</w:t>
      </w:r>
      <w:r w:rsidRPr="002A4884">
        <w:t xml:space="preserve"> </w:t>
      </w:r>
      <w:r w:rsidR="00756F44">
        <w:t>sub-</w:t>
      </w:r>
      <w:r w:rsidRPr="002A4884">
        <w:t>sector</w:t>
      </w:r>
      <w:r w:rsidR="00756F44">
        <w:t>s</w:t>
      </w:r>
      <w:r w:rsidRPr="002A4884">
        <w:t>.</w:t>
      </w:r>
    </w:p>
    <w:tbl>
      <w:tblPr>
        <w:tblW w:w="13707" w:type="dxa"/>
        <w:tblLook w:val="04A0" w:firstRow="1" w:lastRow="0" w:firstColumn="1" w:lastColumn="0" w:noHBand="0" w:noVBand="1"/>
      </w:tblPr>
      <w:tblGrid>
        <w:gridCol w:w="2980"/>
        <w:gridCol w:w="1060"/>
        <w:gridCol w:w="1060"/>
        <w:gridCol w:w="1060"/>
        <w:gridCol w:w="1060"/>
        <w:gridCol w:w="1060"/>
        <w:gridCol w:w="1060"/>
        <w:gridCol w:w="1060"/>
        <w:gridCol w:w="1060"/>
        <w:gridCol w:w="1060"/>
        <w:gridCol w:w="1187"/>
      </w:tblGrid>
      <w:tr w:rsidR="00A01019" w:rsidRPr="00903E7F" w14:paraId="33C9ED40" w14:textId="77777777" w:rsidTr="00300A8A">
        <w:trPr>
          <w:trHeight w:val="1350"/>
        </w:trPr>
        <w:tc>
          <w:tcPr>
            <w:tcW w:w="2980" w:type="dxa"/>
            <w:tcBorders>
              <w:top w:val="single" w:sz="4" w:space="0" w:color="auto"/>
              <w:left w:val="nil"/>
              <w:bottom w:val="nil"/>
              <w:right w:val="nil"/>
            </w:tcBorders>
            <w:shd w:val="clear" w:color="000000" w:fill="FFFFFF"/>
            <w:noWrap/>
            <w:vAlign w:val="center"/>
            <w:hideMark/>
          </w:tcPr>
          <w:p w14:paraId="10032AEF" w14:textId="009CCC5D" w:rsidR="00300A8A" w:rsidRPr="00903E7F" w:rsidRDefault="00300A8A" w:rsidP="00300A8A">
            <w:pPr>
              <w:widowControl/>
              <w:spacing w:after="0"/>
              <w:jc w:val="center"/>
              <w:rPr>
                <w:rFonts w:ascii="Calibri" w:eastAsia="Times New Roman" w:hAnsi="Calibri" w:cs="Calibri"/>
                <w:sz w:val="16"/>
                <w:szCs w:val="16"/>
                <w:lang w:eastAsia="en-GB"/>
              </w:rPr>
            </w:pPr>
            <w:r w:rsidRPr="00C96254">
              <w:rPr>
                <w:rFonts w:ascii="Calibri" w:eastAsia="Times New Roman" w:hAnsi="Calibri" w:cs="Calibri"/>
                <w:sz w:val="16"/>
                <w:szCs w:val="16"/>
                <w:lang w:eastAsia="en-GB"/>
              </w:rPr>
              <w:t> </w:t>
            </w:r>
            <w:r w:rsidRPr="00FC16DB">
              <w:rPr>
                <w:rFonts w:ascii="Calibri" w:eastAsia="Times New Roman" w:hAnsi="Calibri" w:cs="Calibri"/>
                <w:sz w:val="16"/>
                <w:szCs w:val="16"/>
                <w:lang w:eastAsia="en-GB"/>
              </w:rPr>
              <w:t>Variable</w:t>
            </w:r>
          </w:p>
        </w:tc>
        <w:tc>
          <w:tcPr>
            <w:tcW w:w="1060" w:type="dxa"/>
            <w:tcBorders>
              <w:top w:val="single" w:sz="4" w:space="0" w:color="auto"/>
              <w:left w:val="nil"/>
              <w:bottom w:val="nil"/>
              <w:right w:val="nil"/>
            </w:tcBorders>
            <w:shd w:val="clear" w:color="000000" w:fill="FFFFFF"/>
            <w:vAlign w:val="center"/>
            <w:hideMark/>
          </w:tcPr>
          <w:p w14:paraId="6492CEEA"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long-term care expenditure per user</w:t>
            </w:r>
          </w:p>
        </w:tc>
        <w:tc>
          <w:tcPr>
            <w:tcW w:w="1060" w:type="dxa"/>
            <w:tcBorders>
              <w:top w:val="single" w:sz="4" w:space="0" w:color="auto"/>
              <w:left w:val="nil"/>
              <w:bottom w:val="nil"/>
              <w:right w:val="nil"/>
            </w:tcBorders>
            <w:shd w:val="clear" w:color="000000" w:fill="FFFFFF"/>
            <w:vAlign w:val="center"/>
            <w:hideMark/>
          </w:tcPr>
          <w:p w14:paraId="6F18DAC5"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nursing care expenditure per user</w:t>
            </w:r>
          </w:p>
        </w:tc>
        <w:tc>
          <w:tcPr>
            <w:tcW w:w="1060" w:type="dxa"/>
            <w:tcBorders>
              <w:top w:val="single" w:sz="4" w:space="0" w:color="auto"/>
              <w:left w:val="nil"/>
              <w:bottom w:val="nil"/>
              <w:right w:val="nil"/>
            </w:tcBorders>
            <w:shd w:val="clear" w:color="000000" w:fill="FFFFFF"/>
            <w:vAlign w:val="center"/>
            <w:hideMark/>
          </w:tcPr>
          <w:p w14:paraId="278DA9C2"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residential care expenditure per user</w:t>
            </w:r>
          </w:p>
        </w:tc>
        <w:tc>
          <w:tcPr>
            <w:tcW w:w="1060" w:type="dxa"/>
            <w:tcBorders>
              <w:top w:val="single" w:sz="4" w:space="0" w:color="auto"/>
              <w:left w:val="nil"/>
              <w:bottom w:val="nil"/>
              <w:right w:val="nil"/>
            </w:tcBorders>
            <w:shd w:val="clear" w:color="000000" w:fill="FFFFFF"/>
            <w:vAlign w:val="center"/>
            <w:hideMark/>
          </w:tcPr>
          <w:p w14:paraId="00B64A6D"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community care expenditure per user</w:t>
            </w:r>
          </w:p>
        </w:tc>
        <w:tc>
          <w:tcPr>
            <w:tcW w:w="1060" w:type="dxa"/>
            <w:tcBorders>
              <w:top w:val="single" w:sz="4" w:space="0" w:color="auto"/>
              <w:left w:val="nil"/>
              <w:bottom w:val="nil"/>
              <w:right w:val="nil"/>
            </w:tcBorders>
            <w:shd w:val="clear" w:color="000000" w:fill="FFFFFF"/>
            <w:vAlign w:val="center"/>
            <w:hideMark/>
          </w:tcPr>
          <w:p w14:paraId="6C51EDFE"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social support expenditure per user</w:t>
            </w:r>
          </w:p>
        </w:tc>
        <w:tc>
          <w:tcPr>
            <w:tcW w:w="1060" w:type="dxa"/>
            <w:tcBorders>
              <w:top w:val="single" w:sz="4" w:space="0" w:color="auto"/>
              <w:left w:val="nil"/>
              <w:bottom w:val="nil"/>
              <w:right w:val="nil"/>
            </w:tcBorders>
            <w:shd w:val="clear" w:color="000000" w:fill="FFFFFF"/>
            <w:vAlign w:val="center"/>
            <w:hideMark/>
          </w:tcPr>
          <w:p w14:paraId="1E242489"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short-term care expenditure per user</w:t>
            </w:r>
          </w:p>
        </w:tc>
        <w:tc>
          <w:tcPr>
            <w:tcW w:w="1060" w:type="dxa"/>
            <w:tcBorders>
              <w:top w:val="single" w:sz="4" w:space="0" w:color="auto"/>
              <w:left w:val="nil"/>
              <w:bottom w:val="nil"/>
              <w:right w:val="nil"/>
            </w:tcBorders>
            <w:shd w:val="clear" w:color="000000" w:fill="FFFFFF"/>
            <w:vAlign w:val="center"/>
            <w:hideMark/>
          </w:tcPr>
          <w:p w14:paraId="6B9A5324"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equipment and adaptations expenditure per user</w:t>
            </w:r>
          </w:p>
        </w:tc>
        <w:tc>
          <w:tcPr>
            <w:tcW w:w="1060" w:type="dxa"/>
            <w:tcBorders>
              <w:top w:val="single" w:sz="4" w:space="0" w:color="auto"/>
              <w:left w:val="nil"/>
              <w:bottom w:val="nil"/>
              <w:right w:val="nil"/>
            </w:tcBorders>
            <w:shd w:val="clear" w:color="000000" w:fill="FFFFFF"/>
            <w:vAlign w:val="center"/>
            <w:hideMark/>
          </w:tcPr>
          <w:p w14:paraId="1A746ED6"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information and early intervention expenditure per user</w:t>
            </w:r>
          </w:p>
        </w:tc>
        <w:tc>
          <w:tcPr>
            <w:tcW w:w="1060" w:type="dxa"/>
            <w:tcBorders>
              <w:top w:val="single" w:sz="4" w:space="0" w:color="auto"/>
              <w:left w:val="nil"/>
              <w:bottom w:val="nil"/>
              <w:right w:val="nil"/>
            </w:tcBorders>
            <w:shd w:val="clear" w:color="000000" w:fill="FFFFFF"/>
            <w:vAlign w:val="center"/>
            <w:hideMark/>
          </w:tcPr>
          <w:p w14:paraId="7FCCCACD"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social care activities expenditure per user</w:t>
            </w:r>
          </w:p>
        </w:tc>
        <w:tc>
          <w:tcPr>
            <w:tcW w:w="1187" w:type="dxa"/>
            <w:tcBorders>
              <w:top w:val="single" w:sz="4" w:space="0" w:color="auto"/>
              <w:left w:val="nil"/>
              <w:bottom w:val="nil"/>
              <w:right w:val="nil"/>
            </w:tcBorders>
            <w:shd w:val="clear" w:color="000000" w:fill="FFFFFF"/>
            <w:vAlign w:val="center"/>
            <w:hideMark/>
          </w:tcPr>
          <w:p w14:paraId="6E8D0A1D"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commissioning and service delivery expenditure per user</w:t>
            </w:r>
          </w:p>
        </w:tc>
      </w:tr>
      <w:tr w:rsidR="00A01019" w:rsidRPr="00903E7F" w14:paraId="0907BBCD" w14:textId="77777777" w:rsidTr="00300A8A">
        <w:trPr>
          <w:trHeight w:val="240"/>
        </w:trPr>
        <w:tc>
          <w:tcPr>
            <w:tcW w:w="2980" w:type="dxa"/>
            <w:tcBorders>
              <w:top w:val="nil"/>
              <w:left w:val="nil"/>
              <w:bottom w:val="nil"/>
              <w:right w:val="nil"/>
            </w:tcBorders>
            <w:shd w:val="clear" w:color="000000" w:fill="FFFFFF"/>
            <w:noWrap/>
            <w:vAlign w:val="center"/>
            <w:hideMark/>
          </w:tcPr>
          <w:p w14:paraId="649F8DAF" w14:textId="77777777" w:rsidR="00300A8A" w:rsidRPr="00903E7F" w:rsidRDefault="00300A8A" w:rsidP="00300A8A">
            <w:pPr>
              <w:widowControl/>
              <w:spacing w:after="0"/>
              <w:jc w:val="left"/>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Ln of health care expenditure per capita</w:t>
            </w:r>
          </w:p>
        </w:tc>
        <w:tc>
          <w:tcPr>
            <w:tcW w:w="1060" w:type="dxa"/>
            <w:tcBorders>
              <w:top w:val="nil"/>
              <w:left w:val="nil"/>
              <w:bottom w:val="nil"/>
              <w:right w:val="nil"/>
            </w:tcBorders>
            <w:shd w:val="clear" w:color="000000" w:fill="FFFFFF"/>
            <w:noWrap/>
            <w:vAlign w:val="bottom"/>
            <w:hideMark/>
          </w:tcPr>
          <w:p w14:paraId="580B5FD2"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-0.607**</w:t>
            </w:r>
          </w:p>
        </w:tc>
        <w:tc>
          <w:tcPr>
            <w:tcW w:w="1060" w:type="dxa"/>
            <w:tcBorders>
              <w:top w:val="nil"/>
              <w:left w:val="nil"/>
              <w:bottom w:val="nil"/>
              <w:right w:val="nil"/>
            </w:tcBorders>
            <w:shd w:val="clear" w:color="000000" w:fill="FFFFFF"/>
            <w:noWrap/>
            <w:vAlign w:val="bottom"/>
            <w:hideMark/>
          </w:tcPr>
          <w:p w14:paraId="4767CEAF"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-1.198*</w:t>
            </w:r>
          </w:p>
        </w:tc>
        <w:tc>
          <w:tcPr>
            <w:tcW w:w="1060" w:type="dxa"/>
            <w:tcBorders>
              <w:top w:val="nil"/>
              <w:left w:val="nil"/>
              <w:bottom w:val="nil"/>
              <w:right w:val="nil"/>
            </w:tcBorders>
            <w:shd w:val="clear" w:color="000000" w:fill="FFFFFF"/>
            <w:noWrap/>
            <w:vAlign w:val="bottom"/>
            <w:hideMark/>
          </w:tcPr>
          <w:p w14:paraId="7470EFC7"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-0.107</w:t>
            </w:r>
          </w:p>
        </w:tc>
        <w:tc>
          <w:tcPr>
            <w:tcW w:w="1060" w:type="dxa"/>
            <w:tcBorders>
              <w:top w:val="nil"/>
              <w:left w:val="nil"/>
              <w:bottom w:val="nil"/>
              <w:right w:val="nil"/>
            </w:tcBorders>
            <w:shd w:val="clear" w:color="000000" w:fill="FFFFFF"/>
            <w:noWrap/>
            <w:vAlign w:val="bottom"/>
            <w:hideMark/>
          </w:tcPr>
          <w:p w14:paraId="2BABAE30"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-1.098***</w:t>
            </w:r>
          </w:p>
        </w:tc>
        <w:tc>
          <w:tcPr>
            <w:tcW w:w="1060" w:type="dxa"/>
            <w:tcBorders>
              <w:top w:val="nil"/>
              <w:left w:val="nil"/>
              <w:bottom w:val="nil"/>
              <w:right w:val="nil"/>
            </w:tcBorders>
            <w:shd w:val="clear" w:color="000000" w:fill="FFFFFF"/>
            <w:noWrap/>
            <w:vAlign w:val="bottom"/>
            <w:hideMark/>
          </w:tcPr>
          <w:p w14:paraId="74463BE1"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-4.512**</w:t>
            </w:r>
          </w:p>
        </w:tc>
        <w:tc>
          <w:tcPr>
            <w:tcW w:w="1060" w:type="dxa"/>
            <w:tcBorders>
              <w:top w:val="nil"/>
              <w:left w:val="nil"/>
              <w:bottom w:val="nil"/>
              <w:right w:val="nil"/>
            </w:tcBorders>
            <w:shd w:val="clear" w:color="000000" w:fill="FFFFFF"/>
            <w:noWrap/>
            <w:vAlign w:val="bottom"/>
            <w:hideMark/>
          </w:tcPr>
          <w:p w14:paraId="45741BC7"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-0.990</w:t>
            </w:r>
          </w:p>
        </w:tc>
        <w:tc>
          <w:tcPr>
            <w:tcW w:w="1060" w:type="dxa"/>
            <w:tcBorders>
              <w:top w:val="nil"/>
              <w:left w:val="nil"/>
              <w:bottom w:val="nil"/>
              <w:right w:val="nil"/>
            </w:tcBorders>
            <w:shd w:val="clear" w:color="000000" w:fill="FFFFFF"/>
            <w:noWrap/>
            <w:vAlign w:val="bottom"/>
            <w:hideMark/>
          </w:tcPr>
          <w:p w14:paraId="125A70A5"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-3.457*</w:t>
            </w:r>
          </w:p>
        </w:tc>
        <w:tc>
          <w:tcPr>
            <w:tcW w:w="1060" w:type="dxa"/>
            <w:tcBorders>
              <w:top w:val="nil"/>
              <w:left w:val="nil"/>
              <w:bottom w:val="nil"/>
              <w:right w:val="nil"/>
            </w:tcBorders>
            <w:shd w:val="clear" w:color="000000" w:fill="FFFFFF"/>
            <w:noWrap/>
            <w:vAlign w:val="bottom"/>
            <w:hideMark/>
          </w:tcPr>
          <w:p w14:paraId="32A02B21"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0.522</w:t>
            </w:r>
          </w:p>
        </w:tc>
        <w:tc>
          <w:tcPr>
            <w:tcW w:w="1060" w:type="dxa"/>
            <w:tcBorders>
              <w:top w:val="nil"/>
              <w:left w:val="nil"/>
              <w:bottom w:val="nil"/>
              <w:right w:val="nil"/>
            </w:tcBorders>
            <w:shd w:val="clear" w:color="000000" w:fill="FFFFFF"/>
            <w:noWrap/>
            <w:vAlign w:val="bottom"/>
            <w:hideMark/>
          </w:tcPr>
          <w:p w14:paraId="45A36BE0"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-0.370</w:t>
            </w:r>
          </w:p>
        </w:tc>
        <w:tc>
          <w:tcPr>
            <w:tcW w:w="1187" w:type="dxa"/>
            <w:tcBorders>
              <w:top w:val="nil"/>
              <w:left w:val="nil"/>
              <w:bottom w:val="nil"/>
              <w:right w:val="nil"/>
            </w:tcBorders>
            <w:shd w:val="clear" w:color="000000" w:fill="FFFFFF"/>
            <w:noWrap/>
            <w:vAlign w:val="bottom"/>
            <w:hideMark/>
          </w:tcPr>
          <w:p w14:paraId="296E56E1"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1.538</w:t>
            </w:r>
          </w:p>
        </w:tc>
      </w:tr>
      <w:tr w:rsidR="00A01019" w:rsidRPr="00903E7F" w14:paraId="6FB954B7" w14:textId="77777777" w:rsidTr="00300A8A">
        <w:trPr>
          <w:trHeight w:val="240"/>
        </w:trPr>
        <w:tc>
          <w:tcPr>
            <w:tcW w:w="2980" w:type="dxa"/>
            <w:tcBorders>
              <w:top w:val="nil"/>
              <w:left w:val="nil"/>
              <w:bottom w:val="single" w:sz="4" w:space="0" w:color="auto"/>
              <w:right w:val="nil"/>
            </w:tcBorders>
            <w:shd w:val="clear" w:color="000000" w:fill="FFFFFF"/>
            <w:noWrap/>
            <w:vAlign w:val="center"/>
            <w:hideMark/>
          </w:tcPr>
          <w:p w14:paraId="08BC5495" w14:textId="77777777" w:rsidR="00300A8A" w:rsidRPr="00903E7F" w:rsidRDefault="00300A8A" w:rsidP="00300A8A">
            <w:pPr>
              <w:widowControl/>
              <w:spacing w:after="0"/>
              <w:jc w:val="left"/>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Over-identification test's p-value</w:t>
            </w:r>
          </w:p>
        </w:tc>
        <w:tc>
          <w:tcPr>
            <w:tcW w:w="1060" w:type="dxa"/>
            <w:tcBorders>
              <w:top w:val="nil"/>
              <w:left w:val="nil"/>
              <w:bottom w:val="single" w:sz="4" w:space="0" w:color="auto"/>
              <w:right w:val="nil"/>
            </w:tcBorders>
            <w:shd w:val="clear" w:color="000000" w:fill="FFFFFF"/>
            <w:noWrap/>
            <w:vAlign w:val="bottom"/>
            <w:hideMark/>
          </w:tcPr>
          <w:p w14:paraId="3C0598F1"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0.112</w:t>
            </w:r>
          </w:p>
        </w:tc>
        <w:tc>
          <w:tcPr>
            <w:tcW w:w="1060" w:type="dxa"/>
            <w:tcBorders>
              <w:top w:val="nil"/>
              <w:left w:val="nil"/>
              <w:bottom w:val="single" w:sz="4" w:space="0" w:color="auto"/>
              <w:right w:val="nil"/>
            </w:tcBorders>
            <w:shd w:val="clear" w:color="000000" w:fill="FFFFFF"/>
            <w:noWrap/>
            <w:vAlign w:val="bottom"/>
            <w:hideMark/>
          </w:tcPr>
          <w:p w14:paraId="3DC933F6"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0.830</w:t>
            </w:r>
          </w:p>
        </w:tc>
        <w:tc>
          <w:tcPr>
            <w:tcW w:w="1060" w:type="dxa"/>
            <w:tcBorders>
              <w:top w:val="nil"/>
              <w:left w:val="nil"/>
              <w:bottom w:val="single" w:sz="4" w:space="0" w:color="auto"/>
              <w:right w:val="nil"/>
            </w:tcBorders>
            <w:shd w:val="clear" w:color="000000" w:fill="FFFFFF"/>
            <w:noWrap/>
            <w:vAlign w:val="bottom"/>
            <w:hideMark/>
          </w:tcPr>
          <w:p w14:paraId="6ADB391C"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0.955</w:t>
            </w:r>
          </w:p>
        </w:tc>
        <w:tc>
          <w:tcPr>
            <w:tcW w:w="1060" w:type="dxa"/>
            <w:tcBorders>
              <w:top w:val="nil"/>
              <w:left w:val="nil"/>
              <w:bottom w:val="single" w:sz="4" w:space="0" w:color="auto"/>
              <w:right w:val="nil"/>
            </w:tcBorders>
            <w:shd w:val="clear" w:color="000000" w:fill="FFFFFF"/>
            <w:noWrap/>
            <w:vAlign w:val="bottom"/>
            <w:hideMark/>
          </w:tcPr>
          <w:p w14:paraId="772AD1B8"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0.740</w:t>
            </w:r>
          </w:p>
        </w:tc>
        <w:tc>
          <w:tcPr>
            <w:tcW w:w="1060" w:type="dxa"/>
            <w:tcBorders>
              <w:top w:val="nil"/>
              <w:left w:val="nil"/>
              <w:bottom w:val="single" w:sz="4" w:space="0" w:color="auto"/>
              <w:right w:val="nil"/>
            </w:tcBorders>
            <w:shd w:val="clear" w:color="000000" w:fill="FFFFFF"/>
            <w:noWrap/>
            <w:vAlign w:val="bottom"/>
            <w:hideMark/>
          </w:tcPr>
          <w:p w14:paraId="40BC6512"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0.955</w:t>
            </w:r>
          </w:p>
        </w:tc>
        <w:tc>
          <w:tcPr>
            <w:tcW w:w="1060" w:type="dxa"/>
            <w:tcBorders>
              <w:top w:val="nil"/>
              <w:left w:val="nil"/>
              <w:bottom w:val="single" w:sz="4" w:space="0" w:color="auto"/>
              <w:right w:val="nil"/>
            </w:tcBorders>
            <w:shd w:val="clear" w:color="000000" w:fill="FFFFFF"/>
            <w:noWrap/>
            <w:vAlign w:val="bottom"/>
            <w:hideMark/>
          </w:tcPr>
          <w:p w14:paraId="167E4CAB"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0.021**</w:t>
            </w:r>
          </w:p>
        </w:tc>
        <w:tc>
          <w:tcPr>
            <w:tcW w:w="1060" w:type="dxa"/>
            <w:tcBorders>
              <w:top w:val="nil"/>
              <w:left w:val="nil"/>
              <w:bottom w:val="single" w:sz="4" w:space="0" w:color="auto"/>
              <w:right w:val="nil"/>
            </w:tcBorders>
            <w:shd w:val="clear" w:color="000000" w:fill="FFFFFF"/>
            <w:noWrap/>
            <w:vAlign w:val="bottom"/>
            <w:hideMark/>
          </w:tcPr>
          <w:p w14:paraId="064FE988"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0.544</w:t>
            </w:r>
          </w:p>
        </w:tc>
        <w:tc>
          <w:tcPr>
            <w:tcW w:w="1060" w:type="dxa"/>
            <w:tcBorders>
              <w:top w:val="nil"/>
              <w:left w:val="nil"/>
              <w:bottom w:val="single" w:sz="4" w:space="0" w:color="auto"/>
              <w:right w:val="nil"/>
            </w:tcBorders>
            <w:shd w:val="clear" w:color="000000" w:fill="FFFFFF"/>
            <w:noWrap/>
            <w:vAlign w:val="bottom"/>
            <w:hideMark/>
          </w:tcPr>
          <w:p w14:paraId="42BEBCBB"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0.201</w:t>
            </w:r>
          </w:p>
        </w:tc>
        <w:tc>
          <w:tcPr>
            <w:tcW w:w="1060" w:type="dxa"/>
            <w:tcBorders>
              <w:top w:val="nil"/>
              <w:left w:val="nil"/>
              <w:bottom w:val="single" w:sz="4" w:space="0" w:color="auto"/>
              <w:right w:val="nil"/>
            </w:tcBorders>
            <w:shd w:val="clear" w:color="000000" w:fill="FFFFFF"/>
            <w:noWrap/>
            <w:vAlign w:val="bottom"/>
            <w:hideMark/>
          </w:tcPr>
          <w:p w14:paraId="2A5B1FDC"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0.885</w:t>
            </w:r>
          </w:p>
        </w:tc>
        <w:tc>
          <w:tcPr>
            <w:tcW w:w="1187" w:type="dxa"/>
            <w:tcBorders>
              <w:top w:val="nil"/>
              <w:left w:val="nil"/>
              <w:bottom w:val="single" w:sz="4" w:space="0" w:color="auto"/>
              <w:right w:val="nil"/>
            </w:tcBorders>
            <w:shd w:val="clear" w:color="000000" w:fill="FFFFFF"/>
            <w:noWrap/>
            <w:vAlign w:val="bottom"/>
            <w:hideMark/>
          </w:tcPr>
          <w:p w14:paraId="04E2112B" w14:textId="77777777" w:rsidR="00300A8A" w:rsidRPr="00903E7F" w:rsidRDefault="00300A8A" w:rsidP="00300A8A">
            <w:pPr>
              <w:widowControl/>
              <w:spacing w:after="0"/>
              <w:jc w:val="center"/>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0.359</w:t>
            </w:r>
          </w:p>
        </w:tc>
      </w:tr>
      <w:tr w:rsidR="00300A8A" w:rsidRPr="00903E7F" w14:paraId="3139F1C1" w14:textId="77777777" w:rsidTr="00AF3E1E">
        <w:trPr>
          <w:trHeight w:val="645"/>
        </w:trPr>
        <w:tc>
          <w:tcPr>
            <w:tcW w:w="13707" w:type="dxa"/>
            <w:gridSpan w:val="11"/>
            <w:tcBorders>
              <w:top w:val="single" w:sz="4" w:space="0" w:color="auto"/>
              <w:left w:val="nil"/>
              <w:bottom w:val="single" w:sz="4" w:space="0" w:color="auto"/>
              <w:right w:val="nil"/>
            </w:tcBorders>
            <w:shd w:val="clear" w:color="000000" w:fill="FFFFFF"/>
            <w:vAlign w:val="center"/>
            <w:hideMark/>
          </w:tcPr>
          <w:p w14:paraId="33F3F63B" w14:textId="77777777" w:rsidR="00300A8A" w:rsidRPr="00903E7F" w:rsidRDefault="00300A8A" w:rsidP="00300A8A">
            <w:pPr>
              <w:widowControl/>
              <w:spacing w:after="0"/>
              <w:jc w:val="left"/>
              <w:rPr>
                <w:rFonts w:ascii="Calibri" w:eastAsia="Times New Roman" w:hAnsi="Calibri" w:cs="Calibri"/>
                <w:sz w:val="16"/>
                <w:szCs w:val="16"/>
                <w:lang w:eastAsia="en-GB"/>
              </w:rPr>
            </w:pPr>
            <w:r w:rsidRPr="00903E7F">
              <w:rPr>
                <w:rFonts w:ascii="Calibri" w:eastAsia="Times New Roman" w:hAnsi="Calibri" w:cs="Calibri"/>
                <w:sz w:val="16"/>
                <w:szCs w:val="16"/>
                <w:lang w:eastAsia="en-GB"/>
              </w:rPr>
              <w:t>All estimates are obtained from an over-identified instrumental variable specification, where the instruments are ln of distance from target index, ln of age-cost index, and ln of market forces factor index. The number of observations is 146. The Kleibergen-Paap rk Wald F statistic is 41.7. The reported over-identification test is run using the Hansen J statistic. ***=p-value&lt;0.01, **=p-value&lt;0.05, *=p-value&lt;0.1</w:t>
            </w:r>
          </w:p>
        </w:tc>
      </w:tr>
    </w:tbl>
    <w:p w14:paraId="3028B680" w14:textId="24EE1196" w:rsidR="00D018BA" w:rsidRPr="002A4884" w:rsidRDefault="00D018BA" w:rsidP="00D018BA"/>
    <w:p w14:paraId="42F5C247" w14:textId="03527EDB" w:rsidR="00D018BA" w:rsidRDefault="00D018BA" w:rsidP="00E564D3"/>
    <w:p w14:paraId="6B54A6C1" w14:textId="77777777" w:rsidR="001C7886" w:rsidRPr="002A4884" w:rsidRDefault="001C7886" w:rsidP="00E564D3">
      <w:pPr>
        <w:sectPr w:rsidR="001C7886" w:rsidRPr="002A4884" w:rsidSect="00B71FB5">
          <w:pgSz w:w="16838" w:h="11906" w:orient="landscape"/>
          <w:pgMar w:top="720" w:right="720" w:bottom="720" w:left="720" w:header="0" w:footer="0" w:gutter="0"/>
          <w:cols w:space="708"/>
          <w:docGrid w:linePitch="360"/>
        </w:sectPr>
      </w:pPr>
    </w:p>
    <w:p w14:paraId="3BE20448" w14:textId="550B09D2" w:rsidR="00ED1AFD" w:rsidRDefault="00ED1AFD" w:rsidP="00ED1AFD">
      <w:pPr>
        <w:pStyle w:val="Caption"/>
      </w:pPr>
      <w:bookmarkStart w:id="52" w:name="_Ref61285191"/>
      <w:bookmarkStart w:id="53" w:name="_Ref61285180"/>
      <w:r w:rsidRPr="002A4884">
        <w:lastRenderedPageBreak/>
        <w:t>Table A</w:t>
      </w:r>
      <w:r w:rsidR="002A7365">
        <w:fldChar w:fldCharType="begin"/>
      </w:r>
      <w:r w:rsidR="002A7365">
        <w:instrText xml:space="preserve"> SEQ Table_A \* ARABIC </w:instrText>
      </w:r>
      <w:r w:rsidR="002A7365">
        <w:fldChar w:fldCharType="separate"/>
      </w:r>
      <w:r w:rsidR="007C7B62">
        <w:rPr>
          <w:noProof/>
        </w:rPr>
        <w:t>6</w:t>
      </w:r>
      <w:r w:rsidR="002A7365">
        <w:rPr>
          <w:noProof/>
        </w:rPr>
        <w:fldChar w:fldCharType="end"/>
      </w:r>
      <w:bookmarkEnd w:id="52"/>
      <w:r w:rsidRPr="002A4884">
        <w:t xml:space="preserve"> – Results of IV mediation analysis.</w:t>
      </w:r>
      <w:bookmarkEnd w:id="53"/>
    </w:p>
    <w:tbl>
      <w:tblPr>
        <w:tblW w:w="9960" w:type="dxa"/>
        <w:tblLook w:val="04A0" w:firstRow="1" w:lastRow="0" w:firstColumn="1" w:lastColumn="0" w:noHBand="0" w:noVBand="1"/>
      </w:tblPr>
      <w:tblGrid>
        <w:gridCol w:w="418"/>
        <w:gridCol w:w="5588"/>
        <w:gridCol w:w="1007"/>
        <w:gridCol w:w="1007"/>
        <w:gridCol w:w="1020"/>
        <w:gridCol w:w="1120"/>
      </w:tblGrid>
      <w:tr w:rsidR="00451E12" w:rsidRPr="00451E12" w14:paraId="14241316" w14:textId="77777777" w:rsidTr="00451E12">
        <w:trPr>
          <w:trHeight w:val="1350"/>
        </w:trPr>
        <w:tc>
          <w:tcPr>
            <w:tcW w:w="5860" w:type="dxa"/>
            <w:gridSpan w:val="2"/>
            <w:tcBorders>
              <w:top w:val="single" w:sz="4" w:space="0" w:color="auto"/>
              <w:left w:val="nil"/>
              <w:bottom w:val="single" w:sz="4" w:space="0" w:color="auto"/>
              <w:right w:val="nil"/>
            </w:tcBorders>
            <w:shd w:val="clear" w:color="000000" w:fill="FFFFFF"/>
            <w:noWrap/>
            <w:vAlign w:val="center"/>
            <w:hideMark/>
          </w:tcPr>
          <w:p w14:paraId="5BF8B18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Variable</w:t>
            </w:r>
          </w:p>
        </w:tc>
        <w:tc>
          <w:tcPr>
            <w:tcW w:w="980" w:type="dxa"/>
            <w:tcBorders>
              <w:top w:val="single" w:sz="4" w:space="0" w:color="auto"/>
              <w:left w:val="nil"/>
              <w:bottom w:val="single" w:sz="4" w:space="0" w:color="auto"/>
              <w:right w:val="nil"/>
            </w:tcBorders>
            <w:shd w:val="clear" w:color="000000" w:fill="FFFFFF"/>
            <w:vAlign w:val="center"/>
            <w:hideMark/>
          </w:tcPr>
          <w:p w14:paraId="6EBEDD4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long-term care expenditure per user</w:t>
            </w:r>
          </w:p>
        </w:tc>
        <w:tc>
          <w:tcPr>
            <w:tcW w:w="980" w:type="dxa"/>
            <w:tcBorders>
              <w:top w:val="single" w:sz="4" w:space="0" w:color="auto"/>
              <w:left w:val="nil"/>
              <w:bottom w:val="single" w:sz="4" w:space="0" w:color="auto"/>
              <w:right w:val="nil"/>
            </w:tcBorders>
            <w:shd w:val="clear" w:color="000000" w:fill="FFFFFF"/>
            <w:vAlign w:val="center"/>
            <w:hideMark/>
          </w:tcPr>
          <w:p w14:paraId="2B3B11A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decreasing portion of health care expenditure per capita</w:t>
            </w:r>
          </w:p>
        </w:tc>
        <w:tc>
          <w:tcPr>
            <w:tcW w:w="1020" w:type="dxa"/>
            <w:tcBorders>
              <w:top w:val="single" w:sz="4" w:space="0" w:color="auto"/>
              <w:left w:val="nil"/>
              <w:bottom w:val="single" w:sz="4" w:space="0" w:color="auto"/>
              <w:right w:val="nil"/>
            </w:tcBorders>
            <w:shd w:val="clear" w:color="000000" w:fill="FFFFFF"/>
            <w:vAlign w:val="center"/>
            <w:hideMark/>
          </w:tcPr>
          <w:p w14:paraId="14221ED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growing portion of health care expenditure per capita</w:t>
            </w:r>
          </w:p>
        </w:tc>
        <w:tc>
          <w:tcPr>
            <w:tcW w:w="1120" w:type="dxa"/>
            <w:tcBorders>
              <w:top w:val="single" w:sz="4" w:space="0" w:color="auto"/>
              <w:left w:val="nil"/>
              <w:bottom w:val="single" w:sz="4" w:space="0" w:color="auto"/>
              <w:right w:val="nil"/>
            </w:tcBorders>
            <w:shd w:val="clear" w:color="000000" w:fill="FFFFFF"/>
            <w:vAlign w:val="center"/>
            <w:hideMark/>
          </w:tcPr>
          <w:p w14:paraId="7C062E1D" w14:textId="7E392535"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xml:space="preserve">Ln of </w:t>
            </w:r>
            <w:r w:rsidR="00083FC7" w:rsidRPr="00083FC7">
              <w:rPr>
                <w:rFonts w:ascii="Calibri" w:eastAsia="Times New Roman" w:hAnsi="Calibri" w:cs="Calibri"/>
                <w:sz w:val="16"/>
                <w:szCs w:val="16"/>
                <w:lang w:eastAsia="en-GB"/>
              </w:rPr>
              <w:t>age-standardised mortality rate</w:t>
            </w:r>
          </w:p>
        </w:tc>
      </w:tr>
      <w:tr w:rsidR="00451E12" w:rsidRPr="00451E12" w14:paraId="4CE33E75"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46FCF2E8"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decreasing portion of health care expenditure per capita</w:t>
            </w:r>
          </w:p>
        </w:tc>
        <w:tc>
          <w:tcPr>
            <w:tcW w:w="980" w:type="dxa"/>
            <w:tcBorders>
              <w:top w:val="nil"/>
              <w:left w:val="nil"/>
              <w:bottom w:val="nil"/>
              <w:right w:val="nil"/>
            </w:tcBorders>
            <w:shd w:val="clear" w:color="000000" w:fill="FFFFFF"/>
            <w:noWrap/>
            <w:vAlign w:val="bottom"/>
            <w:hideMark/>
          </w:tcPr>
          <w:p w14:paraId="70FF85C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bottom"/>
            <w:hideMark/>
          </w:tcPr>
          <w:p w14:paraId="15BCC2F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020" w:type="dxa"/>
            <w:tcBorders>
              <w:top w:val="nil"/>
              <w:left w:val="nil"/>
              <w:bottom w:val="nil"/>
              <w:right w:val="nil"/>
            </w:tcBorders>
            <w:shd w:val="clear" w:color="000000" w:fill="FFFFFF"/>
            <w:noWrap/>
            <w:vAlign w:val="bottom"/>
            <w:hideMark/>
          </w:tcPr>
          <w:p w14:paraId="058F7DA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6CD545C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0.023</w:t>
            </w:r>
          </w:p>
        </w:tc>
      </w:tr>
      <w:tr w:rsidR="00451E12" w:rsidRPr="00451E12" w14:paraId="609AEE10"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44DFF3E2"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growing portion of health care expenditure per capita</w:t>
            </w:r>
          </w:p>
        </w:tc>
        <w:tc>
          <w:tcPr>
            <w:tcW w:w="980" w:type="dxa"/>
            <w:tcBorders>
              <w:top w:val="nil"/>
              <w:left w:val="nil"/>
              <w:bottom w:val="nil"/>
              <w:right w:val="nil"/>
            </w:tcBorders>
            <w:shd w:val="clear" w:color="000000" w:fill="FFFFFF"/>
            <w:noWrap/>
            <w:vAlign w:val="bottom"/>
            <w:hideMark/>
          </w:tcPr>
          <w:p w14:paraId="5E9BF5B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bottom"/>
            <w:hideMark/>
          </w:tcPr>
          <w:p w14:paraId="202EA52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020" w:type="dxa"/>
            <w:tcBorders>
              <w:top w:val="nil"/>
              <w:left w:val="nil"/>
              <w:bottom w:val="nil"/>
              <w:right w:val="nil"/>
            </w:tcBorders>
            <w:shd w:val="clear" w:color="000000" w:fill="FFFFFF"/>
            <w:noWrap/>
            <w:vAlign w:val="bottom"/>
            <w:hideMark/>
          </w:tcPr>
          <w:p w14:paraId="3881C48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120" w:type="dxa"/>
            <w:tcBorders>
              <w:top w:val="nil"/>
              <w:left w:val="nil"/>
              <w:bottom w:val="nil"/>
              <w:right w:val="nil"/>
            </w:tcBorders>
            <w:shd w:val="clear" w:color="000000" w:fill="FFFFFF"/>
            <w:noWrap/>
            <w:vAlign w:val="bottom"/>
            <w:hideMark/>
          </w:tcPr>
          <w:p w14:paraId="655DF55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-0.312***</w:t>
            </w:r>
          </w:p>
        </w:tc>
      </w:tr>
      <w:tr w:rsidR="00451E12" w:rsidRPr="00451E12" w14:paraId="0E09DAEF"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32ABD0A0"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long-term care expenditure per user</w:t>
            </w:r>
          </w:p>
        </w:tc>
        <w:tc>
          <w:tcPr>
            <w:tcW w:w="980" w:type="dxa"/>
            <w:tcBorders>
              <w:top w:val="nil"/>
              <w:left w:val="nil"/>
              <w:bottom w:val="nil"/>
              <w:right w:val="nil"/>
            </w:tcBorders>
            <w:shd w:val="clear" w:color="000000" w:fill="FFFFFF"/>
            <w:noWrap/>
            <w:vAlign w:val="bottom"/>
            <w:hideMark/>
          </w:tcPr>
          <w:p w14:paraId="046F6AC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bottom"/>
            <w:hideMark/>
          </w:tcPr>
          <w:p w14:paraId="416060A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-0.116***</w:t>
            </w:r>
          </w:p>
        </w:tc>
        <w:tc>
          <w:tcPr>
            <w:tcW w:w="1020" w:type="dxa"/>
            <w:tcBorders>
              <w:top w:val="nil"/>
              <w:left w:val="nil"/>
              <w:bottom w:val="nil"/>
              <w:right w:val="nil"/>
            </w:tcBorders>
            <w:shd w:val="clear" w:color="000000" w:fill="FFFFFF"/>
            <w:noWrap/>
            <w:vAlign w:val="bottom"/>
            <w:hideMark/>
          </w:tcPr>
          <w:p w14:paraId="296808D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0.123***</w:t>
            </w:r>
          </w:p>
        </w:tc>
        <w:tc>
          <w:tcPr>
            <w:tcW w:w="1120" w:type="dxa"/>
            <w:tcBorders>
              <w:top w:val="nil"/>
              <w:left w:val="nil"/>
              <w:bottom w:val="nil"/>
              <w:right w:val="nil"/>
            </w:tcBorders>
            <w:shd w:val="clear" w:color="000000" w:fill="FFFFFF"/>
            <w:noWrap/>
            <w:vAlign w:val="bottom"/>
            <w:hideMark/>
          </w:tcPr>
          <w:p w14:paraId="1728A9E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r>
      <w:tr w:rsidR="00451E12" w:rsidRPr="00451E12" w14:paraId="6040D2EB" w14:textId="77777777" w:rsidTr="00451E12">
        <w:trPr>
          <w:trHeight w:val="237"/>
        </w:trPr>
        <w:tc>
          <w:tcPr>
            <w:tcW w:w="272" w:type="dxa"/>
            <w:vMerge w:val="restart"/>
            <w:tcBorders>
              <w:top w:val="single" w:sz="4" w:space="0" w:color="D0CECE"/>
              <w:left w:val="nil"/>
              <w:bottom w:val="single" w:sz="4" w:space="0" w:color="D0CECE"/>
              <w:right w:val="nil"/>
            </w:tcBorders>
            <w:shd w:val="clear" w:color="000000" w:fill="FFFFFF"/>
            <w:noWrap/>
            <w:textDirection w:val="btLr"/>
            <w:vAlign w:val="center"/>
            <w:hideMark/>
          </w:tcPr>
          <w:p w14:paraId="2B20AD2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Instr</w:t>
            </w:r>
          </w:p>
        </w:tc>
        <w:tc>
          <w:tcPr>
            <w:tcW w:w="5588" w:type="dxa"/>
            <w:tcBorders>
              <w:top w:val="single" w:sz="4" w:space="0" w:color="D0CECE"/>
              <w:left w:val="nil"/>
              <w:bottom w:val="nil"/>
              <w:right w:val="nil"/>
            </w:tcBorders>
            <w:shd w:val="clear" w:color="000000" w:fill="FFFFFF"/>
            <w:noWrap/>
            <w:vAlign w:val="bottom"/>
            <w:hideMark/>
          </w:tcPr>
          <w:p w14:paraId="1F9FC96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distance from target index</w:t>
            </w:r>
          </w:p>
        </w:tc>
        <w:tc>
          <w:tcPr>
            <w:tcW w:w="980" w:type="dxa"/>
            <w:tcBorders>
              <w:top w:val="single" w:sz="4" w:space="0" w:color="D0CECE"/>
              <w:left w:val="nil"/>
              <w:bottom w:val="nil"/>
              <w:right w:val="nil"/>
            </w:tcBorders>
            <w:shd w:val="clear" w:color="000000" w:fill="FFFFFF"/>
            <w:noWrap/>
            <w:vAlign w:val="bottom"/>
            <w:hideMark/>
          </w:tcPr>
          <w:p w14:paraId="4FFF11A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single" w:sz="4" w:space="0" w:color="D0CECE"/>
              <w:left w:val="nil"/>
              <w:bottom w:val="nil"/>
              <w:right w:val="nil"/>
            </w:tcBorders>
            <w:shd w:val="clear" w:color="000000" w:fill="FFFFFF"/>
            <w:noWrap/>
            <w:vAlign w:val="bottom"/>
            <w:hideMark/>
          </w:tcPr>
          <w:p w14:paraId="0755BA5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0.011</w:t>
            </w:r>
          </w:p>
        </w:tc>
        <w:tc>
          <w:tcPr>
            <w:tcW w:w="1020" w:type="dxa"/>
            <w:tcBorders>
              <w:top w:val="single" w:sz="4" w:space="0" w:color="D0CECE"/>
              <w:left w:val="nil"/>
              <w:bottom w:val="nil"/>
              <w:right w:val="nil"/>
            </w:tcBorders>
            <w:shd w:val="clear" w:color="000000" w:fill="FFFFFF"/>
            <w:noWrap/>
            <w:vAlign w:val="bottom"/>
            <w:hideMark/>
          </w:tcPr>
          <w:p w14:paraId="7EDB7B8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0.859***</w:t>
            </w:r>
          </w:p>
        </w:tc>
        <w:tc>
          <w:tcPr>
            <w:tcW w:w="1120" w:type="dxa"/>
            <w:tcBorders>
              <w:top w:val="single" w:sz="4" w:space="0" w:color="D0CECE"/>
              <w:left w:val="nil"/>
              <w:bottom w:val="nil"/>
              <w:right w:val="nil"/>
            </w:tcBorders>
            <w:shd w:val="clear" w:color="000000" w:fill="FFFFFF"/>
            <w:noWrap/>
            <w:vAlign w:val="bottom"/>
            <w:hideMark/>
          </w:tcPr>
          <w:p w14:paraId="451F63B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r>
      <w:tr w:rsidR="00451E12" w:rsidRPr="00451E12" w14:paraId="51435453" w14:textId="77777777" w:rsidTr="00451E12">
        <w:trPr>
          <w:trHeight w:val="237"/>
        </w:trPr>
        <w:tc>
          <w:tcPr>
            <w:tcW w:w="272" w:type="dxa"/>
            <w:vMerge/>
            <w:tcBorders>
              <w:top w:val="single" w:sz="4" w:space="0" w:color="D0CECE"/>
              <w:left w:val="nil"/>
              <w:bottom w:val="single" w:sz="4" w:space="0" w:color="D0CECE"/>
              <w:right w:val="nil"/>
            </w:tcBorders>
            <w:vAlign w:val="center"/>
            <w:hideMark/>
          </w:tcPr>
          <w:p w14:paraId="31E87C1B"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3EEDDF84"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age-sex index</w:t>
            </w:r>
          </w:p>
        </w:tc>
        <w:tc>
          <w:tcPr>
            <w:tcW w:w="980" w:type="dxa"/>
            <w:tcBorders>
              <w:top w:val="nil"/>
              <w:left w:val="nil"/>
              <w:bottom w:val="nil"/>
              <w:right w:val="nil"/>
            </w:tcBorders>
            <w:shd w:val="clear" w:color="000000" w:fill="FFFFFF"/>
            <w:noWrap/>
            <w:vAlign w:val="bottom"/>
            <w:hideMark/>
          </w:tcPr>
          <w:p w14:paraId="46A49E4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bottom"/>
            <w:hideMark/>
          </w:tcPr>
          <w:p w14:paraId="3458BCA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0.787***</w:t>
            </w:r>
          </w:p>
        </w:tc>
        <w:tc>
          <w:tcPr>
            <w:tcW w:w="1020" w:type="dxa"/>
            <w:tcBorders>
              <w:top w:val="nil"/>
              <w:left w:val="nil"/>
              <w:bottom w:val="nil"/>
              <w:right w:val="nil"/>
            </w:tcBorders>
            <w:shd w:val="clear" w:color="000000" w:fill="FFFFFF"/>
            <w:noWrap/>
            <w:vAlign w:val="bottom"/>
            <w:hideMark/>
          </w:tcPr>
          <w:p w14:paraId="4B4AD2C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0.267</w:t>
            </w:r>
          </w:p>
        </w:tc>
        <w:tc>
          <w:tcPr>
            <w:tcW w:w="1120" w:type="dxa"/>
            <w:tcBorders>
              <w:top w:val="nil"/>
              <w:left w:val="nil"/>
              <w:bottom w:val="nil"/>
              <w:right w:val="nil"/>
            </w:tcBorders>
            <w:shd w:val="clear" w:color="000000" w:fill="FFFFFF"/>
            <w:noWrap/>
            <w:vAlign w:val="bottom"/>
            <w:hideMark/>
          </w:tcPr>
          <w:p w14:paraId="1084C9E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r>
      <w:tr w:rsidR="00451E12" w:rsidRPr="00451E12" w14:paraId="0B0EA317" w14:textId="77777777" w:rsidTr="00451E12">
        <w:trPr>
          <w:trHeight w:val="237"/>
        </w:trPr>
        <w:tc>
          <w:tcPr>
            <w:tcW w:w="272" w:type="dxa"/>
            <w:vMerge/>
            <w:tcBorders>
              <w:top w:val="single" w:sz="4" w:space="0" w:color="D0CECE"/>
              <w:left w:val="nil"/>
              <w:bottom w:val="single" w:sz="4" w:space="0" w:color="D0CECE"/>
              <w:right w:val="nil"/>
            </w:tcBorders>
            <w:vAlign w:val="center"/>
            <w:hideMark/>
          </w:tcPr>
          <w:p w14:paraId="1F06DC15"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535C2A1"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market forces factor index</w:t>
            </w:r>
          </w:p>
        </w:tc>
        <w:tc>
          <w:tcPr>
            <w:tcW w:w="980" w:type="dxa"/>
            <w:tcBorders>
              <w:top w:val="nil"/>
              <w:left w:val="nil"/>
              <w:bottom w:val="nil"/>
              <w:right w:val="nil"/>
            </w:tcBorders>
            <w:shd w:val="clear" w:color="000000" w:fill="FFFFFF"/>
            <w:noWrap/>
            <w:vAlign w:val="bottom"/>
            <w:hideMark/>
          </w:tcPr>
          <w:p w14:paraId="5A7892B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980" w:type="dxa"/>
            <w:tcBorders>
              <w:top w:val="nil"/>
              <w:left w:val="nil"/>
              <w:bottom w:val="nil"/>
              <w:right w:val="nil"/>
            </w:tcBorders>
            <w:shd w:val="clear" w:color="000000" w:fill="FFFFFF"/>
            <w:noWrap/>
            <w:vAlign w:val="bottom"/>
            <w:hideMark/>
          </w:tcPr>
          <w:p w14:paraId="5EA297A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2.451***</w:t>
            </w:r>
          </w:p>
        </w:tc>
        <w:tc>
          <w:tcPr>
            <w:tcW w:w="1020" w:type="dxa"/>
            <w:tcBorders>
              <w:top w:val="nil"/>
              <w:left w:val="nil"/>
              <w:bottom w:val="nil"/>
              <w:right w:val="nil"/>
            </w:tcBorders>
            <w:shd w:val="clear" w:color="000000" w:fill="FFFFFF"/>
            <w:noWrap/>
            <w:vAlign w:val="bottom"/>
            <w:hideMark/>
          </w:tcPr>
          <w:p w14:paraId="1EA1D67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1.228*</w:t>
            </w:r>
          </w:p>
        </w:tc>
        <w:tc>
          <w:tcPr>
            <w:tcW w:w="1120" w:type="dxa"/>
            <w:tcBorders>
              <w:top w:val="nil"/>
              <w:left w:val="nil"/>
              <w:bottom w:val="nil"/>
              <w:right w:val="nil"/>
            </w:tcBorders>
            <w:shd w:val="clear" w:color="000000" w:fill="FFFFFF"/>
            <w:noWrap/>
            <w:vAlign w:val="bottom"/>
            <w:hideMark/>
          </w:tcPr>
          <w:p w14:paraId="41AC539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r>
      <w:tr w:rsidR="00451E12" w:rsidRPr="00451E12" w14:paraId="24A5B6B6" w14:textId="77777777" w:rsidTr="00451E12">
        <w:trPr>
          <w:trHeight w:val="237"/>
        </w:trPr>
        <w:tc>
          <w:tcPr>
            <w:tcW w:w="272" w:type="dxa"/>
            <w:vMerge/>
            <w:tcBorders>
              <w:top w:val="single" w:sz="4" w:space="0" w:color="D0CECE"/>
              <w:left w:val="nil"/>
              <w:bottom w:val="single" w:sz="4" w:space="0" w:color="D0CECE"/>
              <w:right w:val="nil"/>
            </w:tcBorders>
            <w:vAlign w:val="center"/>
            <w:hideMark/>
          </w:tcPr>
          <w:p w14:paraId="4B9372C9"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single" w:sz="4" w:space="0" w:color="D0CECE"/>
              <w:right w:val="nil"/>
            </w:tcBorders>
            <w:shd w:val="clear" w:color="000000" w:fill="FFFFFF"/>
            <w:noWrap/>
            <w:vAlign w:val="bottom"/>
            <w:hideMark/>
          </w:tcPr>
          <w:p w14:paraId="72A76328"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council tax base per user</w:t>
            </w:r>
          </w:p>
        </w:tc>
        <w:tc>
          <w:tcPr>
            <w:tcW w:w="980" w:type="dxa"/>
            <w:tcBorders>
              <w:top w:val="nil"/>
              <w:left w:val="nil"/>
              <w:bottom w:val="single" w:sz="4" w:space="0" w:color="D0CECE"/>
              <w:right w:val="nil"/>
            </w:tcBorders>
            <w:shd w:val="clear" w:color="000000" w:fill="FFFFFF"/>
            <w:noWrap/>
            <w:vAlign w:val="bottom"/>
            <w:hideMark/>
          </w:tcPr>
          <w:p w14:paraId="1A93E31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0.919***</w:t>
            </w:r>
          </w:p>
        </w:tc>
        <w:tc>
          <w:tcPr>
            <w:tcW w:w="980" w:type="dxa"/>
            <w:tcBorders>
              <w:top w:val="nil"/>
              <w:left w:val="nil"/>
              <w:bottom w:val="single" w:sz="4" w:space="0" w:color="D0CECE"/>
              <w:right w:val="nil"/>
            </w:tcBorders>
            <w:shd w:val="clear" w:color="000000" w:fill="FFFFFF"/>
            <w:noWrap/>
            <w:vAlign w:val="bottom"/>
            <w:hideMark/>
          </w:tcPr>
          <w:p w14:paraId="367B3F5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020" w:type="dxa"/>
            <w:tcBorders>
              <w:top w:val="nil"/>
              <w:left w:val="nil"/>
              <w:bottom w:val="single" w:sz="4" w:space="0" w:color="D0CECE"/>
              <w:right w:val="nil"/>
            </w:tcBorders>
            <w:shd w:val="clear" w:color="000000" w:fill="FFFFFF"/>
            <w:noWrap/>
            <w:vAlign w:val="bottom"/>
            <w:hideMark/>
          </w:tcPr>
          <w:p w14:paraId="31390A7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c>
          <w:tcPr>
            <w:tcW w:w="1120" w:type="dxa"/>
            <w:tcBorders>
              <w:top w:val="nil"/>
              <w:left w:val="nil"/>
              <w:bottom w:val="single" w:sz="4" w:space="0" w:color="D0CECE"/>
              <w:right w:val="nil"/>
            </w:tcBorders>
            <w:shd w:val="clear" w:color="000000" w:fill="FFFFFF"/>
            <w:noWrap/>
            <w:vAlign w:val="bottom"/>
            <w:hideMark/>
          </w:tcPr>
          <w:p w14:paraId="7452B99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 </w:t>
            </w:r>
          </w:p>
        </w:tc>
      </w:tr>
      <w:tr w:rsidR="00451E12" w:rsidRPr="00451E12" w14:paraId="525AE589" w14:textId="77777777" w:rsidTr="00451E12">
        <w:trPr>
          <w:trHeight w:val="237"/>
        </w:trPr>
        <w:tc>
          <w:tcPr>
            <w:tcW w:w="272" w:type="dxa"/>
            <w:vMerge w:val="restart"/>
            <w:tcBorders>
              <w:top w:val="nil"/>
              <w:left w:val="nil"/>
              <w:bottom w:val="single" w:sz="4" w:space="0" w:color="D0CECE"/>
              <w:right w:val="nil"/>
            </w:tcBorders>
            <w:shd w:val="clear" w:color="auto" w:fill="auto"/>
            <w:noWrap/>
            <w:textDirection w:val="btLr"/>
            <w:vAlign w:val="center"/>
            <w:hideMark/>
          </w:tcPr>
          <w:p w14:paraId="045F1F1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LA population</w:t>
            </w:r>
          </w:p>
        </w:tc>
        <w:tc>
          <w:tcPr>
            <w:tcW w:w="5588" w:type="dxa"/>
            <w:tcBorders>
              <w:top w:val="nil"/>
              <w:left w:val="nil"/>
              <w:bottom w:val="nil"/>
              <w:right w:val="nil"/>
            </w:tcBorders>
            <w:shd w:val="clear" w:color="000000" w:fill="FFFFFF"/>
            <w:noWrap/>
            <w:vAlign w:val="bottom"/>
            <w:hideMark/>
          </w:tcPr>
          <w:p w14:paraId="503866F5"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people who are blind or partially sighted</w:t>
            </w:r>
          </w:p>
        </w:tc>
        <w:tc>
          <w:tcPr>
            <w:tcW w:w="980" w:type="dxa"/>
            <w:tcBorders>
              <w:top w:val="nil"/>
              <w:left w:val="nil"/>
              <w:bottom w:val="nil"/>
              <w:right w:val="nil"/>
            </w:tcBorders>
            <w:shd w:val="clear" w:color="000000" w:fill="FFFFFF"/>
            <w:noWrap/>
            <w:vAlign w:val="bottom"/>
            <w:hideMark/>
          </w:tcPr>
          <w:p w14:paraId="1ED2A84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980" w:type="dxa"/>
            <w:tcBorders>
              <w:top w:val="nil"/>
              <w:left w:val="nil"/>
              <w:bottom w:val="nil"/>
              <w:right w:val="nil"/>
            </w:tcBorders>
            <w:shd w:val="clear" w:color="000000" w:fill="FFFFFF"/>
            <w:noWrap/>
            <w:vAlign w:val="bottom"/>
            <w:hideMark/>
          </w:tcPr>
          <w:p w14:paraId="128EC5D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-0.007</w:t>
            </w:r>
          </w:p>
        </w:tc>
        <w:tc>
          <w:tcPr>
            <w:tcW w:w="1020" w:type="dxa"/>
            <w:tcBorders>
              <w:top w:val="nil"/>
              <w:left w:val="nil"/>
              <w:bottom w:val="nil"/>
              <w:right w:val="nil"/>
            </w:tcBorders>
            <w:shd w:val="clear" w:color="000000" w:fill="FFFFFF"/>
            <w:noWrap/>
            <w:vAlign w:val="bottom"/>
            <w:hideMark/>
          </w:tcPr>
          <w:p w14:paraId="0A48DAB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0.040</w:t>
            </w:r>
          </w:p>
        </w:tc>
        <w:tc>
          <w:tcPr>
            <w:tcW w:w="1120" w:type="dxa"/>
            <w:tcBorders>
              <w:top w:val="nil"/>
              <w:left w:val="nil"/>
              <w:bottom w:val="nil"/>
              <w:right w:val="nil"/>
            </w:tcBorders>
            <w:shd w:val="clear" w:color="000000" w:fill="FFFFFF"/>
            <w:noWrap/>
            <w:vAlign w:val="bottom"/>
            <w:hideMark/>
          </w:tcPr>
          <w:p w14:paraId="27FA8F5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-0.005</w:t>
            </w:r>
          </w:p>
        </w:tc>
      </w:tr>
      <w:tr w:rsidR="00451E12" w:rsidRPr="00451E12" w14:paraId="2305D69F" w14:textId="77777777" w:rsidTr="00451E12">
        <w:trPr>
          <w:trHeight w:val="237"/>
        </w:trPr>
        <w:tc>
          <w:tcPr>
            <w:tcW w:w="272" w:type="dxa"/>
            <w:vMerge/>
            <w:tcBorders>
              <w:top w:val="nil"/>
              <w:left w:val="nil"/>
              <w:bottom w:val="single" w:sz="4" w:space="0" w:color="D0CECE"/>
              <w:right w:val="nil"/>
            </w:tcBorders>
            <w:vAlign w:val="center"/>
            <w:hideMark/>
          </w:tcPr>
          <w:p w14:paraId="04249130"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09E29ECE"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people who are deaf or hard of hearing 2010</w:t>
            </w:r>
          </w:p>
        </w:tc>
        <w:tc>
          <w:tcPr>
            <w:tcW w:w="980" w:type="dxa"/>
            <w:tcBorders>
              <w:top w:val="nil"/>
              <w:left w:val="nil"/>
              <w:bottom w:val="nil"/>
              <w:right w:val="nil"/>
            </w:tcBorders>
            <w:shd w:val="clear" w:color="000000" w:fill="FFFFFF"/>
            <w:noWrap/>
            <w:vAlign w:val="bottom"/>
            <w:hideMark/>
          </w:tcPr>
          <w:p w14:paraId="55F2F96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-0.014</w:t>
            </w:r>
          </w:p>
        </w:tc>
        <w:tc>
          <w:tcPr>
            <w:tcW w:w="980" w:type="dxa"/>
            <w:tcBorders>
              <w:top w:val="nil"/>
              <w:left w:val="nil"/>
              <w:bottom w:val="nil"/>
              <w:right w:val="nil"/>
            </w:tcBorders>
            <w:shd w:val="clear" w:color="000000" w:fill="FFFFFF"/>
            <w:noWrap/>
            <w:vAlign w:val="bottom"/>
            <w:hideMark/>
          </w:tcPr>
          <w:p w14:paraId="655804C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-0.013</w:t>
            </w:r>
          </w:p>
        </w:tc>
        <w:tc>
          <w:tcPr>
            <w:tcW w:w="1020" w:type="dxa"/>
            <w:tcBorders>
              <w:top w:val="nil"/>
              <w:left w:val="nil"/>
              <w:bottom w:val="nil"/>
              <w:right w:val="nil"/>
            </w:tcBorders>
            <w:shd w:val="clear" w:color="000000" w:fill="FFFFFF"/>
            <w:noWrap/>
            <w:vAlign w:val="bottom"/>
            <w:hideMark/>
          </w:tcPr>
          <w:p w14:paraId="7CBCC80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-0.016</w:t>
            </w:r>
          </w:p>
        </w:tc>
        <w:tc>
          <w:tcPr>
            <w:tcW w:w="1120" w:type="dxa"/>
            <w:tcBorders>
              <w:top w:val="nil"/>
              <w:left w:val="nil"/>
              <w:bottom w:val="nil"/>
              <w:right w:val="nil"/>
            </w:tcBorders>
            <w:shd w:val="clear" w:color="000000" w:fill="FFFFFF"/>
            <w:noWrap/>
            <w:vAlign w:val="bottom"/>
            <w:hideMark/>
          </w:tcPr>
          <w:p w14:paraId="7153483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0.011*</w:t>
            </w:r>
          </w:p>
        </w:tc>
      </w:tr>
      <w:tr w:rsidR="00451E12" w:rsidRPr="00451E12" w14:paraId="034477A0" w14:textId="77777777" w:rsidTr="00451E12">
        <w:trPr>
          <w:trHeight w:val="237"/>
        </w:trPr>
        <w:tc>
          <w:tcPr>
            <w:tcW w:w="272" w:type="dxa"/>
            <w:vMerge/>
            <w:tcBorders>
              <w:top w:val="nil"/>
              <w:left w:val="nil"/>
              <w:bottom w:val="single" w:sz="4" w:space="0" w:color="D0CECE"/>
              <w:right w:val="nil"/>
            </w:tcBorders>
            <w:vAlign w:val="center"/>
            <w:hideMark/>
          </w:tcPr>
          <w:p w14:paraId="3207629C"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05ED422"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Index of disability deprivation</w:t>
            </w:r>
          </w:p>
        </w:tc>
        <w:tc>
          <w:tcPr>
            <w:tcW w:w="980" w:type="dxa"/>
            <w:tcBorders>
              <w:top w:val="nil"/>
              <w:left w:val="nil"/>
              <w:bottom w:val="nil"/>
              <w:right w:val="nil"/>
            </w:tcBorders>
            <w:shd w:val="clear" w:color="000000" w:fill="FFFFFF"/>
            <w:noWrap/>
            <w:vAlign w:val="bottom"/>
            <w:hideMark/>
          </w:tcPr>
          <w:p w14:paraId="30FD17E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0.145***</w:t>
            </w:r>
          </w:p>
        </w:tc>
        <w:tc>
          <w:tcPr>
            <w:tcW w:w="980" w:type="dxa"/>
            <w:tcBorders>
              <w:top w:val="nil"/>
              <w:left w:val="nil"/>
              <w:bottom w:val="nil"/>
              <w:right w:val="nil"/>
            </w:tcBorders>
            <w:shd w:val="clear" w:color="000000" w:fill="FFFFFF"/>
            <w:noWrap/>
            <w:vAlign w:val="bottom"/>
            <w:hideMark/>
          </w:tcPr>
          <w:p w14:paraId="788B0D4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0.225***</w:t>
            </w:r>
          </w:p>
        </w:tc>
        <w:tc>
          <w:tcPr>
            <w:tcW w:w="1020" w:type="dxa"/>
            <w:tcBorders>
              <w:top w:val="nil"/>
              <w:left w:val="nil"/>
              <w:bottom w:val="nil"/>
              <w:right w:val="nil"/>
            </w:tcBorders>
            <w:shd w:val="clear" w:color="000000" w:fill="FFFFFF"/>
            <w:noWrap/>
            <w:vAlign w:val="bottom"/>
            <w:hideMark/>
          </w:tcPr>
          <w:p w14:paraId="0989292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0.163**</w:t>
            </w:r>
          </w:p>
        </w:tc>
        <w:tc>
          <w:tcPr>
            <w:tcW w:w="1120" w:type="dxa"/>
            <w:tcBorders>
              <w:top w:val="nil"/>
              <w:left w:val="nil"/>
              <w:bottom w:val="nil"/>
              <w:right w:val="nil"/>
            </w:tcBorders>
            <w:shd w:val="clear" w:color="000000" w:fill="FFFFFF"/>
            <w:noWrap/>
            <w:vAlign w:val="bottom"/>
            <w:hideMark/>
          </w:tcPr>
          <w:p w14:paraId="6DFC4DE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0.156***</w:t>
            </w:r>
          </w:p>
        </w:tc>
      </w:tr>
      <w:tr w:rsidR="00451E12" w:rsidRPr="00451E12" w14:paraId="0481EFF7" w14:textId="77777777" w:rsidTr="00451E12">
        <w:trPr>
          <w:trHeight w:val="237"/>
        </w:trPr>
        <w:tc>
          <w:tcPr>
            <w:tcW w:w="272" w:type="dxa"/>
            <w:vMerge/>
            <w:tcBorders>
              <w:top w:val="nil"/>
              <w:left w:val="nil"/>
              <w:bottom w:val="single" w:sz="4" w:space="0" w:color="D0CECE"/>
              <w:right w:val="nil"/>
            </w:tcBorders>
            <w:vAlign w:val="center"/>
            <w:hideMark/>
          </w:tcPr>
          <w:p w14:paraId="74ADE24E"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4DCFB87B"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Population density</w:t>
            </w:r>
          </w:p>
        </w:tc>
        <w:tc>
          <w:tcPr>
            <w:tcW w:w="980" w:type="dxa"/>
            <w:tcBorders>
              <w:top w:val="nil"/>
              <w:left w:val="nil"/>
              <w:bottom w:val="nil"/>
              <w:right w:val="nil"/>
            </w:tcBorders>
            <w:shd w:val="clear" w:color="000000" w:fill="FFFFFF"/>
            <w:noWrap/>
            <w:vAlign w:val="bottom"/>
            <w:hideMark/>
          </w:tcPr>
          <w:p w14:paraId="34E5380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0.016</w:t>
            </w:r>
          </w:p>
        </w:tc>
        <w:tc>
          <w:tcPr>
            <w:tcW w:w="980" w:type="dxa"/>
            <w:tcBorders>
              <w:top w:val="nil"/>
              <w:left w:val="nil"/>
              <w:bottom w:val="nil"/>
              <w:right w:val="nil"/>
            </w:tcBorders>
            <w:shd w:val="clear" w:color="000000" w:fill="FFFFFF"/>
            <w:noWrap/>
            <w:vAlign w:val="bottom"/>
            <w:hideMark/>
          </w:tcPr>
          <w:p w14:paraId="58A41DB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-0.008</w:t>
            </w:r>
          </w:p>
        </w:tc>
        <w:tc>
          <w:tcPr>
            <w:tcW w:w="1020" w:type="dxa"/>
            <w:tcBorders>
              <w:top w:val="nil"/>
              <w:left w:val="nil"/>
              <w:bottom w:val="nil"/>
              <w:right w:val="nil"/>
            </w:tcBorders>
            <w:shd w:val="clear" w:color="000000" w:fill="FFFFFF"/>
            <w:noWrap/>
            <w:vAlign w:val="bottom"/>
            <w:hideMark/>
          </w:tcPr>
          <w:p w14:paraId="2B15E5C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1120" w:type="dxa"/>
            <w:tcBorders>
              <w:top w:val="nil"/>
              <w:left w:val="nil"/>
              <w:bottom w:val="nil"/>
              <w:right w:val="nil"/>
            </w:tcBorders>
            <w:shd w:val="clear" w:color="000000" w:fill="FFFFFF"/>
            <w:noWrap/>
            <w:vAlign w:val="bottom"/>
            <w:hideMark/>
          </w:tcPr>
          <w:p w14:paraId="021BEDE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r>
      <w:tr w:rsidR="00451E12" w:rsidRPr="00451E12" w14:paraId="36E95448" w14:textId="77777777" w:rsidTr="00451E12">
        <w:trPr>
          <w:trHeight w:val="237"/>
        </w:trPr>
        <w:tc>
          <w:tcPr>
            <w:tcW w:w="272" w:type="dxa"/>
            <w:vMerge/>
            <w:tcBorders>
              <w:top w:val="nil"/>
              <w:left w:val="nil"/>
              <w:bottom w:val="single" w:sz="4" w:space="0" w:color="D0CECE"/>
              <w:right w:val="nil"/>
            </w:tcBorders>
            <w:vAlign w:val="center"/>
            <w:hideMark/>
          </w:tcPr>
          <w:p w14:paraId="07DF89B0"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25B1DCD4"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Ln of index of multiple deprivation 2010</w:t>
            </w:r>
          </w:p>
        </w:tc>
        <w:tc>
          <w:tcPr>
            <w:tcW w:w="980" w:type="dxa"/>
            <w:tcBorders>
              <w:top w:val="nil"/>
              <w:left w:val="nil"/>
              <w:bottom w:val="nil"/>
              <w:right w:val="nil"/>
            </w:tcBorders>
            <w:shd w:val="clear" w:color="000000" w:fill="FFFFFF"/>
            <w:noWrap/>
            <w:vAlign w:val="bottom"/>
            <w:hideMark/>
          </w:tcPr>
          <w:p w14:paraId="3371689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-0.085</w:t>
            </w:r>
          </w:p>
        </w:tc>
        <w:tc>
          <w:tcPr>
            <w:tcW w:w="980" w:type="dxa"/>
            <w:tcBorders>
              <w:top w:val="nil"/>
              <w:left w:val="nil"/>
              <w:bottom w:val="nil"/>
              <w:right w:val="nil"/>
            </w:tcBorders>
            <w:shd w:val="clear" w:color="000000" w:fill="FFFFFF"/>
            <w:noWrap/>
            <w:vAlign w:val="bottom"/>
            <w:hideMark/>
          </w:tcPr>
          <w:p w14:paraId="20C5546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-0.110</w:t>
            </w:r>
          </w:p>
        </w:tc>
        <w:tc>
          <w:tcPr>
            <w:tcW w:w="1020" w:type="dxa"/>
            <w:tcBorders>
              <w:top w:val="nil"/>
              <w:left w:val="nil"/>
              <w:bottom w:val="nil"/>
              <w:right w:val="nil"/>
            </w:tcBorders>
            <w:shd w:val="clear" w:color="000000" w:fill="FFFFFF"/>
            <w:noWrap/>
            <w:vAlign w:val="bottom"/>
            <w:hideMark/>
          </w:tcPr>
          <w:p w14:paraId="4D44939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-0.422***</w:t>
            </w:r>
          </w:p>
        </w:tc>
        <w:tc>
          <w:tcPr>
            <w:tcW w:w="1120" w:type="dxa"/>
            <w:tcBorders>
              <w:top w:val="nil"/>
              <w:left w:val="nil"/>
              <w:bottom w:val="nil"/>
              <w:right w:val="nil"/>
            </w:tcBorders>
            <w:shd w:val="clear" w:color="000000" w:fill="FFFFFF"/>
            <w:noWrap/>
            <w:vAlign w:val="bottom"/>
            <w:hideMark/>
          </w:tcPr>
          <w:p w14:paraId="5ADEF85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-0.227***</w:t>
            </w:r>
          </w:p>
        </w:tc>
      </w:tr>
      <w:tr w:rsidR="00451E12" w:rsidRPr="00451E12" w14:paraId="686A4C97" w14:textId="77777777" w:rsidTr="00451E12">
        <w:trPr>
          <w:trHeight w:val="237"/>
        </w:trPr>
        <w:tc>
          <w:tcPr>
            <w:tcW w:w="272" w:type="dxa"/>
            <w:vMerge/>
            <w:tcBorders>
              <w:top w:val="nil"/>
              <w:left w:val="nil"/>
              <w:bottom w:val="single" w:sz="4" w:space="0" w:color="D0CECE"/>
              <w:right w:val="nil"/>
            </w:tcBorders>
            <w:vAlign w:val="center"/>
            <w:hideMark/>
          </w:tcPr>
          <w:p w14:paraId="3053169D"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7E97514F"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Index of education deprivation</w:t>
            </w:r>
          </w:p>
        </w:tc>
        <w:tc>
          <w:tcPr>
            <w:tcW w:w="980" w:type="dxa"/>
            <w:tcBorders>
              <w:top w:val="nil"/>
              <w:left w:val="nil"/>
              <w:bottom w:val="nil"/>
              <w:right w:val="nil"/>
            </w:tcBorders>
            <w:shd w:val="clear" w:color="000000" w:fill="FFFFFF"/>
            <w:noWrap/>
            <w:vAlign w:val="bottom"/>
            <w:hideMark/>
          </w:tcPr>
          <w:p w14:paraId="0E17407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980" w:type="dxa"/>
            <w:tcBorders>
              <w:top w:val="nil"/>
              <w:left w:val="nil"/>
              <w:bottom w:val="nil"/>
              <w:right w:val="nil"/>
            </w:tcBorders>
            <w:shd w:val="clear" w:color="000000" w:fill="FFFFFF"/>
            <w:noWrap/>
            <w:vAlign w:val="bottom"/>
            <w:hideMark/>
          </w:tcPr>
          <w:p w14:paraId="2D108C9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1020" w:type="dxa"/>
            <w:tcBorders>
              <w:top w:val="nil"/>
              <w:left w:val="nil"/>
              <w:bottom w:val="nil"/>
              <w:right w:val="nil"/>
            </w:tcBorders>
            <w:shd w:val="clear" w:color="000000" w:fill="FFFFFF"/>
            <w:noWrap/>
            <w:vAlign w:val="bottom"/>
            <w:hideMark/>
          </w:tcPr>
          <w:p w14:paraId="6EEF412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120" w:type="dxa"/>
            <w:tcBorders>
              <w:top w:val="nil"/>
              <w:left w:val="nil"/>
              <w:bottom w:val="nil"/>
              <w:right w:val="nil"/>
            </w:tcBorders>
            <w:shd w:val="clear" w:color="000000" w:fill="FFFFFF"/>
            <w:noWrap/>
            <w:vAlign w:val="bottom"/>
            <w:hideMark/>
          </w:tcPr>
          <w:p w14:paraId="6BA307A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r>
      <w:tr w:rsidR="00451E12" w:rsidRPr="00451E12" w14:paraId="4CCBE219" w14:textId="77777777" w:rsidTr="00451E12">
        <w:trPr>
          <w:trHeight w:val="237"/>
        </w:trPr>
        <w:tc>
          <w:tcPr>
            <w:tcW w:w="272" w:type="dxa"/>
            <w:vMerge/>
            <w:tcBorders>
              <w:top w:val="nil"/>
              <w:left w:val="nil"/>
              <w:bottom w:val="single" w:sz="4" w:space="0" w:color="D0CECE"/>
              <w:right w:val="nil"/>
            </w:tcBorders>
            <w:vAlign w:val="center"/>
            <w:hideMark/>
          </w:tcPr>
          <w:p w14:paraId="5109277A"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73C5F5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of people who are income deprived</w:t>
            </w:r>
          </w:p>
        </w:tc>
        <w:tc>
          <w:tcPr>
            <w:tcW w:w="980" w:type="dxa"/>
            <w:tcBorders>
              <w:top w:val="nil"/>
              <w:left w:val="nil"/>
              <w:bottom w:val="nil"/>
              <w:right w:val="nil"/>
            </w:tcBorders>
            <w:shd w:val="clear" w:color="000000" w:fill="FFFFFF"/>
            <w:noWrap/>
            <w:vAlign w:val="bottom"/>
            <w:hideMark/>
          </w:tcPr>
          <w:p w14:paraId="1223702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0.024***</w:t>
            </w:r>
          </w:p>
        </w:tc>
        <w:tc>
          <w:tcPr>
            <w:tcW w:w="980" w:type="dxa"/>
            <w:tcBorders>
              <w:top w:val="nil"/>
              <w:left w:val="nil"/>
              <w:bottom w:val="nil"/>
              <w:right w:val="nil"/>
            </w:tcBorders>
            <w:shd w:val="clear" w:color="000000" w:fill="FFFFFF"/>
            <w:noWrap/>
            <w:vAlign w:val="bottom"/>
            <w:hideMark/>
          </w:tcPr>
          <w:p w14:paraId="7491EA7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0.021***</w:t>
            </w:r>
          </w:p>
        </w:tc>
        <w:tc>
          <w:tcPr>
            <w:tcW w:w="1020" w:type="dxa"/>
            <w:tcBorders>
              <w:top w:val="nil"/>
              <w:left w:val="nil"/>
              <w:bottom w:val="nil"/>
              <w:right w:val="nil"/>
            </w:tcBorders>
            <w:shd w:val="clear" w:color="000000" w:fill="FFFFFF"/>
            <w:noWrap/>
            <w:vAlign w:val="bottom"/>
            <w:hideMark/>
          </w:tcPr>
          <w:p w14:paraId="1CDDE6A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0.031**</w:t>
            </w:r>
          </w:p>
        </w:tc>
        <w:tc>
          <w:tcPr>
            <w:tcW w:w="1120" w:type="dxa"/>
            <w:tcBorders>
              <w:top w:val="nil"/>
              <w:left w:val="nil"/>
              <w:bottom w:val="nil"/>
              <w:right w:val="nil"/>
            </w:tcBorders>
            <w:shd w:val="clear" w:color="000000" w:fill="FFFFFF"/>
            <w:noWrap/>
            <w:vAlign w:val="bottom"/>
            <w:hideMark/>
          </w:tcPr>
          <w:p w14:paraId="07E73AE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0.017***</w:t>
            </w:r>
          </w:p>
        </w:tc>
      </w:tr>
      <w:tr w:rsidR="00451E12" w:rsidRPr="00451E12" w14:paraId="1A56BCA9" w14:textId="77777777" w:rsidTr="00451E12">
        <w:trPr>
          <w:trHeight w:val="237"/>
        </w:trPr>
        <w:tc>
          <w:tcPr>
            <w:tcW w:w="272" w:type="dxa"/>
            <w:vMerge/>
            <w:tcBorders>
              <w:top w:val="nil"/>
              <w:left w:val="nil"/>
              <w:bottom w:val="single" w:sz="4" w:space="0" w:color="D0CECE"/>
              <w:right w:val="nil"/>
            </w:tcBorders>
            <w:vAlign w:val="center"/>
            <w:hideMark/>
          </w:tcPr>
          <w:p w14:paraId="44ADB0AC"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565F9D49"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Gross disposable household income per capita: quartile 2</w:t>
            </w:r>
          </w:p>
        </w:tc>
        <w:tc>
          <w:tcPr>
            <w:tcW w:w="980" w:type="dxa"/>
            <w:tcBorders>
              <w:top w:val="nil"/>
              <w:left w:val="nil"/>
              <w:bottom w:val="nil"/>
              <w:right w:val="nil"/>
            </w:tcBorders>
            <w:shd w:val="clear" w:color="000000" w:fill="FFFFFF"/>
            <w:noWrap/>
            <w:vAlign w:val="bottom"/>
            <w:hideMark/>
          </w:tcPr>
          <w:p w14:paraId="2D21DB7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-0.022</w:t>
            </w:r>
          </w:p>
        </w:tc>
        <w:tc>
          <w:tcPr>
            <w:tcW w:w="980" w:type="dxa"/>
            <w:tcBorders>
              <w:top w:val="nil"/>
              <w:left w:val="nil"/>
              <w:bottom w:val="nil"/>
              <w:right w:val="nil"/>
            </w:tcBorders>
            <w:shd w:val="clear" w:color="000000" w:fill="FFFFFF"/>
            <w:noWrap/>
            <w:vAlign w:val="bottom"/>
            <w:hideMark/>
          </w:tcPr>
          <w:p w14:paraId="06ECB42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-0.012</w:t>
            </w:r>
          </w:p>
        </w:tc>
        <w:tc>
          <w:tcPr>
            <w:tcW w:w="1020" w:type="dxa"/>
            <w:tcBorders>
              <w:top w:val="nil"/>
              <w:left w:val="nil"/>
              <w:bottom w:val="nil"/>
              <w:right w:val="nil"/>
            </w:tcBorders>
            <w:shd w:val="clear" w:color="000000" w:fill="FFFFFF"/>
            <w:noWrap/>
            <w:vAlign w:val="bottom"/>
            <w:hideMark/>
          </w:tcPr>
          <w:p w14:paraId="41C7184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0.055</w:t>
            </w:r>
          </w:p>
        </w:tc>
        <w:tc>
          <w:tcPr>
            <w:tcW w:w="1120" w:type="dxa"/>
            <w:tcBorders>
              <w:top w:val="nil"/>
              <w:left w:val="nil"/>
              <w:bottom w:val="nil"/>
              <w:right w:val="nil"/>
            </w:tcBorders>
            <w:shd w:val="clear" w:color="000000" w:fill="FFFFFF"/>
            <w:noWrap/>
            <w:vAlign w:val="bottom"/>
            <w:hideMark/>
          </w:tcPr>
          <w:p w14:paraId="0DFC124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0.046**</w:t>
            </w:r>
          </w:p>
        </w:tc>
      </w:tr>
      <w:tr w:rsidR="00451E12" w:rsidRPr="00451E12" w14:paraId="3649C1EA" w14:textId="77777777" w:rsidTr="00451E12">
        <w:trPr>
          <w:trHeight w:val="237"/>
        </w:trPr>
        <w:tc>
          <w:tcPr>
            <w:tcW w:w="272" w:type="dxa"/>
            <w:vMerge/>
            <w:tcBorders>
              <w:top w:val="nil"/>
              <w:left w:val="nil"/>
              <w:bottom w:val="single" w:sz="4" w:space="0" w:color="D0CECE"/>
              <w:right w:val="nil"/>
            </w:tcBorders>
            <w:vAlign w:val="center"/>
            <w:hideMark/>
          </w:tcPr>
          <w:p w14:paraId="0C906B13"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1B687CEA"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Gross disposable household income per capita: quartile 3</w:t>
            </w:r>
          </w:p>
        </w:tc>
        <w:tc>
          <w:tcPr>
            <w:tcW w:w="980" w:type="dxa"/>
            <w:tcBorders>
              <w:top w:val="nil"/>
              <w:left w:val="nil"/>
              <w:bottom w:val="nil"/>
              <w:right w:val="nil"/>
            </w:tcBorders>
            <w:shd w:val="clear" w:color="000000" w:fill="FFFFFF"/>
            <w:noWrap/>
            <w:vAlign w:val="bottom"/>
            <w:hideMark/>
          </w:tcPr>
          <w:p w14:paraId="128CDBA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-0.011</w:t>
            </w:r>
          </w:p>
        </w:tc>
        <w:tc>
          <w:tcPr>
            <w:tcW w:w="980" w:type="dxa"/>
            <w:tcBorders>
              <w:top w:val="nil"/>
              <w:left w:val="nil"/>
              <w:bottom w:val="nil"/>
              <w:right w:val="nil"/>
            </w:tcBorders>
            <w:shd w:val="clear" w:color="000000" w:fill="FFFFFF"/>
            <w:noWrap/>
            <w:vAlign w:val="bottom"/>
            <w:hideMark/>
          </w:tcPr>
          <w:p w14:paraId="40D3437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1020" w:type="dxa"/>
            <w:tcBorders>
              <w:top w:val="nil"/>
              <w:left w:val="nil"/>
              <w:bottom w:val="nil"/>
              <w:right w:val="nil"/>
            </w:tcBorders>
            <w:shd w:val="clear" w:color="000000" w:fill="FFFFFF"/>
            <w:noWrap/>
            <w:vAlign w:val="bottom"/>
            <w:hideMark/>
          </w:tcPr>
          <w:p w14:paraId="03CF6BF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0.057</w:t>
            </w:r>
          </w:p>
        </w:tc>
        <w:tc>
          <w:tcPr>
            <w:tcW w:w="1120" w:type="dxa"/>
            <w:tcBorders>
              <w:top w:val="nil"/>
              <w:left w:val="nil"/>
              <w:bottom w:val="nil"/>
              <w:right w:val="nil"/>
            </w:tcBorders>
            <w:shd w:val="clear" w:color="000000" w:fill="FFFFFF"/>
            <w:noWrap/>
            <w:vAlign w:val="bottom"/>
            <w:hideMark/>
          </w:tcPr>
          <w:p w14:paraId="476CDC3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0.021</w:t>
            </w:r>
          </w:p>
        </w:tc>
      </w:tr>
      <w:tr w:rsidR="00451E12" w:rsidRPr="00451E12" w14:paraId="3F73FD8C" w14:textId="77777777" w:rsidTr="00451E12">
        <w:trPr>
          <w:trHeight w:val="237"/>
        </w:trPr>
        <w:tc>
          <w:tcPr>
            <w:tcW w:w="272" w:type="dxa"/>
            <w:vMerge/>
            <w:tcBorders>
              <w:top w:val="nil"/>
              <w:left w:val="nil"/>
              <w:bottom w:val="single" w:sz="4" w:space="0" w:color="D0CECE"/>
              <w:right w:val="nil"/>
            </w:tcBorders>
            <w:vAlign w:val="center"/>
            <w:hideMark/>
          </w:tcPr>
          <w:p w14:paraId="46A0F8DC"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single" w:sz="4" w:space="0" w:color="D0CECE"/>
              <w:right w:val="nil"/>
            </w:tcBorders>
            <w:shd w:val="clear" w:color="000000" w:fill="FFFFFF"/>
            <w:noWrap/>
            <w:vAlign w:val="bottom"/>
            <w:hideMark/>
          </w:tcPr>
          <w:p w14:paraId="2877FB5F"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Gross disposable household income per capita: quartile 4 (highest income)</w:t>
            </w:r>
          </w:p>
        </w:tc>
        <w:tc>
          <w:tcPr>
            <w:tcW w:w="980" w:type="dxa"/>
            <w:tcBorders>
              <w:top w:val="nil"/>
              <w:left w:val="nil"/>
              <w:bottom w:val="single" w:sz="4" w:space="0" w:color="D0CECE"/>
              <w:right w:val="nil"/>
            </w:tcBorders>
            <w:shd w:val="clear" w:color="000000" w:fill="FFFFFF"/>
            <w:noWrap/>
            <w:vAlign w:val="bottom"/>
            <w:hideMark/>
          </w:tcPr>
          <w:p w14:paraId="1DF3311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0.009</w:t>
            </w:r>
          </w:p>
        </w:tc>
        <w:tc>
          <w:tcPr>
            <w:tcW w:w="980" w:type="dxa"/>
            <w:tcBorders>
              <w:top w:val="nil"/>
              <w:left w:val="nil"/>
              <w:bottom w:val="single" w:sz="4" w:space="0" w:color="D0CECE"/>
              <w:right w:val="nil"/>
            </w:tcBorders>
            <w:shd w:val="clear" w:color="000000" w:fill="FFFFFF"/>
            <w:noWrap/>
            <w:vAlign w:val="bottom"/>
            <w:hideMark/>
          </w:tcPr>
          <w:p w14:paraId="15B0424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-0.008</w:t>
            </w:r>
          </w:p>
        </w:tc>
        <w:tc>
          <w:tcPr>
            <w:tcW w:w="1020" w:type="dxa"/>
            <w:tcBorders>
              <w:top w:val="nil"/>
              <w:left w:val="nil"/>
              <w:bottom w:val="single" w:sz="4" w:space="0" w:color="D0CECE"/>
              <w:right w:val="nil"/>
            </w:tcBorders>
            <w:shd w:val="clear" w:color="000000" w:fill="FFFFFF"/>
            <w:noWrap/>
            <w:vAlign w:val="bottom"/>
            <w:hideMark/>
          </w:tcPr>
          <w:p w14:paraId="25EBC41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0.040</w:t>
            </w:r>
          </w:p>
        </w:tc>
        <w:tc>
          <w:tcPr>
            <w:tcW w:w="1120" w:type="dxa"/>
            <w:tcBorders>
              <w:top w:val="nil"/>
              <w:left w:val="nil"/>
              <w:bottom w:val="single" w:sz="4" w:space="0" w:color="D0CECE"/>
              <w:right w:val="nil"/>
            </w:tcBorders>
            <w:shd w:val="clear" w:color="000000" w:fill="FFFFFF"/>
            <w:noWrap/>
            <w:vAlign w:val="bottom"/>
            <w:hideMark/>
          </w:tcPr>
          <w:p w14:paraId="60CD4F9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r>
      <w:tr w:rsidR="00451E12" w:rsidRPr="00451E12" w14:paraId="5058A3C5" w14:textId="77777777" w:rsidTr="00451E12">
        <w:trPr>
          <w:trHeight w:val="237"/>
        </w:trPr>
        <w:tc>
          <w:tcPr>
            <w:tcW w:w="272" w:type="dxa"/>
            <w:vMerge w:val="restart"/>
            <w:tcBorders>
              <w:top w:val="nil"/>
              <w:left w:val="nil"/>
              <w:bottom w:val="single" w:sz="4" w:space="0" w:color="D0CECE"/>
              <w:right w:val="nil"/>
            </w:tcBorders>
            <w:shd w:val="clear" w:color="auto" w:fill="auto"/>
            <w:noWrap/>
            <w:textDirection w:val="btLr"/>
            <w:vAlign w:val="center"/>
            <w:hideMark/>
          </w:tcPr>
          <w:p w14:paraId="5FD2B09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LTC users</w:t>
            </w:r>
          </w:p>
        </w:tc>
        <w:tc>
          <w:tcPr>
            <w:tcW w:w="5588" w:type="dxa"/>
            <w:tcBorders>
              <w:top w:val="nil"/>
              <w:left w:val="nil"/>
              <w:bottom w:val="nil"/>
              <w:right w:val="nil"/>
            </w:tcBorders>
            <w:shd w:val="clear" w:color="000000" w:fill="FFFFFF"/>
            <w:noWrap/>
            <w:vAlign w:val="bottom"/>
            <w:hideMark/>
          </w:tcPr>
          <w:p w14:paraId="30CD4455"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County LA</w:t>
            </w:r>
          </w:p>
        </w:tc>
        <w:tc>
          <w:tcPr>
            <w:tcW w:w="980" w:type="dxa"/>
            <w:tcBorders>
              <w:top w:val="nil"/>
              <w:left w:val="nil"/>
              <w:bottom w:val="nil"/>
              <w:right w:val="nil"/>
            </w:tcBorders>
            <w:shd w:val="clear" w:color="000000" w:fill="FFFFFF"/>
            <w:noWrap/>
            <w:vAlign w:val="bottom"/>
            <w:hideMark/>
          </w:tcPr>
          <w:p w14:paraId="4DC3428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0.059</w:t>
            </w:r>
          </w:p>
        </w:tc>
        <w:tc>
          <w:tcPr>
            <w:tcW w:w="980" w:type="dxa"/>
            <w:tcBorders>
              <w:top w:val="nil"/>
              <w:left w:val="nil"/>
              <w:bottom w:val="nil"/>
              <w:right w:val="nil"/>
            </w:tcBorders>
            <w:shd w:val="clear" w:color="000000" w:fill="FFFFFF"/>
            <w:noWrap/>
            <w:vAlign w:val="bottom"/>
            <w:hideMark/>
          </w:tcPr>
          <w:p w14:paraId="56DCF49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0.031</w:t>
            </w:r>
          </w:p>
        </w:tc>
        <w:tc>
          <w:tcPr>
            <w:tcW w:w="1020" w:type="dxa"/>
            <w:tcBorders>
              <w:top w:val="nil"/>
              <w:left w:val="nil"/>
              <w:bottom w:val="nil"/>
              <w:right w:val="nil"/>
            </w:tcBorders>
            <w:shd w:val="clear" w:color="000000" w:fill="FFFFFF"/>
            <w:noWrap/>
            <w:vAlign w:val="bottom"/>
            <w:hideMark/>
          </w:tcPr>
          <w:p w14:paraId="75A0F94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c>
          <w:tcPr>
            <w:tcW w:w="1120" w:type="dxa"/>
            <w:tcBorders>
              <w:top w:val="nil"/>
              <w:left w:val="nil"/>
              <w:bottom w:val="nil"/>
              <w:right w:val="nil"/>
            </w:tcBorders>
            <w:shd w:val="clear" w:color="000000" w:fill="FFFFFF"/>
            <w:noWrap/>
            <w:vAlign w:val="bottom"/>
            <w:hideMark/>
          </w:tcPr>
          <w:p w14:paraId="3B874B1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-0.024</w:t>
            </w:r>
          </w:p>
        </w:tc>
      </w:tr>
      <w:tr w:rsidR="00451E12" w:rsidRPr="00451E12" w14:paraId="11DE6CA8" w14:textId="77777777" w:rsidTr="00451E12">
        <w:trPr>
          <w:trHeight w:val="237"/>
        </w:trPr>
        <w:tc>
          <w:tcPr>
            <w:tcW w:w="272" w:type="dxa"/>
            <w:vMerge/>
            <w:tcBorders>
              <w:top w:val="nil"/>
              <w:left w:val="nil"/>
              <w:bottom w:val="single" w:sz="4" w:space="0" w:color="D0CECE"/>
              <w:right w:val="nil"/>
            </w:tcBorders>
            <w:vAlign w:val="center"/>
            <w:hideMark/>
          </w:tcPr>
          <w:p w14:paraId="738FA46A"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8A36D44"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Metropolitan LA</w:t>
            </w:r>
          </w:p>
        </w:tc>
        <w:tc>
          <w:tcPr>
            <w:tcW w:w="980" w:type="dxa"/>
            <w:tcBorders>
              <w:top w:val="nil"/>
              <w:left w:val="nil"/>
              <w:bottom w:val="nil"/>
              <w:right w:val="nil"/>
            </w:tcBorders>
            <w:shd w:val="clear" w:color="000000" w:fill="FFFFFF"/>
            <w:noWrap/>
            <w:vAlign w:val="bottom"/>
            <w:hideMark/>
          </w:tcPr>
          <w:p w14:paraId="60A3C62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-0.015</w:t>
            </w:r>
          </w:p>
        </w:tc>
        <w:tc>
          <w:tcPr>
            <w:tcW w:w="980" w:type="dxa"/>
            <w:tcBorders>
              <w:top w:val="nil"/>
              <w:left w:val="nil"/>
              <w:bottom w:val="nil"/>
              <w:right w:val="nil"/>
            </w:tcBorders>
            <w:shd w:val="clear" w:color="000000" w:fill="FFFFFF"/>
            <w:noWrap/>
            <w:vAlign w:val="bottom"/>
            <w:hideMark/>
          </w:tcPr>
          <w:p w14:paraId="05F5E16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0.019</w:t>
            </w:r>
          </w:p>
        </w:tc>
        <w:tc>
          <w:tcPr>
            <w:tcW w:w="1020" w:type="dxa"/>
            <w:tcBorders>
              <w:top w:val="nil"/>
              <w:left w:val="nil"/>
              <w:bottom w:val="nil"/>
              <w:right w:val="nil"/>
            </w:tcBorders>
            <w:shd w:val="clear" w:color="000000" w:fill="FFFFFF"/>
            <w:noWrap/>
            <w:vAlign w:val="bottom"/>
            <w:hideMark/>
          </w:tcPr>
          <w:p w14:paraId="44D5AD7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-0.016</w:t>
            </w:r>
          </w:p>
        </w:tc>
        <w:tc>
          <w:tcPr>
            <w:tcW w:w="1120" w:type="dxa"/>
            <w:tcBorders>
              <w:top w:val="nil"/>
              <w:left w:val="nil"/>
              <w:bottom w:val="nil"/>
              <w:right w:val="nil"/>
            </w:tcBorders>
            <w:shd w:val="clear" w:color="000000" w:fill="FFFFFF"/>
            <w:noWrap/>
            <w:vAlign w:val="bottom"/>
            <w:hideMark/>
          </w:tcPr>
          <w:p w14:paraId="546DC2F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-0.033</w:t>
            </w:r>
          </w:p>
        </w:tc>
      </w:tr>
      <w:tr w:rsidR="00451E12" w:rsidRPr="00451E12" w14:paraId="192CB82B" w14:textId="77777777" w:rsidTr="00451E12">
        <w:trPr>
          <w:trHeight w:val="237"/>
        </w:trPr>
        <w:tc>
          <w:tcPr>
            <w:tcW w:w="272" w:type="dxa"/>
            <w:vMerge/>
            <w:tcBorders>
              <w:top w:val="nil"/>
              <w:left w:val="nil"/>
              <w:bottom w:val="single" w:sz="4" w:space="0" w:color="D0CECE"/>
              <w:right w:val="nil"/>
            </w:tcBorders>
            <w:vAlign w:val="center"/>
            <w:hideMark/>
          </w:tcPr>
          <w:p w14:paraId="1CFB2F77"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B58B82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Unitary Authority LA</w:t>
            </w:r>
          </w:p>
        </w:tc>
        <w:tc>
          <w:tcPr>
            <w:tcW w:w="980" w:type="dxa"/>
            <w:tcBorders>
              <w:top w:val="nil"/>
              <w:left w:val="nil"/>
              <w:bottom w:val="nil"/>
              <w:right w:val="nil"/>
            </w:tcBorders>
            <w:shd w:val="clear" w:color="000000" w:fill="FFFFFF"/>
            <w:noWrap/>
            <w:vAlign w:val="bottom"/>
            <w:hideMark/>
          </w:tcPr>
          <w:p w14:paraId="459E8F4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0.072</w:t>
            </w:r>
          </w:p>
        </w:tc>
        <w:tc>
          <w:tcPr>
            <w:tcW w:w="980" w:type="dxa"/>
            <w:tcBorders>
              <w:top w:val="nil"/>
              <w:left w:val="nil"/>
              <w:bottom w:val="nil"/>
              <w:right w:val="nil"/>
            </w:tcBorders>
            <w:shd w:val="clear" w:color="000000" w:fill="FFFFFF"/>
            <w:noWrap/>
            <w:vAlign w:val="bottom"/>
            <w:hideMark/>
          </w:tcPr>
          <w:p w14:paraId="6EEB9D9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c>
          <w:tcPr>
            <w:tcW w:w="1020" w:type="dxa"/>
            <w:tcBorders>
              <w:top w:val="nil"/>
              <w:left w:val="nil"/>
              <w:bottom w:val="nil"/>
              <w:right w:val="nil"/>
            </w:tcBorders>
            <w:shd w:val="clear" w:color="000000" w:fill="FFFFFF"/>
            <w:noWrap/>
            <w:vAlign w:val="bottom"/>
            <w:hideMark/>
          </w:tcPr>
          <w:p w14:paraId="60097AE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1120" w:type="dxa"/>
            <w:tcBorders>
              <w:top w:val="nil"/>
              <w:left w:val="nil"/>
              <w:bottom w:val="nil"/>
              <w:right w:val="nil"/>
            </w:tcBorders>
            <w:shd w:val="clear" w:color="000000" w:fill="FFFFFF"/>
            <w:noWrap/>
            <w:vAlign w:val="bottom"/>
            <w:hideMark/>
          </w:tcPr>
          <w:p w14:paraId="66BDC49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-0.008</w:t>
            </w:r>
          </w:p>
        </w:tc>
      </w:tr>
      <w:tr w:rsidR="00451E12" w:rsidRPr="00451E12" w14:paraId="72ED7E57" w14:textId="77777777" w:rsidTr="00451E12">
        <w:trPr>
          <w:trHeight w:val="237"/>
        </w:trPr>
        <w:tc>
          <w:tcPr>
            <w:tcW w:w="272" w:type="dxa"/>
            <w:vMerge/>
            <w:tcBorders>
              <w:top w:val="nil"/>
              <w:left w:val="nil"/>
              <w:bottom w:val="single" w:sz="4" w:space="0" w:color="D0CECE"/>
              <w:right w:val="nil"/>
            </w:tcBorders>
            <w:vAlign w:val="center"/>
            <w:hideMark/>
          </w:tcPr>
          <w:p w14:paraId="63A20A22"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5A6BA340"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female users</w:t>
            </w:r>
          </w:p>
        </w:tc>
        <w:tc>
          <w:tcPr>
            <w:tcW w:w="980" w:type="dxa"/>
            <w:tcBorders>
              <w:top w:val="nil"/>
              <w:left w:val="nil"/>
              <w:bottom w:val="nil"/>
              <w:right w:val="nil"/>
            </w:tcBorders>
            <w:shd w:val="clear" w:color="000000" w:fill="FFFFFF"/>
            <w:noWrap/>
            <w:vAlign w:val="bottom"/>
            <w:hideMark/>
          </w:tcPr>
          <w:p w14:paraId="6E62B37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980" w:type="dxa"/>
            <w:tcBorders>
              <w:top w:val="nil"/>
              <w:left w:val="nil"/>
              <w:bottom w:val="nil"/>
              <w:right w:val="nil"/>
            </w:tcBorders>
            <w:shd w:val="clear" w:color="000000" w:fill="FFFFFF"/>
            <w:noWrap/>
            <w:vAlign w:val="bottom"/>
            <w:hideMark/>
          </w:tcPr>
          <w:p w14:paraId="5B8C385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020" w:type="dxa"/>
            <w:tcBorders>
              <w:top w:val="nil"/>
              <w:left w:val="nil"/>
              <w:bottom w:val="nil"/>
              <w:right w:val="nil"/>
            </w:tcBorders>
            <w:shd w:val="clear" w:color="000000" w:fill="FFFFFF"/>
            <w:noWrap/>
            <w:vAlign w:val="bottom"/>
            <w:hideMark/>
          </w:tcPr>
          <w:p w14:paraId="2D5B617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1120" w:type="dxa"/>
            <w:tcBorders>
              <w:top w:val="nil"/>
              <w:left w:val="nil"/>
              <w:bottom w:val="nil"/>
              <w:right w:val="nil"/>
            </w:tcBorders>
            <w:shd w:val="clear" w:color="000000" w:fill="FFFFFF"/>
            <w:noWrap/>
            <w:vAlign w:val="bottom"/>
            <w:hideMark/>
          </w:tcPr>
          <w:p w14:paraId="25B6DA9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10F944EE" w14:textId="77777777" w:rsidTr="00451E12">
        <w:trPr>
          <w:trHeight w:val="237"/>
        </w:trPr>
        <w:tc>
          <w:tcPr>
            <w:tcW w:w="272" w:type="dxa"/>
            <w:vMerge/>
            <w:tcBorders>
              <w:top w:val="nil"/>
              <w:left w:val="nil"/>
              <w:bottom w:val="single" w:sz="4" w:space="0" w:color="D0CECE"/>
              <w:right w:val="nil"/>
            </w:tcBorders>
            <w:vAlign w:val="center"/>
            <w:hideMark/>
          </w:tcPr>
          <w:p w14:paraId="1C14D07C"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58EE8B5"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aged 65 or older</w:t>
            </w:r>
          </w:p>
        </w:tc>
        <w:tc>
          <w:tcPr>
            <w:tcW w:w="980" w:type="dxa"/>
            <w:tcBorders>
              <w:top w:val="nil"/>
              <w:left w:val="nil"/>
              <w:bottom w:val="nil"/>
              <w:right w:val="nil"/>
            </w:tcBorders>
            <w:shd w:val="clear" w:color="000000" w:fill="FFFFFF"/>
            <w:noWrap/>
            <w:vAlign w:val="bottom"/>
            <w:hideMark/>
          </w:tcPr>
          <w:p w14:paraId="3682426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980" w:type="dxa"/>
            <w:tcBorders>
              <w:top w:val="nil"/>
              <w:left w:val="nil"/>
              <w:bottom w:val="nil"/>
              <w:right w:val="nil"/>
            </w:tcBorders>
            <w:shd w:val="clear" w:color="000000" w:fill="FFFFFF"/>
            <w:noWrap/>
            <w:vAlign w:val="bottom"/>
            <w:hideMark/>
          </w:tcPr>
          <w:p w14:paraId="3E3AD47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020" w:type="dxa"/>
            <w:tcBorders>
              <w:top w:val="nil"/>
              <w:left w:val="nil"/>
              <w:bottom w:val="nil"/>
              <w:right w:val="nil"/>
            </w:tcBorders>
            <w:shd w:val="clear" w:color="000000" w:fill="FFFFFF"/>
            <w:noWrap/>
            <w:vAlign w:val="bottom"/>
            <w:hideMark/>
          </w:tcPr>
          <w:p w14:paraId="71F5D20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c>
          <w:tcPr>
            <w:tcW w:w="1120" w:type="dxa"/>
            <w:tcBorders>
              <w:top w:val="nil"/>
              <w:left w:val="nil"/>
              <w:bottom w:val="nil"/>
              <w:right w:val="nil"/>
            </w:tcBorders>
            <w:shd w:val="clear" w:color="000000" w:fill="FFFFFF"/>
            <w:noWrap/>
            <w:vAlign w:val="bottom"/>
            <w:hideMark/>
          </w:tcPr>
          <w:p w14:paraId="7E86B5C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r>
      <w:tr w:rsidR="00451E12" w:rsidRPr="00451E12" w14:paraId="566CC1E3" w14:textId="77777777" w:rsidTr="00451E12">
        <w:trPr>
          <w:trHeight w:val="237"/>
        </w:trPr>
        <w:tc>
          <w:tcPr>
            <w:tcW w:w="272" w:type="dxa"/>
            <w:vMerge/>
            <w:tcBorders>
              <w:top w:val="nil"/>
              <w:left w:val="nil"/>
              <w:bottom w:val="single" w:sz="4" w:space="0" w:color="D0CECE"/>
              <w:right w:val="nil"/>
            </w:tcBorders>
            <w:vAlign w:val="center"/>
            <w:hideMark/>
          </w:tcPr>
          <w:p w14:paraId="45D60EA4"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3FFC7B8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receiving easy-read questionnaire</w:t>
            </w:r>
          </w:p>
        </w:tc>
        <w:tc>
          <w:tcPr>
            <w:tcW w:w="980" w:type="dxa"/>
            <w:tcBorders>
              <w:top w:val="nil"/>
              <w:left w:val="nil"/>
              <w:bottom w:val="nil"/>
              <w:right w:val="nil"/>
            </w:tcBorders>
            <w:shd w:val="clear" w:color="000000" w:fill="FFFFFF"/>
            <w:noWrap/>
            <w:vAlign w:val="bottom"/>
            <w:hideMark/>
          </w:tcPr>
          <w:p w14:paraId="541C9F1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980" w:type="dxa"/>
            <w:tcBorders>
              <w:top w:val="nil"/>
              <w:left w:val="nil"/>
              <w:bottom w:val="nil"/>
              <w:right w:val="nil"/>
            </w:tcBorders>
            <w:shd w:val="clear" w:color="000000" w:fill="FFFFFF"/>
            <w:noWrap/>
            <w:vAlign w:val="bottom"/>
            <w:hideMark/>
          </w:tcPr>
          <w:p w14:paraId="69114C5D"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0.005*</w:t>
            </w:r>
          </w:p>
        </w:tc>
        <w:tc>
          <w:tcPr>
            <w:tcW w:w="1020" w:type="dxa"/>
            <w:tcBorders>
              <w:top w:val="nil"/>
              <w:left w:val="nil"/>
              <w:bottom w:val="nil"/>
              <w:right w:val="nil"/>
            </w:tcBorders>
            <w:shd w:val="clear" w:color="000000" w:fill="FFFFFF"/>
            <w:noWrap/>
            <w:vAlign w:val="bottom"/>
            <w:hideMark/>
          </w:tcPr>
          <w:p w14:paraId="57AB7F6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1120" w:type="dxa"/>
            <w:tcBorders>
              <w:top w:val="nil"/>
              <w:left w:val="nil"/>
              <w:bottom w:val="nil"/>
              <w:right w:val="nil"/>
            </w:tcBorders>
            <w:shd w:val="clear" w:color="000000" w:fill="FFFFFF"/>
            <w:noWrap/>
            <w:vAlign w:val="bottom"/>
            <w:hideMark/>
          </w:tcPr>
          <w:p w14:paraId="6943504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r>
      <w:tr w:rsidR="00451E12" w:rsidRPr="00451E12" w14:paraId="2660B758" w14:textId="77777777" w:rsidTr="00451E12">
        <w:trPr>
          <w:trHeight w:val="237"/>
        </w:trPr>
        <w:tc>
          <w:tcPr>
            <w:tcW w:w="272" w:type="dxa"/>
            <w:vMerge/>
            <w:tcBorders>
              <w:top w:val="nil"/>
              <w:left w:val="nil"/>
              <w:bottom w:val="single" w:sz="4" w:space="0" w:color="D0CECE"/>
              <w:right w:val="nil"/>
            </w:tcBorders>
            <w:vAlign w:val="center"/>
            <w:hideMark/>
          </w:tcPr>
          <w:p w14:paraId="2556FD7B"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15470D43"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receiving no help with questionnaire</w:t>
            </w:r>
          </w:p>
        </w:tc>
        <w:tc>
          <w:tcPr>
            <w:tcW w:w="980" w:type="dxa"/>
            <w:tcBorders>
              <w:top w:val="nil"/>
              <w:left w:val="nil"/>
              <w:bottom w:val="nil"/>
              <w:right w:val="nil"/>
            </w:tcBorders>
            <w:shd w:val="clear" w:color="000000" w:fill="FFFFFF"/>
            <w:noWrap/>
            <w:vAlign w:val="bottom"/>
            <w:hideMark/>
          </w:tcPr>
          <w:p w14:paraId="61D471F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c>
          <w:tcPr>
            <w:tcW w:w="980" w:type="dxa"/>
            <w:tcBorders>
              <w:top w:val="nil"/>
              <w:left w:val="nil"/>
              <w:bottom w:val="nil"/>
              <w:right w:val="nil"/>
            </w:tcBorders>
            <w:shd w:val="clear" w:color="000000" w:fill="FFFFFF"/>
            <w:noWrap/>
            <w:vAlign w:val="bottom"/>
            <w:hideMark/>
          </w:tcPr>
          <w:p w14:paraId="2E242A0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1020" w:type="dxa"/>
            <w:tcBorders>
              <w:top w:val="nil"/>
              <w:left w:val="nil"/>
              <w:bottom w:val="nil"/>
              <w:right w:val="nil"/>
            </w:tcBorders>
            <w:shd w:val="clear" w:color="000000" w:fill="FFFFFF"/>
            <w:noWrap/>
            <w:vAlign w:val="bottom"/>
            <w:hideMark/>
          </w:tcPr>
          <w:p w14:paraId="3C6C411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-0.018***</w:t>
            </w:r>
          </w:p>
        </w:tc>
        <w:tc>
          <w:tcPr>
            <w:tcW w:w="1120" w:type="dxa"/>
            <w:tcBorders>
              <w:top w:val="nil"/>
              <w:left w:val="nil"/>
              <w:bottom w:val="nil"/>
              <w:right w:val="nil"/>
            </w:tcBorders>
            <w:shd w:val="clear" w:color="000000" w:fill="FFFFFF"/>
            <w:noWrap/>
            <w:vAlign w:val="bottom"/>
            <w:hideMark/>
          </w:tcPr>
          <w:p w14:paraId="2009788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r>
      <w:tr w:rsidR="00451E12" w:rsidRPr="00451E12" w14:paraId="6FA48CEF" w14:textId="77777777" w:rsidTr="00451E12">
        <w:trPr>
          <w:trHeight w:val="237"/>
        </w:trPr>
        <w:tc>
          <w:tcPr>
            <w:tcW w:w="272" w:type="dxa"/>
            <w:vMerge/>
            <w:tcBorders>
              <w:top w:val="nil"/>
              <w:left w:val="nil"/>
              <w:bottom w:val="single" w:sz="4" w:space="0" w:color="D0CECE"/>
              <w:right w:val="nil"/>
            </w:tcBorders>
            <w:vAlign w:val="center"/>
            <w:hideMark/>
          </w:tcPr>
          <w:p w14:paraId="67667392"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606CA89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whose questionnaire was read by someone else</w:t>
            </w:r>
          </w:p>
        </w:tc>
        <w:tc>
          <w:tcPr>
            <w:tcW w:w="980" w:type="dxa"/>
            <w:tcBorders>
              <w:top w:val="nil"/>
              <w:left w:val="nil"/>
              <w:bottom w:val="nil"/>
              <w:right w:val="nil"/>
            </w:tcBorders>
            <w:shd w:val="clear" w:color="000000" w:fill="FFFFFF"/>
            <w:noWrap/>
            <w:vAlign w:val="bottom"/>
            <w:hideMark/>
          </w:tcPr>
          <w:p w14:paraId="438D838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c>
          <w:tcPr>
            <w:tcW w:w="980" w:type="dxa"/>
            <w:tcBorders>
              <w:top w:val="nil"/>
              <w:left w:val="nil"/>
              <w:bottom w:val="nil"/>
              <w:right w:val="nil"/>
            </w:tcBorders>
            <w:shd w:val="clear" w:color="000000" w:fill="FFFFFF"/>
            <w:noWrap/>
            <w:vAlign w:val="bottom"/>
            <w:hideMark/>
          </w:tcPr>
          <w:p w14:paraId="26FC7D0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-0.005</w:t>
            </w:r>
          </w:p>
        </w:tc>
        <w:tc>
          <w:tcPr>
            <w:tcW w:w="1020" w:type="dxa"/>
            <w:tcBorders>
              <w:top w:val="nil"/>
              <w:left w:val="nil"/>
              <w:bottom w:val="nil"/>
              <w:right w:val="nil"/>
            </w:tcBorders>
            <w:shd w:val="clear" w:color="000000" w:fill="FFFFFF"/>
            <w:noWrap/>
            <w:vAlign w:val="bottom"/>
            <w:hideMark/>
          </w:tcPr>
          <w:p w14:paraId="3F5485D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-0.012**</w:t>
            </w:r>
          </w:p>
        </w:tc>
        <w:tc>
          <w:tcPr>
            <w:tcW w:w="1120" w:type="dxa"/>
            <w:tcBorders>
              <w:top w:val="nil"/>
              <w:left w:val="nil"/>
              <w:bottom w:val="nil"/>
              <w:right w:val="nil"/>
            </w:tcBorders>
            <w:shd w:val="clear" w:color="000000" w:fill="FFFFFF"/>
            <w:noWrap/>
            <w:vAlign w:val="bottom"/>
            <w:hideMark/>
          </w:tcPr>
          <w:p w14:paraId="289ED02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4BD0367C" w14:textId="77777777" w:rsidTr="00451E12">
        <w:trPr>
          <w:trHeight w:val="237"/>
        </w:trPr>
        <w:tc>
          <w:tcPr>
            <w:tcW w:w="272" w:type="dxa"/>
            <w:vMerge/>
            <w:tcBorders>
              <w:top w:val="nil"/>
              <w:left w:val="nil"/>
              <w:bottom w:val="single" w:sz="4" w:space="0" w:color="D0CECE"/>
              <w:right w:val="nil"/>
            </w:tcBorders>
            <w:vAlign w:val="center"/>
            <w:hideMark/>
          </w:tcPr>
          <w:p w14:paraId="16BF9713"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4F137D42"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whose questionnaire was translated by someone else</w:t>
            </w:r>
          </w:p>
        </w:tc>
        <w:tc>
          <w:tcPr>
            <w:tcW w:w="980" w:type="dxa"/>
            <w:tcBorders>
              <w:top w:val="nil"/>
              <w:left w:val="nil"/>
              <w:bottom w:val="nil"/>
              <w:right w:val="nil"/>
            </w:tcBorders>
            <w:shd w:val="clear" w:color="000000" w:fill="FFFFFF"/>
            <w:noWrap/>
            <w:vAlign w:val="bottom"/>
            <w:hideMark/>
          </w:tcPr>
          <w:p w14:paraId="39B9202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980" w:type="dxa"/>
            <w:tcBorders>
              <w:top w:val="nil"/>
              <w:left w:val="nil"/>
              <w:bottom w:val="nil"/>
              <w:right w:val="nil"/>
            </w:tcBorders>
            <w:shd w:val="clear" w:color="000000" w:fill="FFFFFF"/>
            <w:noWrap/>
            <w:vAlign w:val="bottom"/>
            <w:hideMark/>
          </w:tcPr>
          <w:p w14:paraId="0E131D1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c>
          <w:tcPr>
            <w:tcW w:w="1020" w:type="dxa"/>
            <w:tcBorders>
              <w:top w:val="nil"/>
              <w:left w:val="nil"/>
              <w:bottom w:val="nil"/>
              <w:right w:val="nil"/>
            </w:tcBorders>
            <w:shd w:val="clear" w:color="000000" w:fill="FFFFFF"/>
            <w:noWrap/>
            <w:vAlign w:val="bottom"/>
            <w:hideMark/>
          </w:tcPr>
          <w:p w14:paraId="0E5083B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-0.006</w:t>
            </w:r>
          </w:p>
        </w:tc>
        <w:tc>
          <w:tcPr>
            <w:tcW w:w="1120" w:type="dxa"/>
            <w:tcBorders>
              <w:top w:val="nil"/>
              <w:left w:val="nil"/>
              <w:bottom w:val="nil"/>
              <w:right w:val="nil"/>
            </w:tcBorders>
            <w:shd w:val="clear" w:color="000000" w:fill="FFFFFF"/>
            <w:noWrap/>
            <w:vAlign w:val="bottom"/>
            <w:hideMark/>
          </w:tcPr>
          <w:p w14:paraId="41D963A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r>
      <w:tr w:rsidR="00451E12" w:rsidRPr="00451E12" w14:paraId="006ED59F" w14:textId="77777777" w:rsidTr="00451E12">
        <w:trPr>
          <w:trHeight w:val="237"/>
        </w:trPr>
        <w:tc>
          <w:tcPr>
            <w:tcW w:w="272" w:type="dxa"/>
            <w:vMerge/>
            <w:tcBorders>
              <w:top w:val="nil"/>
              <w:left w:val="nil"/>
              <w:bottom w:val="single" w:sz="4" w:space="0" w:color="D0CECE"/>
              <w:right w:val="nil"/>
            </w:tcBorders>
            <w:vAlign w:val="center"/>
            <w:hideMark/>
          </w:tcPr>
          <w:p w14:paraId="0DC71DD3"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2ACFD4E9"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whose questionnaire was only filled in by someone else</w:t>
            </w:r>
          </w:p>
        </w:tc>
        <w:tc>
          <w:tcPr>
            <w:tcW w:w="980" w:type="dxa"/>
            <w:tcBorders>
              <w:top w:val="nil"/>
              <w:left w:val="nil"/>
              <w:bottom w:val="nil"/>
              <w:right w:val="nil"/>
            </w:tcBorders>
            <w:shd w:val="clear" w:color="000000" w:fill="FFFFFF"/>
            <w:noWrap/>
            <w:vAlign w:val="bottom"/>
            <w:hideMark/>
          </w:tcPr>
          <w:p w14:paraId="0227BD6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980" w:type="dxa"/>
            <w:tcBorders>
              <w:top w:val="nil"/>
              <w:left w:val="nil"/>
              <w:bottom w:val="nil"/>
              <w:right w:val="nil"/>
            </w:tcBorders>
            <w:shd w:val="clear" w:color="000000" w:fill="FFFFFF"/>
            <w:noWrap/>
            <w:vAlign w:val="bottom"/>
            <w:hideMark/>
          </w:tcPr>
          <w:p w14:paraId="4999A1D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020" w:type="dxa"/>
            <w:tcBorders>
              <w:top w:val="nil"/>
              <w:left w:val="nil"/>
              <w:bottom w:val="nil"/>
              <w:right w:val="nil"/>
            </w:tcBorders>
            <w:shd w:val="clear" w:color="000000" w:fill="FFFFFF"/>
            <w:noWrap/>
            <w:vAlign w:val="bottom"/>
            <w:hideMark/>
          </w:tcPr>
          <w:p w14:paraId="25E34A6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120" w:type="dxa"/>
            <w:tcBorders>
              <w:top w:val="nil"/>
              <w:left w:val="nil"/>
              <w:bottom w:val="nil"/>
              <w:right w:val="nil"/>
            </w:tcBorders>
            <w:shd w:val="clear" w:color="000000" w:fill="FFFFFF"/>
            <w:noWrap/>
            <w:vAlign w:val="bottom"/>
            <w:hideMark/>
          </w:tcPr>
          <w:p w14:paraId="1BAABF0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0082F39A" w14:textId="77777777" w:rsidTr="00451E12">
        <w:trPr>
          <w:trHeight w:val="237"/>
        </w:trPr>
        <w:tc>
          <w:tcPr>
            <w:tcW w:w="272" w:type="dxa"/>
            <w:vMerge/>
            <w:tcBorders>
              <w:top w:val="nil"/>
              <w:left w:val="nil"/>
              <w:bottom w:val="single" w:sz="4" w:space="0" w:color="D0CECE"/>
              <w:right w:val="nil"/>
            </w:tcBorders>
            <w:vAlign w:val="center"/>
            <w:hideMark/>
          </w:tcPr>
          <w:p w14:paraId="3705EE15"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798B73BE"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whose questionnaire was talked through with someone else</w:t>
            </w:r>
          </w:p>
        </w:tc>
        <w:tc>
          <w:tcPr>
            <w:tcW w:w="980" w:type="dxa"/>
            <w:tcBorders>
              <w:top w:val="nil"/>
              <w:left w:val="nil"/>
              <w:bottom w:val="nil"/>
              <w:right w:val="nil"/>
            </w:tcBorders>
            <w:shd w:val="clear" w:color="000000" w:fill="FFFFFF"/>
            <w:noWrap/>
            <w:vAlign w:val="bottom"/>
            <w:hideMark/>
          </w:tcPr>
          <w:p w14:paraId="75E43CB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980" w:type="dxa"/>
            <w:tcBorders>
              <w:top w:val="nil"/>
              <w:left w:val="nil"/>
              <w:bottom w:val="nil"/>
              <w:right w:val="nil"/>
            </w:tcBorders>
            <w:shd w:val="clear" w:color="000000" w:fill="FFFFFF"/>
            <w:noWrap/>
            <w:vAlign w:val="bottom"/>
            <w:hideMark/>
          </w:tcPr>
          <w:p w14:paraId="4FF9A8D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0.009***</w:t>
            </w:r>
          </w:p>
        </w:tc>
        <w:tc>
          <w:tcPr>
            <w:tcW w:w="1020" w:type="dxa"/>
            <w:tcBorders>
              <w:top w:val="nil"/>
              <w:left w:val="nil"/>
              <w:bottom w:val="nil"/>
              <w:right w:val="nil"/>
            </w:tcBorders>
            <w:shd w:val="clear" w:color="000000" w:fill="FFFFFF"/>
            <w:noWrap/>
            <w:vAlign w:val="bottom"/>
            <w:hideMark/>
          </w:tcPr>
          <w:p w14:paraId="37CE5BA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c>
          <w:tcPr>
            <w:tcW w:w="1120" w:type="dxa"/>
            <w:tcBorders>
              <w:top w:val="nil"/>
              <w:left w:val="nil"/>
              <w:bottom w:val="nil"/>
              <w:right w:val="nil"/>
            </w:tcBorders>
            <w:shd w:val="clear" w:color="000000" w:fill="FFFFFF"/>
            <w:noWrap/>
            <w:vAlign w:val="bottom"/>
            <w:hideMark/>
          </w:tcPr>
          <w:p w14:paraId="029DF31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-0.004</w:t>
            </w:r>
          </w:p>
        </w:tc>
      </w:tr>
      <w:tr w:rsidR="00451E12" w:rsidRPr="00451E12" w14:paraId="0877E08F" w14:textId="77777777" w:rsidTr="00451E12">
        <w:trPr>
          <w:trHeight w:val="237"/>
        </w:trPr>
        <w:tc>
          <w:tcPr>
            <w:tcW w:w="272" w:type="dxa"/>
            <w:vMerge/>
            <w:tcBorders>
              <w:top w:val="nil"/>
              <w:left w:val="nil"/>
              <w:bottom w:val="single" w:sz="4" w:space="0" w:color="D0CECE"/>
              <w:right w:val="nil"/>
            </w:tcBorders>
            <w:vAlign w:val="center"/>
            <w:hideMark/>
          </w:tcPr>
          <w:p w14:paraId="3AC80A4E"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27401505"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users whose questionnaire was answered by someone else</w:t>
            </w:r>
          </w:p>
        </w:tc>
        <w:tc>
          <w:tcPr>
            <w:tcW w:w="980" w:type="dxa"/>
            <w:tcBorders>
              <w:top w:val="nil"/>
              <w:left w:val="nil"/>
              <w:bottom w:val="nil"/>
              <w:right w:val="nil"/>
            </w:tcBorders>
            <w:shd w:val="clear" w:color="000000" w:fill="FFFFFF"/>
            <w:noWrap/>
            <w:vAlign w:val="bottom"/>
            <w:hideMark/>
          </w:tcPr>
          <w:p w14:paraId="60731A8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0.014**</w:t>
            </w:r>
          </w:p>
        </w:tc>
        <w:tc>
          <w:tcPr>
            <w:tcW w:w="980" w:type="dxa"/>
            <w:tcBorders>
              <w:top w:val="nil"/>
              <w:left w:val="nil"/>
              <w:bottom w:val="nil"/>
              <w:right w:val="nil"/>
            </w:tcBorders>
            <w:shd w:val="clear" w:color="000000" w:fill="FFFFFF"/>
            <w:noWrap/>
            <w:vAlign w:val="bottom"/>
            <w:hideMark/>
          </w:tcPr>
          <w:p w14:paraId="3ACCE82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020" w:type="dxa"/>
            <w:tcBorders>
              <w:top w:val="nil"/>
              <w:left w:val="nil"/>
              <w:bottom w:val="nil"/>
              <w:right w:val="nil"/>
            </w:tcBorders>
            <w:shd w:val="clear" w:color="000000" w:fill="FFFFFF"/>
            <w:noWrap/>
            <w:vAlign w:val="bottom"/>
            <w:hideMark/>
          </w:tcPr>
          <w:p w14:paraId="61F42FA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-0.017**</w:t>
            </w:r>
          </w:p>
        </w:tc>
        <w:tc>
          <w:tcPr>
            <w:tcW w:w="1120" w:type="dxa"/>
            <w:tcBorders>
              <w:top w:val="nil"/>
              <w:left w:val="nil"/>
              <w:bottom w:val="nil"/>
              <w:right w:val="nil"/>
            </w:tcBorders>
            <w:shd w:val="clear" w:color="000000" w:fill="FFFFFF"/>
            <w:noWrap/>
            <w:vAlign w:val="bottom"/>
            <w:hideMark/>
          </w:tcPr>
          <w:p w14:paraId="6FD639E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r>
      <w:tr w:rsidR="00451E12" w:rsidRPr="00451E12" w14:paraId="66C0EF92" w14:textId="77777777" w:rsidTr="00451E12">
        <w:trPr>
          <w:trHeight w:val="237"/>
        </w:trPr>
        <w:tc>
          <w:tcPr>
            <w:tcW w:w="272" w:type="dxa"/>
            <w:vMerge/>
            <w:tcBorders>
              <w:top w:val="nil"/>
              <w:left w:val="nil"/>
              <w:bottom w:val="single" w:sz="4" w:space="0" w:color="D0CECE"/>
              <w:right w:val="nil"/>
            </w:tcBorders>
            <w:vAlign w:val="center"/>
            <w:hideMark/>
          </w:tcPr>
          <w:p w14:paraId="79EE83D2"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4E440021"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female carers</w:t>
            </w:r>
          </w:p>
        </w:tc>
        <w:tc>
          <w:tcPr>
            <w:tcW w:w="980" w:type="dxa"/>
            <w:tcBorders>
              <w:top w:val="nil"/>
              <w:left w:val="nil"/>
              <w:bottom w:val="nil"/>
              <w:right w:val="nil"/>
            </w:tcBorders>
            <w:shd w:val="clear" w:color="000000" w:fill="FFFFFF"/>
            <w:noWrap/>
            <w:vAlign w:val="bottom"/>
            <w:hideMark/>
          </w:tcPr>
          <w:p w14:paraId="21C5E11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980" w:type="dxa"/>
            <w:tcBorders>
              <w:top w:val="nil"/>
              <w:left w:val="nil"/>
              <w:bottom w:val="nil"/>
              <w:right w:val="nil"/>
            </w:tcBorders>
            <w:shd w:val="clear" w:color="000000" w:fill="FFFFFF"/>
            <w:noWrap/>
            <w:vAlign w:val="bottom"/>
            <w:hideMark/>
          </w:tcPr>
          <w:p w14:paraId="3F59B0F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020" w:type="dxa"/>
            <w:tcBorders>
              <w:top w:val="nil"/>
              <w:left w:val="nil"/>
              <w:bottom w:val="nil"/>
              <w:right w:val="nil"/>
            </w:tcBorders>
            <w:shd w:val="clear" w:color="000000" w:fill="FFFFFF"/>
            <w:noWrap/>
            <w:vAlign w:val="bottom"/>
            <w:hideMark/>
          </w:tcPr>
          <w:p w14:paraId="6EE6934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1120" w:type="dxa"/>
            <w:tcBorders>
              <w:top w:val="nil"/>
              <w:left w:val="nil"/>
              <w:bottom w:val="nil"/>
              <w:right w:val="nil"/>
            </w:tcBorders>
            <w:shd w:val="clear" w:color="000000" w:fill="FFFFFF"/>
            <w:noWrap/>
            <w:vAlign w:val="bottom"/>
            <w:hideMark/>
          </w:tcPr>
          <w:p w14:paraId="1EACD05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69A9FB18" w14:textId="77777777" w:rsidTr="00451E12">
        <w:trPr>
          <w:trHeight w:val="237"/>
        </w:trPr>
        <w:tc>
          <w:tcPr>
            <w:tcW w:w="272" w:type="dxa"/>
            <w:vMerge/>
            <w:tcBorders>
              <w:top w:val="nil"/>
              <w:left w:val="nil"/>
              <w:bottom w:val="single" w:sz="4" w:space="0" w:color="D0CECE"/>
              <w:right w:val="nil"/>
            </w:tcBorders>
            <w:vAlign w:val="center"/>
            <w:hideMark/>
          </w:tcPr>
          <w:p w14:paraId="12B391B4"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0DE95BD1"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aged 65 or older</w:t>
            </w:r>
          </w:p>
        </w:tc>
        <w:tc>
          <w:tcPr>
            <w:tcW w:w="980" w:type="dxa"/>
            <w:tcBorders>
              <w:top w:val="nil"/>
              <w:left w:val="nil"/>
              <w:bottom w:val="nil"/>
              <w:right w:val="nil"/>
            </w:tcBorders>
            <w:shd w:val="clear" w:color="000000" w:fill="FFFFFF"/>
            <w:noWrap/>
            <w:vAlign w:val="bottom"/>
            <w:hideMark/>
          </w:tcPr>
          <w:p w14:paraId="4C7427F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980" w:type="dxa"/>
            <w:tcBorders>
              <w:top w:val="nil"/>
              <w:left w:val="nil"/>
              <w:bottom w:val="nil"/>
              <w:right w:val="nil"/>
            </w:tcBorders>
            <w:shd w:val="clear" w:color="000000" w:fill="FFFFFF"/>
            <w:noWrap/>
            <w:vAlign w:val="bottom"/>
            <w:hideMark/>
          </w:tcPr>
          <w:p w14:paraId="1F2DC35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020" w:type="dxa"/>
            <w:tcBorders>
              <w:top w:val="nil"/>
              <w:left w:val="nil"/>
              <w:bottom w:val="nil"/>
              <w:right w:val="nil"/>
            </w:tcBorders>
            <w:shd w:val="clear" w:color="000000" w:fill="FFFFFF"/>
            <w:noWrap/>
            <w:vAlign w:val="bottom"/>
            <w:hideMark/>
          </w:tcPr>
          <w:p w14:paraId="39AB923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1120" w:type="dxa"/>
            <w:tcBorders>
              <w:top w:val="nil"/>
              <w:left w:val="nil"/>
              <w:bottom w:val="nil"/>
              <w:right w:val="nil"/>
            </w:tcBorders>
            <w:shd w:val="clear" w:color="000000" w:fill="FFFFFF"/>
            <w:noWrap/>
            <w:vAlign w:val="bottom"/>
            <w:hideMark/>
          </w:tcPr>
          <w:p w14:paraId="0614DE8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5002230B" w14:textId="77777777" w:rsidTr="00451E12">
        <w:trPr>
          <w:trHeight w:val="237"/>
        </w:trPr>
        <w:tc>
          <w:tcPr>
            <w:tcW w:w="272" w:type="dxa"/>
            <w:vMerge/>
            <w:tcBorders>
              <w:top w:val="nil"/>
              <w:left w:val="nil"/>
              <w:bottom w:val="single" w:sz="4" w:space="0" w:color="D0CECE"/>
              <w:right w:val="nil"/>
            </w:tcBorders>
            <w:vAlign w:val="center"/>
            <w:hideMark/>
          </w:tcPr>
          <w:p w14:paraId="3912B2F1"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1D679E9F"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whose care recipient is 65 or older</w:t>
            </w:r>
          </w:p>
        </w:tc>
        <w:tc>
          <w:tcPr>
            <w:tcW w:w="980" w:type="dxa"/>
            <w:tcBorders>
              <w:top w:val="nil"/>
              <w:left w:val="nil"/>
              <w:bottom w:val="nil"/>
              <w:right w:val="nil"/>
            </w:tcBorders>
            <w:shd w:val="clear" w:color="000000" w:fill="FFFFFF"/>
            <w:noWrap/>
            <w:vAlign w:val="bottom"/>
            <w:hideMark/>
          </w:tcPr>
          <w:p w14:paraId="2B3CEFC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980" w:type="dxa"/>
            <w:tcBorders>
              <w:top w:val="nil"/>
              <w:left w:val="nil"/>
              <w:bottom w:val="nil"/>
              <w:right w:val="nil"/>
            </w:tcBorders>
            <w:shd w:val="clear" w:color="000000" w:fill="FFFFFF"/>
            <w:noWrap/>
            <w:vAlign w:val="bottom"/>
            <w:hideMark/>
          </w:tcPr>
          <w:p w14:paraId="5BC7CA6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020" w:type="dxa"/>
            <w:tcBorders>
              <w:top w:val="nil"/>
              <w:left w:val="nil"/>
              <w:bottom w:val="nil"/>
              <w:right w:val="nil"/>
            </w:tcBorders>
            <w:shd w:val="clear" w:color="000000" w:fill="FFFFFF"/>
            <w:noWrap/>
            <w:vAlign w:val="bottom"/>
            <w:hideMark/>
          </w:tcPr>
          <w:p w14:paraId="1AADEB0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120" w:type="dxa"/>
            <w:tcBorders>
              <w:top w:val="nil"/>
              <w:left w:val="nil"/>
              <w:bottom w:val="nil"/>
              <w:right w:val="nil"/>
            </w:tcBorders>
            <w:shd w:val="clear" w:color="000000" w:fill="FFFFFF"/>
            <w:noWrap/>
            <w:vAlign w:val="bottom"/>
            <w:hideMark/>
          </w:tcPr>
          <w:p w14:paraId="1D1F2CB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r>
      <w:tr w:rsidR="00451E12" w:rsidRPr="00451E12" w14:paraId="1488F854" w14:textId="77777777" w:rsidTr="00451E12">
        <w:trPr>
          <w:trHeight w:val="237"/>
        </w:trPr>
        <w:tc>
          <w:tcPr>
            <w:tcW w:w="272" w:type="dxa"/>
            <w:vMerge/>
            <w:tcBorders>
              <w:top w:val="nil"/>
              <w:left w:val="nil"/>
              <w:bottom w:val="single" w:sz="4" w:space="0" w:color="D0CECE"/>
              <w:right w:val="nil"/>
            </w:tcBorders>
            <w:vAlign w:val="center"/>
            <w:hideMark/>
          </w:tcPr>
          <w:p w14:paraId="7D07454B"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1AFA4875"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in caring role between 6 months and 1 year</w:t>
            </w:r>
          </w:p>
        </w:tc>
        <w:tc>
          <w:tcPr>
            <w:tcW w:w="980" w:type="dxa"/>
            <w:tcBorders>
              <w:top w:val="nil"/>
              <w:left w:val="nil"/>
              <w:bottom w:val="nil"/>
              <w:right w:val="nil"/>
            </w:tcBorders>
            <w:shd w:val="clear" w:color="000000" w:fill="FFFFFF"/>
            <w:noWrap/>
            <w:vAlign w:val="bottom"/>
            <w:hideMark/>
          </w:tcPr>
          <w:p w14:paraId="0EBA6DE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0.007</w:t>
            </w:r>
          </w:p>
        </w:tc>
        <w:tc>
          <w:tcPr>
            <w:tcW w:w="980" w:type="dxa"/>
            <w:tcBorders>
              <w:top w:val="nil"/>
              <w:left w:val="nil"/>
              <w:bottom w:val="nil"/>
              <w:right w:val="nil"/>
            </w:tcBorders>
            <w:shd w:val="clear" w:color="000000" w:fill="FFFFFF"/>
            <w:noWrap/>
            <w:vAlign w:val="bottom"/>
            <w:hideMark/>
          </w:tcPr>
          <w:p w14:paraId="2115D4C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0.018</w:t>
            </w:r>
          </w:p>
        </w:tc>
        <w:tc>
          <w:tcPr>
            <w:tcW w:w="1020" w:type="dxa"/>
            <w:tcBorders>
              <w:top w:val="nil"/>
              <w:left w:val="nil"/>
              <w:bottom w:val="nil"/>
              <w:right w:val="nil"/>
            </w:tcBorders>
            <w:shd w:val="clear" w:color="000000" w:fill="FFFFFF"/>
            <w:noWrap/>
            <w:vAlign w:val="bottom"/>
            <w:hideMark/>
          </w:tcPr>
          <w:p w14:paraId="5D90F58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0.030</w:t>
            </w:r>
          </w:p>
        </w:tc>
        <w:tc>
          <w:tcPr>
            <w:tcW w:w="1120" w:type="dxa"/>
            <w:tcBorders>
              <w:top w:val="nil"/>
              <w:left w:val="nil"/>
              <w:bottom w:val="nil"/>
              <w:right w:val="nil"/>
            </w:tcBorders>
            <w:shd w:val="clear" w:color="000000" w:fill="FFFFFF"/>
            <w:noWrap/>
            <w:vAlign w:val="bottom"/>
            <w:hideMark/>
          </w:tcPr>
          <w:p w14:paraId="1D27A24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r>
      <w:tr w:rsidR="00451E12" w:rsidRPr="00451E12" w14:paraId="26A28F66" w14:textId="77777777" w:rsidTr="00451E12">
        <w:trPr>
          <w:trHeight w:val="237"/>
        </w:trPr>
        <w:tc>
          <w:tcPr>
            <w:tcW w:w="272" w:type="dxa"/>
            <w:vMerge/>
            <w:tcBorders>
              <w:top w:val="nil"/>
              <w:left w:val="nil"/>
              <w:bottom w:val="single" w:sz="4" w:space="0" w:color="D0CECE"/>
              <w:right w:val="nil"/>
            </w:tcBorders>
            <w:vAlign w:val="center"/>
            <w:hideMark/>
          </w:tcPr>
          <w:p w14:paraId="65AB5806"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795CD024"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in caring role for more than 1 year</w:t>
            </w:r>
          </w:p>
        </w:tc>
        <w:tc>
          <w:tcPr>
            <w:tcW w:w="980" w:type="dxa"/>
            <w:tcBorders>
              <w:top w:val="nil"/>
              <w:left w:val="nil"/>
              <w:bottom w:val="nil"/>
              <w:right w:val="nil"/>
            </w:tcBorders>
            <w:shd w:val="clear" w:color="000000" w:fill="FFFFFF"/>
            <w:noWrap/>
            <w:vAlign w:val="bottom"/>
            <w:hideMark/>
          </w:tcPr>
          <w:p w14:paraId="78A9FFD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0.014</w:t>
            </w:r>
          </w:p>
        </w:tc>
        <w:tc>
          <w:tcPr>
            <w:tcW w:w="980" w:type="dxa"/>
            <w:tcBorders>
              <w:top w:val="nil"/>
              <w:left w:val="nil"/>
              <w:bottom w:val="nil"/>
              <w:right w:val="nil"/>
            </w:tcBorders>
            <w:shd w:val="clear" w:color="000000" w:fill="FFFFFF"/>
            <w:noWrap/>
            <w:vAlign w:val="bottom"/>
            <w:hideMark/>
          </w:tcPr>
          <w:p w14:paraId="2CC8EA9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0.009</w:t>
            </w:r>
          </w:p>
        </w:tc>
        <w:tc>
          <w:tcPr>
            <w:tcW w:w="1020" w:type="dxa"/>
            <w:tcBorders>
              <w:top w:val="nil"/>
              <w:left w:val="nil"/>
              <w:bottom w:val="nil"/>
              <w:right w:val="nil"/>
            </w:tcBorders>
            <w:shd w:val="clear" w:color="000000" w:fill="FFFFFF"/>
            <w:noWrap/>
            <w:vAlign w:val="bottom"/>
            <w:hideMark/>
          </w:tcPr>
          <w:p w14:paraId="32DC9D1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0.019</w:t>
            </w:r>
          </w:p>
        </w:tc>
        <w:tc>
          <w:tcPr>
            <w:tcW w:w="1120" w:type="dxa"/>
            <w:tcBorders>
              <w:top w:val="nil"/>
              <w:left w:val="nil"/>
              <w:bottom w:val="nil"/>
              <w:right w:val="nil"/>
            </w:tcBorders>
            <w:shd w:val="clear" w:color="000000" w:fill="FFFFFF"/>
            <w:noWrap/>
            <w:vAlign w:val="bottom"/>
            <w:hideMark/>
          </w:tcPr>
          <w:p w14:paraId="5482527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r>
      <w:tr w:rsidR="00451E12" w:rsidRPr="00451E12" w14:paraId="62265EDB" w14:textId="77777777" w:rsidTr="00451E12">
        <w:trPr>
          <w:trHeight w:val="237"/>
        </w:trPr>
        <w:tc>
          <w:tcPr>
            <w:tcW w:w="272" w:type="dxa"/>
            <w:vMerge/>
            <w:tcBorders>
              <w:top w:val="nil"/>
              <w:left w:val="nil"/>
              <w:bottom w:val="single" w:sz="4" w:space="0" w:color="D0CECE"/>
              <w:right w:val="nil"/>
            </w:tcBorders>
            <w:vAlign w:val="center"/>
            <w:hideMark/>
          </w:tcPr>
          <w:p w14:paraId="456412AC"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2B2D296D"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who are retired</w:t>
            </w:r>
          </w:p>
        </w:tc>
        <w:tc>
          <w:tcPr>
            <w:tcW w:w="980" w:type="dxa"/>
            <w:tcBorders>
              <w:top w:val="nil"/>
              <w:left w:val="nil"/>
              <w:bottom w:val="nil"/>
              <w:right w:val="nil"/>
            </w:tcBorders>
            <w:shd w:val="clear" w:color="000000" w:fill="FFFFFF"/>
            <w:noWrap/>
            <w:vAlign w:val="bottom"/>
            <w:hideMark/>
          </w:tcPr>
          <w:p w14:paraId="7E9B055F"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980" w:type="dxa"/>
            <w:tcBorders>
              <w:top w:val="nil"/>
              <w:left w:val="nil"/>
              <w:bottom w:val="nil"/>
              <w:right w:val="nil"/>
            </w:tcBorders>
            <w:shd w:val="clear" w:color="000000" w:fill="FFFFFF"/>
            <w:noWrap/>
            <w:vAlign w:val="bottom"/>
            <w:hideMark/>
          </w:tcPr>
          <w:p w14:paraId="1C2A185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020" w:type="dxa"/>
            <w:tcBorders>
              <w:top w:val="nil"/>
              <w:left w:val="nil"/>
              <w:bottom w:val="nil"/>
              <w:right w:val="nil"/>
            </w:tcBorders>
            <w:shd w:val="clear" w:color="000000" w:fill="FFFFFF"/>
            <w:noWrap/>
            <w:vAlign w:val="bottom"/>
            <w:hideMark/>
          </w:tcPr>
          <w:p w14:paraId="15F524D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c>
          <w:tcPr>
            <w:tcW w:w="1120" w:type="dxa"/>
            <w:tcBorders>
              <w:top w:val="nil"/>
              <w:left w:val="nil"/>
              <w:bottom w:val="nil"/>
              <w:right w:val="nil"/>
            </w:tcBorders>
            <w:shd w:val="clear" w:color="000000" w:fill="FFFFFF"/>
            <w:noWrap/>
            <w:vAlign w:val="bottom"/>
            <w:hideMark/>
          </w:tcPr>
          <w:p w14:paraId="789408E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r>
      <w:tr w:rsidR="00451E12" w:rsidRPr="00451E12" w14:paraId="35401A02" w14:textId="77777777" w:rsidTr="00451E12">
        <w:trPr>
          <w:trHeight w:val="237"/>
        </w:trPr>
        <w:tc>
          <w:tcPr>
            <w:tcW w:w="272" w:type="dxa"/>
            <w:vMerge/>
            <w:tcBorders>
              <w:top w:val="nil"/>
              <w:left w:val="nil"/>
              <w:bottom w:val="single" w:sz="4" w:space="0" w:color="D0CECE"/>
              <w:right w:val="nil"/>
            </w:tcBorders>
            <w:vAlign w:val="center"/>
            <w:hideMark/>
          </w:tcPr>
          <w:p w14:paraId="7511E8C6"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nil"/>
              <w:right w:val="nil"/>
            </w:tcBorders>
            <w:shd w:val="clear" w:color="000000" w:fill="FFFFFF"/>
            <w:noWrap/>
            <w:vAlign w:val="bottom"/>
            <w:hideMark/>
          </w:tcPr>
          <w:p w14:paraId="4B1BDF60"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experiencing a clash between work and caring role</w:t>
            </w:r>
          </w:p>
        </w:tc>
        <w:tc>
          <w:tcPr>
            <w:tcW w:w="980" w:type="dxa"/>
            <w:tcBorders>
              <w:top w:val="nil"/>
              <w:left w:val="nil"/>
              <w:bottom w:val="nil"/>
              <w:right w:val="nil"/>
            </w:tcBorders>
            <w:shd w:val="clear" w:color="000000" w:fill="FFFFFF"/>
            <w:noWrap/>
            <w:vAlign w:val="bottom"/>
            <w:hideMark/>
          </w:tcPr>
          <w:p w14:paraId="07555200"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0.008</w:t>
            </w:r>
          </w:p>
        </w:tc>
        <w:tc>
          <w:tcPr>
            <w:tcW w:w="980" w:type="dxa"/>
            <w:tcBorders>
              <w:top w:val="nil"/>
              <w:left w:val="nil"/>
              <w:bottom w:val="nil"/>
              <w:right w:val="nil"/>
            </w:tcBorders>
            <w:shd w:val="clear" w:color="000000" w:fill="FFFFFF"/>
            <w:noWrap/>
            <w:vAlign w:val="bottom"/>
            <w:hideMark/>
          </w:tcPr>
          <w:p w14:paraId="6F37819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0.009</w:t>
            </w:r>
          </w:p>
        </w:tc>
        <w:tc>
          <w:tcPr>
            <w:tcW w:w="1020" w:type="dxa"/>
            <w:tcBorders>
              <w:top w:val="nil"/>
              <w:left w:val="nil"/>
              <w:bottom w:val="nil"/>
              <w:right w:val="nil"/>
            </w:tcBorders>
            <w:shd w:val="clear" w:color="000000" w:fill="FFFFFF"/>
            <w:noWrap/>
            <w:vAlign w:val="bottom"/>
            <w:hideMark/>
          </w:tcPr>
          <w:p w14:paraId="3F739BE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0.001</w:t>
            </w:r>
          </w:p>
        </w:tc>
        <w:tc>
          <w:tcPr>
            <w:tcW w:w="1120" w:type="dxa"/>
            <w:tcBorders>
              <w:top w:val="nil"/>
              <w:left w:val="nil"/>
              <w:bottom w:val="nil"/>
              <w:right w:val="nil"/>
            </w:tcBorders>
            <w:shd w:val="clear" w:color="000000" w:fill="FFFFFF"/>
            <w:noWrap/>
            <w:vAlign w:val="bottom"/>
            <w:hideMark/>
          </w:tcPr>
          <w:p w14:paraId="512FE3B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0.005</w:t>
            </w:r>
          </w:p>
        </w:tc>
      </w:tr>
      <w:tr w:rsidR="00451E12" w:rsidRPr="00451E12" w14:paraId="4B241788" w14:textId="77777777" w:rsidTr="00451E12">
        <w:trPr>
          <w:trHeight w:val="237"/>
        </w:trPr>
        <w:tc>
          <w:tcPr>
            <w:tcW w:w="272" w:type="dxa"/>
            <w:vMerge/>
            <w:tcBorders>
              <w:top w:val="nil"/>
              <w:left w:val="nil"/>
              <w:bottom w:val="single" w:sz="4" w:space="0" w:color="D0CECE"/>
              <w:right w:val="nil"/>
            </w:tcBorders>
            <w:vAlign w:val="center"/>
            <w:hideMark/>
          </w:tcPr>
          <w:p w14:paraId="7732847B" w14:textId="77777777" w:rsidR="00451E12" w:rsidRPr="00451E12" w:rsidRDefault="00451E12" w:rsidP="00451E12">
            <w:pPr>
              <w:widowControl/>
              <w:spacing w:after="0"/>
              <w:jc w:val="left"/>
              <w:rPr>
                <w:rFonts w:ascii="Calibri" w:eastAsia="Times New Roman" w:hAnsi="Calibri" w:cs="Calibri"/>
                <w:sz w:val="16"/>
                <w:szCs w:val="16"/>
                <w:lang w:eastAsia="en-GB"/>
              </w:rPr>
            </w:pPr>
          </w:p>
        </w:tc>
        <w:tc>
          <w:tcPr>
            <w:tcW w:w="5588" w:type="dxa"/>
            <w:tcBorders>
              <w:top w:val="nil"/>
              <w:left w:val="nil"/>
              <w:bottom w:val="single" w:sz="4" w:space="0" w:color="D0CECE"/>
              <w:right w:val="nil"/>
            </w:tcBorders>
            <w:shd w:val="clear" w:color="000000" w:fill="FFFFFF"/>
            <w:noWrap/>
            <w:vAlign w:val="bottom"/>
            <w:hideMark/>
          </w:tcPr>
          <w:p w14:paraId="68116701"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Prop carers receiving help with questionnaire</w:t>
            </w:r>
          </w:p>
        </w:tc>
        <w:tc>
          <w:tcPr>
            <w:tcW w:w="980" w:type="dxa"/>
            <w:tcBorders>
              <w:top w:val="nil"/>
              <w:left w:val="nil"/>
              <w:bottom w:val="single" w:sz="4" w:space="0" w:color="D0CECE"/>
              <w:right w:val="nil"/>
            </w:tcBorders>
            <w:shd w:val="clear" w:color="000000" w:fill="FFFFFF"/>
            <w:noWrap/>
            <w:vAlign w:val="bottom"/>
            <w:hideMark/>
          </w:tcPr>
          <w:p w14:paraId="7EA9892C"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980" w:type="dxa"/>
            <w:tcBorders>
              <w:top w:val="nil"/>
              <w:left w:val="nil"/>
              <w:bottom w:val="single" w:sz="4" w:space="0" w:color="D0CECE"/>
              <w:right w:val="nil"/>
            </w:tcBorders>
            <w:shd w:val="clear" w:color="000000" w:fill="FFFFFF"/>
            <w:noWrap/>
            <w:vAlign w:val="bottom"/>
            <w:hideMark/>
          </w:tcPr>
          <w:p w14:paraId="490047D5"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c>
          <w:tcPr>
            <w:tcW w:w="1020" w:type="dxa"/>
            <w:tcBorders>
              <w:top w:val="nil"/>
              <w:left w:val="nil"/>
              <w:bottom w:val="single" w:sz="4" w:space="0" w:color="D0CECE"/>
              <w:right w:val="nil"/>
            </w:tcBorders>
            <w:shd w:val="clear" w:color="000000" w:fill="FFFFFF"/>
            <w:noWrap/>
            <w:vAlign w:val="bottom"/>
            <w:hideMark/>
          </w:tcPr>
          <w:p w14:paraId="2AD0911E"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0.000</w:t>
            </w:r>
          </w:p>
        </w:tc>
        <w:tc>
          <w:tcPr>
            <w:tcW w:w="1120" w:type="dxa"/>
            <w:tcBorders>
              <w:top w:val="nil"/>
              <w:left w:val="nil"/>
              <w:bottom w:val="single" w:sz="4" w:space="0" w:color="D0CECE"/>
              <w:right w:val="nil"/>
            </w:tcBorders>
            <w:shd w:val="clear" w:color="000000" w:fill="FFFFFF"/>
            <w:noWrap/>
            <w:vAlign w:val="bottom"/>
            <w:hideMark/>
          </w:tcPr>
          <w:p w14:paraId="1E5C0477"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0.002</w:t>
            </w:r>
          </w:p>
        </w:tc>
      </w:tr>
      <w:tr w:rsidR="00451E12" w:rsidRPr="00451E12" w14:paraId="64B77D37"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42A78F21"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Constant</w:t>
            </w:r>
          </w:p>
        </w:tc>
        <w:tc>
          <w:tcPr>
            <w:tcW w:w="980" w:type="dxa"/>
            <w:tcBorders>
              <w:top w:val="nil"/>
              <w:left w:val="nil"/>
              <w:bottom w:val="nil"/>
              <w:right w:val="nil"/>
            </w:tcBorders>
            <w:shd w:val="clear" w:color="000000" w:fill="FFFFFF"/>
            <w:noWrap/>
            <w:vAlign w:val="bottom"/>
            <w:hideMark/>
          </w:tcPr>
          <w:p w14:paraId="312AACD9"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4.764**</w:t>
            </w:r>
          </w:p>
        </w:tc>
        <w:tc>
          <w:tcPr>
            <w:tcW w:w="980" w:type="dxa"/>
            <w:tcBorders>
              <w:top w:val="nil"/>
              <w:left w:val="nil"/>
              <w:bottom w:val="nil"/>
              <w:right w:val="nil"/>
            </w:tcBorders>
            <w:shd w:val="clear" w:color="000000" w:fill="FFFFFF"/>
            <w:noWrap/>
            <w:vAlign w:val="bottom"/>
            <w:hideMark/>
          </w:tcPr>
          <w:p w14:paraId="4D35BBB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5.863***</w:t>
            </w:r>
          </w:p>
        </w:tc>
        <w:tc>
          <w:tcPr>
            <w:tcW w:w="1020" w:type="dxa"/>
            <w:tcBorders>
              <w:top w:val="nil"/>
              <w:left w:val="nil"/>
              <w:bottom w:val="nil"/>
              <w:right w:val="nil"/>
            </w:tcBorders>
            <w:shd w:val="clear" w:color="000000" w:fill="FFFFFF"/>
            <w:noWrap/>
            <w:vAlign w:val="bottom"/>
            <w:hideMark/>
          </w:tcPr>
          <w:p w14:paraId="216F9F92"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3.117</w:t>
            </w:r>
          </w:p>
        </w:tc>
        <w:tc>
          <w:tcPr>
            <w:tcW w:w="1120" w:type="dxa"/>
            <w:tcBorders>
              <w:top w:val="nil"/>
              <w:left w:val="nil"/>
              <w:bottom w:val="nil"/>
              <w:right w:val="nil"/>
            </w:tcBorders>
            <w:shd w:val="clear" w:color="000000" w:fill="FFFFFF"/>
            <w:noWrap/>
            <w:vAlign w:val="bottom"/>
            <w:hideMark/>
          </w:tcPr>
          <w:p w14:paraId="52496513"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7.713***</w:t>
            </w:r>
          </w:p>
        </w:tc>
      </w:tr>
      <w:tr w:rsidR="00451E12" w:rsidRPr="00451E12" w14:paraId="3757AA85" w14:textId="77777777" w:rsidTr="00451E12">
        <w:trPr>
          <w:trHeight w:val="237"/>
        </w:trPr>
        <w:tc>
          <w:tcPr>
            <w:tcW w:w="5860" w:type="dxa"/>
            <w:gridSpan w:val="2"/>
            <w:tcBorders>
              <w:top w:val="single" w:sz="4" w:space="0" w:color="auto"/>
              <w:left w:val="nil"/>
              <w:bottom w:val="single" w:sz="4" w:space="0" w:color="auto"/>
              <w:right w:val="nil"/>
            </w:tcBorders>
            <w:shd w:val="clear" w:color="000000" w:fill="FFFFFF"/>
            <w:noWrap/>
            <w:vAlign w:val="center"/>
            <w:hideMark/>
          </w:tcPr>
          <w:p w14:paraId="6E4B95B9"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Observations</w:t>
            </w:r>
          </w:p>
        </w:tc>
        <w:tc>
          <w:tcPr>
            <w:tcW w:w="980" w:type="dxa"/>
            <w:tcBorders>
              <w:top w:val="single" w:sz="4" w:space="0" w:color="auto"/>
              <w:left w:val="nil"/>
              <w:bottom w:val="nil"/>
              <w:right w:val="nil"/>
            </w:tcBorders>
            <w:shd w:val="clear" w:color="000000" w:fill="FFFFFF"/>
            <w:noWrap/>
            <w:vAlign w:val="bottom"/>
            <w:hideMark/>
          </w:tcPr>
          <w:p w14:paraId="64BBC5E1"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146</w:t>
            </w:r>
          </w:p>
        </w:tc>
        <w:tc>
          <w:tcPr>
            <w:tcW w:w="980" w:type="dxa"/>
            <w:tcBorders>
              <w:top w:val="single" w:sz="4" w:space="0" w:color="auto"/>
              <w:left w:val="nil"/>
              <w:bottom w:val="nil"/>
              <w:right w:val="nil"/>
            </w:tcBorders>
            <w:shd w:val="clear" w:color="000000" w:fill="FFFFFF"/>
            <w:noWrap/>
            <w:vAlign w:val="bottom"/>
            <w:hideMark/>
          </w:tcPr>
          <w:p w14:paraId="12A32354"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146</w:t>
            </w:r>
          </w:p>
        </w:tc>
        <w:tc>
          <w:tcPr>
            <w:tcW w:w="1020" w:type="dxa"/>
            <w:tcBorders>
              <w:top w:val="single" w:sz="4" w:space="0" w:color="auto"/>
              <w:left w:val="nil"/>
              <w:bottom w:val="nil"/>
              <w:right w:val="nil"/>
            </w:tcBorders>
            <w:shd w:val="clear" w:color="000000" w:fill="FFFFFF"/>
            <w:noWrap/>
            <w:vAlign w:val="bottom"/>
            <w:hideMark/>
          </w:tcPr>
          <w:p w14:paraId="178F1826"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146</w:t>
            </w:r>
          </w:p>
        </w:tc>
        <w:tc>
          <w:tcPr>
            <w:tcW w:w="1120" w:type="dxa"/>
            <w:tcBorders>
              <w:top w:val="single" w:sz="4" w:space="0" w:color="auto"/>
              <w:left w:val="nil"/>
              <w:bottom w:val="nil"/>
              <w:right w:val="nil"/>
            </w:tcBorders>
            <w:shd w:val="clear" w:color="000000" w:fill="FFFFFF"/>
            <w:noWrap/>
            <w:vAlign w:val="bottom"/>
            <w:hideMark/>
          </w:tcPr>
          <w:p w14:paraId="679E19F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146</w:t>
            </w:r>
          </w:p>
        </w:tc>
      </w:tr>
      <w:tr w:rsidR="00451E12" w:rsidRPr="00451E12" w14:paraId="3F8D2A3E"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39357F37" w14:textId="77777777" w:rsidR="00451E12" w:rsidRPr="00451E12" w:rsidRDefault="00451E12" w:rsidP="00451E12">
            <w:pPr>
              <w:widowControl/>
              <w:spacing w:after="0"/>
              <w:jc w:val="left"/>
              <w:rPr>
                <w:rFonts w:ascii="Calibri" w:eastAsia="Times New Roman" w:hAnsi="Calibri" w:cs="Calibri"/>
                <w:b/>
                <w:bCs/>
                <w:sz w:val="16"/>
                <w:szCs w:val="16"/>
                <w:lang w:eastAsia="en-GB"/>
              </w:rPr>
            </w:pPr>
            <w:r w:rsidRPr="00451E12">
              <w:rPr>
                <w:rFonts w:ascii="Calibri" w:eastAsia="Times New Roman" w:hAnsi="Calibri" w:cs="Calibri"/>
                <w:b/>
                <w:bCs/>
                <w:sz w:val="16"/>
                <w:szCs w:val="16"/>
                <w:lang w:eastAsia="en-GB"/>
              </w:rPr>
              <w:t>LTC mortality effect</w:t>
            </w:r>
          </w:p>
        </w:tc>
        <w:tc>
          <w:tcPr>
            <w:tcW w:w="4100" w:type="dxa"/>
            <w:gridSpan w:val="4"/>
            <w:tcBorders>
              <w:top w:val="single" w:sz="4" w:space="0" w:color="auto"/>
              <w:left w:val="nil"/>
              <w:bottom w:val="nil"/>
              <w:right w:val="nil"/>
            </w:tcBorders>
            <w:shd w:val="clear" w:color="000000" w:fill="FFFFFF"/>
            <w:noWrap/>
            <w:vAlign w:val="bottom"/>
            <w:hideMark/>
          </w:tcPr>
          <w:p w14:paraId="545E4515" w14:textId="7E38AFB8"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w:t>
            </w:r>
            <w:r w:rsidR="00BE684F">
              <w:rPr>
                <w:rFonts w:ascii="Calibri" w:eastAsia="Times New Roman" w:hAnsi="Calibri" w:cs="Calibri"/>
                <w:sz w:val="16"/>
                <w:szCs w:val="16"/>
                <w:lang w:eastAsia="en-GB"/>
              </w:rPr>
              <w:t>0</w:t>
            </w:r>
            <w:r w:rsidRPr="00451E12">
              <w:rPr>
                <w:rFonts w:ascii="Calibri" w:eastAsia="Times New Roman" w:hAnsi="Calibri" w:cs="Calibri"/>
                <w:sz w:val="16"/>
                <w:szCs w:val="16"/>
                <w:lang w:eastAsia="en-GB"/>
              </w:rPr>
              <w:t>.031***</w:t>
            </w:r>
          </w:p>
        </w:tc>
      </w:tr>
      <w:tr w:rsidR="00451E12" w:rsidRPr="00451E12" w14:paraId="6A4013B1"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259A70C8" w14:textId="20AC1A21" w:rsidR="00451E12" w:rsidRPr="00451E12" w:rsidRDefault="00451E12" w:rsidP="00451E12">
            <w:pPr>
              <w:widowControl/>
              <w:spacing w:after="0"/>
              <w:jc w:val="left"/>
              <w:rPr>
                <w:rFonts w:ascii="Calibri" w:eastAsia="Times New Roman" w:hAnsi="Calibri" w:cs="Calibri"/>
                <w:b/>
                <w:bCs/>
                <w:sz w:val="16"/>
                <w:szCs w:val="16"/>
                <w:lang w:eastAsia="en-GB"/>
              </w:rPr>
            </w:pPr>
            <w:r w:rsidRPr="00451E12">
              <w:rPr>
                <w:rFonts w:ascii="Calibri" w:eastAsia="Times New Roman" w:hAnsi="Calibri" w:cs="Calibri"/>
                <w:b/>
                <w:bCs/>
                <w:sz w:val="16"/>
                <w:szCs w:val="16"/>
                <w:lang w:eastAsia="en-GB"/>
              </w:rPr>
              <w:t xml:space="preserve">LTC direct </w:t>
            </w:r>
            <w:r w:rsidR="009E47D1">
              <w:rPr>
                <w:rFonts w:ascii="Calibri" w:eastAsia="Times New Roman" w:hAnsi="Calibri" w:cs="Calibri"/>
                <w:b/>
                <w:bCs/>
                <w:sz w:val="16"/>
                <w:szCs w:val="16"/>
                <w:lang w:eastAsia="en-GB"/>
              </w:rPr>
              <w:t xml:space="preserve">mortality </w:t>
            </w:r>
            <w:r w:rsidRPr="00451E12">
              <w:rPr>
                <w:rFonts w:ascii="Calibri" w:eastAsia="Times New Roman" w:hAnsi="Calibri" w:cs="Calibri"/>
                <w:b/>
                <w:bCs/>
                <w:sz w:val="16"/>
                <w:szCs w:val="16"/>
                <w:lang w:eastAsia="en-GB"/>
              </w:rPr>
              <w:t>effect</w:t>
            </w:r>
          </w:p>
        </w:tc>
        <w:tc>
          <w:tcPr>
            <w:tcW w:w="4100" w:type="dxa"/>
            <w:gridSpan w:val="4"/>
            <w:tcBorders>
              <w:top w:val="nil"/>
              <w:left w:val="nil"/>
              <w:bottom w:val="nil"/>
              <w:right w:val="nil"/>
            </w:tcBorders>
            <w:shd w:val="clear" w:color="000000" w:fill="FFFFFF"/>
            <w:noWrap/>
            <w:vAlign w:val="bottom"/>
            <w:hideMark/>
          </w:tcPr>
          <w:p w14:paraId="30E55D7B"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0.010</w:t>
            </w:r>
          </w:p>
        </w:tc>
      </w:tr>
      <w:tr w:rsidR="00451E12" w:rsidRPr="00451E12" w14:paraId="1035591A"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37406F9A" w14:textId="7D5DF2C3" w:rsidR="00451E12" w:rsidRPr="00451E12" w:rsidRDefault="00451E12" w:rsidP="00451E12">
            <w:pPr>
              <w:widowControl/>
              <w:spacing w:after="0"/>
              <w:jc w:val="left"/>
              <w:rPr>
                <w:rFonts w:ascii="Calibri" w:eastAsia="Times New Roman" w:hAnsi="Calibri" w:cs="Calibri"/>
                <w:b/>
                <w:bCs/>
                <w:sz w:val="16"/>
                <w:szCs w:val="16"/>
                <w:lang w:eastAsia="en-GB"/>
              </w:rPr>
            </w:pPr>
            <w:r w:rsidRPr="00451E12">
              <w:rPr>
                <w:rFonts w:ascii="Calibri" w:eastAsia="Times New Roman" w:hAnsi="Calibri" w:cs="Calibri"/>
                <w:b/>
                <w:bCs/>
                <w:sz w:val="16"/>
                <w:szCs w:val="16"/>
                <w:lang w:eastAsia="en-GB"/>
              </w:rPr>
              <w:t xml:space="preserve">LTC indirect </w:t>
            </w:r>
            <w:r w:rsidR="009E47D1">
              <w:rPr>
                <w:rFonts w:ascii="Calibri" w:eastAsia="Times New Roman" w:hAnsi="Calibri" w:cs="Calibri"/>
                <w:b/>
                <w:bCs/>
                <w:sz w:val="16"/>
                <w:szCs w:val="16"/>
                <w:lang w:eastAsia="en-GB"/>
              </w:rPr>
              <w:t xml:space="preserve">mortality </w:t>
            </w:r>
            <w:r w:rsidRPr="00451E12">
              <w:rPr>
                <w:rFonts w:ascii="Calibri" w:eastAsia="Times New Roman" w:hAnsi="Calibri" w:cs="Calibri"/>
                <w:b/>
                <w:bCs/>
                <w:sz w:val="16"/>
                <w:szCs w:val="16"/>
                <w:lang w:eastAsia="en-GB"/>
              </w:rPr>
              <w:t>effect</w:t>
            </w:r>
          </w:p>
        </w:tc>
        <w:tc>
          <w:tcPr>
            <w:tcW w:w="4100" w:type="dxa"/>
            <w:gridSpan w:val="4"/>
            <w:tcBorders>
              <w:top w:val="nil"/>
              <w:left w:val="nil"/>
              <w:bottom w:val="nil"/>
              <w:right w:val="nil"/>
            </w:tcBorders>
            <w:shd w:val="clear" w:color="000000" w:fill="FFFFFF"/>
            <w:noWrap/>
            <w:vAlign w:val="bottom"/>
            <w:hideMark/>
          </w:tcPr>
          <w:p w14:paraId="3E063BEA"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-0.041</w:t>
            </w:r>
          </w:p>
        </w:tc>
      </w:tr>
      <w:tr w:rsidR="00451E12" w:rsidRPr="00451E12" w14:paraId="6E4962CF"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69A7ECCB" w14:textId="1C410A0D" w:rsidR="00451E12" w:rsidRPr="00451E12" w:rsidRDefault="00451E12" w:rsidP="00451E12">
            <w:pPr>
              <w:widowControl/>
              <w:spacing w:after="0"/>
              <w:ind w:firstLineChars="100" w:firstLine="160"/>
              <w:jc w:val="left"/>
              <w:rPr>
                <w:rFonts w:ascii="Calibri" w:eastAsia="Times New Roman" w:hAnsi="Calibri" w:cs="Calibri"/>
                <w:b/>
                <w:bCs/>
                <w:i/>
                <w:iCs/>
                <w:sz w:val="16"/>
                <w:szCs w:val="16"/>
                <w:lang w:eastAsia="en-GB"/>
              </w:rPr>
            </w:pPr>
            <w:r w:rsidRPr="00451E12">
              <w:rPr>
                <w:rFonts w:ascii="Calibri" w:eastAsia="Times New Roman" w:hAnsi="Calibri" w:cs="Calibri"/>
                <w:b/>
                <w:bCs/>
                <w:i/>
                <w:iCs/>
                <w:sz w:val="16"/>
                <w:szCs w:val="16"/>
                <w:lang w:eastAsia="en-GB"/>
              </w:rPr>
              <w:t xml:space="preserve">LTC indirect </w:t>
            </w:r>
            <w:r w:rsidR="009E47D1">
              <w:rPr>
                <w:rFonts w:ascii="Calibri" w:eastAsia="Times New Roman" w:hAnsi="Calibri" w:cs="Calibri"/>
                <w:b/>
                <w:bCs/>
                <w:i/>
                <w:iCs/>
                <w:sz w:val="16"/>
                <w:szCs w:val="16"/>
                <w:lang w:eastAsia="en-GB"/>
              </w:rPr>
              <w:t xml:space="preserve">mortality </w:t>
            </w:r>
            <w:r w:rsidRPr="00451E12">
              <w:rPr>
                <w:rFonts w:ascii="Calibri" w:eastAsia="Times New Roman" w:hAnsi="Calibri" w:cs="Calibri"/>
                <w:b/>
                <w:bCs/>
                <w:i/>
                <w:iCs/>
                <w:sz w:val="16"/>
                <w:szCs w:val="16"/>
                <w:lang w:eastAsia="en-GB"/>
              </w:rPr>
              <w:t>effect due to growing portion</w:t>
            </w:r>
          </w:p>
        </w:tc>
        <w:tc>
          <w:tcPr>
            <w:tcW w:w="4100" w:type="dxa"/>
            <w:gridSpan w:val="4"/>
            <w:tcBorders>
              <w:top w:val="nil"/>
              <w:left w:val="nil"/>
              <w:bottom w:val="nil"/>
              <w:right w:val="nil"/>
            </w:tcBorders>
            <w:shd w:val="clear" w:color="000000" w:fill="FFFFFF"/>
            <w:noWrap/>
            <w:vAlign w:val="bottom"/>
            <w:hideMark/>
          </w:tcPr>
          <w:p w14:paraId="6A342A5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-0.038**</w:t>
            </w:r>
          </w:p>
        </w:tc>
      </w:tr>
      <w:tr w:rsidR="00451E12" w:rsidRPr="00451E12" w14:paraId="64F97CC3" w14:textId="77777777" w:rsidTr="00451E12">
        <w:trPr>
          <w:trHeight w:val="237"/>
        </w:trPr>
        <w:tc>
          <w:tcPr>
            <w:tcW w:w="5860" w:type="dxa"/>
            <w:gridSpan w:val="2"/>
            <w:tcBorders>
              <w:top w:val="nil"/>
              <w:left w:val="nil"/>
              <w:bottom w:val="nil"/>
              <w:right w:val="nil"/>
            </w:tcBorders>
            <w:shd w:val="clear" w:color="000000" w:fill="FFFFFF"/>
            <w:noWrap/>
            <w:vAlign w:val="center"/>
            <w:hideMark/>
          </w:tcPr>
          <w:p w14:paraId="10608E2C" w14:textId="739EBA1F" w:rsidR="00451E12" w:rsidRPr="00451E12" w:rsidRDefault="00451E12" w:rsidP="00451E12">
            <w:pPr>
              <w:widowControl/>
              <w:spacing w:after="0"/>
              <w:ind w:firstLineChars="100" w:firstLine="160"/>
              <w:jc w:val="left"/>
              <w:rPr>
                <w:rFonts w:ascii="Calibri" w:eastAsia="Times New Roman" w:hAnsi="Calibri" w:cs="Calibri"/>
                <w:b/>
                <w:bCs/>
                <w:i/>
                <w:iCs/>
                <w:sz w:val="16"/>
                <w:szCs w:val="16"/>
                <w:lang w:eastAsia="en-GB"/>
              </w:rPr>
            </w:pPr>
            <w:r w:rsidRPr="00451E12">
              <w:rPr>
                <w:rFonts w:ascii="Calibri" w:eastAsia="Times New Roman" w:hAnsi="Calibri" w:cs="Calibri"/>
                <w:b/>
                <w:bCs/>
                <w:i/>
                <w:iCs/>
                <w:sz w:val="16"/>
                <w:szCs w:val="16"/>
                <w:lang w:eastAsia="en-GB"/>
              </w:rPr>
              <w:t xml:space="preserve">LTC indirect </w:t>
            </w:r>
            <w:r w:rsidR="009E47D1">
              <w:rPr>
                <w:rFonts w:ascii="Calibri" w:eastAsia="Times New Roman" w:hAnsi="Calibri" w:cs="Calibri"/>
                <w:b/>
                <w:bCs/>
                <w:i/>
                <w:iCs/>
                <w:sz w:val="16"/>
                <w:szCs w:val="16"/>
                <w:lang w:eastAsia="en-GB"/>
              </w:rPr>
              <w:t xml:space="preserve">mortality </w:t>
            </w:r>
            <w:r w:rsidRPr="00451E12">
              <w:rPr>
                <w:rFonts w:ascii="Calibri" w:eastAsia="Times New Roman" w:hAnsi="Calibri" w:cs="Calibri"/>
                <w:b/>
                <w:bCs/>
                <w:i/>
                <w:iCs/>
                <w:sz w:val="16"/>
                <w:szCs w:val="16"/>
                <w:lang w:eastAsia="en-GB"/>
              </w:rPr>
              <w:t>effect due to decreasing portion</w:t>
            </w:r>
          </w:p>
        </w:tc>
        <w:tc>
          <w:tcPr>
            <w:tcW w:w="4100" w:type="dxa"/>
            <w:gridSpan w:val="4"/>
            <w:tcBorders>
              <w:top w:val="nil"/>
              <w:left w:val="nil"/>
              <w:bottom w:val="nil"/>
              <w:right w:val="nil"/>
            </w:tcBorders>
            <w:shd w:val="clear" w:color="000000" w:fill="FFFFFF"/>
            <w:noWrap/>
            <w:vAlign w:val="bottom"/>
            <w:hideMark/>
          </w:tcPr>
          <w:p w14:paraId="633AE1E8" w14:textId="77777777" w:rsidR="00451E12" w:rsidRPr="00451E12" w:rsidRDefault="00451E12" w:rsidP="00451E12">
            <w:pPr>
              <w:widowControl/>
              <w:spacing w:after="0"/>
              <w:jc w:val="center"/>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-0.003</w:t>
            </w:r>
          </w:p>
        </w:tc>
      </w:tr>
      <w:tr w:rsidR="00451E12" w:rsidRPr="00451E12" w14:paraId="3683B41F" w14:textId="77777777" w:rsidTr="00451E12">
        <w:trPr>
          <w:trHeight w:val="255"/>
        </w:trPr>
        <w:tc>
          <w:tcPr>
            <w:tcW w:w="9960" w:type="dxa"/>
            <w:gridSpan w:val="6"/>
            <w:tcBorders>
              <w:top w:val="single" w:sz="4" w:space="0" w:color="auto"/>
              <w:left w:val="nil"/>
              <w:bottom w:val="single" w:sz="4" w:space="0" w:color="auto"/>
              <w:right w:val="nil"/>
            </w:tcBorders>
            <w:shd w:val="clear" w:color="000000" w:fill="FFFFFF"/>
            <w:noWrap/>
            <w:vAlign w:val="center"/>
            <w:hideMark/>
          </w:tcPr>
          <w:p w14:paraId="52342BDE" w14:textId="77777777" w:rsidR="00451E12" w:rsidRPr="00451E12" w:rsidRDefault="00451E12" w:rsidP="00451E12">
            <w:pPr>
              <w:widowControl/>
              <w:spacing w:after="0"/>
              <w:jc w:val="left"/>
              <w:rPr>
                <w:rFonts w:ascii="Calibri" w:eastAsia="Times New Roman" w:hAnsi="Calibri" w:cs="Calibri"/>
                <w:sz w:val="16"/>
                <w:szCs w:val="16"/>
                <w:lang w:eastAsia="en-GB"/>
              </w:rPr>
            </w:pPr>
            <w:r w:rsidRPr="00451E12">
              <w:rPr>
                <w:rFonts w:ascii="Calibri" w:eastAsia="Times New Roman" w:hAnsi="Calibri" w:cs="Calibri"/>
                <w:sz w:val="16"/>
                <w:szCs w:val="16"/>
                <w:lang w:eastAsia="en-GB"/>
              </w:rPr>
              <w:t>Robust standard errors in parentheses, ***=p-value&lt;0.01, **=p-value&lt;0.05, *=p-value&lt;0.1</w:t>
            </w:r>
          </w:p>
        </w:tc>
      </w:tr>
    </w:tbl>
    <w:p w14:paraId="6940BA36" w14:textId="77777777" w:rsidR="00451E12" w:rsidRPr="00AF437E" w:rsidRDefault="00451E12" w:rsidP="005C3100"/>
    <w:p w14:paraId="679D5DAE" w14:textId="73CFF108" w:rsidR="002725F2" w:rsidRPr="002A4884" w:rsidRDefault="002725F2" w:rsidP="00AF437E"/>
    <w:sectPr w:rsidR="002725F2" w:rsidRPr="002A4884" w:rsidSect="002725F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33C75" w14:textId="77777777" w:rsidR="002A7365" w:rsidRDefault="002A7365" w:rsidP="00A441CD">
      <w:pPr>
        <w:spacing w:after="0"/>
      </w:pPr>
      <w:r>
        <w:separator/>
      </w:r>
    </w:p>
  </w:endnote>
  <w:endnote w:type="continuationSeparator" w:id="0">
    <w:p w14:paraId="07B68B0B" w14:textId="77777777" w:rsidR="002A7365" w:rsidRDefault="002A7365" w:rsidP="00A441CD">
      <w:pPr>
        <w:spacing w:after="0"/>
      </w:pPr>
      <w:r>
        <w:continuationSeparator/>
      </w:r>
    </w:p>
  </w:endnote>
  <w:endnote w:type="continuationNotice" w:id="1">
    <w:p w14:paraId="1912E4E8" w14:textId="77777777" w:rsidR="002A7365" w:rsidRDefault="002A73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1789"/>
      <w:docPartObj>
        <w:docPartGallery w:val="Page Numbers (Bottom of Page)"/>
        <w:docPartUnique/>
      </w:docPartObj>
    </w:sdtPr>
    <w:sdtEndPr>
      <w:rPr>
        <w:noProof/>
      </w:rPr>
    </w:sdtEndPr>
    <w:sdtContent>
      <w:p w14:paraId="15AF8E95" w14:textId="059D44A3" w:rsidR="00B25F38" w:rsidRDefault="00B25F38">
        <w:pPr>
          <w:pStyle w:val="Footer"/>
          <w:jc w:val="center"/>
        </w:pPr>
        <w:r>
          <w:fldChar w:fldCharType="begin"/>
        </w:r>
        <w:r>
          <w:instrText xml:space="preserve"> PAGE   \* MERGEFORMAT </w:instrText>
        </w:r>
        <w:r>
          <w:fldChar w:fldCharType="separate"/>
        </w:r>
        <w:r w:rsidR="007C7B62">
          <w:rPr>
            <w:noProof/>
          </w:rPr>
          <w:t>1</w:t>
        </w:r>
        <w:r>
          <w:rPr>
            <w:noProof/>
          </w:rPr>
          <w:fldChar w:fldCharType="end"/>
        </w:r>
      </w:p>
    </w:sdtContent>
  </w:sdt>
  <w:p w14:paraId="0AFDB356" w14:textId="77777777" w:rsidR="00B25F38" w:rsidRDefault="00B25F38">
    <w:pPr>
      <w:pStyle w:val="Footer"/>
    </w:pPr>
  </w:p>
  <w:p w14:paraId="30136243" w14:textId="77777777" w:rsidR="00B25F38" w:rsidRDefault="00B25F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5E106" w14:textId="77777777" w:rsidR="002A7365" w:rsidRDefault="002A7365" w:rsidP="00A441CD">
      <w:pPr>
        <w:spacing w:after="0"/>
      </w:pPr>
      <w:r>
        <w:separator/>
      </w:r>
    </w:p>
  </w:footnote>
  <w:footnote w:type="continuationSeparator" w:id="0">
    <w:p w14:paraId="2D6D9E2F" w14:textId="77777777" w:rsidR="002A7365" w:rsidRDefault="002A7365" w:rsidP="00A441CD">
      <w:pPr>
        <w:spacing w:after="0"/>
      </w:pPr>
      <w:r>
        <w:continuationSeparator/>
      </w:r>
    </w:p>
  </w:footnote>
  <w:footnote w:type="continuationNotice" w:id="1">
    <w:p w14:paraId="5DE21CBC" w14:textId="77777777" w:rsidR="002A7365" w:rsidRDefault="002A7365">
      <w:pPr>
        <w:spacing w:after="0"/>
      </w:pPr>
    </w:p>
  </w:footnote>
  <w:footnote w:id="2">
    <w:p w14:paraId="2D6B1144" w14:textId="1C836FAE" w:rsidR="00B25F38" w:rsidRDefault="00B25F38">
      <w:pPr>
        <w:pStyle w:val="FootnoteText"/>
      </w:pPr>
      <w:r>
        <w:rPr>
          <w:rStyle w:val="FootnoteReference"/>
        </w:rPr>
        <w:footnoteRef/>
      </w:r>
      <w:r>
        <w:t xml:space="preserve"> For simplicity, we ignore </w:t>
      </w:r>
      <w:r w:rsidRPr="008B3577">
        <w:rPr>
          <w:i/>
        </w:rPr>
        <w:t>r</w:t>
      </w:r>
      <w:r w:rsidRPr="008B3577">
        <w:rPr>
          <w:i/>
          <w:vertAlign w:val="subscript"/>
        </w:rPr>
        <w:t>i</w:t>
      </w:r>
      <w:r>
        <w:t xml:space="preserve"> in the total differentiation.</w:t>
      </w:r>
    </w:p>
  </w:footnote>
  <w:footnote w:id="3">
    <w:p w14:paraId="461EDAB8" w14:textId="240C856F" w:rsidR="00B25F38" w:rsidRDefault="00B25F38" w:rsidP="00FC0A48">
      <w:pPr>
        <w:pStyle w:val="FootnoteText"/>
      </w:pPr>
      <w:r>
        <w:rPr>
          <w:rStyle w:val="FootnoteReference"/>
        </w:rPr>
        <w:footnoteRef/>
      </w:r>
      <w:r>
        <w:t xml:space="preserve"> Ideally, we would have used HC expenditure per patient rather than HC expenditure per capita. However, the latter is a reasonable measure of the former because</w:t>
      </w:r>
      <w:r w:rsidRPr="006D29CC">
        <w:t xml:space="preserve"> HC in England is universal </w:t>
      </w:r>
      <w:r w:rsidRPr="009F3143">
        <w:t>and free at the point of delivery. Th</w:t>
      </w:r>
      <w:r>
        <w:t xml:space="preserve">is implies that </w:t>
      </w:r>
      <w:r w:rsidRPr="009F3143">
        <w:t xml:space="preserve">the whole population is covered by HC </w:t>
      </w:r>
      <w:r>
        <w:t xml:space="preserve">provision </w:t>
      </w:r>
      <w:r w:rsidRPr="009F3143">
        <w:t xml:space="preserve">and most of the population is likely to access </w:t>
      </w:r>
      <w:r>
        <w:t xml:space="preserve">HC </w:t>
      </w:r>
      <w:r w:rsidRPr="009F3143">
        <w:t>services.</w:t>
      </w:r>
      <w:r>
        <w:t xml:space="preserve"> Moreover, the calculation of the exact number of all </w:t>
      </w:r>
      <w:r w:rsidRPr="006D29CC">
        <w:t>HC patients</w:t>
      </w:r>
      <w:r>
        <w:t xml:space="preserve"> (including, for example, </w:t>
      </w:r>
      <w:r w:rsidRPr="006D29CC">
        <w:t xml:space="preserve">hospital patients, </w:t>
      </w:r>
      <w:r>
        <w:t xml:space="preserve">general practice </w:t>
      </w:r>
      <w:r w:rsidRPr="006D29CC">
        <w:t>patients,</w:t>
      </w:r>
      <w:r>
        <w:t xml:space="preserve"> and patients of mental health institutions) might be carried out using data from multiple databases which require substantial research resources in terms of access and elaboration</w:t>
      </w:r>
      <w:r w:rsidRPr="006D29CC">
        <w:t xml:space="preserve">. On the other hand, the number of users accessing LTC services in England is </w:t>
      </w:r>
      <w:r>
        <w:t>known a</w:t>
      </w:r>
      <w:r w:rsidRPr="009F3143">
        <w:t>nd available in the public domain</w:t>
      </w:r>
      <w:r w:rsidRPr="006D29CC">
        <w:t xml:space="preserve">. </w:t>
      </w:r>
      <w:r>
        <w:t>This is particularly important because</w:t>
      </w:r>
      <w:r w:rsidRPr="006D29CC">
        <w:t xml:space="preserve"> LTC in England is </w:t>
      </w:r>
      <w:r>
        <w:t xml:space="preserve">means-tested </w:t>
      </w:r>
      <w:r w:rsidRPr="006D29CC">
        <w:t>and</w:t>
      </w:r>
      <w:r>
        <w:t xml:space="preserve"> users of LTC services represent only a small proportion of the local population </w:t>
      </w:r>
      <w:r w:rsidRPr="00320898">
        <w:t>(on average, 5.7% across LAs in 2014/15)</w:t>
      </w:r>
      <w:r w:rsidRPr="006D29CC">
        <w:t>.</w:t>
      </w:r>
      <w:r>
        <w:t xml:space="preserve"> Therefore, calculating LTC expenditure per capita would severely underestimate the true LTC expenditure per user.</w:t>
      </w:r>
    </w:p>
  </w:footnote>
  <w:footnote w:id="4">
    <w:p w14:paraId="0E3FBD6B" w14:textId="19C93658" w:rsidR="00B25F38" w:rsidRDefault="00B25F38">
      <w:pPr>
        <w:pStyle w:val="FootnoteText"/>
      </w:pPr>
      <w:r>
        <w:rPr>
          <w:rStyle w:val="FootnoteReference"/>
        </w:rPr>
        <w:footnoteRef/>
      </w:r>
      <w:r>
        <w:t xml:space="preserve"> In addition, following </w:t>
      </w:r>
      <w:r>
        <w:fldChar w:fldCharType="begin"/>
      </w:r>
      <w:r>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fldChar w:fldCharType="separate"/>
      </w:r>
      <w:r>
        <w:rPr>
          <w:noProof/>
        </w:rPr>
        <w:t>Longo et al. (2021)</w:t>
      </w:r>
      <w:r>
        <w:fldChar w:fldCharType="end"/>
      </w:r>
      <w:r>
        <w:t xml:space="preserve">, we use </w:t>
      </w:r>
      <w:r w:rsidRPr="002A4884">
        <w:t xml:space="preserve">business rates tax base </w:t>
      </w:r>
      <w:r>
        <w:t xml:space="preserve">per user and the ACA index as additional instruments to run over-identification tests in the case of equation </w:t>
      </w:r>
      <w:r>
        <w:fldChar w:fldCharType="begin"/>
      </w:r>
      <w:r>
        <w:instrText xml:space="preserve"> GOTOBUTTON ZEqnNum123026  \* MERGEFORMAT </w:instrText>
      </w:r>
      <w:r w:rsidR="002A7365">
        <w:fldChar w:fldCharType="begin"/>
      </w:r>
      <w:r w:rsidR="002A7365">
        <w:instrText xml:space="preserve"> REF ZEqnNum123026 \* Charformat \! \* MERGEFORMAT </w:instrText>
      </w:r>
      <w:r w:rsidR="002A7365">
        <w:fldChar w:fldCharType="separate"/>
      </w:r>
      <w:r w:rsidR="007C7B62" w:rsidRPr="002A4884">
        <w:instrText>(</w:instrText>
      </w:r>
      <w:r w:rsidR="007C7B62">
        <w:instrText>19</w:instrText>
      </w:r>
      <w:r w:rsidR="007C7B62" w:rsidRPr="002A4884">
        <w:instrText>)</w:instrText>
      </w:r>
      <w:r w:rsidR="002A7365">
        <w:fldChar w:fldCharType="end"/>
      </w:r>
      <w:r>
        <w:fldChar w:fldCharType="end"/>
      </w:r>
      <w:r>
        <w:t>. This regression estimates the effect of LTC expenditure per user on HC expenditure per capita using the council tax base per capita as the only instrument.</w:t>
      </w:r>
    </w:p>
  </w:footnote>
  <w:footnote w:id="5">
    <w:p w14:paraId="40B64697" w14:textId="7253DE73" w:rsidR="00B25F38" w:rsidRDefault="00B25F38" w:rsidP="00FA2F09">
      <w:pPr>
        <w:pStyle w:val="FootnoteText"/>
      </w:pPr>
      <w:r>
        <w:rPr>
          <w:rStyle w:val="FootnoteReference"/>
        </w:rPr>
        <w:footnoteRef/>
      </w:r>
      <w:r>
        <w:rPr>
          <w:iCs/>
        </w:rPr>
        <w:t xml:space="preserve"> </w:t>
      </w:r>
      <w:r w:rsidRPr="002A4884">
        <w:rPr>
          <w:rFonts w:cstheme="minorHAnsi"/>
          <w:i/>
        </w:rPr>
        <w:t>β</w:t>
      </w:r>
      <w:r w:rsidRPr="002A4884">
        <w:rPr>
          <w:rFonts w:cstheme="minorHAnsi"/>
          <w:i/>
          <w:vertAlign w:val="subscript"/>
        </w:rPr>
        <w:t>1</w:t>
      </w:r>
      <w:r w:rsidRPr="002A4884">
        <w:rPr>
          <w:rFonts w:cstheme="minorHAnsi"/>
        </w:rPr>
        <w:t xml:space="preserve"> and</w:t>
      </w:r>
      <w:r w:rsidRPr="002A4884">
        <w:rPr>
          <w:rFonts w:cstheme="minorHAnsi"/>
          <w:i/>
        </w:rPr>
        <w:t xml:space="preserve"> γ</w:t>
      </w:r>
      <w:r w:rsidRPr="002A4884">
        <w:rPr>
          <w:rFonts w:cstheme="minorHAnsi"/>
          <w:i/>
          <w:vertAlign w:val="subscript"/>
        </w:rPr>
        <w:t>1</w:t>
      </w:r>
      <w:r w:rsidRPr="0003399A">
        <w:rPr>
          <w:rFonts w:cstheme="minorHAnsi"/>
          <w:iCs/>
        </w:rPr>
        <w:t xml:space="preserve"> are</w:t>
      </w:r>
      <w:r>
        <w:rPr>
          <w:rFonts w:cstheme="minorHAnsi"/>
          <w:iCs/>
        </w:rPr>
        <w:t xml:space="preserve"> assumed to reflect the long-run mortality effect of HC and LTC expenditure, respectively, i.e. they are assumed to capture both current and past mortality effects. This can be argued to be a plausible assumption for the English HC and LTC sector since public expenditure in these sectors tends to vary little over time and, therefore, current expenditure is likely to capture also the effects of past expenditure on current mortality.</w:t>
      </w:r>
    </w:p>
  </w:footnote>
  <w:footnote w:id="6">
    <w:p w14:paraId="24EFF01B" w14:textId="074CCAFE" w:rsidR="00B25F38" w:rsidRDefault="00B25F38">
      <w:pPr>
        <w:pStyle w:val="FootnoteText"/>
      </w:pPr>
      <w:r>
        <w:rPr>
          <w:rStyle w:val="FootnoteReference"/>
        </w:rPr>
        <w:footnoteRef/>
      </w:r>
      <w:r>
        <w:t xml:space="preserve"> </w:t>
      </w:r>
      <w:r w:rsidRPr="002A4884">
        <w:t xml:space="preserve">The coefficients </w:t>
      </w:r>
      <w:r w:rsidRPr="002A4884">
        <w:rPr>
          <w:rFonts w:cstheme="minorHAnsi"/>
          <w:i/>
        </w:rPr>
        <w:t>β</w:t>
      </w:r>
      <w:r w:rsidRPr="002A4884">
        <w:rPr>
          <w:rFonts w:cstheme="minorHAnsi"/>
          <w:i/>
          <w:vertAlign w:val="subscript"/>
        </w:rPr>
        <w:t>2</w:t>
      </w:r>
      <w:r w:rsidRPr="002A4884">
        <w:rPr>
          <w:rFonts w:cstheme="minorHAnsi"/>
        </w:rPr>
        <w:t xml:space="preserve"> and </w:t>
      </w:r>
      <w:r w:rsidRPr="002A4884">
        <w:rPr>
          <w:rFonts w:cstheme="minorHAnsi"/>
          <w:i/>
        </w:rPr>
        <w:t>γ</w:t>
      </w:r>
      <w:r w:rsidRPr="002A4884">
        <w:rPr>
          <w:rFonts w:cstheme="minorHAnsi"/>
          <w:i/>
          <w:vertAlign w:val="subscript"/>
        </w:rPr>
        <w:t>2</w:t>
      </w:r>
      <w:r w:rsidRPr="002A4884">
        <w:rPr>
          <w:rFonts w:cstheme="minorHAnsi"/>
          <w:i/>
        </w:rPr>
        <w:t xml:space="preserve"> </w:t>
      </w:r>
      <w:r w:rsidRPr="002A4884">
        <w:rPr>
          <w:rFonts w:cstheme="minorHAnsi"/>
        </w:rPr>
        <w:t>no longer</w:t>
      </w:r>
      <w:r w:rsidRPr="002A4884">
        <w:rPr>
          <w:rFonts w:cstheme="minorHAnsi"/>
          <w:i/>
        </w:rPr>
        <w:t xml:space="preserve"> </w:t>
      </w:r>
      <w:r w:rsidRPr="002A4884">
        <w:rPr>
          <w:rFonts w:cstheme="minorHAnsi"/>
        </w:rPr>
        <w:t xml:space="preserve">capture the marginal effects of HC and LTC expenditure, respectively. </w:t>
      </w:r>
      <w:r w:rsidRPr="002A4884">
        <w:t xml:space="preserve">The marginal effect of HC expenditure per capita is </w:t>
      </w:r>
      <w:r w:rsidRPr="002A4884">
        <w:rPr>
          <w:rFonts w:cstheme="minorHAnsi"/>
          <w:i/>
        </w:rPr>
        <w:t>β</w:t>
      </w:r>
      <w:r w:rsidRPr="002A4884">
        <w:rPr>
          <w:i/>
          <w:vertAlign w:val="subscript"/>
        </w:rPr>
        <w:t>2</w:t>
      </w:r>
      <w:r w:rsidRPr="002A4884">
        <w:t>+</w:t>
      </w:r>
      <w:r w:rsidRPr="002A4884">
        <w:rPr>
          <w:rFonts w:cstheme="minorHAnsi"/>
          <w:i/>
        </w:rPr>
        <w:t>δ</w:t>
      </w:r>
      <w:r w:rsidRPr="002A4884">
        <w:rPr>
          <w:i/>
          <w:vertAlign w:val="subscript"/>
        </w:rPr>
        <w:t>2</w:t>
      </w:r>
      <w:r w:rsidRPr="002A4884">
        <w:rPr>
          <w:rFonts w:cstheme="minorHAnsi"/>
        </w:rPr>
        <w:t>×</w:t>
      </w:r>
      <w:r w:rsidRPr="002A4884">
        <w:t>ln(</w:t>
      </w:r>
      <w:r w:rsidRPr="002A4884">
        <w:rPr>
          <w:i/>
        </w:rPr>
        <w:t>expenditure</w:t>
      </w:r>
      <w:r w:rsidRPr="002A4884">
        <w:rPr>
          <w:i/>
          <w:vertAlign w:val="subscript"/>
        </w:rPr>
        <w:t>i</w:t>
      </w:r>
      <w:r w:rsidRPr="002A4884">
        <w:rPr>
          <w:i/>
          <w:vertAlign w:val="superscript"/>
        </w:rPr>
        <w:t>LTC</w:t>
      </w:r>
      <w:r w:rsidRPr="002A4884">
        <w:t xml:space="preserve">) while the marginal effect of LTC expenditure per user is </w:t>
      </w:r>
      <w:r w:rsidRPr="002A4884">
        <w:rPr>
          <w:rFonts w:cstheme="minorHAnsi"/>
          <w:i/>
        </w:rPr>
        <w:t>γ</w:t>
      </w:r>
      <w:r w:rsidRPr="002A4884">
        <w:rPr>
          <w:rFonts w:cstheme="minorHAnsi"/>
          <w:i/>
          <w:vertAlign w:val="subscript"/>
        </w:rPr>
        <w:t>2</w:t>
      </w:r>
      <w:r w:rsidRPr="002A4884">
        <w:t>+</w:t>
      </w:r>
      <w:r w:rsidRPr="002A4884">
        <w:rPr>
          <w:rFonts w:cstheme="minorHAnsi"/>
          <w:i/>
        </w:rPr>
        <w:t>δ</w:t>
      </w:r>
      <w:r w:rsidRPr="002A4884">
        <w:rPr>
          <w:i/>
          <w:vertAlign w:val="subscript"/>
        </w:rPr>
        <w:t>2</w:t>
      </w:r>
      <w:r w:rsidRPr="002A4884">
        <w:rPr>
          <w:rFonts w:cstheme="minorHAnsi"/>
        </w:rPr>
        <w:t>×</w:t>
      </w:r>
      <w:r w:rsidRPr="002A4884">
        <w:t>ln(</w:t>
      </w:r>
      <w:r w:rsidRPr="002A4884">
        <w:rPr>
          <w:i/>
        </w:rPr>
        <w:t>expenditure</w:t>
      </w:r>
      <w:r w:rsidRPr="002A4884">
        <w:rPr>
          <w:i/>
          <w:vertAlign w:val="subscript"/>
        </w:rPr>
        <w:t>i</w:t>
      </w:r>
      <w:r w:rsidRPr="002A4884">
        <w:rPr>
          <w:i/>
          <w:vertAlign w:val="superscript"/>
        </w:rPr>
        <w:t>HC</w:t>
      </w:r>
      <w:r w:rsidRPr="002A4884">
        <w:t xml:space="preserve">). To aid intuition, we estimate and report the </w:t>
      </w:r>
      <w:r w:rsidRPr="00194600">
        <w:rPr>
          <w:i/>
          <w:iCs/>
        </w:rPr>
        <w:t>average</w:t>
      </w:r>
      <w:r w:rsidRPr="002A4884">
        <w:t xml:space="preserve"> marginal effect of HC and LTC expenditure, i.e. the marginal effect of HC and LTC </w:t>
      </w:r>
      <w:r w:rsidRPr="00194600">
        <w:rPr>
          <w:i/>
          <w:iCs/>
        </w:rPr>
        <w:t>averaged</w:t>
      </w:r>
      <w:r w:rsidRPr="002A4884">
        <w:t xml:space="preserve"> over the distribution of ln(</w:t>
      </w:r>
      <w:r w:rsidRPr="002A4884">
        <w:rPr>
          <w:i/>
        </w:rPr>
        <w:t>expenditure</w:t>
      </w:r>
      <w:r w:rsidRPr="002A4884">
        <w:rPr>
          <w:i/>
          <w:vertAlign w:val="subscript"/>
        </w:rPr>
        <w:t>i</w:t>
      </w:r>
      <w:r w:rsidRPr="002A4884">
        <w:rPr>
          <w:i/>
          <w:vertAlign w:val="superscript"/>
        </w:rPr>
        <w:t>LTC</w:t>
      </w:r>
      <w:r w:rsidRPr="002A4884">
        <w:t>) and ln(</w:t>
      </w:r>
      <w:r w:rsidRPr="002A4884">
        <w:rPr>
          <w:i/>
        </w:rPr>
        <w:t>expenditure</w:t>
      </w:r>
      <w:r w:rsidRPr="002A4884">
        <w:rPr>
          <w:i/>
          <w:vertAlign w:val="subscript"/>
        </w:rPr>
        <w:t>i</w:t>
      </w:r>
      <w:r w:rsidRPr="002A4884">
        <w:rPr>
          <w:i/>
          <w:vertAlign w:val="superscript"/>
        </w:rPr>
        <w:t>HC</w:t>
      </w:r>
      <w:r w:rsidRPr="002A4884">
        <w:t xml:space="preserve">), respectively. These average marginal effects, however, cannot be directly compared to the marginal effects </w:t>
      </w:r>
      <w:r w:rsidRPr="002A4884">
        <w:rPr>
          <w:rFonts w:cstheme="minorHAnsi"/>
          <w:i/>
        </w:rPr>
        <w:t>β</w:t>
      </w:r>
      <w:r w:rsidRPr="002A4884">
        <w:rPr>
          <w:rFonts w:cstheme="minorHAnsi"/>
          <w:i/>
          <w:vertAlign w:val="subscript"/>
        </w:rPr>
        <w:t>1</w:t>
      </w:r>
      <w:r w:rsidRPr="002A4884">
        <w:rPr>
          <w:rFonts w:cstheme="minorHAnsi"/>
        </w:rPr>
        <w:t xml:space="preserve"> and </w:t>
      </w:r>
      <w:r w:rsidRPr="002A4884">
        <w:rPr>
          <w:rFonts w:cstheme="minorHAnsi"/>
          <w:i/>
        </w:rPr>
        <w:t>γ</w:t>
      </w:r>
      <w:r w:rsidRPr="002A4884">
        <w:rPr>
          <w:rFonts w:cstheme="minorHAnsi"/>
          <w:i/>
          <w:vertAlign w:val="subscript"/>
        </w:rPr>
        <w:t>1</w:t>
      </w:r>
      <w:r w:rsidRPr="002A4884">
        <w:t xml:space="preserve"> since they have different definitions.</w:t>
      </w:r>
    </w:p>
  </w:footnote>
  <w:footnote w:id="7">
    <w:p w14:paraId="25C881A4" w14:textId="4C2EFE56" w:rsidR="00B25F38" w:rsidRDefault="00B25F38">
      <w:pPr>
        <w:pStyle w:val="FootnoteText"/>
      </w:pPr>
      <w:r>
        <w:rPr>
          <w:rStyle w:val="FootnoteReference"/>
        </w:rPr>
        <w:footnoteRef/>
      </w:r>
      <w:r>
        <w:t xml:space="preserve"> </w:t>
      </w:r>
      <w:r>
        <w:rPr>
          <w:rFonts w:cstheme="minorHAnsi"/>
        </w:rPr>
        <w:t xml:space="preserve">The structure of the proposed analysis follows the logic of mediation analysis </w:t>
      </w:r>
      <w:r w:rsidRPr="002A4884">
        <w:fldChar w:fldCharType="begin">
          <w:fldData xml:space="preserve">PEVuZE5vdGU+PENpdGU+PEF1dGhvcj5Sb2JpbnM8L0F1dGhvcj48WWVhcj4xOTkyPC9ZZWFyPjxS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</w:fldData>
        </w:fldChar>
      </w:r>
      <w:r>
        <w:instrText xml:space="preserve"> ADDIN EN.CITE </w:instrText>
      </w:r>
      <w:r>
        <w:fldChar w:fldCharType="begin">
          <w:fldData xml:space="preserve">PEVuZE5vdGU+PENpdGU+PEF1dGhvcj5Sb2JpbnM8L0F1dGhvcj48WWVhcj4xOTkyPC9ZZWFyPjxS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</w:fldData>
        </w:fldChar>
      </w:r>
      <w:r>
        <w:instrText xml:space="preserve"> ADDIN EN.CITE.DATA </w:instrText>
      </w:r>
      <w:r>
        <w:fldChar w:fldCharType="end"/>
      </w:r>
      <w:r w:rsidRPr="002A4884">
        <w:fldChar w:fldCharType="separate"/>
      </w:r>
      <w:r w:rsidRPr="002A4884">
        <w:rPr>
          <w:noProof/>
        </w:rPr>
        <w:t>(Robins and Greenland, 1992, Jun et al., 2016, Frölich and Huber, 2017)</w:t>
      </w:r>
      <w:r w:rsidRPr="002A4884">
        <w:fldChar w:fldCharType="end"/>
      </w:r>
      <w:r>
        <w:t>.</w:t>
      </w:r>
      <w:r w:rsidRPr="00E92B96">
        <w:rPr>
          <w:rFonts w:cstheme="minorHAnsi"/>
        </w:rPr>
        <w:t xml:space="preserve"> </w:t>
      </w:r>
      <w:r>
        <w:t xml:space="preserve">The plausible channels for indirect mortality effects discussed in Section </w:t>
      </w:r>
      <w:r>
        <w:fldChar w:fldCharType="begin"/>
      </w:r>
      <w:r>
        <w:instrText xml:space="preserve"> REF _Ref61529169 \r \h </w:instrText>
      </w:r>
      <w:r>
        <w:fldChar w:fldCharType="separate"/>
      </w:r>
      <w:r w:rsidR="007C7B62">
        <w:t>2.3.1</w:t>
      </w:r>
      <w:r>
        <w:fldChar w:fldCharType="end"/>
      </w:r>
      <w:r>
        <w:t xml:space="preserve"> can be thought as mediators, and regressions </w:t>
      </w:r>
      <w:r>
        <w:rPr>
          <w:iCs/>
        </w:rPr>
        <w:fldChar w:fldCharType="begin"/>
      </w:r>
      <w:r>
        <w:rPr>
          <w:iCs/>
        </w:rPr>
        <w:instrText xml:space="preserve"> GOTOBUTTON ZEqnNum133350  \* MERGEFORMAT </w:instrText>
      </w:r>
      <w:r>
        <w:rPr>
          <w:iCs/>
        </w:rPr>
        <w:fldChar w:fldCharType="begin"/>
      </w:r>
      <w:r>
        <w:rPr>
          <w:iCs/>
        </w:rPr>
        <w:instrText xml:space="preserve"> REF ZEqnNum133350 \* Charformat \! \* MERGEFORMAT </w:instrText>
      </w:r>
      <w:r>
        <w:rPr>
          <w:iCs/>
        </w:rPr>
        <w:fldChar w:fldCharType="separate"/>
      </w:r>
      <w:r w:rsidR="007C7B62" w:rsidRPr="007C7B62">
        <w:rPr>
          <w:iCs/>
        </w:rPr>
        <w:instrText>(20)</w:instrText>
      </w:r>
      <w:r>
        <w:rPr>
          <w:iCs/>
        </w:rPr>
        <w:fldChar w:fldCharType="end"/>
      </w:r>
      <w:r>
        <w:rPr>
          <w:iCs/>
        </w:rPr>
        <w:fldChar w:fldCharType="end"/>
      </w:r>
      <w:r>
        <w:rPr>
          <w:iCs/>
        </w:rPr>
        <w:t xml:space="preserve"> and </w:t>
      </w:r>
      <w:r>
        <w:rPr>
          <w:iCs/>
        </w:rPr>
        <w:fldChar w:fldCharType="begin"/>
      </w:r>
      <w:r>
        <w:rPr>
          <w:iCs/>
        </w:rPr>
        <w:instrText xml:space="preserve"> GOTOBUTTON ZEqnNum206728  \* MERGEFORMAT </w:instrText>
      </w:r>
      <w:r>
        <w:rPr>
          <w:iCs/>
        </w:rPr>
        <w:fldChar w:fldCharType="begin"/>
      </w:r>
      <w:r>
        <w:rPr>
          <w:iCs/>
        </w:rPr>
        <w:instrText xml:space="preserve"> REF ZEqnNum206728 \* Charformat \! \* MERGEFORMAT </w:instrText>
      </w:r>
      <w:r>
        <w:rPr>
          <w:iCs/>
        </w:rPr>
        <w:fldChar w:fldCharType="separate"/>
      </w:r>
      <w:r w:rsidR="007C7B62" w:rsidRPr="007C7B62">
        <w:rPr>
          <w:iCs/>
        </w:rPr>
        <w:instrText>(21)</w:instrText>
      </w:r>
      <w:r>
        <w:rPr>
          <w:iCs/>
        </w:rPr>
        <w:fldChar w:fldCharType="end"/>
      </w:r>
      <w:r>
        <w:rPr>
          <w:iCs/>
        </w:rPr>
        <w:fldChar w:fldCharType="end"/>
      </w:r>
      <w:r>
        <w:t xml:space="preserve"> correspond to the outcome regression in mediation analysis. </w:t>
      </w:r>
      <w:r>
        <w:rPr>
          <w:rFonts w:cstheme="minorHAnsi"/>
        </w:rPr>
        <w:t>Therefore, mediation analysis is a plausible alternative empirical strategy</w:t>
      </w:r>
      <w:r w:rsidRPr="000D1F7A">
        <w:rPr>
          <w:rFonts w:cstheme="minorHAnsi"/>
        </w:rPr>
        <w:t>. Section A</w:t>
      </w:r>
      <w:r>
        <w:rPr>
          <w:rFonts w:cstheme="minorHAnsi"/>
        </w:rPr>
        <w:t>1</w:t>
      </w:r>
      <w:r w:rsidRPr="000D1F7A">
        <w:rPr>
          <w:rFonts w:cstheme="minorHAnsi"/>
        </w:rPr>
        <w:t xml:space="preserve"> of the</w:t>
      </w:r>
      <w:r>
        <w:rPr>
          <w:rFonts w:cstheme="minorHAnsi"/>
        </w:rPr>
        <w:t xml:space="preserve"> Appendix discusses mediation analysis and contrasts it with the empirical strategy presented here.</w:t>
      </w:r>
    </w:p>
  </w:footnote>
  <w:footnote w:id="8">
    <w:p w14:paraId="35C182F8" w14:textId="6E714F9D" w:rsidR="00B25F38" w:rsidRDefault="00B25F38">
      <w:pPr>
        <w:pStyle w:val="FootnoteText"/>
      </w:pPr>
      <w:r>
        <w:rPr>
          <w:rStyle w:val="FootnoteReference"/>
        </w:rPr>
        <w:footnoteRef/>
      </w:r>
      <w:r>
        <w:t xml:space="preserve"> In both these cases, regression </w:t>
      </w:r>
      <w:r w:rsidRPr="002A4884">
        <w:rPr>
          <w:rFonts w:cstheme="minorHAnsi"/>
        </w:rPr>
        <w:fldChar w:fldCharType="begin"/>
      </w:r>
      <w:r w:rsidRPr="002A4884">
        <w:rPr>
          <w:rFonts w:cstheme="minorHAnsi"/>
        </w:rPr>
        <w:instrText xml:space="preserve"> GOTOBUTTON ZEqnNum977296  \* MERGEFORMAT </w:instrText>
      </w:r>
      <w:r w:rsidRPr="002A4884">
        <w:rPr>
          <w:rFonts w:cstheme="minorHAnsi"/>
        </w:rPr>
        <w:fldChar w:fldCharType="begin"/>
      </w:r>
      <w:r w:rsidRPr="002A4884">
        <w:rPr>
          <w:rFonts w:cstheme="minorHAnsi"/>
        </w:rPr>
        <w:instrText xml:space="preserve"> REF ZEqnNum977296 \* Charformat \! \* MERGEFORMAT </w:instrText>
      </w:r>
      <w:r w:rsidRPr="002A4884">
        <w:rPr>
          <w:rFonts w:cstheme="minorHAnsi"/>
        </w:rPr>
        <w:fldChar w:fldCharType="separate"/>
      </w:r>
      <w:r w:rsidR="007C7B62" w:rsidRPr="007C7B62">
        <w:rPr>
          <w:rFonts w:cstheme="minorHAnsi"/>
        </w:rPr>
        <w:instrText>(14)</w:instrText>
      </w:r>
      <w:r w:rsidRPr="002A4884">
        <w:rPr>
          <w:rFonts w:cstheme="minorHAnsi"/>
        </w:rPr>
        <w:fldChar w:fldCharType="end"/>
      </w:r>
      <w:r w:rsidRPr="002A4884">
        <w:rPr>
          <w:rFonts w:cstheme="minorHAnsi"/>
        </w:rPr>
        <w:fldChar w:fldCharType="end"/>
      </w:r>
      <w:r w:rsidRPr="002A4884">
        <w:rPr>
          <w:rFonts w:cstheme="minorHAnsi"/>
        </w:rPr>
        <w:t xml:space="preserve"> </w:t>
      </w:r>
      <w:r>
        <w:rPr>
          <w:rFonts w:cstheme="minorHAnsi"/>
        </w:rPr>
        <w:t>estimates the HC direct mortality effect. In the first case, however, t</w:t>
      </w:r>
      <w:r w:rsidRPr="000D560A">
        <w:t xml:space="preserve">he HC indirect mortality effect will amount to the </w:t>
      </w:r>
      <w:r>
        <w:t>change in life saved</w:t>
      </w:r>
      <w:r>
        <w:rPr>
          <w:rFonts w:cstheme="minorHAnsi"/>
        </w:rPr>
        <w:t xml:space="preserve"> due to the change in the level of LTC expenditure. In the second case, t</w:t>
      </w:r>
      <w:r w:rsidRPr="000D560A">
        <w:t xml:space="preserve">he HC indirect mortality effect will amount to the change in </w:t>
      </w:r>
      <w:r>
        <w:t>life saved</w:t>
      </w:r>
      <w:r>
        <w:rPr>
          <w:rFonts w:cstheme="minorHAnsi"/>
        </w:rPr>
        <w:t xml:space="preserve"> due to the change in both level and composition of LTC expenditure.</w:t>
      </w:r>
    </w:p>
  </w:footnote>
  <w:footnote w:id="9">
    <w:p w14:paraId="7681A8E9" w14:textId="2062A3EB" w:rsidR="00B25F38" w:rsidRDefault="00B25F38" w:rsidP="00CB0E98">
      <w:pPr>
        <w:pStyle w:val="FootnoteText"/>
        <w:tabs>
          <w:tab w:val="left" w:pos="5954"/>
        </w:tabs>
      </w:pPr>
      <w:r>
        <w:rPr>
          <w:rStyle w:val="FootnoteReference"/>
        </w:rPr>
        <w:footnoteRef/>
      </w:r>
      <w:r>
        <w:t xml:space="preserve"> I</w:t>
      </w:r>
      <w:r w:rsidRPr="001543BF">
        <w:t>n the first decade of the 2000s, a number of strategies were implemented to reduce health inequalities, including amendments to the way in which resources were allocated to</w:t>
      </w:r>
      <w:r>
        <w:t xml:space="preserve"> deprived</w:t>
      </w:r>
      <w:r w:rsidRPr="001543BF">
        <w:t xml:space="preserve"> local areas</w:t>
      </w:r>
      <w:r>
        <w:t xml:space="preserve"> outside of the usual formula</w:t>
      </w:r>
      <w:r w:rsidRPr="001543BF">
        <w:t>. Any influence of this component is likely to be</w:t>
      </w:r>
      <w:r>
        <w:t xml:space="preserve"> small given that a brand new formula was used for estimating the target allocation in 2014/15. Further, any residual endogeneity is</w:t>
      </w:r>
      <w:r w:rsidRPr="001543BF">
        <w:t xml:space="preserve"> </w:t>
      </w:r>
      <w:r>
        <w:t xml:space="preserve">negligible </w:t>
      </w:r>
      <w:r w:rsidRPr="001543BF">
        <w:t>indeed once observable proxies for need are included as controls in our regressions.</w:t>
      </w:r>
    </w:p>
  </w:footnote>
  <w:footnote w:id="10">
    <w:p w14:paraId="1A6BD4A0" w14:textId="591D080B" w:rsidR="00B25F38" w:rsidRDefault="00B25F38">
      <w:pPr>
        <w:pStyle w:val="FootnoteText"/>
      </w:pPr>
      <w:r>
        <w:rPr>
          <w:rStyle w:val="FootnoteReference"/>
        </w:rPr>
        <w:footnoteRef/>
      </w:r>
      <w:r>
        <w:t xml:space="preserve"> Following</w:t>
      </w:r>
      <w:r w:rsidRPr="00146BB7">
        <w:t xml:space="preserve"> </w:t>
      </w:r>
      <w:r>
        <w:fldChar w:fldCharType="begin"/>
      </w:r>
      <w:r>
        <w:instrText xml:space="preserve"> ADDIN EN.CITE &lt;EndNote&gt;&lt;Cite AuthorYear="1"&gt;&lt;Author&gt;Longo&lt;/Author&gt;&lt;Year&gt;2021&lt;/Year&gt;&lt;RecNum&gt;119&lt;/RecNum&gt;&lt;DisplayText&gt;Longo et al. (2021)&lt;/DisplayText&gt;&lt;record&gt;&lt;rec-number&gt;119&lt;/rec-number&gt;&lt;foreign-keys&gt;&lt;key app="EN" db-id="r920as25hw5rrve2fa8psvr8e0dxvzxa200s" timestamp="1607688634" guid="bccb7221-8b94-4c26-b24e-8265d04d8dcf"&gt;119&lt;/key&gt;&lt;/foreign-keys&gt;&lt;ref-type name="Journal Article"&gt;17&lt;/ref-type&gt;&lt;contributors&gt;&lt;authors&gt;&lt;author&gt;Longo, Francesco&lt;/author&gt;&lt;author&gt;Claxton, Karl&lt;/author&gt;&lt;author&gt;Lomas, James&lt;/author&gt;&lt;author&gt;Martin, Stephen,&lt;/author&gt;&lt;/authors&gt;&lt;/contributors&gt;&lt;titles&gt;&lt;title&gt;Does public long-term care expenditure improve care-related quality of life of service users in England?&lt;/title&gt;&lt;secondary-title&gt;Health Economics&lt;/secondary-title&gt;&lt;/titles&gt;&lt;periodical&gt;&lt;full-title&gt;Health economics&lt;/full-title&gt;&lt;/periodical&gt;&lt;pages&gt;2561-2581&lt;/pages&gt;&lt;volume&gt;30&lt;/volume&gt;&lt;number&gt;10&lt;/number&gt;&lt;dates&gt;&lt;year&gt;2021&lt;/year&gt;&lt;/dates&gt;&lt;urls&gt;&lt;/urls&gt;&lt;/record&gt;&lt;/Cite&gt;&lt;/EndNote&gt;</w:instrText>
      </w:r>
      <w:r>
        <w:fldChar w:fldCharType="separate"/>
      </w:r>
      <w:r>
        <w:rPr>
          <w:noProof/>
        </w:rPr>
        <w:t>Longo et al. (2021)</w:t>
      </w:r>
      <w:r>
        <w:fldChar w:fldCharType="end"/>
      </w:r>
      <w:r>
        <w:t xml:space="preserve">, we divide the council tax base by the number of users </w:t>
      </w:r>
      <w:r w:rsidRPr="00971B11">
        <w:t xml:space="preserve">to replicate LAs’ funding approach as closely as possible. LAs </w:t>
      </w:r>
      <w:r>
        <w:t xml:space="preserve">in England </w:t>
      </w:r>
      <w:r w:rsidRPr="00971B11">
        <w:t xml:space="preserve">are expected to allocate </w:t>
      </w:r>
      <w:r>
        <w:t xml:space="preserve">funding </w:t>
      </w:r>
      <w:r w:rsidRPr="00971B11">
        <w:t>by prioritising services that must be guaranteed by law</w:t>
      </w:r>
      <w:r>
        <w:t xml:space="preserve">. ASC is one of these services and, therefore, LAs allocate to this sector most of the council tax revenues </w:t>
      </w:r>
      <w:r>
        <w:fldChar w:fldCharType="begin"/>
      </w:r>
      <w:r>
        <w:instrText xml:space="preserve"> ADDIN EN.CITE &lt;EndNote&gt;&lt;Cite&gt;&lt;Author&gt;Department for Communities and Local Government&lt;/Author&gt;&lt;Year&gt;2017&lt;/Year&gt;&lt;RecNum&gt;31&lt;/RecNum&gt;&lt;DisplayText&gt;(Department for Communities and Local Government, 2017)&lt;/DisplayText&gt;&lt;record&gt;&lt;rec-number&gt;31&lt;/rec-number&gt;&lt;foreign-keys&gt;&lt;key app="EN" db-id="r920as25hw5rrve2fa8psvr8e0dxvzxa200s" timestamp="1570694505" guid="5aabaccc-4124-41de-852b-0624436e367b"&gt;31&lt;/key&gt;&lt;/foreign-keys&gt;&lt;ref-type name="Government Document"&gt;46&lt;/ref-type&gt;&lt;contributors&gt;&lt;authors&gt;&lt;author&gt;Department for Communities and Local Government,&lt;/author&gt;&lt;/authors&gt;&lt;/contributors&gt;&lt;titles&gt;&lt;title&gt;Local Authority Revenue Expenditure and Financing: 2017-18 Budget, England&lt;/title&gt;&lt;/titles&gt;&lt;dates&gt;&lt;year&gt;2017&lt;/year&gt;&lt;/dates&gt;&lt;pub-location&gt;London&lt;/pub-location&gt;&lt;urls&gt;&lt;/urls&gt;&lt;/record&gt;&lt;/Cite&gt;&lt;/EndNote&gt;</w:instrText>
      </w:r>
      <w:r>
        <w:fldChar w:fldCharType="separate"/>
      </w:r>
      <w:r>
        <w:rPr>
          <w:noProof/>
        </w:rPr>
        <w:t>(Department for Communities and Local Government, 2017)</w:t>
      </w:r>
      <w:r>
        <w:fldChar w:fldCharType="end"/>
      </w:r>
      <w:r w:rsidRPr="00971B11">
        <w:t xml:space="preserve">. </w:t>
      </w:r>
      <w:r>
        <w:t xml:space="preserve">The exact proportion of </w:t>
      </w:r>
      <w:r w:rsidRPr="00AE7E30">
        <w:t xml:space="preserve">council tax revenues </w:t>
      </w:r>
      <w:r>
        <w:t xml:space="preserve">that LAs allocate </w:t>
      </w:r>
      <w:r w:rsidRPr="00AE7E30">
        <w:t xml:space="preserve">to ASC </w:t>
      </w:r>
      <w:r>
        <w:t xml:space="preserve">is likely to be determined </w:t>
      </w:r>
      <w:r w:rsidRPr="00AE7E30">
        <w:t>by the expected number of users rather than p</w:t>
      </w:r>
      <w:r>
        <w:t>eople</w:t>
      </w:r>
      <w:r w:rsidRPr="00AE7E30">
        <w:t xml:space="preserve">. </w:t>
      </w:r>
      <w:r>
        <w:t>Moreover, as e</w:t>
      </w:r>
      <w:r w:rsidRPr="00AE7E30">
        <w:t>xpectations on users</w:t>
      </w:r>
      <w:r>
        <w:t xml:space="preserve"> are driven by </w:t>
      </w:r>
      <w:r w:rsidRPr="00971B11">
        <w:t xml:space="preserve">local eligibility policy and </w:t>
      </w:r>
      <w:r>
        <w:t xml:space="preserve">level of </w:t>
      </w:r>
      <w:r w:rsidRPr="00971B11">
        <w:t>need</w:t>
      </w:r>
      <w:r>
        <w:t xml:space="preserve"> observable to LAs, o</w:t>
      </w:r>
      <w:r w:rsidRPr="00971B11">
        <w:t xml:space="preserve">nce these have been accounted for, as we do, the number of users </w:t>
      </w:r>
      <w:r>
        <w:t xml:space="preserve">can be argued to be </w:t>
      </w:r>
      <w:r w:rsidRPr="00971B11">
        <w:t>exogenous to LAs given the legal requirements.</w:t>
      </w:r>
    </w:p>
  </w:footnote>
  <w:footnote w:id="11">
    <w:p w14:paraId="515DA249" w14:textId="3AA785A9" w:rsidR="00B25F38" w:rsidRDefault="00B25F38">
      <w:pPr>
        <w:pStyle w:val="FootnoteText"/>
      </w:pPr>
      <w:r>
        <w:rPr>
          <w:rStyle w:val="FootnoteReference"/>
        </w:rPr>
        <w:footnoteRef/>
      </w:r>
      <w:r>
        <w:t xml:space="preserve"> The expenditure variables measured at the </w:t>
      </w:r>
      <w:r w:rsidRPr="00260B42">
        <w:t>CCG</w:t>
      </w:r>
      <w:r>
        <w:t xml:space="preserve"> level </w:t>
      </w:r>
      <w:r w:rsidRPr="00260B42">
        <w:t xml:space="preserve">were </w:t>
      </w:r>
      <w:r>
        <w:t xml:space="preserve">recalculated </w:t>
      </w:r>
      <w:r w:rsidRPr="00260B42">
        <w:t>to a LA geography using the proportion of the population</w:t>
      </w:r>
      <w:r>
        <w:t xml:space="preserve"> (</w:t>
      </w:r>
      <w:r w:rsidRPr="00260B42">
        <w:t>mid-201</w:t>
      </w:r>
      <w:r>
        <w:t xml:space="preserve">4 estimates) </w:t>
      </w:r>
      <w:r w:rsidRPr="00260B42">
        <w:t xml:space="preserve">in each CCG that mapped into each </w:t>
      </w:r>
      <w:r>
        <w:t>LA</w:t>
      </w:r>
      <w:r w:rsidRPr="00260B42">
        <w:t>.</w:t>
      </w:r>
      <w:r>
        <w:t xml:space="preserve"> The majority of CCGs have a </w:t>
      </w:r>
      <w:r w:rsidRPr="00260B42">
        <w:t xml:space="preserve">one-to-one correspondence </w:t>
      </w:r>
      <w:r>
        <w:t xml:space="preserve">with </w:t>
      </w:r>
      <w:r w:rsidRPr="00260B42">
        <w:t>LA</w:t>
      </w:r>
      <w:r>
        <w:t>s in terms of their</w:t>
      </w:r>
      <w:r w:rsidRPr="00260B42">
        <w:t xml:space="preserve"> </w:t>
      </w:r>
      <w:r>
        <w:t xml:space="preserve">geographical </w:t>
      </w:r>
      <w:r w:rsidRPr="00260B42">
        <w:t>boundaries.</w:t>
      </w:r>
    </w:p>
  </w:footnote>
  <w:footnote w:id="12">
    <w:p w14:paraId="7DEE1F69" w14:textId="02DDED31" w:rsidR="00B25F38" w:rsidRPr="00FA580B" w:rsidRDefault="00B25F38">
      <w:pPr>
        <w:pStyle w:val="FootnoteText"/>
      </w:pPr>
      <w:r w:rsidRPr="00FA580B">
        <w:rPr>
          <w:rStyle w:val="FootnoteReference"/>
        </w:rPr>
        <w:footnoteRef/>
      </w:r>
      <w:r w:rsidRPr="00FA580B">
        <w:t xml:space="preserve"> On average, income from the NHS amounts to around 11% of the total gross LTC expenditure.</w:t>
      </w:r>
    </w:p>
  </w:footnote>
  <w:footnote w:id="13">
    <w:p w14:paraId="133E5A71" w14:textId="7916C597" w:rsidR="00B25F38" w:rsidRPr="00FA580B" w:rsidRDefault="00B25F38" w:rsidP="001D616A">
      <w:pPr>
        <w:pStyle w:val="FootnoteText"/>
      </w:pPr>
      <w:r w:rsidRPr="00FA580B">
        <w:rPr>
          <w:rStyle w:val="FootnoteReference"/>
        </w:rPr>
        <w:footnoteRef/>
      </w:r>
      <w:r w:rsidRPr="00FA580B">
        <w:t xml:space="preserve"> </w:t>
      </w:r>
      <w:r>
        <w:t xml:space="preserve">Adding functions of the exogenous variables, including interactions between them, to the instrument set is common practice </w:t>
      </w:r>
      <w:r>
        <w:fldChar w:fldCharType="begin"/>
      </w:r>
      <w:r>
        <w:instrText xml:space="preserve"> ADDIN EN.CITE &lt;EndNote&gt;&lt;Cite&gt;&lt;Author&gt;Wooldridge&lt;/Author&gt;&lt;Year&gt;2010&lt;/Year&gt;&lt;RecNum&gt;501&lt;/RecNum&gt;&lt;DisplayText&gt;(Wooldridge, 2010)&lt;/DisplayText&gt;&lt;record&gt;&lt;rec-number&gt;501&lt;/rec-number&gt;&lt;foreign-keys&gt;&lt;key app="EN" db-id="r920as25hw5rrve2fa8psvr8e0dxvzxa200s" timestamp="1611925210" guid="87c894d3-c21d-4618-af45-78febcaa06a1"&gt;501&lt;/key&gt;&lt;/foreign-keys&gt;&lt;ref-type name="Book"&gt;6&lt;/ref-type&gt;&lt;contributors&gt;&lt;authors&gt;&lt;author&gt;Wooldridge, Jeffrey M&lt;/author&gt;&lt;/authors&gt;&lt;/contributors&gt;&lt;titles&gt;&lt;title&gt;Econometric analysis of cross section and panel data&lt;/title&gt;&lt;/titles&gt;&lt;dates&gt;&lt;year&gt;2010&lt;/year&gt;&lt;/dates&gt;&lt;publisher&gt;MIT press&lt;/publisher&gt;&lt;isbn&gt;0262296799&lt;/isbn&gt;&lt;urls&gt;&lt;/urls&gt;&lt;/record&gt;&lt;/Cite&gt;&lt;/EndNote&gt;</w:instrText>
      </w:r>
      <w:r>
        <w:fldChar w:fldCharType="separate"/>
      </w:r>
      <w:r>
        <w:rPr>
          <w:noProof/>
        </w:rPr>
        <w:t>(Wooldridge, 2010)</w:t>
      </w:r>
      <w:r>
        <w:fldChar w:fldCharType="end"/>
      </w:r>
      <w:r>
        <w:t xml:space="preserve">. Among the three HC instruments, we choose the </w:t>
      </w:r>
      <w:r w:rsidRPr="00FA580B">
        <w:t xml:space="preserve">DFT index </w:t>
      </w:r>
      <w:r>
        <w:t>to be interacted with council tax base per user because this instrument turns out to have the highest predictive power in the first stage.</w:t>
      </w:r>
      <w:r w:rsidRPr="00FA580B">
        <w:t xml:space="preserve"> This is to be expected since the policy choices driving the DFT index are likely to determine greater variation in HC expenditure compared to relatively small differences in input prices and population characteristics across LAs.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D680" w14:textId="77777777" w:rsidR="00B25F38" w:rsidRDefault="00B2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148"/>
    <w:multiLevelType w:val="multilevel"/>
    <w:tmpl w:val="EA9847E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Restart w:val="0"/>
      <w:pStyle w:val="Heading4"/>
      <w:lvlText w:val="A%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8E0519A"/>
    <w:multiLevelType w:val="hybridMultilevel"/>
    <w:tmpl w:val="8C26F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5C7784"/>
    <w:multiLevelType w:val="hybridMultilevel"/>
    <w:tmpl w:val="A542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B0AC8"/>
    <w:multiLevelType w:val="hybridMultilevel"/>
    <w:tmpl w:val="9EAE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39242A"/>
    <w:multiLevelType w:val="hybridMultilevel"/>
    <w:tmpl w:val="95708A80"/>
    <w:lvl w:ilvl="0" w:tplc="DE9237C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20as25hw5rrve2fa8psvr8e0dxvzxa200s&quot;&gt;References&lt;record-ids&gt;&lt;item&gt;1&lt;/item&gt;&lt;item&gt;7&lt;/item&gt;&lt;item&gt;9&lt;/item&gt;&lt;item&gt;31&lt;/item&gt;&lt;item&gt;38&lt;/item&gt;&lt;item&gt;39&lt;/item&gt;&lt;item&gt;51&lt;/item&gt;&lt;item&gt;57&lt;/item&gt;&lt;item&gt;58&lt;/item&gt;&lt;item&gt;59&lt;/item&gt;&lt;item&gt;60&lt;/item&gt;&lt;item&gt;64&lt;/item&gt;&lt;item&gt;68&lt;/item&gt;&lt;item&gt;72&lt;/item&gt;&lt;item&gt;86&lt;/item&gt;&lt;item&gt;87&lt;/item&gt;&lt;item&gt;94&lt;/item&gt;&lt;item&gt;96&lt;/item&gt;&lt;item&gt;104&lt;/item&gt;&lt;item&gt;105&lt;/item&gt;&lt;item&gt;108&lt;/item&gt;&lt;item&gt;109&lt;/item&gt;&lt;item&gt;110&lt;/item&gt;&lt;item&gt;113&lt;/item&gt;&lt;item&gt;114&lt;/item&gt;&lt;item&gt;115&lt;/item&gt;&lt;item&gt;116&lt;/item&gt;&lt;item&gt;117&lt;/item&gt;&lt;item&gt;118&lt;/item&gt;&lt;item&gt;119&lt;/item&gt;&lt;item&gt;123&lt;/item&gt;&lt;item&gt;124&lt;/item&gt;&lt;item&gt;125&lt;/item&gt;&lt;item&gt;126&lt;/item&gt;&lt;item&gt;128&lt;/item&gt;&lt;item&gt;129&lt;/item&gt;&lt;item&gt;130&lt;/item&gt;&lt;item&gt;131&lt;/item&gt;&lt;item&gt;132&lt;/item&gt;&lt;item&gt;133&lt;/item&gt;&lt;item&gt;134&lt;/item&gt;&lt;item&gt;135&lt;/item&gt;&lt;item&gt;136&lt;/item&gt;&lt;item&gt;137&lt;/item&gt;&lt;item&gt;138&lt;/item&gt;&lt;item&gt;439&lt;/item&gt;&lt;item&gt;440&lt;/item&gt;&lt;item&gt;441&lt;/item&gt;&lt;item&gt;468&lt;/item&gt;&lt;item&gt;501&lt;/item&gt;&lt;item&gt;545&lt;/item&gt;&lt;item&gt;546&lt;/item&gt;&lt;item&gt;547&lt;/item&gt;&lt;item&gt;548&lt;/item&gt;&lt;item&gt;556&lt;/item&gt;&lt;item&gt;557&lt;/item&gt;&lt;item&gt;558&lt;/item&gt;&lt;item&gt;560&lt;/item&gt;&lt;item&gt;561&lt;/item&gt;&lt;item&gt;562&lt;/item&gt;&lt;item&gt;580&lt;/item&gt;&lt;/record-ids&gt;&lt;/item&gt;&lt;/Libraries&gt;"/>
  </w:docVars>
  <w:rsids>
    <w:rsidRoot w:val="004F2904"/>
    <w:rsid w:val="00000351"/>
    <w:rsid w:val="00001F80"/>
    <w:rsid w:val="00001FCB"/>
    <w:rsid w:val="000023E7"/>
    <w:rsid w:val="0000328C"/>
    <w:rsid w:val="00003A40"/>
    <w:rsid w:val="00003FEA"/>
    <w:rsid w:val="000049D6"/>
    <w:rsid w:val="0000530B"/>
    <w:rsid w:val="00005DA9"/>
    <w:rsid w:val="00006558"/>
    <w:rsid w:val="00007674"/>
    <w:rsid w:val="00007F00"/>
    <w:rsid w:val="00007F44"/>
    <w:rsid w:val="000108DC"/>
    <w:rsid w:val="00010CD3"/>
    <w:rsid w:val="00011113"/>
    <w:rsid w:val="000117E0"/>
    <w:rsid w:val="000129CE"/>
    <w:rsid w:val="00012B9D"/>
    <w:rsid w:val="00013A57"/>
    <w:rsid w:val="000142BA"/>
    <w:rsid w:val="000143BE"/>
    <w:rsid w:val="00014F46"/>
    <w:rsid w:val="00015722"/>
    <w:rsid w:val="000167E3"/>
    <w:rsid w:val="0001724B"/>
    <w:rsid w:val="00017731"/>
    <w:rsid w:val="00017BF0"/>
    <w:rsid w:val="00020480"/>
    <w:rsid w:val="00020D3C"/>
    <w:rsid w:val="00021C5F"/>
    <w:rsid w:val="000239C5"/>
    <w:rsid w:val="000265F0"/>
    <w:rsid w:val="00026D7A"/>
    <w:rsid w:val="00030968"/>
    <w:rsid w:val="00031611"/>
    <w:rsid w:val="00032925"/>
    <w:rsid w:val="0003399A"/>
    <w:rsid w:val="00033B9B"/>
    <w:rsid w:val="0003501C"/>
    <w:rsid w:val="00035265"/>
    <w:rsid w:val="000357CF"/>
    <w:rsid w:val="0003691D"/>
    <w:rsid w:val="0003736D"/>
    <w:rsid w:val="00037CAB"/>
    <w:rsid w:val="00041CF8"/>
    <w:rsid w:val="00042041"/>
    <w:rsid w:val="00042336"/>
    <w:rsid w:val="00042FC5"/>
    <w:rsid w:val="000431EE"/>
    <w:rsid w:val="0004378B"/>
    <w:rsid w:val="00043C29"/>
    <w:rsid w:val="00043D41"/>
    <w:rsid w:val="00044698"/>
    <w:rsid w:val="000449E2"/>
    <w:rsid w:val="00044DA1"/>
    <w:rsid w:val="000453FD"/>
    <w:rsid w:val="00045F71"/>
    <w:rsid w:val="00045FDC"/>
    <w:rsid w:val="00046194"/>
    <w:rsid w:val="000467BB"/>
    <w:rsid w:val="00047F75"/>
    <w:rsid w:val="00050577"/>
    <w:rsid w:val="0005173B"/>
    <w:rsid w:val="00052826"/>
    <w:rsid w:val="00053841"/>
    <w:rsid w:val="00054D1E"/>
    <w:rsid w:val="0005517E"/>
    <w:rsid w:val="00055284"/>
    <w:rsid w:val="00055A31"/>
    <w:rsid w:val="00056272"/>
    <w:rsid w:val="00056343"/>
    <w:rsid w:val="000563E7"/>
    <w:rsid w:val="000564C3"/>
    <w:rsid w:val="00056D38"/>
    <w:rsid w:val="00056F6E"/>
    <w:rsid w:val="0005728B"/>
    <w:rsid w:val="00057877"/>
    <w:rsid w:val="00057BB0"/>
    <w:rsid w:val="000600D1"/>
    <w:rsid w:val="00061DEE"/>
    <w:rsid w:val="000625D9"/>
    <w:rsid w:val="00062DA4"/>
    <w:rsid w:val="00063412"/>
    <w:rsid w:val="00063FE1"/>
    <w:rsid w:val="00065466"/>
    <w:rsid w:val="000656FC"/>
    <w:rsid w:val="00065BA4"/>
    <w:rsid w:val="00065C27"/>
    <w:rsid w:val="00066250"/>
    <w:rsid w:val="000700DD"/>
    <w:rsid w:val="0007118D"/>
    <w:rsid w:val="000715C2"/>
    <w:rsid w:val="00073289"/>
    <w:rsid w:val="00073F8D"/>
    <w:rsid w:val="000740D7"/>
    <w:rsid w:val="00074222"/>
    <w:rsid w:val="00074431"/>
    <w:rsid w:val="00074589"/>
    <w:rsid w:val="00074B9A"/>
    <w:rsid w:val="000750C5"/>
    <w:rsid w:val="000752BB"/>
    <w:rsid w:val="000755E8"/>
    <w:rsid w:val="00076ABF"/>
    <w:rsid w:val="00076C3F"/>
    <w:rsid w:val="00076C71"/>
    <w:rsid w:val="00076E7D"/>
    <w:rsid w:val="00077579"/>
    <w:rsid w:val="00077749"/>
    <w:rsid w:val="00077CFB"/>
    <w:rsid w:val="0008066D"/>
    <w:rsid w:val="00080FD1"/>
    <w:rsid w:val="00081AFA"/>
    <w:rsid w:val="00082AD1"/>
    <w:rsid w:val="00082D6E"/>
    <w:rsid w:val="00083731"/>
    <w:rsid w:val="00083D17"/>
    <w:rsid w:val="00083FC7"/>
    <w:rsid w:val="000844D5"/>
    <w:rsid w:val="0008758C"/>
    <w:rsid w:val="00090591"/>
    <w:rsid w:val="000907C1"/>
    <w:rsid w:val="00090DAE"/>
    <w:rsid w:val="00090E36"/>
    <w:rsid w:val="00092026"/>
    <w:rsid w:val="00093370"/>
    <w:rsid w:val="00093BDF"/>
    <w:rsid w:val="00093C84"/>
    <w:rsid w:val="0009474E"/>
    <w:rsid w:val="00094E93"/>
    <w:rsid w:val="00095B72"/>
    <w:rsid w:val="00095BA0"/>
    <w:rsid w:val="000961F4"/>
    <w:rsid w:val="00097261"/>
    <w:rsid w:val="000A0722"/>
    <w:rsid w:val="000A0967"/>
    <w:rsid w:val="000A1005"/>
    <w:rsid w:val="000A23FA"/>
    <w:rsid w:val="000A3325"/>
    <w:rsid w:val="000A3891"/>
    <w:rsid w:val="000A4C80"/>
    <w:rsid w:val="000A56C8"/>
    <w:rsid w:val="000A7256"/>
    <w:rsid w:val="000B082B"/>
    <w:rsid w:val="000B0B1B"/>
    <w:rsid w:val="000B10E7"/>
    <w:rsid w:val="000B1A2B"/>
    <w:rsid w:val="000B1AB9"/>
    <w:rsid w:val="000B1F8F"/>
    <w:rsid w:val="000B3ACE"/>
    <w:rsid w:val="000B429D"/>
    <w:rsid w:val="000B42FC"/>
    <w:rsid w:val="000B5089"/>
    <w:rsid w:val="000B5E33"/>
    <w:rsid w:val="000B5EF8"/>
    <w:rsid w:val="000B6CCF"/>
    <w:rsid w:val="000B767A"/>
    <w:rsid w:val="000B7D41"/>
    <w:rsid w:val="000C4658"/>
    <w:rsid w:val="000C51A7"/>
    <w:rsid w:val="000C73A3"/>
    <w:rsid w:val="000D02A1"/>
    <w:rsid w:val="000D0453"/>
    <w:rsid w:val="000D0ECD"/>
    <w:rsid w:val="000D1A3B"/>
    <w:rsid w:val="000D1F7A"/>
    <w:rsid w:val="000D31E9"/>
    <w:rsid w:val="000D38BC"/>
    <w:rsid w:val="000D43E3"/>
    <w:rsid w:val="000D4B79"/>
    <w:rsid w:val="000D560A"/>
    <w:rsid w:val="000D5ADC"/>
    <w:rsid w:val="000D600E"/>
    <w:rsid w:val="000D6095"/>
    <w:rsid w:val="000D62B2"/>
    <w:rsid w:val="000D62CB"/>
    <w:rsid w:val="000D6328"/>
    <w:rsid w:val="000D6536"/>
    <w:rsid w:val="000E0CD4"/>
    <w:rsid w:val="000E115B"/>
    <w:rsid w:val="000E3E3C"/>
    <w:rsid w:val="000E5129"/>
    <w:rsid w:val="000E565B"/>
    <w:rsid w:val="000E62F5"/>
    <w:rsid w:val="000E66A3"/>
    <w:rsid w:val="000E6F29"/>
    <w:rsid w:val="000F0610"/>
    <w:rsid w:val="000F2513"/>
    <w:rsid w:val="000F2621"/>
    <w:rsid w:val="000F2861"/>
    <w:rsid w:val="000F3C58"/>
    <w:rsid w:val="000F4241"/>
    <w:rsid w:val="000F4404"/>
    <w:rsid w:val="000F44F4"/>
    <w:rsid w:val="000F5097"/>
    <w:rsid w:val="000F5F1D"/>
    <w:rsid w:val="0010022F"/>
    <w:rsid w:val="0010088A"/>
    <w:rsid w:val="00100EC3"/>
    <w:rsid w:val="00101895"/>
    <w:rsid w:val="001021F3"/>
    <w:rsid w:val="00103D9A"/>
    <w:rsid w:val="0010414C"/>
    <w:rsid w:val="00104429"/>
    <w:rsid w:val="00110069"/>
    <w:rsid w:val="00111873"/>
    <w:rsid w:val="00112441"/>
    <w:rsid w:val="001126FD"/>
    <w:rsid w:val="00113129"/>
    <w:rsid w:val="00113D5A"/>
    <w:rsid w:val="001144F7"/>
    <w:rsid w:val="00115E72"/>
    <w:rsid w:val="00115ECE"/>
    <w:rsid w:val="0011633F"/>
    <w:rsid w:val="001164A0"/>
    <w:rsid w:val="001172A6"/>
    <w:rsid w:val="001178C3"/>
    <w:rsid w:val="00117F14"/>
    <w:rsid w:val="00124838"/>
    <w:rsid w:val="0012626C"/>
    <w:rsid w:val="00126BAA"/>
    <w:rsid w:val="00127E42"/>
    <w:rsid w:val="00130D58"/>
    <w:rsid w:val="00131993"/>
    <w:rsid w:val="00132565"/>
    <w:rsid w:val="00132BEB"/>
    <w:rsid w:val="001354C7"/>
    <w:rsid w:val="001361CC"/>
    <w:rsid w:val="001366AF"/>
    <w:rsid w:val="00140839"/>
    <w:rsid w:val="00140D99"/>
    <w:rsid w:val="0014160B"/>
    <w:rsid w:val="00143E13"/>
    <w:rsid w:val="001447B6"/>
    <w:rsid w:val="00144C15"/>
    <w:rsid w:val="00144E9B"/>
    <w:rsid w:val="00145266"/>
    <w:rsid w:val="0014527E"/>
    <w:rsid w:val="00145C53"/>
    <w:rsid w:val="00146044"/>
    <w:rsid w:val="001464D4"/>
    <w:rsid w:val="001469BD"/>
    <w:rsid w:val="00146A3E"/>
    <w:rsid w:val="00146BB7"/>
    <w:rsid w:val="00147B8E"/>
    <w:rsid w:val="00150011"/>
    <w:rsid w:val="001501AD"/>
    <w:rsid w:val="001509D2"/>
    <w:rsid w:val="00150B25"/>
    <w:rsid w:val="00150B2F"/>
    <w:rsid w:val="00150D47"/>
    <w:rsid w:val="00151031"/>
    <w:rsid w:val="001521DD"/>
    <w:rsid w:val="001521FB"/>
    <w:rsid w:val="001543BF"/>
    <w:rsid w:val="0015481E"/>
    <w:rsid w:val="00154D97"/>
    <w:rsid w:val="001557FA"/>
    <w:rsid w:val="00157743"/>
    <w:rsid w:val="00157E41"/>
    <w:rsid w:val="00157EC9"/>
    <w:rsid w:val="00160118"/>
    <w:rsid w:val="001608D4"/>
    <w:rsid w:val="00161820"/>
    <w:rsid w:val="00161D44"/>
    <w:rsid w:val="001633CD"/>
    <w:rsid w:val="00163CB9"/>
    <w:rsid w:val="001641C4"/>
    <w:rsid w:val="00164991"/>
    <w:rsid w:val="001653F2"/>
    <w:rsid w:val="001654C9"/>
    <w:rsid w:val="00165EDA"/>
    <w:rsid w:val="001664DE"/>
    <w:rsid w:val="00167377"/>
    <w:rsid w:val="00170A4D"/>
    <w:rsid w:val="0017163D"/>
    <w:rsid w:val="00171959"/>
    <w:rsid w:val="00171FD7"/>
    <w:rsid w:val="001725AD"/>
    <w:rsid w:val="00172941"/>
    <w:rsid w:val="00173906"/>
    <w:rsid w:val="00173930"/>
    <w:rsid w:val="0017407D"/>
    <w:rsid w:val="0017432A"/>
    <w:rsid w:val="00174763"/>
    <w:rsid w:val="00174B8E"/>
    <w:rsid w:val="001751BF"/>
    <w:rsid w:val="001753DF"/>
    <w:rsid w:val="0017623D"/>
    <w:rsid w:val="00176AD2"/>
    <w:rsid w:val="001776E4"/>
    <w:rsid w:val="00177C8C"/>
    <w:rsid w:val="001804A0"/>
    <w:rsid w:val="001805E4"/>
    <w:rsid w:val="00180CCD"/>
    <w:rsid w:val="0018112D"/>
    <w:rsid w:val="00181162"/>
    <w:rsid w:val="00181ACC"/>
    <w:rsid w:val="00181B1A"/>
    <w:rsid w:val="00181C54"/>
    <w:rsid w:val="0018206D"/>
    <w:rsid w:val="001828EC"/>
    <w:rsid w:val="00182D0D"/>
    <w:rsid w:val="00182F39"/>
    <w:rsid w:val="00183DD1"/>
    <w:rsid w:val="00184734"/>
    <w:rsid w:val="00184987"/>
    <w:rsid w:val="00185AD2"/>
    <w:rsid w:val="00185C84"/>
    <w:rsid w:val="00186481"/>
    <w:rsid w:val="00186587"/>
    <w:rsid w:val="0018764E"/>
    <w:rsid w:val="00191751"/>
    <w:rsid w:val="00191860"/>
    <w:rsid w:val="00192DA3"/>
    <w:rsid w:val="0019421B"/>
    <w:rsid w:val="001943A5"/>
    <w:rsid w:val="001944E7"/>
    <w:rsid w:val="00194600"/>
    <w:rsid w:val="00194897"/>
    <w:rsid w:val="00194F2F"/>
    <w:rsid w:val="00196854"/>
    <w:rsid w:val="00196AE6"/>
    <w:rsid w:val="0019703E"/>
    <w:rsid w:val="00197B0A"/>
    <w:rsid w:val="001A0A78"/>
    <w:rsid w:val="001A1041"/>
    <w:rsid w:val="001A1358"/>
    <w:rsid w:val="001A157C"/>
    <w:rsid w:val="001A1920"/>
    <w:rsid w:val="001A22DF"/>
    <w:rsid w:val="001A2C7D"/>
    <w:rsid w:val="001A466A"/>
    <w:rsid w:val="001A4750"/>
    <w:rsid w:val="001A5387"/>
    <w:rsid w:val="001A5E72"/>
    <w:rsid w:val="001A7B54"/>
    <w:rsid w:val="001A7DE4"/>
    <w:rsid w:val="001B193D"/>
    <w:rsid w:val="001B20FA"/>
    <w:rsid w:val="001B2163"/>
    <w:rsid w:val="001B2454"/>
    <w:rsid w:val="001B2B3F"/>
    <w:rsid w:val="001B3042"/>
    <w:rsid w:val="001B3763"/>
    <w:rsid w:val="001B3A17"/>
    <w:rsid w:val="001B411A"/>
    <w:rsid w:val="001B4F51"/>
    <w:rsid w:val="001B5911"/>
    <w:rsid w:val="001B5D31"/>
    <w:rsid w:val="001B6083"/>
    <w:rsid w:val="001B68DD"/>
    <w:rsid w:val="001B6BA2"/>
    <w:rsid w:val="001B6C18"/>
    <w:rsid w:val="001C0009"/>
    <w:rsid w:val="001C021A"/>
    <w:rsid w:val="001C0C42"/>
    <w:rsid w:val="001C10B2"/>
    <w:rsid w:val="001C23E8"/>
    <w:rsid w:val="001C244E"/>
    <w:rsid w:val="001C28E1"/>
    <w:rsid w:val="001C2A98"/>
    <w:rsid w:val="001C31CC"/>
    <w:rsid w:val="001C34B2"/>
    <w:rsid w:val="001C3BA4"/>
    <w:rsid w:val="001C5447"/>
    <w:rsid w:val="001C54D6"/>
    <w:rsid w:val="001C58AC"/>
    <w:rsid w:val="001C5C85"/>
    <w:rsid w:val="001C61A0"/>
    <w:rsid w:val="001C6729"/>
    <w:rsid w:val="001C7886"/>
    <w:rsid w:val="001D13AC"/>
    <w:rsid w:val="001D16AB"/>
    <w:rsid w:val="001D1F23"/>
    <w:rsid w:val="001D2FB8"/>
    <w:rsid w:val="001D386E"/>
    <w:rsid w:val="001D4244"/>
    <w:rsid w:val="001D4643"/>
    <w:rsid w:val="001D5BCE"/>
    <w:rsid w:val="001D5C30"/>
    <w:rsid w:val="001D616A"/>
    <w:rsid w:val="001D70A7"/>
    <w:rsid w:val="001D72BB"/>
    <w:rsid w:val="001D7698"/>
    <w:rsid w:val="001D7A3D"/>
    <w:rsid w:val="001D7BD0"/>
    <w:rsid w:val="001E04BC"/>
    <w:rsid w:val="001E21A1"/>
    <w:rsid w:val="001E2830"/>
    <w:rsid w:val="001E2EE3"/>
    <w:rsid w:val="001E2F3E"/>
    <w:rsid w:val="001E366B"/>
    <w:rsid w:val="001E52F5"/>
    <w:rsid w:val="001E6481"/>
    <w:rsid w:val="001E6EB4"/>
    <w:rsid w:val="001F0241"/>
    <w:rsid w:val="001F087C"/>
    <w:rsid w:val="001F0BC2"/>
    <w:rsid w:val="001F0EE7"/>
    <w:rsid w:val="001F26D2"/>
    <w:rsid w:val="001F2781"/>
    <w:rsid w:val="001F3B68"/>
    <w:rsid w:val="001F4253"/>
    <w:rsid w:val="001F4F1F"/>
    <w:rsid w:val="001F5341"/>
    <w:rsid w:val="001F6AB7"/>
    <w:rsid w:val="001F6CC3"/>
    <w:rsid w:val="0020021A"/>
    <w:rsid w:val="0020047C"/>
    <w:rsid w:val="00200A87"/>
    <w:rsid w:val="0020138D"/>
    <w:rsid w:val="00201E47"/>
    <w:rsid w:val="00202399"/>
    <w:rsid w:val="002062E2"/>
    <w:rsid w:val="002063B7"/>
    <w:rsid w:val="002065F8"/>
    <w:rsid w:val="002067AE"/>
    <w:rsid w:val="002078D2"/>
    <w:rsid w:val="002079EF"/>
    <w:rsid w:val="00207A5C"/>
    <w:rsid w:val="00210049"/>
    <w:rsid w:val="00210168"/>
    <w:rsid w:val="00210344"/>
    <w:rsid w:val="00212292"/>
    <w:rsid w:val="00212380"/>
    <w:rsid w:val="00213115"/>
    <w:rsid w:val="002133A3"/>
    <w:rsid w:val="002135B4"/>
    <w:rsid w:val="002149FD"/>
    <w:rsid w:val="00214A7C"/>
    <w:rsid w:val="00216F29"/>
    <w:rsid w:val="00220FA6"/>
    <w:rsid w:val="0022188F"/>
    <w:rsid w:val="00222318"/>
    <w:rsid w:val="00224CC4"/>
    <w:rsid w:val="00226AB1"/>
    <w:rsid w:val="00226D52"/>
    <w:rsid w:val="00226D57"/>
    <w:rsid w:val="00226DFE"/>
    <w:rsid w:val="00227E55"/>
    <w:rsid w:val="00227F73"/>
    <w:rsid w:val="00230500"/>
    <w:rsid w:val="00230720"/>
    <w:rsid w:val="00230CFA"/>
    <w:rsid w:val="002319C3"/>
    <w:rsid w:val="00231F71"/>
    <w:rsid w:val="00233957"/>
    <w:rsid w:val="00233B66"/>
    <w:rsid w:val="00234246"/>
    <w:rsid w:val="0023576B"/>
    <w:rsid w:val="00236C1B"/>
    <w:rsid w:val="00236F40"/>
    <w:rsid w:val="00240029"/>
    <w:rsid w:val="002411B9"/>
    <w:rsid w:val="00243412"/>
    <w:rsid w:val="00243DB9"/>
    <w:rsid w:val="00244C66"/>
    <w:rsid w:val="002465A3"/>
    <w:rsid w:val="00247AB4"/>
    <w:rsid w:val="00251362"/>
    <w:rsid w:val="00252AF1"/>
    <w:rsid w:val="00252C77"/>
    <w:rsid w:val="00253230"/>
    <w:rsid w:val="002532D9"/>
    <w:rsid w:val="002536A7"/>
    <w:rsid w:val="00253AFC"/>
    <w:rsid w:val="00255573"/>
    <w:rsid w:val="0025565E"/>
    <w:rsid w:val="00256276"/>
    <w:rsid w:val="002601D5"/>
    <w:rsid w:val="00260B42"/>
    <w:rsid w:val="00260C61"/>
    <w:rsid w:val="00261BD2"/>
    <w:rsid w:val="00263435"/>
    <w:rsid w:val="002643AA"/>
    <w:rsid w:val="00265749"/>
    <w:rsid w:val="00266DF4"/>
    <w:rsid w:val="0027087F"/>
    <w:rsid w:val="00271E00"/>
    <w:rsid w:val="00271F20"/>
    <w:rsid w:val="0027212D"/>
    <w:rsid w:val="002725F2"/>
    <w:rsid w:val="002726A3"/>
    <w:rsid w:val="00272F76"/>
    <w:rsid w:val="00275B8F"/>
    <w:rsid w:val="0028034B"/>
    <w:rsid w:val="002817D2"/>
    <w:rsid w:val="00281FC8"/>
    <w:rsid w:val="0028222D"/>
    <w:rsid w:val="00283DC1"/>
    <w:rsid w:val="00284D67"/>
    <w:rsid w:val="00286D26"/>
    <w:rsid w:val="00287282"/>
    <w:rsid w:val="00287766"/>
    <w:rsid w:val="00290D92"/>
    <w:rsid w:val="00291284"/>
    <w:rsid w:val="002915FD"/>
    <w:rsid w:val="00292C3B"/>
    <w:rsid w:val="002933F0"/>
    <w:rsid w:val="002941EC"/>
    <w:rsid w:val="0029541C"/>
    <w:rsid w:val="00295AC5"/>
    <w:rsid w:val="00295B98"/>
    <w:rsid w:val="00295F1E"/>
    <w:rsid w:val="0029752F"/>
    <w:rsid w:val="002A22D3"/>
    <w:rsid w:val="002A23F3"/>
    <w:rsid w:val="002A3A41"/>
    <w:rsid w:val="002A3BDC"/>
    <w:rsid w:val="002A45FA"/>
    <w:rsid w:val="002A4884"/>
    <w:rsid w:val="002A5358"/>
    <w:rsid w:val="002A5717"/>
    <w:rsid w:val="002A6F55"/>
    <w:rsid w:val="002A7365"/>
    <w:rsid w:val="002A76D8"/>
    <w:rsid w:val="002A7A0F"/>
    <w:rsid w:val="002B01AA"/>
    <w:rsid w:val="002B029A"/>
    <w:rsid w:val="002B0C3E"/>
    <w:rsid w:val="002B1965"/>
    <w:rsid w:val="002B24CC"/>
    <w:rsid w:val="002B25ED"/>
    <w:rsid w:val="002B2A8B"/>
    <w:rsid w:val="002B4C2A"/>
    <w:rsid w:val="002B4D46"/>
    <w:rsid w:val="002B59DA"/>
    <w:rsid w:val="002B67D6"/>
    <w:rsid w:val="002B6C37"/>
    <w:rsid w:val="002B6EDD"/>
    <w:rsid w:val="002B7D15"/>
    <w:rsid w:val="002C0C3B"/>
    <w:rsid w:val="002C0D7D"/>
    <w:rsid w:val="002C15BD"/>
    <w:rsid w:val="002C1CB7"/>
    <w:rsid w:val="002C240C"/>
    <w:rsid w:val="002C2704"/>
    <w:rsid w:val="002C30EF"/>
    <w:rsid w:val="002C3986"/>
    <w:rsid w:val="002C3AF4"/>
    <w:rsid w:val="002C4FC7"/>
    <w:rsid w:val="002C56EA"/>
    <w:rsid w:val="002C62E9"/>
    <w:rsid w:val="002D0572"/>
    <w:rsid w:val="002D0673"/>
    <w:rsid w:val="002D113C"/>
    <w:rsid w:val="002D18A0"/>
    <w:rsid w:val="002D1B56"/>
    <w:rsid w:val="002D262E"/>
    <w:rsid w:val="002D38F6"/>
    <w:rsid w:val="002D3926"/>
    <w:rsid w:val="002D3B56"/>
    <w:rsid w:val="002D4338"/>
    <w:rsid w:val="002D483A"/>
    <w:rsid w:val="002D6A83"/>
    <w:rsid w:val="002D706E"/>
    <w:rsid w:val="002D74FC"/>
    <w:rsid w:val="002D7687"/>
    <w:rsid w:val="002D779D"/>
    <w:rsid w:val="002D7DFF"/>
    <w:rsid w:val="002E0E78"/>
    <w:rsid w:val="002E1B91"/>
    <w:rsid w:val="002E1F07"/>
    <w:rsid w:val="002E23CA"/>
    <w:rsid w:val="002E2438"/>
    <w:rsid w:val="002E36BB"/>
    <w:rsid w:val="002E3939"/>
    <w:rsid w:val="002E3F37"/>
    <w:rsid w:val="002E41D6"/>
    <w:rsid w:val="002E4A48"/>
    <w:rsid w:val="002E53AB"/>
    <w:rsid w:val="002E5CF2"/>
    <w:rsid w:val="002E6927"/>
    <w:rsid w:val="002E6AC5"/>
    <w:rsid w:val="002E7471"/>
    <w:rsid w:val="002F007C"/>
    <w:rsid w:val="002F016A"/>
    <w:rsid w:val="002F05BF"/>
    <w:rsid w:val="002F0B1F"/>
    <w:rsid w:val="002F0DBD"/>
    <w:rsid w:val="002F21AF"/>
    <w:rsid w:val="002F2977"/>
    <w:rsid w:val="002F305C"/>
    <w:rsid w:val="002F3271"/>
    <w:rsid w:val="002F33F2"/>
    <w:rsid w:val="002F4AB2"/>
    <w:rsid w:val="002F7791"/>
    <w:rsid w:val="0030043D"/>
    <w:rsid w:val="00300A8A"/>
    <w:rsid w:val="003026DB"/>
    <w:rsid w:val="00302C5A"/>
    <w:rsid w:val="00302D99"/>
    <w:rsid w:val="00303B18"/>
    <w:rsid w:val="0030425D"/>
    <w:rsid w:val="0030503B"/>
    <w:rsid w:val="003052D7"/>
    <w:rsid w:val="00310457"/>
    <w:rsid w:val="003109F5"/>
    <w:rsid w:val="00311D56"/>
    <w:rsid w:val="00312049"/>
    <w:rsid w:val="00312921"/>
    <w:rsid w:val="00313687"/>
    <w:rsid w:val="003138D7"/>
    <w:rsid w:val="00313B76"/>
    <w:rsid w:val="003145A4"/>
    <w:rsid w:val="0031480D"/>
    <w:rsid w:val="00314BA5"/>
    <w:rsid w:val="00314FDF"/>
    <w:rsid w:val="00316C99"/>
    <w:rsid w:val="003172DE"/>
    <w:rsid w:val="00320195"/>
    <w:rsid w:val="00320898"/>
    <w:rsid w:val="00320AD3"/>
    <w:rsid w:val="0032120E"/>
    <w:rsid w:val="00321D3F"/>
    <w:rsid w:val="00322055"/>
    <w:rsid w:val="003220C6"/>
    <w:rsid w:val="003220CC"/>
    <w:rsid w:val="003229E5"/>
    <w:rsid w:val="00323934"/>
    <w:rsid w:val="00323CDB"/>
    <w:rsid w:val="00323D41"/>
    <w:rsid w:val="00325033"/>
    <w:rsid w:val="00325B85"/>
    <w:rsid w:val="003268F5"/>
    <w:rsid w:val="00326E3D"/>
    <w:rsid w:val="00327136"/>
    <w:rsid w:val="00327281"/>
    <w:rsid w:val="003279DE"/>
    <w:rsid w:val="00327DDC"/>
    <w:rsid w:val="0033063A"/>
    <w:rsid w:val="00331502"/>
    <w:rsid w:val="0033196D"/>
    <w:rsid w:val="00332050"/>
    <w:rsid w:val="00334D2B"/>
    <w:rsid w:val="00340B5D"/>
    <w:rsid w:val="003416FF"/>
    <w:rsid w:val="00341A3E"/>
    <w:rsid w:val="0034210A"/>
    <w:rsid w:val="003424F8"/>
    <w:rsid w:val="003432A9"/>
    <w:rsid w:val="00343C80"/>
    <w:rsid w:val="003445B1"/>
    <w:rsid w:val="00344B2E"/>
    <w:rsid w:val="00344FE7"/>
    <w:rsid w:val="0034760E"/>
    <w:rsid w:val="003502D6"/>
    <w:rsid w:val="003514A1"/>
    <w:rsid w:val="00351A69"/>
    <w:rsid w:val="00351D28"/>
    <w:rsid w:val="003529A3"/>
    <w:rsid w:val="0035320A"/>
    <w:rsid w:val="003536B2"/>
    <w:rsid w:val="003541DA"/>
    <w:rsid w:val="0035452A"/>
    <w:rsid w:val="00355501"/>
    <w:rsid w:val="003558F2"/>
    <w:rsid w:val="00355A75"/>
    <w:rsid w:val="00355C9A"/>
    <w:rsid w:val="00355FEC"/>
    <w:rsid w:val="003567FC"/>
    <w:rsid w:val="0035753F"/>
    <w:rsid w:val="00357B9F"/>
    <w:rsid w:val="0036053F"/>
    <w:rsid w:val="00360F53"/>
    <w:rsid w:val="0036169C"/>
    <w:rsid w:val="003618DA"/>
    <w:rsid w:val="003627C8"/>
    <w:rsid w:val="00363310"/>
    <w:rsid w:val="00363D69"/>
    <w:rsid w:val="00363D8E"/>
    <w:rsid w:val="003649A5"/>
    <w:rsid w:val="00365695"/>
    <w:rsid w:val="00365B9C"/>
    <w:rsid w:val="00365BDA"/>
    <w:rsid w:val="00370BDB"/>
    <w:rsid w:val="00371702"/>
    <w:rsid w:val="003718E8"/>
    <w:rsid w:val="003728A4"/>
    <w:rsid w:val="00373198"/>
    <w:rsid w:val="003734CC"/>
    <w:rsid w:val="00373B4E"/>
    <w:rsid w:val="00373DFD"/>
    <w:rsid w:val="00374BA6"/>
    <w:rsid w:val="00374F4F"/>
    <w:rsid w:val="003761E4"/>
    <w:rsid w:val="00377D89"/>
    <w:rsid w:val="003804B7"/>
    <w:rsid w:val="003812B9"/>
    <w:rsid w:val="003819BD"/>
    <w:rsid w:val="00381A4D"/>
    <w:rsid w:val="00382948"/>
    <w:rsid w:val="00383570"/>
    <w:rsid w:val="00384F38"/>
    <w:rsid w:val="003857F5"/>
    <w:rsid w:val="00385D0B"/>
    <w:rsid w:val="003860DB"/>
    <w:rsid w:val="0038625D"/>
    <w:rsid w:val="00387D69"/>
    <w:rsid w:val="003908C9"/>
    <w:rsid w:val="00391D70"/>
    <w:rsid w:val="00392DE4"/>
    <w:rsid w:val="00392E49"/>
    <w:rsid w:val="00393A14"/>
    <w:rsid w:val="00393A1B"/>
    <w:rsid w:val="0039463C"/>
    <w:rsid w:val="00394A43"/>
    <w:rsid w:val="003952FB"/>
    <w:rsid w:val="003958F9"/>
    <w:rsid w:val="00395D4A"/>
    <w:rsid w:val="003968EF"/>
    <w:rsid w:val="00396F5D"/>
    <w:rsid w:val="00396F6C"/>
    <w:rsid w:val="00397CF1"/>
    <w:rsid w:val="00397DAB"/>
    <w:rsid w:val="003A0331"/>
    <w:rsid w:val="003A0484"/>
    <w:rsid w:val="003A2208"/>
    <w:rsid w:val="003A2714"/>
    <w:rsid w:val="003A395E"/>
    <w:rsid w:val="003A3E06"/>
    <w:rsid w:val="003A44F2"/>
    <w:rsid w:val="003A557F"/>
    <w:rsid w:val="003A7F8E"/>
    <w:rsid w:val="003B11CA"/>
    <w:rsid w:val="003B166E"/>
    <w:rsid w:val="003B2118"/>
    <w:rsid w:val="003B316E"/>
    <w:rsid w:val="003B33E8"/>
    <w:rsid w:val="003B4631"/>
    <w:rsid w:val="003B4EE4"/>
    <w:rsid w:val="003B5656"/>
    <w:rsid w:val="003B60E1"/>
    <w:rsid w:val="003B667D"/>
    <w:rsid w:val="003B6D6B"/>
    <w:rsid w:val="003B7CF8"/>
    <w:rsid w:val="003C0079"/>
    <w:rsid w:val="003C0EA5"/>
    <w:rsid w:val="003C110E"/>
    <w:rsid w:val="003C1347"/>
    <w:rsid w:val="003C2C1C"/>
    <w:rsid w:val="003C2CF7"/>
    <w:rsid w:val="003C2FD3"/>
    <w:rsid w:val="003C30E8"/>
    <w:rsid w:val="003C31EB"/>
    <w:rsid w:val="003C3DAE"/>
    <w:rsid w:val="003C3E93"/>
    <w:rsid w:val="003C438F"/>
    <w:rsid w:val="003C54FB"/>
    <w:rsid w:val="003C57F5"/>
    <w:rsid w:val="003C69AF"/>
    <w:rsid w:val="003C6DC6"/>
    <w:rsid w:val="003C7362"/>
    <w:rsid w:val="003D020D"/>
    <w:rsid w:val="003D18AD"/>
    <w:rsid w:val="003D23A6"/>
    <w:rsid w:val="003D304C"/>
    <w:rsid w:val="003D361A"/>
    <w:rsid w:val="003D5801"/>
    <w:rsid w:val="003D6052"/>
    <w:rsid w:val="003D622D"/>
    <w:rsid w:val="003D640D"/>
    <w:rsid w:val="003D6E3A"/>
    <w:rsid w:val="003D733B"/>
    <w:rsid w:val="003D7527"/>
    <w:rsid w:val="003D7977"/>
    <w:rsid w:val="003E0285"/>
    <w:rsid w:val="003E097A"/>
    <w:rsid w:val="003E0BEB"/>
    <w:rsid w:val="003E1218"/>
    <w:rsid w:val="003E2C1D"/>
    <w:rsid w:val="003E2C93"/>
    <w:rsid w:val="003E2F6B"/>
    <w:rsid w:val="003E3CEF"/>
    <w:rsid w:val="003E48F2"/>
    <w:rsid w:val="003E5408"/>
    <w:rsid w:val="003E54BA"/>
    <w:rsid w:val="003E55C9"/>
    <w:rsid w:val="003E5B09"/>
    <w:rsid w:val="003E5DE6"/>
    <w:rsid w:val="003E5FC6"/>
    <w:rsid w:val="003E6366"/>
    <w:rsid w:val="003E6BEB"/>
    <w:rsid w:val="003F1553"/>
    <w:rsid w:val="003F1A2E"/>
    <w:rsid w:val="003F212A"/>
    <w:rsid w:val="003F2982"/>
    <w:rsid w:val="003F3BF6"/>
    <w:rsid w:val="003F4668"/>
    <w:rsid w:val="003F529A"/>
    <w:rsid w:val="003F5B4F"/>
    <w:rsid w:val="003F66BA"/>
    <w:rsid w:val="003F6B17"/>
    <w:rsid w:val="00400AA0"/>
    <w:rsid w:val="00401C1A"/>
    <w:rsid w:val="0040225B"/>
    <w:rsid w:val="00402382"/>
    <w:rsid w:val="00402541"/>
    <w:rsid w:val="00402741"/>
    <w:rsid w:val="00402FC2"/>
    <w:rsid w:val="00405217"/>
    <w:rsid w:val="00405335"/>
    <w:rsid w:val="0040567A"/>
    <w:rsid w:val="00405DA2"/>
    <w:rsid w:val="00406085"/>
    <w:rsid w:val="004073B4"/>
    <w:rsid w:val="00407F7F"/>
    <w:rsid w:val="004107EC"/>
    <w:rsid w:val="004109C0"/>
    <w:rsid w:val="00410C7E"/>
    <w:rsid w:val="00412850"/>
    <w:rsid w:val="004135BC"/>
    <w:rsid w:val="0041362B"/>
    <w:rsid w:val="0041371A"/>
    <w:rsid w:val="004142CF"/>
    <w:rsid w:val="00415FD2"/>
    <w:rsid w:val="00417120"/>
    <w:rsid w:val="0041726B"/>
    <w:rsid w:val="004175CB"/>
    <w:rsid w:val="004203F2"/>
    <w:rsid w:val="0042124E"/>
    <w:rsid w:val="00421AB8"/>
    <w:rsid w:val="00421EF3"/>
    <w:rsid w:val="00422715"/>
    <w:rsid w:val="00422A07"/>
    <w:rsid w:val="004231BB"/>
    <w:rsid w:val="00425626"/>
    <w:rsid w:val="00425D5F"/>
    <w:rsid w:val="00427D1F"/>
    <w:rsid w:val="00430461"/>
    <w:rsid w:val="00430B28"/>
    <w:rsid w:val="00430FA7"/>
    <w:rsid w:val="004313D4"/>
    <w:rsid w:val="00431DEF"/>
    <w:rsid w:val="00432743"/>
    <w:rsid w:val="00433314"/>
    <w:rsid w:val="00433EC6"/>
    <w:rsid w:val="00434756"/>
    <w:rsid w:val="0043477E"/>
    <w:rsid w:val="0043599C"/>
    <w:rsid w:val="00435C2E"/>
    <w:rsid w:val="00436B1D"/>
    <w:rsid w:val="00437B8A"/>
    <w:rsid w:val="00437BE5"/>
    <w:rsid w:val="0044017B"/>
    <w:rsid w:val="00441483"/>
    <w:rsid w:val="00441A38"/>
    <w:rsid w:val="0044259C"/>
    <w:rsid w:val="004426BA"/>
    <w:rsid w:val="00442C04"/>
    <w:rsid w:val="00442E47"/>
    <w:rsid w:val="00444657"/>
    <w:rsid w:val="004463E6"/>
    <w:rsid w:val="00446497"/>
    <w:rsid w:val="0044659B"/>
    <w:rsid w:val="00446E0A"/>
    <w:rsid w:val="00446E1D"/>
    <w:rsid w:val="004475C9"/>
    <w:rsid w:val="004476FF"/>
    <w:rsid w:val="00447805"/>
    <w:rsid w:val="00447BDE"/>
    <w:rsid w:val="00447CDF"/>
    <w:rsid w:val="00447FA3"/>
    <w:rsid w:val="0045032B"/>
    <w:rsid w:val="00450CD8"/>
    <w:rsid w:val="00451E12"/>
    <w:rsid w:val="004522D0"/>
    <w:rsid w:val="00452D9F"/>
    <w:rsid w:val="00454878"/>
    <w:rsid w:val="0045656F"/>
    <w:rsid w:val="00456B57"/>
    <w:rsid w:val="004578D2"/>
    <w:rsid w:val="00460E1C"/>
    <w:rsid w:val="004624B6"/>
    <w:rsid w:val="0046260A"/>
    <w:rsid w:val="00462F2F"/>
    <w:rsid w:val="004630F1"/>
    <w:rsid w:val="00463460"/>
    <w:rsid w:val="00464354"/>
    <w:rsid w:val="0046472D"/>
    <w:rsid w:val="004651B2"/>
    <w:rsid w:val="00466197"/>
    <w:rsid w:val="004672A8"/>
    <w:rsid w:val="004674D8"/>
    <w:rsid w:val="00470418"/>
    <w:rsid w:val="00471417"/>
    <w:rsid w:val="00471A25"/>
    <w:rsid w:val="0047268A"/>
    <w:rsid w:val="00475F08"/>
    <w:rsid w:val="004763AF"/>
    <w:rsid w:val="00476754"/>
    <w:rsid w:val="00476B20"/>
    <w:rsid w:val="00477215"/>
    <w:rsid w:val="004775FF"/>
    <w:rsid w:val="00481CBD"/>
    <w:rsid w:val="00481E12"/>
    <w:rsid w:val="004823C3"/>
    <w:rsid w:val="0048480F"/>
    <w:rsid w:val="00484B9F"/>
    <w:rsid w:val="00485698"/>
    <w:rsid w:val="00485BAF"/>
    <w:rsid w:val="00485F15"/>
    <w:rsid w:val="00486D0C"/>
    <w:rsid w:val="004870C1"/>
    <w:rsid w:val="0049355F"/>
    <w:rsid w:val="00494435"/>
    <w:rsid w:val="00495101"/>
    <w:rsid w:val="00495789"/>
    <w:rsid w:val="00495E7B"/>
    <w:rsid w:val="00497255"/>
    <w:rsid w:val="004A041A"/>
    <w:rsid w:val="004A0E9E"/>
    <w:rsid w:val="004A13AD"/>
    <w:rsid w:val="004A267A"/>
    <w:rsid w:val="004A2761"/>
    <w:rsid w:val="004A2A0D"/>
    <w:rsid w:val="004A3788"/>
    <w:rsid w:val="004A4C81"/>
    <w:rsid w:val="004A5E78"/>
    <w:rsid w:val="004A61E7"/>
    <w:rsid w:val="004A64DA"/>
    <w:rsid w:val="004A6B90"/>
    <w:rsid w:val="004A6D38"/>
    <w:rsid w:val="004A7503"/>
    <w:rsid w:val="004A79C0"/>
    <w:rsid w:val="004A7B82"/>
    <w:rsid w:val="004A7FB9"/>
    <w:rsid w:val="004B09C1"/>
    <w:rsid w:val="004B0B75"/>
    <w:rsid w:val="004B32C2"/>
    <w:rsid w:val="004B3CC1"/>
    <w:rsid w:val="004B43F3"/>
    <w:rsid w:val="004B4A00"/>
    <w:rsid w:val="004B506E"/>
    <w:rsid w:val="004B5123"/>
    <w:rsid w:val="004B549C"/>
    <w:rsid w:val="004B57FA"/>
    <w:rsid w:val="004B5AD1"/>
    <w:rsid w:val="004B5B7B"/>
    <w:rsid w:val="004C1A9B"/>
    <w:rsid w:val="004C275D"/>
    <w:rsid w:val="004C3C89"/>
    <w:rsid w:val="004C4047"/>
    <w:rsid w:val="004C5297"/>
    <w:rsid w:val="004C608D"/>
    <w:rsid w:val="004C63B5"/>
    <w:rsid w:val="004C6AEC"/>
    <w:rsid w:val="004C6F44"/>
    <w:rsid w:val="004C7756"/>
    <w:rsid w:val="004D075C"/>
    <w:rsid w:val="004D11D8"/>
    <w:rsid w:val="004D1AF8"/>
    <w:rsid w:val="004D2745"/>
    <w:rsid w:val="004D3499"/>
    <w:rsid w:val="004D3EFE"/>
    <w:rsid w:val="004D41F5"/>
    <w:rsid w:val="004D43BD"/>
    <w:rsid w:val="004D4430"/>
    <w:rsid w:val="004D7644"/>
    <w:rsid w:val="004D794E"/>
    <w:rsid w:val="004D7BC6"/>
    <w:rsid w:val="004D7BF3"/>
    <w:rsid w:val="004E031B"/>
    <w:rsid w:val="004E1148"/>
    <w:rsid w:val="004E1665"/>
    <w:rsid w:val="004E177A"/>
    <w:rsid w:val="004E397D"/>
    <w:rsid w:val="004E427F"/>
    <w:rsid w:val="004E5087"/>
    <w:rsid w:val="004E65A2"/>
    <w:rsid w:val="004E6DD2"/>
    <w:rsid w:val="004E73B8"/>
    <w:rsid w:val="004E7816"/>
    <w:rsid w:val="004F0DF7"/>
    <w:rsid w:val="004F1321"/>
    <w:rsid w:val="004F1B6C"/>
    <w:rsid w:val="004F2904"/>
    <w:rsid w:val="004F408B"/>
    <w:rsid w:val="004F4813"/>
    <w:rsid w:val="004F548D"/>
    <w:rsid w:val="004F5F4E"/>
    <w:rsid w:val="004F6DA2"/>
    <w:rsid w:val="004F7692"/>
    <w:rsid w:val="004F78F9"/>
    <w:rsid w:val="004F7C20"/>
    <w:rsid w:val="00500356"/>
    <w:rsid w:val="005015ED"/>
    <w:rsid w:val="00502452"/>
    <w:rsid w:val="005032A4"/>
    <w:rsid w:val="00503960"/>
    <w:rsid w:val="00503C05"/>
    <w:rsid w:val="005047BE"/>
    <w:rsid w:val="00504903"/>
    <w:rsid w:val="00506532"/>
    <w:rsid w:val="005069D7"/>
    <w:rsid w:val="005077C8"/>
    <w:rsid w:val="0051027D"/>
    <w:rsid w:val="00510AD2"/>
    <w:rsid w:val="00510DF6"/>
    <w:rsid w:val="00511CBF"/>
    <w:rsid w:val="005127C1"/>
    <w:rsid w:val="005142D9"/>
    <w:rsid w:val="005161A5"/>
    <w:rsid w:val="0051625F"/>
    <w:rsid w:val="00516835"/>
    <w:rsid w:val="005204DD"/>
    <w:rsid w:val="00520D8A"/>
    <w:rsid w:val="005219FC"/>
    <w:rsid w:val="00521D02"/>
    <w:rsid w:val="00522AB0"/>
    <w:rsid w:val="00522BE3"/>
    <w:rsid w:val="00522C3E"/>
    <w:rsid w:val="00522D97"/>
    <w:rsid w:val="00523420"/>
    <w:rsid w:val="00523977"/>
    <w:rsid w:val="00523AC9"/>
    <w:rsid w:val="00523BAA"/>
    <w:rsid w:val="00523E20"/>
    <w:rsid w:val="0052665F"/>
    <w:rsid w:val="00526952"/>
    <w:rsid w:val="005270FC"/>
    <w:rsid w:val="00530168"/>
    <w:rsid w:val="005306B0"/>
    <w:rsid w:val="00530D1F"/>
    <w:rsid w:val="00530FC1"/>
    <w:rsid w:val="005311CA"/>
    <w:rsid w:val="00531BAE"/>
    <w:rsid w:val="005330B9"/>
    <w:rsid w:val="005340A1"/>
    <w:rsid w:val="00536815"/>
    <w:rsid w:val="00537245"/>
    <w:rsid w:val="00541286"/>
    <w:rsid w:val="00541AFE"/>
    <w:rsid w:val="00542597"/>
    <w:rsid w:val="00542843"/>
    <w:rsid w:val="005431C6"/>
    <w:rsid w:val="00543BA8"/>
    <w:rsid w:val="00543E22"/>
    <w:rsid w:val="0054402E"/>
    <w:rsid w:val="00544C29"/>
    <w:rsid w:val="00544C36"/>
    <w:rsid w:val="00544DBD"/>
    <w:rsid w:val="00544FC7"/>
    <w:rsid w:val="005456E1"/>
    <w:rsid w:val="005462BB"/>
    <w:rsid w:val="00547B2B"/>
    <w:rsid w:val="00552A5D"/>
    <w:rsid w:val="005539C9"/>
    <w:rsid w:val="00554109"/>
    <w:rsid w:val="0055432F"/>
    <w:rsid w:val="00554762"/>
    <w:rsid w:val="0055482B"/>
    <w:rsid w:val="00554BA2"/>
    <w:rsid w:val="00555D69"/>
    <w:rsid w:val="00556748"/>
    <w:rsid w:val="00556E1F"/>
    <w:rsid w:val="005570F8"/>
    <w:rsid w:val="00557E82"/>
    <w:rsid w:val="005601DF"/>
    <w:rsid w:val="0056088B"/>
    <w:rsid w:val="0056181B"/>
    <w:rsid w:val="005640BF"/>
    <w:rsid w:val="00564B2E"/>
    <w:rsid w:val="00564BF8"/>
    <w:rsid w:val="00564F2F"/>
    <w:rsid w:val="00565959"/>
    <w:rsid w:val="005665B0"/>
    <w:rsid w:val="005665F6"/>
    <w:rsid w:val="00566F2F"/>
    <w:rsid w:val="00571EE5"/>
    <w:rsid w:val="005720FA"/>
    <w:rsid w:val="00572598"/>
    <w:rsid w:val="0057262A"/>
    <w:rsid w:val="00574176"/>
    <w:rsid w:val="00574C80"/>
    <w:rsid w:val="00574D71"/>
    <w:rsid w:val="00574F5D"/>
    <w:rsid w:val="00575B0C"/>
    <w:rsid w:val="00576D0D"/>
    <w:rsid w:val="005773AE"/>
    <w:rsid w:val="005805DC"/>
    <w:rsid w:val="0058123E"/>
    <w:rsid w:val="00581C34"/>
    <w:rsid w:val="00582E9E"/>
    <w:rsid w:val="0058310C"/>
    <w:rsid w:val="00583C96"/>
    <w:rsid w:val="0058411D"/>
    <w:rsid w:val="0058490C"/>
    <w:rsid w:val="005856B0"/>
    <w:rsid w:val="005860E0"/>
    <w:rsid w:val="00587D64"/>
    <w:rsid w:val="005912F2"/>
    <w:rsid w:val="00591375"/>
    <w:rsid w:val="0059153C"/>
    <w:rsid w:val="00591FCB"/>
    <w:rsid w:val="005932E4"/>
    <w:rsid w:val="0059341B"/>
    <w:rsid w:val="00593A93"/>
    <w:rsid w:val="00593EB3"/>
    <w:rsid w:val="00595BEC"/>
    <w:rsid w:val="005A0A5D"/>
    <w:rsid w:val="005A1C51"/>
    <w:rsid w:val="005A2AA1"/>
    <w:rsid w:val="005A2B93"/>
    <w:rsid w:val="005A2BC2"/>
    <w:rsid w:val="005A2FBE"/>
    <w:rsid w:val="005A3611"/>
    <w:rsid w:val="005A3D09"/>
    <w:rsid w:val="005A3F79"/>
    <w:rsid w:val="005A47CC"/>
    <w:rsid w:val="005A544E"/>
    <w:rsid w:val="005A59CE"/>
    <w:rsid w:val="005A651E"/>
    <w:rsid w:val="005A68E6"/>
    <w:rsid w:val="005A6AE2"/>
    <w:rsid w:val="005A7637"/>
    <w:rsid w:val="005B0A82"/>
    <w:rsid w:val="005B1BC8"/>
    <w:rsid w:val="005B236D"/>
    <w:rsid w:val="005B281F"/>
    <w:rsid w:val="005B2B00"/>
    <w:rsid w:val="005B5429"/>
    <w:rsid w:val="005B581B"/>
    <w:rsid w:val="005B591E"/>
    <w:rsid w:val="005B5F7A"/>
    <w:rsid w:val="005B6AF9"/>
    <w:rsid w:val="005B6F22"/>
    <w:rsid w:val="005B7059"/>
    <w:rsid w:val="005C066D"/>
    <w:rsid w:val="005C0EBE"/>
    <w:rsid w:val="005C26AE"/>
    <w:rsid w:val="005C26BA"/>
    <w:rsid w:val="005C3100"/>
    <w:rsid w:val="005C351F"/>
    <w:rsid w:val="005C3FD8"/>
    <w:rsid w:val="005C44DE"/>
    <w:rsid w:val="005C512C"/>
    <w:rsid w:val="005C5F14"/>
    <w:rsid w:val="005C6EE5"/>
    <w:rsid w:val="005C7352"/>
    <w:rsid w:val="005C7D0E"/>
    <w:rsid w:val="005D0BCF"/>
    <w:rsid w:val="005D0D9C"/>
    <w:rsid w:val="005D247F"/>
    <w:rsid w:val="005D33FE"/>
    <w:rsid w:val="005D373D"/>
    <w:rsid w:val="005D4FA7"/>
    <w:rsid w:val="005D5C48"/>
    <w:rsid w:val="005D5D09"/>
    <w:rsid w:val="005D6283"/>
    <w:rsid w:val="005D6383"/>
    <w:rsid w:val="005D68FA"/>
    <w:rsid w:val="005D710E"/>
    <w:rsid w:val="005E07F0"/>
    <w:rsid w:val="005E0825"/>
    <w:rsid w:val="005E0F29"/>
    <w:rsid w:val="005E1855"/>
    <w:rsid w:val="005E1967"/>
    <w:rsid w:val="005E2149"/>
    <w:rsid w:val="005E2DC3"/>
    <w:rsid w:val="005E3005"/>
    <w:rsid w:val="005E3186"/>
    <w:rsid w:val="005E400C"/>
    <w:rsid w:val="005E43BF"/>
    <w:rsid w:val="005E4E5C"/>
    <w:rsid w:val="005E73B8"/>
    <w:rsid w:val="005E754D"/>
    <w:rsid w:val="005F06E4"/>
    <w:rsid w:val="005F0892"/>
    <w:rsid w:val="005F1F00"/>
    <w:rsid w:val="005F2FFB"/>
    <w:rsid w:val="005F34D7"/>
    <w:rsid w:val="005F3A32"/>
    <w:rsid w:val="005F51A3"/>
    <w:rsid w:val="005F64B9"/>
    <w:rsid w:val="005F6D3A"/>
    <w:rsid w:val="005F6D6F"/>
    <w:rsid w:val="005F72FF"/>
    <w:rsid w:val="005F7345"/>
    <w:rsid w:val="00600445"/>
    <w:rsid w:val="006007B7"/>
    <w:rsid w:val="00600FDE"/>
    <w:rsid w:val="0060109C"/>
    <w:rsid w:val="00601CAB"/>
    <w:rsid w:val="00601DCF"/>
    <w:rsid w:val="006030F7"/>
    <w:rsid w:val="00603127"/>
    <w:rsid w:val="0060314F"/>
    <w:rsid w:val="00603B48"/>
    <w:rsid w:val="00604918"/>
    <w:rsid w:val="006056C7"/>
    <w:rsid w:val="00606B3E"/>
    <w:rsid w:val="00606B72"/>
    <w:rsid w:val="0060753D"/>
    <w:rsid w:val="00607EFD"/>
    <w:rsid w:val="0061030C"/>
    <w:rsid w:val="006108EF"/>
    <w:rsid w:val="00610A4E"/>
    <w:rsid w:val="006122A8"/>
    <w:rsid w:val="00612605"/>
    <w:rsid w:val="006135FA"/>
    <w:rsid w:val="006146DA"/>
    <w:rsid w:val="00614FA1"/>
    <w:rsid w:val="00615D53"/>
    <w:rsid w:val="00616459"/>
    <w:rsid w:val="00617195"/>
    <w:rsid w:val="006174A6"/>
    <w:rsid w:val="00617DFB"/>
    <w:rsid w:val="006204D9"/>
    <w:rsid w:val="006206CE"/>
    <w:rsid w:val="0062088B"/>
    <w:rsid w:val="00620D84"/>
    <w:rsid w:val="006227DB"/>
    <w:rsid w:val="006230BD"/>
    <w:rsid w:val="006231ED"/>
    <w:rsid w:val="0062394E"/>
    <w:rsid w:val="00625B1F"/>
    <w:rsid w:val="00625BD0"/>
    <w:rsid w:val="00626599"/>
    <w:rsid w:val="006268F6"/>
    <w:rsid w:val="00627648"/>
    <w:rsid w:val="006276D5"/>
    <w:rsid w:val="00627BFF"/>
    <w:rsid w:val="00631702"/>
    <w:rsid w:val="00632578"/>
    <w:rsid w:val="00632B02"/>
    <w:rsid w:val="00632F82"/>
    <w:rsid w:val="00633152"/>
    <w:rsid w:val="00633FE8"/>
    <w:rsid w:val="0063410A"/>
    <w:rsid w:val="006344FD"/>
    <w:rsid w:val="006348E1"/>
    <w:rsid w:val="00634DE8"/>
    <w:rsid w:val="00634ECF"/>
    <w:rsid w:val="006364C6"/>
    <w:rsid w:val="00636ED9"/>
    <w:rsid w:val="00637863"/>
    <w:rsid w:val="006406AE"/>
    <w:rsid w:val="00640FB6"/>
    <w:rsid w:val="006414AF"/>
    <w:rsid w:val="0064249D"/>
    <w:rsid w:val="00644820"/>
    <w:rsid w:val="00644A1F"/>
    <w:rsid w:val="0064537D"/>
    <w:rsid w:val="00646C8D"/>
    <w:rsid w:val="00647070"/>
    <w:rsid w:val="00647505"/>
    <w:rsid w:val="0064790E"/>
    <w:rsid w:val="00647E81"/>
    <w:rsid w:val="0065027A"/>
    <w:rsid w:val="00650D93"/>
    <w:rsid w:val="006520B2"/>
    <w:rsid w:val="006521D8"/>
    <w:rsid w:val="0065284A"/>
    <w:rsid w:val="00652984"/>
    <w:rsid w:val="00652ACE"/>
    <w:rsid w:val="00653E15"/>
    <w:rsid w:val="0065497C"/>
    <w:rsid w:val="0065592D"/>
    <w:rsid w:val="0065597A"/>
    <w:rsid w:val="00656375"/>
    <w:rsid w:val="00656BC0"/>
    <w:rsid w:val="00657977"/>
    <w:rsid w:val="00657C4C"/>
    <w:rsid w:val="0066012B"/>
    <w:rsid w:val="00660ADE"/>
    <w:rsid w:val="00660B9B"/>
    <w:rsid w:val="00661607"/>
    <w:rsid w:val="00661DAA"/>
    <w:rsid w:val="006621B6"/>
    <w:rsid w:val="006623EB"/>
    <w:rsid w:val="0066353B"/>
    <w:rsid w:val="0066496A"/>
    <w:rsid w:val="006652B7"/>
    <w:rsid w:val="00665B9F"/>
    <w:rsid w:val="00665FB1"/>
    <w:rsid w:val="0066655E"/>
    <w:rsid w:val="00666701"/>
    <w:rsid w:val="0066705F"/>
    <w:rsid w:val="00667589"/>
    <w:rsid w:val="00671F58"/>
    <w:rsid w:val="00672F25"/>
    <w:rsid w:val="00673329"/>
    <w:rsid w:val="00674A5F"/>
    <w:rsid w:val="00674CE0"/>
    <w:rsid w:val="00675DE9"/>
    <w:rsid w:val="00675F72"/>
    <w:rsid w:val="0067618D"/>
    <w:rsid w:val="006763ED"/>
    <w:rsid w:val="00677413"/>
    <w:rsid w:val="00680542"/>
    <w:rsid w:val="00680798"/>
    <w:rsid w:val="0068088E"/>
    <w:rsid w:val="006820E8"/>
    <w:rsid w:val="00682AB8"/>
    <w:rsid w:val="00685389"/>
    <w:rsid w:val="00685BD3"/>
    <w:rsid w:val="006866A3"/>
    <w:rsid w:val="00686796"/>
    <w:rsid w:val="00686B2C"/>
    <w:rsid w:val="00690592"/>
    <w:rsid w:val="0069293C"/>
    <w:rsid w:val="00692D38"/>
    <w:rsid w:val="00692FB7"/>
    <w:rsid w:val="006934CB"/>
    <w:rsid w:val="006939C3"/>
    <w:rsid w:val="0069416B"/>
    <w:rsid w:val="006945B5"/>
    <w:rsid w:val="00694E69"/>
    <w:rsid w:val="006969BD"/>
    <w:rsid w:val="00697B00"/>
    <w:rsid w:val="00697BDB"/>
    <w:rsid w:val="006A0D90"/>
    <w:rsid w:val="006A0F2F"/>
    <w:rsid w:val="006A1A06"/>
    <w:rsid w:val="006A20AE"/>
    <w:rsid w:val="006A2449"/>
    <w:rsid w:val="006A3D2C"/>
    <w:rsid w:val="006A52A4"/>
    <w:rsid w:val="006A5306"/>
    <w:rsid w:val="006A5709"/>
    <w:rsid w:val="006A57A8"/>
    <w:rsid w:val="006A65F5"/>
    <w:rsid w:val="006A66D2"/>
    <w:rsid w:val="006A67EB"/>
    <w:rsid w:val="006A774C"/>
    <w:rsid w:val="006B110C"/>
    <w:rsid w:val="006B20FC"/>
    <w:rsid w:val="006B21FA"/>
    <w:rsid w:val="006B31A7"/>
    <w:rsid w:val="006B3FBE"/>
    <w:rsid w:val="006B5367"/>
    <w:rsid w:val="006B5D7D"/>
    <w:rsid w:val="006B64AC"/>
    <w:rsid w:val="006B6752"/>
    <w:rsid w:val="006B7ED4"/>
    <w:rsid w:val="006C1684"/>
    <w:rsid w:val="006C1867"/>
    <w:rsid w:val="006C29DF"/>
    <w:rsid w:val="006C3FF7"/>
    <w:rsid w:val="006C49BE"/>
    <w:rsid w:val="006C502A"/>
    <w:rsid w:val="006C52B4"/>
    <w:rsid w:val="006C5A89"/>
    <w:rsid w:val="006C5F78"/>
    <w:rsid w:val="006C6C47"/>
    <w:rsid w:val="006C746E"/>
    <w:rsid w:val="006C7F84"/>
    <w:rsid w:val="006D15C8"/>
    <w:rsid w:val="006D29CC"/>
    <w:rsid w:val="006D4222"/>
    <w:rsid w:val="006D4294"/>
    <w:rsid w:val="006D5940"/>
    <w:rsid w:val="006D6057"/>
    <w:rsid w:val="006D61D7"/>
    <w:rsid w:val="006D647B"/>
    <w:rsid w:val="006D6C4B"/>
    <w:rsid w:val="006D6C5E"/>
    <w:rsid w:val="006D6CAB"/>
    <w:rsid w:val="006D7E56"/>
    <w:rsid w:val="006E1238"/>
    <w:rsid w:val="006E1641"/>
    <w:rsid w:val="006E1B3F"/>
    <w:rsid w:val="006E33D3"/>
    <w:rsid w:val="006E5DFB"/>
    <w:rsid w:val="006E75DD"/>
    <w:rsid w:val="006E77F3"/>
    <w:rsid w:val="006E7867"/>
    <w:rsid w:val="006F042B"/>
    <w:rsid w:val="006F0E73"/>
    <w:rsid w:val="006F1864"/>
    <w:rsid w:val="006F3CE9"/>
    <w:rsid w:val="006F4478"/>
    <w:rsid w:val="006F4E4C"/>
    <w:rsid w:val="006F5590"/>
    <w:rsid w:val="006F69EE"/>
    <w:rsid w:val="006F6E5A"/>
    <w:rsid w:val="0070048F"/>
    <w:rsid w:val="00701A3A"/>
    <w:rsid w:val="00701FD6"/>
    <w:rsid w:val="00702425"/>
    <w:rsid w:val="00702944"/>
    <w:rsid w:val="0070393E"/>
    <w:rsid w:val="007042CB"/>
    <w:rsid w:val="0070469B"/>
    <w:rsid w:val="00706285"/>
    <w:rsid w:val="00707202"/>
    <w:rsid w:val="00707247"/>
    <w:rsid w:val="00707478"/>
    <w:rsid w:val="00711B86"/>
    <w:rsid w:val="00713989"/>
    <w:rsid w:val="007144BB"/>
    <w:rsid w:val="00714ABD"/>
    <w:rsid w:val="007154A2"/>
    <w:rsid w:val="007157E7"/>
    <w:rsid w:val="00716A39"/>
    <w:rsid w:val="00717EA8"/>
    <w:rsid w:val="00722194"/>
    <w:rsid w:val="0072236F"/>
    <w:rsid w:val="00722432"/>
    <w:rsid w:val="007226A4"/>
    <w:rsid w:val="0072299D"/>
    <w:rsid w:val="00722B06"/>
    <w:rsid w:val="00722E3C"/>
    <w:rsid w:val="00723A3C"/>
    <w:rsid w:val="00723D51"/>
    <w:rsid w:val="007242EC"/>
    <w:rsid w:val="00724FF4"/>
    <w:rsid w:val="007254C3"/>
    <w:rsid w:val="007257EE"/>
    <w:rsid w:val="00726BBF"/>
    <w:rsid w:val="00726C2F"/>
    <w:rsid w:val="00726E8F"/>
    <w:rsid w:val="0072768A"/>
    <w:rsid w:val="00727DFF"/>
    <w:rsid w:val="0073033D"/>
    <w:rsid w:val="00730AF5"/>
    <w:rsid w:val="0073170A"/>
    <w:rsid w:val="007320B4"/>
    <w:rsid w:val="00732386"/>
    <w:rsid w:val="00732934"/>
    <w:rsid w:val="00733962"/>
    <w:rsid w:val="00734BF1"/>
    <w:rsid w:val="00735215"/>
    <w:rsid w:val="00736BFF"/>
    <w:rsid w:val="00737443"/>
    <w:rsid w:val="00737969"/>
    <w:rsid w:val="00740124"/>
    <w:rsid w:val="007412C3"/>
    <w:rsid w:val="0074148A"/>
    <w:rsid w:val="00741CA6"/>
    <w:rsid w:val="00742833"/>
    <w:rsid w:val="007433AB"/>
    <w:rsid w:val="00744224"/>
    <w:rsid w:val="007442ED"/>
    <w:rsid w:val="007447DE"/>
    <w:rsid w:val="00746D66"/>
    <w:rsid w:val="007475C0"/>
    <w:rsid w:val="00747C1B"/>
    <w:rsid w:val="00750228"/>
    <w:rsid w:val="0075111A"/>
    <w:rsid w:val="00751968"/>
    <w:rsid w:val="00752432"/>
    <w:rsid w:val="00754978"/>
    <w:rsid w:val="00754F3F"/>
    <w:rsid w:val="00755E1A"/>
    <w:rsid w:val="00756B5E"/>
    <w:rsid w:val="00756B9E"/>
    <w:rsid w:val="00756F44"/>
    <w:rsid w:val="0076033A"/>
    <w:rsid w:val="00761523"/>
    <w:rsid w:val="0076187D"/>
    <w:rsid w:val="00761C17"/>
    <w:rsid w:val="00764E20"/>
    <w:rsid w:val="007656CD"/>
    <w:rsid w:val="00765770"/>
    <w:rsid w:val="00765B8C"/>
    <w:rsid w:val="00766096"/>
    <w:rsid w:val="00766A04"/>
    <w:rsid w:val="00766E55"/>
    <w:rsid w:val="007678AB"/>
    <w:rsid w:val="00767A32"/>
    <w:rsid w:val="00770D3F"/>
    <w:rsid w:val="00771D0E"/>
    <w:rsid w:val="00772D4F"/>
    <w:rsid w:val="00772EAA"/>
    <w:rsid w:val="00773724"/>
    <w:rsid w:val="00773729"/>
    <w:rsid w:val="007740EF"/>
    <w:rsid w:val="007765C1"/>
    <w:rsid w:val="0077705A"/>
    <w:rsid w:val="00777BA8"/>
    <w:rsid w:val="00777CBA"/>
    <w:rsid w:val="00780F76"/>
    <w:rsid w:val="0078163B"/>
    <w:rsid w:val="007816AC"/>
    <w:rsid w:val="007818C5"/>
    <w:rsid w:val="00782C0C"/>
    <w:rsid w:val="0078388A"/>
    <w:rsid w:val="007838D5"/>
    <w:rsid w:val="00784E43"/>
    <w:rsid w:val="007851A8"/>
    <w:rsid w:val="007853DD"/>
    <w:rsid w:val="007860B6"/>
    <w:rsid w:val="00786636"/>
    <w:rsid w:val="0078671B"/>
    <w:rsid w:val="00786CAF"/>
    <w:rsid w:val="00791032"/>
    <w:rsid w:val="00791E30"/>
    <w:rsid w:val="00793C2B"/>
    <w:rsid w:val="00794B6F"/>
    <w:rsid w:val="00794BDC"/>
    <w:rsid w:val="00795AF4"/>
    <w:rsid w:val="00796002"/>
    <w:rsid w:val="007962F9"/>
    <w:rsid w:val="007966A6"/>
    <w:rsid w:val="00796796"/>
    <w:rsid w:val="00796E02"/>
    <w:rsid w:val="00797B19"/>
    <w:rsid w:val="007A1271"/>
    <w:rsid w:val="007A2477"/>
    <w:rsid w:val="007A3854"/>
    <w:rsid w:val="007A38AE"/>
    <w:rsid w:val="007A38D6"/>
    <w:rsid w:val="007A3E95"/>
    <w:rsid w:val="007A4168"/>
    <w:rsid w:val="007A4863"/>
    <w:rsid w:val="007A4CF6"/>
    <w:rsid w:val="007A4D40"/>
    <w:rsid w:val="007A5B54"/>
    <w:rsid w:val="007A5FD3"/>
    <w:rsid w:val="007A642B"/>
    <w:rsid w:val="007A68B0"/>
    <w:rsid w:val="007A7275"/>
    <w:rsid w:val="007A76F3"/>
    <w:rsid w:val="007B02E4"/>
    <w:rsid w:val="007B0A97"/>
    <w:rsid w:val="007B2059"/>
    <w:rsid w:val="007B21AB"/>
    <w:rsid w:val="007B265A"/>
    <w:rsid w:val="007B2958"/>
    <w:rsid w:val="007B33F6"/>
    <w:rsid w:val="007B46B2"/>
    <w:rsid w:val="007B472B"/>
    <w:rsid w:val="007B4985"/>
    <w:rsid w:val="007B59F2"/>
    <w:rsid w:val="007B5C3D"/>
    <w:rsid w:val="007B642F"/>
    <w:rsid w:val="007B7026"/>
    <w:rsid w:val="007B7EB5"/>
    <w:rsid w:val="007C092E"/>
    <w:rsid w:val="007C1771"/>
    <w:rsid w:val="007C34E5"/>
    <w:rsid w:val="007C356C"/>
    <w:rsid w:val="007C3ADD"/>
    <w:rsid w:val="007C42C9"/>
    <w:rsid w:val="007C447C"/>
    <w:rsid w:val="007C4662"/>
    <w:rsid w:val="007C47F3"/>
    <w:rsid w:val="007C4E54"/>
    <w:rsid w:val="007C5100"/>
    <w:rsid w:val="007C642A"/>
    <w:rsid w:val="007C73A7"/>
    <w:rsid w:val="007C7B62"/>
    <w:rsid w:val="007D07CF"/>
    <w:rsid w:val="007D170E"/>
    <w:rsid w:val="007D2761"/>
    <w:rsid w:val="007D2CD2"/>
    <w:rsid w:val="007D3D62"/>
    <w:rsid w:val="007D3D84"/>
    <w:rsid w:val="007D40D9"/>
    <w:rsid w:val="007D4CA7"/>
    <w:rsid w:val="007D4ECF"/>
    <w:rsid w:val="007D5232"/>
    <w:rsid w:val="007D5FAF"/>
    <w:rsid w:val="007D6C35"/>
    <w:rsid w:val="007D774C"/>
    <w:rsid w:val="007D7A85"/>
    <w:rsid w:val="007E0000"/>
    <w:rsid w:val="007E0697"/>
    <w:rsid w:val="007E0D3D"/>
    <w:rsid w:val="007E14C5"/>
    <w:rsid w:val="007E26A8"/>
    <w:rsid w:val="007E2DF8"/>
    <w:rsid w:val="007E3851"/>
    <w:rsid w:val="007E531D"/>
    <w:rsid w:val="007E7AAC"/>
    <w:rsid w:val="007E7F5D"/>
    <w:rsid w:val="007F0523"/>
    <w:rsid w:val="007F07A4"/>
    <w:rsid w:val="007F0D4B"/>
    <w:rsid w:val="007F2367"/>
    <w:rsid w:val="007F2446"/>
    <w:rsid w:val="007F2810"/>
    <w:rsid w:val="007F29D0"/>
    <w:rsid w:val="007F2AB8"/>
    <w:rsid w:val="007F6887"/>
    <w:rsid w:val="007F7395"/>
    <w:rsid w:val="007F7986"/>
    <w:rsid w:val="007F7C19"/>
    <w:rsid w:val="00800288"/>
    <w:rsid w:val="00801E67"/>
    <w:rsid w:val="0080274E"/>
    <w:rsid w:val="0080362F"/>
    <w:rsid w:val="008040E3"/>
    <w:rsid w:val="00804F97"/>
    <w:rsid w:val="008054BC"/>
    <w:rsid w:val="00805C72"/>
    <w:rsid w:val="0080607E"/>
    <w:rsid w:val="00806DDA"/>
    <w:rsid w:val="008078BC"/>
    <w:rsid w:val="00807FC3"/>
    <w:rsid w:val="00810363"/>
    <w:rsid w:val="008104DC"/>
    <w:rsid w:val="00810D83"/>
    <w:rsid w:val="00812D20"/>
    <w:rsid w:val="00813BB0"/>
    <w:rsid w:val="008146BE"/>
    <w:rsid w:val="00814D58"/>
    <w:rsid w:val="00814EB4"/>
    <w:rsid w:val="00814F24"/>
    <w:rsid w:val="00815A0E"/>
    <w:rsid w:val="00815F37"/>
    <w:rsid w:val="0081605A"/>
    <w:rsid w:val="00816154"/>
    <w:rsid w:val="0082089B"/>
    <w:rsid w:val="00820FE7"/>
    <w:rsid w:val="00821670"/>
    <w:rsid w:val="00822322"/>
    <w:rsid w:val="00822BF3"/>
    <w:rsid w:val="00823D0B"/>
    <w:rsid w:val="008245F7"/>
    <w:rsid w:val="008248A8"/>
    <w:rsid w:val="0082600B"/>
    <w:rsid w:val="00826B67"/>
    <w:rsid w:val="0082718D"/>
    <w:rsid w:val="00827BAB"/>
    <w:rsid w:val="008309A1"/>
    <w:rsid w:val="00831378"/>
    <w:rsid w:val="00831929"/>
    <w:rsid w:val="008322C9"/>
    <w:rsid w:val="00833210"/>
    <w:rsid w:val="00833335"/>
    <w:rsid w:val="008335AA"/>
    <w:rsid w:val="0083370E"/>
    <w:rsid w:val="0083399A"/>
    <w:rsid w:val="00833E35"/>
    <w:rsid w:val="00833FCA"/>
    <w:rsid w:val="00834013"/>
    <w:rsid w:val="00834EC9"/>
    <w:rsid w:val="00836CEC"/>
    <w:rsid w:val="00836E0E"/>
    <w:rsid w:val="00836EC2"/>
    <w:rsid w:val="008404AC"/>
    <w:rsid w:val="00840CB0"/>
    <w:rsid w:val="00840F34"/>
    <w:rsid w:val="00841021"/>
    <w:rsid w:val="008425DE"/>
    <w:rsid w:val="00842DC6"/>
    <w:rsid w:val="00843669"/>
    <w:rsid w:val="008437AE"/>
    <w:rsid w:val="0084468D"/>
    <w:rsid w:val="00844E8C"/>
    <w:rsid w:val="00845154"/>
    <w:rsid w:val="008474A2"/>
    <w:rsid w:val="00847F0E"/>
    <w:rsid w:val="008500F0"/>
    <w:rsid w:val="008521FC"/>
    <w:rsid w:val="00852C9B"/>
    <w:rsid w:val="00853D12"/>
    <w:rsid w:val="008541B4"/>
    <w:rsid w:val="008544E3"/>
    <w:rsid w:val="008550E9"/>
    <w:rsid w:val="00855208"/>
    <w:rsid w:val="008559F2"/>
    <w:rsid w:val="00857C26"/>
    <w:rsid w:val="008600D9"/>
    <w:rsid w:val="00861A3B"/>
    <w:rsid w:val="00862EA8"/>
    <w:rsid w:val="00863671"/>
    <w:rsid w:val="0086484C"/>
    <w:rsid w:val="00865414"/>
    <w:rsid w:val="00865DF5"/>
    <w:rsid w:val="00865FA5"/>
    <w:rsid w:val="00866690"/>
    <w:rsid w:val="00866866"/>
    <w:rsid w:val="00867518"/>
    <w:rsid w:val="008679EC"/>
    <w:rsid w:val="00870343"/>
    <w:rsid w:val="008703E2"/>
    <w:rsid w:val="008704B0"/>
    <w:rsid w:val="0087055C"/>
    <w:rsid w:val="00870A9B"/>
    <w:rsid w:val="00870FCE"/>
    <w:rsid w:val="00871111"/>
    <w:rsid w:val="00871456"/>
    <w:rsid w:val="008716A2"/>
    <w:rsid w:val="00872124"/>
    <w:rsid w:val="00872FD1"/>
    <w:rsid w:val="0087383A"/>
    <w:rsid w:val="008740F2"/>
    <w:rsid w:val="008745D1"/>
    <w:rsid w:val="008746B6"/>
    <w:rsid w:val="00874ABB"/>
    <w:rsid w:val="00876FEB"/>
    <w:rsid w:val="00877B11"/>
    <w:rsid w:val="00877E68"/>
    <w:rsid w:val="00877E91"/>
    <w:rsid w:val="00880D5F"/>
    <w:rsid w:val="008811FE"/>
    <w:rsid w:val="0088130E"/>
    <w:rsid w:val="008820D9"/>
    <w:rsid w:val="00883548"/>
    <w:rsid w:val="0088373B"/>
    <w:rsid w:val="0088381E"/>
    <w:rsid w:val="00883CFD"/>
    <w:rsid w:val="00883FE2"/>
    <w:rsid w:val="0088451E"/>
    <w:rsid w:val="0088536D"/>
    <w:rsid w:val="008855B9"/>
    <w:rsid w:val="00885914"/>
    <w:rsid w:val="00887E6B"/>
    <w:rsid w:val="008921F7"/>
    <w:rsid w:val="0089236E"/>
    <w:rsid w:val="00892431"/>
    <w:rsid w:val="008927F4"/>
    <w:rsid w:val="0089331C"/>
    <w:rsid w:val="00893A3F"/>
    <w:rsid w:val="00893E7E"/>
    <w:rsid w:val="008940E6"/>
    <w:rsid w:val="00894826"/>
    <w:rsid w:val="008952DD"/>
    <w:rsid w:val="008954EA"/>
    <w:rsid w:val="00895727"/>
    <w:rsid w:val="00896D34"/>
    <w:rsid w:val="00896DE3"/>
    <w:rsid w:val="008973A2"/>
    <w:rsid w:val="0089770C"/>
    <w:rsid w:val="00897E80"/>
    <w:rsid w:val="008A1128"/>
    <w:rsid w:val="008A337C"/>
    <w:rsid w:val="008A3D54"/>
    <w:rsid w:val="008A509F"/>
    <w:rsid w:val="008A6612"/>
    <w:rsid w:val="008B0106"/>
    <w:rsid w:val="008B1EE0"/>
    <w:rsid w:val="008B1EE2"/>
    <w:rsid w:val="008B2F03"/>
    <w:rsid w:val="008B341D"/>
    <w:rsid w:val="008B3577"/>
    <w:rsid w:val="008B4518"/>
    <w:rsid w:val="008B51BF"/>
    <w:rsid w:val="008B57ED"/>
    <w:rsid w:val="008B59D8"/>
    <w:rsid w:val="008B5A47"/>
    <w:rsid w:val="008B6ACB"/>
    <w:rsid w:val="008C00CC"/>
    <w:rsid w:val="008C02F3"/>
    <w:rsid w:val="008C07CC"/>
    <w:rsid w:val="008C0847"/>
    <w:rsid w:val="008C0F56"/>
    <w:rsid w:val="008C1B6D"/>
    <w:rsid w:val="008C1E3C"/>
    <w:rsid w:val="008C2027"/>
    <w:rsid w:val="008C23B3"/>
    <w:rsid w:val="008C31DE"/>
    <w:rsid w:val="008C3C1C"/>
    <w:rsid w:val="008C40B2"/>
    <w:rsid w:val="008C4299"/>
    <w:rsid w:val="008C4969"/>
    <w:rsid w:val="008C4E7D"/>
    <w:rsid w:val="008C615D"/>
    <w:rsid w:val="008C61D6"/>
    <w:rsid w:val="008C6ABD"/>
    <w:rsid w:val="008C7236"/>
    <w:rsid w:val="008C7297"/>
    <w:rsid w:val="008D0038"/>
    <w:rsid w:val="008D00E6"/>
    <w:rsid w:val="008D0B7E"/>
    <w:rsid w:val="008D0C84"/>
    <w:rsid w:val="008D16B6"/>
    <w:rsid w:val="008D22B1"/>
    <w:rsid w:val="008D2541"/>
    <w:rsid w:val="008D2EE0"/>
    <w:rsid w:val="008D31CC"/>
    <w:rsid w:val="008D3328"/>
    <w:rsid w:val="008D3A14"/>
    <w:rsid w:val="008D45FA"/>
    <w:rsid w:val="008D4A04"/>
    <w:rsid w:val="008D522F"/>
    <w:rsid w:val="008D52EC"/>
    <w:rsid w:val="008D5720"/>
    <w:rsid w:val="008D62E4"/>
    <w:rsid w:val="008E1AC6"/>
    <w:rsid w:val="008E1F02"/>
    <w:rsid w:val="008E21FA"/>
    <w:rsid w:val="008E25E7"/>
    <w:rsid w:val="008E275E"/>
    <w:rsid w:val="008E35F5"/>
    <w:rsid w:val="008E4237"/>
    <w:rsid w:val="008E43D6"/>
    <w:rsid w:val="008E5097"/>
    <w:rsid w:val="008E55AB"/>
    <w:rsid w:val="008E5E03"/>
    <w:rsid w:val="008E7555"/>
    <w:rsid w:val="008E7C52"/>
    <w:rsid w:val="008F0346"/>
    <w:rsid w:val="008F1794"/>
    <w:rsid w:val="008F1C74"/>
    <w:rsid w:val="008F23D0"/>
    <w:rsid w:val="008F26DA"/>
    <w:rsid w:val="008F2A50"/>
    <w:rsid w:val="008F2BC4"/>
    <w:rsid w:val="008F2C36"/>
    <w:rsid w:val="008F51A3"/>
    <w:rsid w:val="008F51A4"/>
    <w:rsid w:val="008F5AF8"/>
    <w:rsid w:val="008F7315"/>
    <w:rsid w:val="008F7444"/>
    <w:rsid w:val="008F7E15"/>
    <w:rsid w:val="00900270"/>
    <w:rsid w:val="00900EC8"/>
    <w:rsid w:val="009022E9"/>
    <w:rsid w:val="00902951"/>
    <w:rsid w:val="00902CB0"/>
    <w:rsid w:val="009030EA"/>
    <w:rsid w:val="00903E7F"/>
    <w:rsid w:val="00904F89"/>
    <w:rsid w:val="0090562A"/>
    <w:rsid w:val="00905667"/>
    <w:rsid w:val="00905F47"/>
    <w:rsid w:val="009065F2"/>
    <w:rsid w:val="0090690E"/>
    <w:rsid w:val="00907055"/>
    <w:rsid w:val="00907B68"/>
    <w:rsid w:val="00910B0B"/>
    <w:rsid w:val="00913531"/>
    <w:rsid w:val="009137FE"/>
    <w:rsid w:val="00913F75"/>
    <w:rsid w:val="009174E8"/>
    <w:rsid w:val="0092004F"/>
    <w:rsid w:val="00920192"/>
    <w:rsid w:val="00921669"/>
    <w:rsid w:val="00921F56"/>
    <w:rsid w:val="009222F1"/>
    <w:rsid w:val="009231ED"/>
    <w:rsid w:val="00923DCE"/>
    <w:rsid w:val="00924D55"/>
    <w:rsid w:val="00925095"/>
    <w:rsid w:val="00925500"/>
    <w:rsid w:val="00925CE6"/>
    <w:rsid w:val="00926175"/>
    <w:rsid w:val="009262FB"/>
    <w:rsid w:val="00926675"/>
    <w:rsid w:val="0092672E"/>
    <w:rsid w:val="009275FF"/>
    <w:rsid w:val="00927CFA"/>
    <w:rsid w:val="00927F7E"/>
    <w:rsid w:val="00930B98"/>
    <w:rsid w:val="00930D92"/>
    <w:rsid w:val="00931258"/>
    <w:rsid w:val="00931C7C"/>
    <w:rsid w:val="009333BC"/>
    <w:rsid w:val="0093342F"/>
    <w:rsid w:val="00933597"/>
    <w:rsid w:val="0093384E"/>
    <w:rsid w:val="00933BC9"/>
    <w:rsid w:val="0093529A"/>
    <w:rsid w:val="009353C6"/>
    <w:rsid w:val="00935445"/>
    <w:rsid w:val="00936E0A"/>
    <w:rsid w:val="00937438"/>
    <w:rsid w:val="00940111"/>
    <w:rsid w:val="00940CBC"/>
    <w:rsid w:val="0094171E"/>
    <w:rsid w:val="00942493"/>
    <w:rsid w:val="009425EC"/>
    <w:rsid w:val="00942808"/>
    <w:rsid w:val="00942BE0"/>
    <w:rsid w:val="00947B86"/>
    <w:rsid w:val="009506F1"/>
    <w:rsid w:val="00950F1F"/>
    <w:rsid w:val="00954D04"/>
    <w:rsid w:val="00954D9C"/>
    <w:rsid w:val="009554BA"/>
    <w:rsid w:val="009556E2"/>
    <w:rsid w:val="00955B67"/>
    <w:rsid w:val="009567AB"/>
    <w:rsid w:val="00956E19"/>
    <w:rsid w:val="00957025"/>
    <w:rsid w:val="009575DA"/>
    <w:rsid w:val="00957AC1"/>
    <w:rsid w:val="009608B6"/>
    <w:rsid w:val="009619B7"/>
    <w:rsid w:val="00961FE6"/>
    <w:rsid w:val="009622D1"/>
    <w:rsid w:val="009634AC"/>
    <w:rsid w:val="00963560"/>
    <w:rsid w:val="00964069"/>
    <w:rsid w:val="009646C6"/>
    <w:rsid w:val="009662D0"/>
    <w:rsid w:val="00966E95"/>
    <w:rsid w:val="0096771C"/>
    <w:rsid w:val="009678F8"/>
    <w:rsid w:val="0097011D"/>
    <w:rsid w:val="0097157E"/>
    <w:rsid w:val="00971B11"/>
    <w:rsid w:val="00972890"/>
    <w:rsid w:val="0097292C"/>
    <w:rsid w:val="00973330"/>
    <w:rsid w:val="0097391A"/>
    <w:rsid w:val="00973D2A"/>
    <w:rsid w:val="009757CF"/>
    <w:rsid w:val="00975DB6"/>
    <w:rsid w:val="00977C80"/>
    <w:rsid w:val="00980660"/>
    <w:rsid w:val="009819A6"/>
    <w:rsid w:val="00981DD3"/>
    <w:rsid w:val="00982595"/>
    <w:rsid w:val="00982DEF"/>
    <w:rsid w:val="0098406E"/>
    <w:rsid w:val="00984302"/>
    <w:rsid w:val="00985696"/>
    <w:rsid w:val="00985FD7"/>
    <w:rsid w:val="009860F0"/>
    <w:rsid w:val="009863EC"/>
    <w:rsid w:val="009870B0"/>
    <w:rsid w:val="0098767C"/>
    <w:rsid w:val="00987708"/>
    <w:rsid w:val="0099224F"/>
    <w:rsid w:val="00992A09"/>
    <w:rsid w:val="00993B16"/>
    <w:rsid w:val="00993E0C"/>
    <w:rsid w:val="009951F4"/>
    <w:rsid w:val="00995CC6"/>
    <w:rsid w:val="00995ED5"/>
    <w:rsid w:val="00996339"/>
    <w:rsid w:val="009973CE"/>
    <w:rsid w:val="009A08D7"/>
    <w:rsid w:val="009A0ED2"/>
    <w:rsid w:val="009A142B"/>
    <w:rsid w:val="009A22C4"/>
    <w:rsid w:val="009A5B59"/>
    <w:rsid w:val="009A68F3"/>
    <w:rsid w:val="009A7738"/>
    <w:rsid w:val="009A780B"/>
    <w:rsid w:val="009A789B"/>
    <w:rsid w:val="009B0E32"/>
    <w:rsid w:val="009B1F2A"/>
    <w:rsid w:val="009B1FF4"/>
    <w:rsid w:val="009B2B46"/>
    <w:rsid w:val="009B2C58"/>
    <w:rsid w:val="009B33A9"/>
    <w:rsid w:val="009B5473"/>
    <w:rsid w:val="009B55F5"/>
    <w:rsid w:val="009B59C2"/>
    <w:rsid w:val="009B5CAE"/>
    <w:rsid w:val="009B7000"/>
    <w:rsid w:val="009B7611"/>
    <w:rsid w:val="009B7E12"/>
    <w:rsid w:val="009C04BF"/>
    <w:rsid w:val="009C0E53"/>
    <w:rsid w:val="009C1C7D"/>
    <w:rsid w:val="009C248E"/>
    <w:rsid w:val="009C29B1"/>
    <w:rsid w:val="009C3ACE"/>
    <w:rsid w:val="009C409D"/>
    <w:rsid w:val="009C4AF7"/>
    <w:rsid w:val="009C4B88"/>
    <w:rsid w:val="009C4D2A"/>
    <w:rsid w:val="009C5039"/>
    <w:rsid w:val="009C7233"/>
    <w:rsid w:val="009C7648"/>
    <w:rsid w:val="009C78DD"/>
    <w:rsid w:val="009D071D"/>
    <w:rsid w:val="009D09CF"/>
    <w:rsid w:val="009D19C8"/>
    <w:rsid w:val="009D1F3B"/>
    <w:rsid w:val="009D281F"/>
    <w:rsid w:val="009D470F"/>
    <w:rsid w:val="009D5248"/>
    <w:rsid w:val="009D57F7"/>
    <w:rsid w:val="009D5C6B"/>
    <w:rsid w:val="009D66D5"/>
    <w:rsid w:val="009D6886"/>
    <w:rsid w:val="009D6C96"/>
    <w:rsid w:val="009E02A8"/>
    <w:rsid w:val="009E03B1"/>
    <w:rsid w:val="009E053A"/>
    <w:rsid w:val="009E091A"/>
    <w:rsid w:val="009E0B9A"/>
    <w:rsid w:val="009E0CB5"/>
    <w:rsid w:val="009E13FC"/>
    <w:rsid w:val="009E25BF"/>
    <w:rsid w:val="009E2A76"/>
    <w:rsid w:val="009E47D1"/>
    <w:rsid w:val="009E596B"/>
    <w:rsid w:val="009E7C6C"/>
    <w:rsid w:val="009F180A"/>
    <w:rsid w:val="009F26EC"/>
    <w:rsid w:val="009F3143"/>
    <w:rsid w:val="009F32BA"/>
    <w:rsid w:val="009F4799"/>
    <w:rsid w:val="009F554C"/>
    <w:rsid w:val="009F69DC"/>
    <w:rsid w:val="009F6B50"/>
    <w:rsid w:val="009F6BC1"/>
    <w:rsid w:val="009F7010"/>
    <w:rsid w:val="009F7A42"/>
    <w:rsid w:val="009F7B5D"/>
    <w:rsid w:val="009F7EC7"/>
    <w:rsid w:val="00A001AE"/>
    <w:rsid w:val="00A0025A"/>
    <w:rsid w:val="00A00E68"/>
    <w:rsid w:val="00A00F8C"/>
    <w:rsid w:val="00A01019"/>
    <w:rsid w:val="00A01D82"/>
    <w:rsid w:val="00A02568"/>
    <w:rsid w:val="00A03145"/>
    <w:rsid w:val="00A032B5"/>
    <w:rsid w:val="00A03C3C"/>
    <w:rsid w:val="00A046D4"/>
    <w:rsid w:val="00A04809"/>
    <w:rsid w:val="00A048A7"/>
    <w:rsid w:val="00A055D2"/>
    <w:rsid w:val="00A05CD9"/>
    <w:rsid w:val="00A067A6"/>
    <w:rsid w:val="00A06C88"/>
    <w:rsid w:val="00A10064"/>
    <w:rsid w:val="00A12041"/>
    <w:rsid w:val="00A12096"/>
    <w:rsid w:val="00A12E24"/>
    <w:rsid w:val="00A14A3F"/>
    <w:rsid w:val="00A14C33"/>
    <w:rsid w:val="00A159DF"/>
    <w:rsid w:val="00A15CB7"/>
    <w:rsid w:val="00A16044"/>
    <w:rsid w:val="00A17B91"/>
    <w:rsid w:val="00A20B82"/>
    <w:rsid w:val="00A20DB4"/>
    <w:rsid w:val="00A22FF6"/>
    <w:rsid w:val="00A24AD8"/>
    <w:rsid w:val="00A24D3F"/>
    <w:rsid w:val="00A24F1F"/>
    <w:rsid w:val="00A254D0"/>
    <w:rsid w:val="00A25655"/>
    <w:rsid w:val="00A2602B"/>
    <w:rsid w:val="00A262AE"/>
    <w:rsid w:val="00A2674A"/>
    <w:rsid w:val="00A26D44"/>
    <w:rsid w:val="00A2794D"/>
    <w:rsid w:val="00A279C9"/>
    <w:rsid w:val="00A27A48"/>
    <w:rsid w:val="00A27FA6"/>
    <w:rsid w:val="00A30123"/>
    <w:rsid w:val="00A3095E"/>
    <w:rsid w:val="00A3135D"/>
    <w:rsid w:val="00A339E1"/>
    <w:rsid w:val="00A33A0F"/>
    <w:rsid w:val="00A3640A"/>
    <w:rsid w:val="00A402F5"/>
    <w:rsid w:val="00A41B15"/>
    <w:rsid w:val="00A4276F"/>
    <w:rsid w:val="00A427F8"/>
    <w:rsid w:val="00A42E2A"/>
    <w:rsid w:val="00A441CD"/>
    <w:rsid w:val="00A44D42"/>
    <w:rsid w:val="00A452A3"/>
    <w:rsid w:val="00A464E9"/>
    <w:rsid w:val="00A46780"/>
    <w:rsid w:val="00A46803"/>
    <w:rsid w:val="00A47198"/>
    <w:rsid w:val="00A47360"/>
    <w:rsid w:val="00A47D9E"/>
    <w:rsid w:val="00A51248"/>
    <w:rsid w:val="00A51F16"/>
    <w:rsid w:val="00A51F4A"/>
    <w:rsid w:val="00A527AF"/>
    <w:rsid w:val="00A5398B"/>
    <w:rsid w:val="00A53CC5"/>
    <w:rsid w:val="00A543E7"/>
    <w:rsid w:val="00A54B16"/>
    <w:rsid w:val="00A54BA5"/>
    <w:rsid w:val="00A55BE1"/>
    <w:rsid w:val="00A55CAE"/>
    <w:rsid w:val="00A5649F"/>
    <w:rsid w:val="00A56CCA"/>
    <w:rsid w:val="00A56D6A"/>
    <w:rsid w:val="00A57426"/>
    <w:rsid w:val="00A57A0C"/>
    <w:rsid w:val="00A60239"/>
    <w:rsid w:val="00A60800"/>
    <w:rsid w:val="00A60924"/>
    <w:rsid w:val="00A616EB"/>
    <w:rsid w:val="00A61E84"/>
    <w:rsid w:val="00A61FCC"/>
    <w:rsid w:val="00A62FD7"/>
    <w:rsid w:val="00A64C18"/>
    <w:rsid w:val="00A64E52"/>
    <w:rsid w:val="00A65588"/>
    <w:rsid w:val="00A65ECA"/>
    <w:rsid w:val="00A67233"/>
    <w:rsid w:val="00A67B5B"/>
    <w:rsid w:val="00A67D2C"/>
    <w:rsid w:val="00A70191"/>
    <w:rsid w:val="00A70C50"/>
    <w:rsid w:val="00A7132E"/>
    <w:rsid w:val="00A7153F"/>
    <w:rsid w:val="00A71A3B"/>
    <w:rsid w:val="00A71E37"/>
    <w:rsid w:val="00A72444"/>
    <w:rsid w:val="00A73917"/>
    <w:rsid w:val="00A743DE"/>
    <w:rsid w:val="00A7528F"/>
    <w:rsid w:val="00A7542D"/>
    <w:rsid w:val="00A7628E"/>
    <w:rsid w:val="00A76456"/>
    <w:rsid w:val="00A77899"/>
    <w:rsid w:val="00A77A3E"/>
    <w:rsid w:val="00A77C2E"/>
    <w:rsid w:val="00A8030E"/>
    <w:rsid w:val="00A8061A"/>
    <w:rsid w:val="00A809CB"/>
    <w:rsid w:val="00A812A6"/>
    <w:rsid w:val="00A821F5"/>
    <w:rsid w:val="00A823B7"/>
    <w:rsid w:val="00A82508"/>
    <w:rsid w:val="00A82F47"/>
    <w:rsid w:val="00A83933"/>
    <w:rsid w:val="00A8466F"/>
    <w:rsid w:val="00A8488F"/>
    <w:rsid w:val="00A84976"/>
    <w:rsid w:val="00A87233"/>
    <w:rsid w:val="00A87371"/>
    <w:rsid w:val="00A8739B"/>
    <w:rsid w:val="00A93181"/>
    <w:rsid w:val="00A941A3"/>
    <w:rsid w:val="00A94B0A"/>
    <w:rsid w:val="00A94D9C"/>
    <w:rsid w:val="00A94F7E"/>
    <w:rsid w:val="00A95304"/>
    <w:rsid w:val="00A97233"/>
    <w:rsid w:val="00A97930"/>
    <w:rsid w:val="00A97E8E"/>
    <w:rsid w:val="00A97EEB"/>
    <w:rsid w:val="00AA0070"/>
    <w:rsid w:val="00AA10FE"/>
    <w:rsid w:val="00AA16D7"/>
    <w:rsid w:val="00AA179D"/>
    <w:rsid w:val="00AA18F4"/>
    <w:rsid w:val="00AA1EDA"/>
    <w:rsid w:val="00AA2BB1"/>
    <w:rsid w:val="00AA2C03"/>
    <w:rsid w:val="00AA39A8"/>
    <w:rsid w:val="00AA3A6E"/>
    <w:rsid w:val="00AA3F13"/>
    <w:rsid w:val="00AA4D96"/>
    <w:rsid w:val="00AA57FF"/>
    <w:rsid w:val="00AA599B"/>
    <w:rsid w:val="00AA661D"/>
    <w:rsid w:val="00AA67F2"/>
    <w:rsid w:val="00AA6E33"/>
    <w:rsid w:val="00AA75B4"/>
    <w:rsid w:val="00AA7EC2"/>
    <w:rsid w:val="00AB0A8C"/>
    <w:rsid w:val="00AB1083"/>
    <w:rsid w:val="00AB2802"/>
    <w:rsid w:val="00AB31A7"/>
    <w:rsid w:val="00AB32A2"/>
    <w:rsid w:val="00AB3D1A"/>
    <w:rsid w:val="00AB42BE"/>
    <w:rsid w:val="00AB45C8"/>
    <w:rsid w:val="00AB4C74"/>
    <w:rsid w:val="00AB5EE3"/>
    <w:rsid w:val="00AB6259"/>
    <w:rsid w:val="00AB6A68"/>
    <w:rsid w:val="00AC0BA7"/>
    <w:rsid w:val="00AC1724"/>
    <w:rsid w:val="00AC3FC1"/>
    <w:rsid w:val="00AC5052"/>
    <w:rsid w:val="00AC525F"/>
    <w:rsid w:val="00AC5AF1"/>
    <w:rsid w:val="00AC5B12"/>
    <w:rsid w:val="00AC790C"/>
    <w:rsid w:val="00AD014C"/>
    <w:rsid w:val="00AD036F"/>
    <w:rsid w:val="00AD1960"/>
    <w:rsid w:val="00AD38E1"/>
    <w:rsid w:val="00AD46C5"/>
    <w:rsid w:val="00AD49DE"/>
    <w:rsid w:val="00AD4E5C"/>
    <w:rsid w:val="00AD687C"/>
    <w:rsid w:val="00AE0A0F"/>
    <w:rsid w:val="00AE0EC1"/>
    <w:rsid w:val="00AE2F3D"/>
    <w:rsid w:val="00AE3B7D"/>
    <w:rsid w:val="00AE49CD"/>
    <w:rsid w:val="00AE6AC0"/>
    <w:rsid w:val="00AE7646"/>
    <w:rsid w:val="00AE7E30"/>
    <w:rsid w:val="00AF2690"/>
    <w:rsid w:val="00AF2C7C"/>
    <w:rsid w:val="00AF3E1E"/>
    <w:rsid w:val="00AF437E"/>
    <w:rsid w:val="00AF4D06"/>
    <w:rsid w:val="00AF6105"/>
    <w:rsid w:val="00AF62FC"/>
    <w:rsid w:val="00AF63C1"/>
    <w:rsid w:val="00AF7ABC"/>
    <w:rsid w:val="00B00ADE"/>
    <w:rsid w:val="00B00D9B"/>
    <w:rsid w:val="00B01757"/>
    <w:rsid w:val="00B01A78"/>
    <w:rsid w:val="00B025AC"/>
    <w:rsid w:val="00B028B3"/>
    <w:rsid w:val="00B02D25"/>
    <w:rsid w:val="00B03330"/>
    <w:rsid w:val="00B03E04"/>
    <w:rsid w:val="00B0412C"/>
    <w:rsid w:val="00B042A8"/>
    <w:rsid w:val="00B04628"/>
    <w:rsid w:val="00B04FAB"/>
    <w:rsid w:val="00B06530"/>
    <w:rsid w:val="00B078DB"/>
    <w:rsid w:val="00B07A45"/>
    <w:rsid w:val="00B101AA"/>
    <w:rsid w:val="00B10C77"/>
    <w:rsid w:val="00B11DA4"/>
    <w:rsid w:val="00B13508"/>
    <w:rsid w:val="00B13603"/>
    <w:rsid w:val="00B14797"/>
    <w:rsid w:val="00B14A31"/>
    <w:rsid w:val="00B14FCA"/>
    <w:rsid w:val="00B160D8"/>
    <w:rsid w:val="00B16D3E"/>
    <w:rsid w:val="00B1743A"/>
    <w:rsid w:val="00B1786A"/>
    <w:rsid w:val="00B17DF8"/>
    <w:rsid w:val="00B20A38"/>
    <w:rsid w:val="00B20BC7"/>
    <w:rsid w:val="00B20C02"/>
    <w:rsid w:val="00B21945"/>
    <w:rsid w:val="00B21ACC"/>
    <w:rsid w:val="00B22080"/>
    <w:rsid w:val="00B22584"/>
    <w:rsid w:val="00B22CD2"/>
    <w:rsid w:val="00B23BBC"/>
    <w:rsid w:val="00B24214"/>
    <w:rsid w:val="00B24351"/>
    <w:rsid w:val="00B24C22"/>
    <w:rsid w:val="00B25F38"/>
    <w:rsid w:val="00B266C4"/>
    <w:rsid w:val="00B276E6"/>
    <w:rsid w:val="00B27DBB"/>
    <w:rsid w:val="00B30806"/>
    <w:rsid w:val="00B30BE2"/>
    <w:rsid w:val="00B31283"/>
    <w:rsid w:val="00B313BA"/>
    <w:rsid w:val="00B31E15"/>
    <w:rsid w:val="00B332DC"/>
    <w:rsid w:val="00B33685"/>
    <w:rsid w:val="00B33BA2"/>
    <w:rsid w:val="00B344BB"/>
    <w:rsid w:val="00B37BFE"/>
    <w:rsid w:val="00B405C6"/>
    <w:rsid w:val="00B40F7D"/>
    <w:rsid w:val="00B41666"/>
    <w:rsid w:val="00B4276B"/>
    <w:rsid w:val="00B42C83"/>
    <w:rsid w:val="00B46198"/>
    <w:rsid w:val="00B47D63"/>
    <w:rsid w:val="00B47EFE"/>
    <w:rsid w:val="00B5033F"/>
    <w:rsid w:val="00B50A1A"/>
    <w:rsid w:val="00B50D86"/>
    <w:rsid w:val="00B518F5"/>
    <w:rsid w:val="00B51B6A"/>
    <w:rsid w:val="00B520F0"/>
    <w:rsid w:val="00B537E3"/>
    <w:rsid w:val="00B538C8"/>
    <w:rsid w:val="00B53AC0"/>
    <w:rsid w:val="00B54FE3"/>
    <w:rsid w:val="00B558C4"/>
    <w:rsid w:val="00B56A2B"/>
    <w:rsid w:val="00B576AC"/>
    <w:rsid w:val="00B57EAE"/>
    <w:rsid w:val="00B6059F"/>
    <w:rsid w:val="00B60681"/>
    <w:rsid w:val="00B60EF2"/>
    <w:rsid w:val="00B6107A"/>
    <w:rsid w:val="00B61121"/>
    <w:rsid w:val="00B61874"/>
    <w:rsid w:val="00B61FFD"/>
    <w:rsid w:val="00B62625"/>
    <w:rsid w:val="00B62AB4"/>
    <w:rsid w:val="00B63B3F"/>
    <w:rsid w:val="00B63D91"/>
    <w:rsid w:val="00B640D9"/>
    <w:rsid w:val="00B642B4"/>
    <w:rsid w:val="00B64E2F"/>
    <w:rsid w:val="00B654C7"/>
    <w:rsid w:val="00B65A0E"/>
    <w:rsid w:val="00B669F3"/>
    <w:rsid w:val="00B6756D"/>
    <w:rsid w:val="00B703AB"/>
    <w:rsid w:val="00B703D6"/>
    <w:rsid w:val="00B707D1"/>
    <w:rsid w:val="00B70C04"/>
    <w:rsid w:val="00B70E58"/>
    <w:rsid w:val="00B71E56"/>
    <w:rsid w:val="00B71FB5"/>
    <w:rsid w:val="00B72322"/>
    <w:rsid w:val="00B729C9"/>
    <w:rsid w:val="00B73ADE"/>
    <w:rsid w:val="00B7419C"/>
    <w:rsid w:val="00B755B2"/>
    <w:rsid w:val="00B75776"/>
    <w:rsid w:val="00B75A64"/>
    <w:rsid w:val="00B75C6B"/>
    <w:rsid w:val="00B760CE"/>
    <w:rsid w:val="00B762F7"/>
    <w:rsid w:val="00B765BE"/>
    <w:rsid w:val="00B77F37"/>
    <w:rsid w:val="00B77F6B"/>
    <w:rsid w:val="00B8027F"/>
    <w:rsid w:val="00B80B7C"/>
    <w:rsid w:val="00B818A7"/>
    <w:rsid w:val="00B82CE0"/>
    <w:rsid w:val="00B85202"/>
    <w:rsid w:val="00B85460"/>
    <w:rsid w:val="00B85998"/>
    <w:rsid w:val="00B85C0E"/>
    <w:rsid w:val="00B861C4"/>
    <w:rsid w:val="00B864EB"/>
    <w:rsid w:val="00B9032E"/>
    <w:rsid w:val="00B9084C"/>
    <w:rsid w:val="00B90DD9"/>
    <w:rsid w:val="00B9101B"/>
    <w:rsid w:val="00B91B40"/>
    <w:rsid w:val="00B92246"/>
    <w:rsid w:val="00B922F5"/>
    <w:rsid w:val="00B928D8"/>
    <w:rsid w:val="00B9386D"/>
    <w:rsid w:val="00B94D41"/>
    <w:rsid w:val="00B957B4"/>
    <w:rsid w:val="00B95973"/>
    <w:rsid w:val="00B9637E"/>
    <w:rsid w:val="00B9740E"/>
    <w:rsid w:val="00BA00E8"/>
    <w:rsid w:val="00BA084F"/>
    <w:rsid w:val="00BA0E07"/>
    <w:rsid w:val="00BA1C0B"/>
    <w:rsid w:val="00BA1D6E"/>
    <w:rsid w:val="00BA1F09"/>
    <w:rsid w:val="00BA1F38"/>
    <w:rsid w:val="00BA2029"/>
    <w:rsid w:val="00BA2B7B"/>
    <w:rsid w:val="00BA3832"/>
    <w:rsid w:val="00BA5C55"/>
    <w:rsid w:val="00BA7741"/>
    <w:rsid w:val="00BA78AE"/>
    <w:rsid w:val="00BA7F9F"/>
    <w:rsid w:val="00BB17F6"/>
    <w:rsid w:val="00BB2A47"/>
    <w:rsid w:val="00BB39F9"/>
    <w:rsid w:val="00BB3CF3"/>
    <w:rsid w:val="00BB51E7"/>
    <w:rsid w:val="00BB6506"/>
    <w:rsid w:val="00BB6FA1"/>
    <w:rsid w:val="00BB7555"/>
    <w:rsid w:val="00BC0356"/>
    <w:rsid w:val="00BC1FBE"/>
    <w:rsid w:val="00BC4E5F"/>
    <w:rsid w:val="00BC681E"/>
    <w:rsid w:val="00BC687F"/>
    <w:rsid w:val="00BC7F25"/>
    <w:rsid w:val="00BD02C4"/>
    <w:rsid w:val="00BD0C45"/>
    <w:rsid w:val="00BD0EF7"/>
    <w:rsid w:val="00BD1382"/>
    <w:rsid w:val="00BD1400"/>
    <w:rsid w:val="00BD1DC0"/>
    <w:rsid w:val="00BD3448"/>
    <w:rsid w:val="00BD3F6E"/>
    <w:rsid w:val="00BD4596"/>
    <w:rsid w:val="00BD4E6F"/>
    <w:rsid w:val="00BD745A"/>
    <w:rsid w:val="00BD772D"/>
    <w:rsid w:val="00BD7909"/>
    <w:rsid w:val="00BE0C21"/>
    <w:rsid w:val="00BE184C"/>
    <w:rsid w:val="00BE18FF"/>
    <w:rsid w:val="00BE1BFA"/>
    <w:rsid w:val="00BE23D9"/>
    <w:rsid w:val="00BE2749"/>
    <w:rsid w:val="00BE2B46"/>
    <w:rsid w:val="00BE3BA3"/>
    <w:rsid w:val="00BE3E40"/>
    <w:rsid w:val="00BE3E51"/>
    <w:rsid w:val="00BE4D59"/>
    <w:rsid w:val="00BE5239"/>
    <w:rsid w:val="00BE57FB"/>
    <w:rsid w:val="00BE5DB8"/>
    <w:rsid w:val="00BE617D"/>
    <w:rsid w:val="00BE684F"/>
    <w:rsid w:val="00BE7D9B"/>
    <w:rsid w:val="00BF05AB"/>
    <w:rsid w:val="00BF15A4"/>
    <w:rsid w:val="00BF3AE8"/>
    <w:rsid w:val="00BF48BA"/>
    <w:rsid w:val="00BF4941"/>
    <w:rsid w:val="00BF5C97"/>
    <w:rsid w:val="00BF77CD"/>
    <w:rsid w:val="00C01338"/>
    <w:rsid w:val="00C013DC"/>
    <w:rsid w:val="00C014EE"/>
    <w:rsid w:val="00C015F3"/>
    <w:rsid w:val="00C01699"/>
    <w:rsid w:val="00C03431"/>
    <w:rsid w:val="00C044AC"/>
    <w:rsid w:val="00C04A0B"/>
    <w:rsid w:val="00C04ED0"/>
    <w:rsid w:val="00C05BD6"/>
    <w:rsid w:val="00C0759E"/>
    <w:rsid w:val="00C0777A"/>
    <w:rsid w:val="00C10121"/>
    <w:rsid w:val="00C1013E"/>
    <w:rsid w:val="00C105EB"/>
    <w:rsid w:val="00C114D4"/>
    <w:rsid w:val="00C120C2"/>
    <w:rsid w:val="00C133BD"/>
    <w:rsid w:val="00C14AB3"/>
    <w:rsid w:val="00C15147"/>
    <w:rsid w:val="00C1617A"/>
    <w:rsid w:val="00C1700F"/>
    <w:rsid w:val="00C17B8E"/>
    <w:rsid w:val="00C17E76"/>
    <w:rsid w:val="00C2009E"/>
    <w:rsid w:val="00C200A7"/>
    <w:rsid w:val="00C204B3"/>
    <w:rsid w:val="00C2061B"/>
    <w:rsid w:val="00C20A16"/>
    <w:rsid w:val="00C22675"/>
    <w:rsid w:val="00C22938"/>
    <w:rsid w:val="00C240C8"/>
    <w:rsid w:val="00C25877"/>
    <w:rsid w:val="00C26E0B"/>
    <w:rsid w:val="00C270CC"/>
    <w:rsid w:val="00C27AB8"/>
    <w:rsid w:val="00C27B9E"/>
    <w:rsid w:val="00C305F9"/>
    <w:rsid w:val="00C3098D"/>
    <w:rsid w:val="00C30BAC"/>
    <w:rsid w:val="00C30CFD"/>
    <w:rsid w:val="00C313BA"/>
    <w:rsid w:val="00C3205E"/>
    <w:rsid w:val="00C3271E"/>
    <w:rsid w:val="00C32FBA"/>
    <w:rsid w:val="00C333FD"/>
    <w:rsid w:val="00C33CA4"/>
    <w:rsid w:val="00C37EA0"/>
    <w:rsid w:val="00C40A0B"/>
    <w:rsid w:val="00C40F5F"/>
    <w:rsid w:val="00C418CB"/>
    <w:rsid w:val="00C41B41"/>
    <w:rsid w:val="00C42909"/>
    <w:rsid w:val="00C4333E"/>
    <w:rsid w:val="00C43AB9"/>
    <w:rsid w:val="00C44004"/>
    <w:rsid w:val="00C44907"/>
    <w:rsid w:val="00C44BB6"/>
    <w:rsid w:val="00C44C3F"/>
    <w:rsid w:val="00C45E97"/>
    <w:rsid w:val="00C466C0"/>
    <w:rsid w:val="00C46BE7"/>
    <w:rsid w:val="00C46EBC"/>
    <w:rsid w:val="00C46FAB"/>
    <w:rsid w:val="00C521F8"/>
    <w:rsid w:val="00C53AC2"/>
    <w:rsid w:val="00C551E5"/>
    <w:rsid w:val="00C619AE"/>
    <w:rsid w:val="00C61C9D"/>
    <w:rsid w:val="00C62034"/>
    <w:rsid w:val="00C6247E"/>
    <w:rsid w:val="00C63361"/>
    <w:rsid w:val="00C63DFD"/>
    <w:rsid w:val="00C6530C"/>
    <w:rsid w:val="00C657B1"/>
    <w:rsid w:val="00C65E81"/>
    <w:rsid w:val="00C662AB"/>
    <w:rsid w:val="00C67CE8"/>
    <w:rsid w:val="00C67EB5"/>
    <w:rsid w:val="00C70867"/>
    <w:rsid w:val="00C71285"/>
    <w:rsid w:val="00C71455"/>
    <w:rsid w:val="00C71572"/>
    <w:rsid w:val="00C71CED"/>
    <w:rsid w:val="00C72207"/>
    <w:rsid w:val="00C72356"/>
    <w:rsid w:val="00C7299C"/>
    <w:rsid w:val="00C72A0E"/>
    <w:rsid w:val="00C736F8"/>
    <w:rsid w:val="00C73B50"/>
    <w:rsid w:val="00C74E7B"/>
    <w:rsid w:val="00C76BBE"/>
    <w:rsid w:val="00C7705B"/>
    <w:rsid w:val="00C77199"/>
    <w:rsid w:val="00C7735D"/>
    <w:rsid w:val="00C77CC5"/>
    <w:rsid w:val="00C800AD"/>
    <w:rsid w:val="00C802F1"/>
    <w:rsid w:val="00C80B88"/>
    <w:rsid w:val="00C80D4B"/>
    <w:rsid w:val="00C81A9D"/>
    <w:rsid w:val="00C81DA3"/>
    <w:rsid w:val="00C828C7"/>
    <w:rsid w:val="00C83D6B"/>
    <w:rsid w:val="00C8443C"/>
    <w:rsid w:val="00C855E9"/>
    <w:rsid w:val="00C85AEB"/>
    <w:rsid w:val="00C85BF0"/>
    <w:rsid w:val="00C85F5A"/>
    <w:rsid w:val="00C86E55"/>
    <w:rsid w:val="00C8761C"/>
    <w:rsid w:val="00C9035F"/>
    <w:rsid w:val="00C9039E"/>
    <w:rsid w:val="00C903A3"/>
    <w:rsid w:val="00C908E6"/>
    <w:rsid w:val="00C90B19"/>
    <w:rsid w:val="00C91953"/>
    <w:rsid w:val="00C924CD"/>
    <w:rsid w:val="00C9355D"/>
    <w:rsid w:val="00C93966"/>
    <w:rsid w:val="00C93FB2"/>
    <w:rsid w:val="00C9453A"/>
    <w:rsid w:val="00C94B33"/>
    <w:rsid w:val="00C96254"/>
    <w:rsid w:val="00C96DD5"/>
    <w:rsid w:val="00C97C5E"/>
    <w:rsid w:val="00CA2472"/>
    <w:rsid w:val="00CA34E5"/>
    <w:rsid w:val="00CA3B79"/>
    <w:rsid w:val="00CA43FF"/>
    <w:rsid w:val="00CA4662"/>
    <w:rsid w:val="00CA4D60"/>
    <w:rsid w:val="00CA5049"/>
    <w:rsid w:val="00CA5FB0"/>
    <w:rsid w:val="00CA6772"/>
    <w:rsid w:val="00CA784B"/>
    <w:rsid w:val="00CA7F2B"/>
    <w:rsid w:val="00CB0E98"/>
    <w:rsid w:val="00CB10C4"/>
    <w:rsid w:val="00CB129F"/>
    <w:rsid w:val="00CB161D"/>
    <w:rsid w:val="00CB214B"/>
    <w:rsid w:val="00CB290D"/>
    <w:rsid w:val="00CB2C80"/>
    <w:rsid w:val="00CB3167"/>
    <w:rsid w:val="00CB3592"/>
    <w:rsid w:val="00CB49C8"/>
    <w:rsid w:val="00CB61ED"/>
    <w:rsid w:val="00CB6488"/>
    <w:rsid w:val="00CB65E1"/>
    <w:rsid w:val="00CB710F"/>
    <w:rsid w:val="00CC07F7"/>
    <w:rsid w:val="00CC0DFF"/>
    <w:rsid w:val="00CC1CCB"/>
    <w:rsid w:val="00CC1E9D"/>
    <w:rsid w:val="00CC23F6"/>
    <w:rsid w:val="00CC28D3"/>
    <w:rsid w:val="00CC34B9"/>
    <w:rsid w:val="00CC3962"/>
    <w:rsid w:val="00CC413B"/>
    <w:rsid w:val="00CC469C"/>
    <w:rsid w:val="00CC46DA"/>
    <w:rsid w:val="00CC59AA"/>
    <w:rsid w:val="00CC6286"/>
    <w:rsid w:val="00CC71D3"/>
    <w:rsid w:val="00CC73AD"/>
    <w:rsid w:val="00CC75FB"/>
    <w:rsid w:val="00CC764F"/>
    <w:rsid w:val="00CC777D"/>
    <w:rsid w:val="00CC7D4C"/>
    <w:rsid w:val="00CC7F90"/>
    <w:rsid w:val="00CD1AD8"/>
    <w:rsid w:val="00CD1C25"/>
    <w:rsid w:val="00CD1EA2"/>
    <w:rsid w:val="00CD287C"/>
    <w:rsid w:val="00CD33CC"/>
    <w:rsid w:val="00CD3C08"/>
    <w:rsid w:val="00CD5093"/>
    <w:rsid w:val="00CD585C"/>
    <w:rsid w:val="00CD5A9D"/>
    <w:rsid w:val="00CD62C5"/>
    <w:rsid w:val="00CD7813"/>
    <w:rsid w:val="00CD7DCF"/>
    <w:rsid w:val="00CE09E0"/>
    <w:rsid w:val="00CE0C65"/>
    <w:rsid w:val="00CE0E01"/>
    <w:rsid w:val="00CE1AA0"/>
    <w:rsid w:val="00CE2299"/>
    <w:rsid w:val="00CE32B0"/>
    <w:rsid w:val="00CE481D"/>
    <w:rsid w:val="00CE494C"/>
    <w:rsid w:val="00CE52FF"/>
    <w:rsid w:val="00CE5526"/>
    <w:rsid w:val="00CE62B4"/>
    <w:rsid w:val="00CE6B36"/>
    <w:rsid w:val="00CE6CDF"/>
    <w:rsid w:val="00CE71DF"/>
    <w:rsid w:val="00CE7FEB"/>
    <w:rsid w:val="00CF09D4"/>
    <w:rsid w:val="00CF0E8C"/>
    <w:rsid w:val="00CF12A1"/>
    <w:rsid w:val="00CF14B6"/>
    <w:rsid w:val="00CF1849"/>
    <w:rsid w:val="00CF1F16"/>
    <w:rsid w:val="00CF2483"/>
    <w:rsid w:val="00CF2C76"/>
    <w:rsid w:val="00CF2DC7"/>
    <w:rsid w:val="00CF3DA1"/>
    <w:rsid w:val="00CF3E61"/>
    <w:rsid w:val="00CF4A34"/>
    <w:rsid w:val="00CF59C3"/>
    <w:rsid w:val="00CF69D7"/>
    <w:rsid w:val="00CF7854"/>
    <w:rsid w:val="00D001A5"/>
    <w:rsid w:val="00D004FC"/>
    <w:rsid w:val="00D008D8"/>
    <w:rsid w:val="00D018BA"/>
    <w:rsid w:val="00D02760"/>
    <w:rsid w:val="00D041E3"/>
    <w:rsid w:val="00D042AB"/>
    <w:rsid w:val="00D04577"/>
    <w:rsid w:val="00D04948"/>
    <w:rsid w:val="00D053BC"/>
    <w:rsid w:val="00D06577"/>
    <w:rsid w:val="00D07593"/>
    <w:rsid w:val="00D075D4"/>
    <w:rsid w:val="00D07BF3"/>
    <w:rsid w:val="00D10CEC"/>
    <w:rsid w:val="00D10EE8"/>
    <w:rsid w:val="00D12D88"/>
    <w:rsid w:val="00D13715"/>
    <w:rsid w:val="00D1399F"/>
    <w:rsid w:val="00D13B0C"/>
    <w:rsid w:val="00D13C13"/>
    <w:rsid w:val="00D15A6E"/>
    <w:rsid w:val="00D1631C"/>
    <w:rsid w:val="00D168E4"/>
    <w:rsid w:val="00D1715E"/>
    <w:rsid w:val="00D172A8"/>
    <w:rsid w:val="00D22351"/>
    <w:rsid w:val="00D2374C"/>
    <w:rsid w:val="00D25ED8"/>
    <w:rsid w:val="00D263A6"/>
    <w:rsid w:val="00D31039"/>
    <w:rsid w:val="00D31058"/>
    <w:rsid w:val="00D31DFE"/>
    <w:rsid w:val="00D3226C"/>
    <w:rsid w:val="00D32C76"/>
    <w:rsid w:val="00D337D1"/>
    <w:rsid w:val="00D33A0F"/>
    <w:rsid w:val="00D33A92"/>
    <w:rsid w:val="00D33E94"/>
    <w:rsid w:val="00D34578"/>
    <w:rsid w:val="00D3512E"/>
    <w:rsid w:val="00D36178"/>
    <w:rsid w:val="00D36593"/>
    <w:rsid w:val="00D36B1B"/>
    <w:rsid w:val="00D3772D"/>
    <w:rsid w:val="00D40072"/>
    <w:rsid w:val="00D4172A"/>
    <w:rsid w:val="00D429F2"/>
    <w:rsid w:val="00D42C1F"/>
    <w:rsid w:val="00D4361D"/>
    <w:rsid w:val="00D43879"/>
    <w:rsid w:val="00D43FDE"/>
    <w:rsid w:val="00D44328"/>
    <w:rsid w:val="00D44981"/>
    <w:rsid w:val="00D451B2"/>
    <w:rsid w:val="00D46157"/>
    <w:rsid w:val="00D463A0"/>
    <w:rsid w:val="00D47051"/>
    <w:rsid w:val="00D47506"/>
    <w:rsid w:val="00D501C1"/>
    <w:rsid w:val="00D505E0"/>
    <w:rsid w:val="00D52CCA"/>
    <w:rsid w:val="00D538FE"/>
    <w:rsid w:val="00D54659"/>
    <w:rsid w:val="00D54E90"/>
    <w:rsid w:val="00D55864"/>
    <w:rsid w:val="00D55CE2"/>
    <w:rsid w:val="00D56FB5"/>
    <w:rsid w:val="00D5790B"/>
    <w:rsid w:val="00D57B0D"/>
    <w:rsid w:val="00D60599"/>
    <w:rsid w:val="00D605CF"/>
    <w:rsid w:val="00D61FAD"/>
    <w:rsid w:val="00D6208C"/>
    <w:rsid w:val="00D626B0"/>
    <w:rsid w:val="00D636B0"/>
    <w:rsid w:val="00D64D71"/>
    <w:rsid w:val="00D65AFB"/>
    <w:rsid w:val="00D70AB8"/>
    <w:rsid w:val="00D718DC"/>
    <w:rsid w:val="00D7221B"/>
    <w:rsid w:val="00D73965"/>
    <w:rsid w:val="00D750E0"/>
    <w:rsid w:val="00D753CC"/>
    <w:rsid w:val="00D76235"/>
    <w:rsid w:val="00D76255"/>
    <w:rsid w:val="00D769F4"/>
    <w:rsid w:val="00D8032A"/>
    <w:rsid w:val="00D809E3"/>
    <w:rsid w:val="00D80E4A"/>
    <w:rsid w:val="00D80EAF"/>
    <w:rsid w:val="00D8162D"/>
    <w:rsid w:val="00D82295"/>
    <w:rsid w:val="00D82FCD"/>
    <w:rsid w:val="00D84537"/>
    <w:rsid w:val="00D846F0"/>
    <w:rsid w:val="00D847F2"/>
    <w:rsid w:val="00D84873"/>
    <w:rsid w:val="00D85054"/>
    <w:rsid w:val="00D8542A"/>
    <w:rsid w:val="00D85752"/>
    <w:rsid w:val="00D87046"/>
    <w:rsid w:val="00D900CD"/>
    <w:rsid w:val="00D90201"/>
    <w:rsid w:val="00D915BA"/>
    <w:rsid w:val="00D927F6"/>
    <w:rsid w:val="00D92B34"/>
    <w:rsid w:val="00D93404"/>
    <w:rsid w:val="00D940DC"/>
    <w:rsid w:val="00D946CF"/>
    <w:rsid w:val="00D959EB"/>
    <w:rsid w:val="00D96012"/>
    <w:rsid w:val="00D9758D"/>
    <w:rsid w:val="00D976B4"/>
    <w:rsid w:val="00D9799A"/>
    <w:rsid w:val="00D97CB5"/>
    <w:rsid w:val="00DA165F"/>
    <w:rsid w:val="00DA48C0"/>
    <w:rsid w:val="00DA4908"/>
    <w:rsid w:val="00DA49EA"/>
    <w:rsid w:val="00DA55AA"/>
    <w:rsid w:val="00DA6660"/>
    <w:rsid w:val="00DA6A84"/>
    <w:rsid w:val="00DA74F0"/>
    <w:rsid w:val="00DA79ED"/>
    <w:rsid w:val="00DB058E"/>
    <w:rsid w:val="00DB0C41"/>
    <w:rsid w:val="00DB1CCA"/>
    <w:rsid w:val="00DB1E3A"/>
    <w:rsid w:val="00DB2E94"/>
    <w:rsid w:val="00DB32BB"/>
    <w:rsid w:val="00DB3587"/>
    <w:rsid w:val="00DB469A"/>
    <w:rsid w:val="00DB56DD"/>
    <w:rsid w:val="00DB56E2"/>
    <w:rsid w:val="00DB6036"/>
    <w:rsid w:val="00DB627D"/>
    <w:rsid w:val="00DB760C"/>
    <w:rsid w:val="00DB7741"/>
    <w:rsid w:val="00DB7ED4"/>
    <w:rsid w:val="00DC034F"/>
    <w:rsid w:val="00DC27DB"/>
    <w:rsid w:val="00DC3942"/>
    <w:rsid w:val="00DC3CC2"/>
    <w:rsid w:val="00DC41E4"/>
    <w:rsid w:val="00DC492C"/>
    <w:rsid w:val="00DC5535"/>
    <w:rsid w:val="00DC5A67"/>
    <w:rsid w:val="00DC62FF"/>
    <w:rsid w:val="00DC69A2"/>
    <w:rsid w:val="00DC6FF3"/>
    <w:rsid w:val="00DC7271"/>
    <w:rsid w:val="00DC7318"/>
    <w:rsid w:val="00DD178F"/>
    <w:rsid w:val="00DD179D"/>
    <w:rsid w:val="00DD2045"/>
    <w:rsid w:val="00DD45AC"/>
    <w:rsid w:val="00DD472D"/>
    <w:rsid w:val="00DD4F0E"/>
    <w:rsid w:val="00DD50D1"/>
    <w:rsid w:val="00DD558C"/>
    <w:rsid w:val="00DD587A"/>
    <w:rsid w:val="00DD6E14"/>
    <w:rsid w:val="00DD6EF1"/>
    <w:rsid w:val="00DD765F"/>
    <w:rsid w:val="00DD7DC3"/>
    <w:rsid w:val="00DD7F73"/>
    <w:rsid w:val="00DE04F9"/>
    <w:rsid w:val="00DE0AD2"/>
    <w:rsid w:val="00DE1097"/>
    <w:rsid w:val="00DE1521"/>
    <w:rsid w:val="00DE2320"/>
    <w:rsid w:val="00DE2782"/>
    <w:rsid w:val="00DE3AC2"/>
    <w:rsid w:val="00DE4A9E"/>
    <w:rsid w:val="00DE4C41"/>
    <w:rsid w:val="00DE6968"/>
    <w:rsid w:val="00DE6FFE"/>
    <w:rsid w:val="00DE7952"/>
    <w:rsid w:val="00DF01B4"/>
    <w:rsid w:val="00DF02DF"/>
    <w:rsid w:val="00DF08C6"/>
    <w:rsid w:val="00DF0BC5"/>
    <w:rsid w:val="00DF1ED0"/>
    <w:rsid w:val="00DF2750"/>
    <w:rsid w:val="00DF46AF"/>
    <w:rsid w:val="00DF4C54"/>
    <w:rsid w:val="00DF5EF0"/>
    <w:rsid w:val="00DF6938"/>
    <w:rsid w:val="00DF7B50"/>
    <w:rsid w:val="00DF7DF4"/>
    <w:rsid w:val="00DF7E3D"/>
    <w:rsid w:val="00E01116"/>
    <w:rsid w:val="00E01529"/>
    <w:rsid w:val="00E01ED0"/>
    <w:rsid w:val="00E030A6"/>
    <w:rsid w:val="00E03692"/>
    <w:rsid w:val="00E042CF"/>
    <w:rsid w:val="00E06E31"/>
    <w:rsid w:val="00E07DA1"/>
    <w:rsid w:val="00E108EA"/>
    <w:rsid w:val="00E10CB4"/>
    <w:rsid w:val="00E10ECC"/>
    <w:rsid w:val="00E1124A"/>
    <w:rsid w:val="00E11AF6"/>
    <w:rsid w:val="00E11D84"/>
    <w:rsid w:val="00E122F7"/>
    <w:rsid w:val="00E12C60"/>
    <w:rsid w:val="00E12C97"/>
    <w:rsid w:val="00E12D2A"/>
    <w:rsid w:val="00E134B2"/>
    <w:rsid w:val="00E1372D"/>
    <w:rsid w:val="00E13C66"/>
    <w:rsid w:val="00E140BC"/>
    <w:rsid w:val="00E14490"/>
    <w:rsid w:val="00E146D8"/>
    <w:rsid w:val="00E153FF"/>
    <w:rsid w:val="00E15DA1"/>
    <w:rsid w:val="00E15DCD"/>
    <w:rsid w:val="00E163D6"/>
    <w:rsid w:val="00E207E1"/>
    <w:rsid w:val="00E20B4E"/>
    <w:rsid w:val="00E22DAE"/>
    <w:rsid w:val="00E22DF4"/>
    <w:rsid w:val="00E23C9F"/>
    <w:rsid w:val="00E23F0D"/>
    <w:rsid w:val="00E247BB"/>
    <w:rsid w:val="00E247DD"/>
    <w:rsid w:val="00E249F2"/>
    <w:rsid w:val="00E25386"/>
    <w:rsid w:val="00E25B58"/>
    <w:rsid w:val="00E26B2E"/>
    <w:rsid w:val="00E271D3"/>
    <w:rsid w:val="00E275B5"/>
    <w:rsid w:val="00E30062"/>
    <w:rsid w:val="00E300E3"/>
    <w:rsid w:val="00E30633"/>
    <w:rsid w:val="00E315C4"/>
    <w:rsid w:val="00E31E97"/>
    <w:rsid w:val="00E320BF"/>
    <w:rsid w:val="00E33180"/>
    <w:rsid w:val="00E336F6"/>
    <w:rsid w:val="00E33853"/>
    <w:rsid w:val="00E341CE"/>
    <w:rsid w:val="00E3437A"/>
    <w:rsid w:val="00E34988"/>
    <w:rsid w:val="00E35227"/>
    <w:rsid w:val="00E35A97"/>
    <w:rsid w:val="00E360F5"/>
    <w:rsid w:val="00E37876"/>
    <w:rsid w:val="00E37961"/>
    <w:rsid w:val="00E401FD"/>
    <w:rsid w:val="00E40F40"/>
    <w:rsid w:val="00E41DD7"/>
    <w:rsid w:val="00E42167"/>
    <w:rsid w:val="00E426D6"/>
    <w:rsid w:val="00E42B8D"/>
    <w:rsid w:val="00E459C7"/>
    <w:rsid w:val="00E45E87"/>
    <w:rsid w:val="00E4690C"/>
    <w:rsid w:val="00E47210"/>
    <w:rsid w:val="00E47362"/>
    <w:rsid w:val="00E47B59"/>
    <w:rsid w:val="00E47E02"/>
    <w:rsid w:val="00E5092B"/>
    <w:rsid w:val="00E50F5C"/>
    <w:rsid w:val="00E5182F"/>
    <w:rsid w:val="00E52A10"/>
    <w:rsid w:val="00E52CB1"/>
    <w:rsid w:val="00E52E5B"/>
    <w:rsid w:val="00E537CE"/>
    <w:rsid w:val="00E538D7"/>
    <w:rsid w:val="00E53C7E"/>
    <w:rsid w:val="00E54156"/>
    <w:rsid w:val="00E55255"/>
    <w:rsid w:val="00E5551B"/>
    <w:rsid w:val="00E56377"/>
    <w:rsid w:val="00E564D3"/>
    <w:rsid w:val="00E5666A"/>
    <w:rsid w:val="00E56A21"/>
    <w:rsid w:val="00E57664"/>
    <w:rsid w:val="00E57A8F"/>
    <w:rsid w:val="00E60E51"/>
    <w:rsid w:val="00E60E65"/>
    <w:rsid w:val="00E6190D"/>
    <w:rsid w:val="00E61A7A"/>
    <w:rsid w:val="00E64515"/>
    <w:rsid w:val="00E64540"/>
    <w:rsid w:val="00E646C9"/>
    <w:rsid w:val="00E6492D"/>
    <w:rsid w:val="00E66CF9"/>
    <w:rsid w:val="00E678F6"/>
    <w:rsid w:val="00E67C70"/>
    <w:rsid w:val="00E700B5"/>
    <w:rsid w:val="00E705D0"/>
    <w:rsid w:val="00E7130F"/>
    <w:rsid w:val="00E7151A"/>
    <w:rsid w:val="00E71995"/>
    <w:rsid w:val="00E722EC"/>
    <w:rsid w:val="00E73EC3"/>
    <w:rsid w:val="00E74E34"/>
    <w:rsid w:val="00E74FBB"/>
    <w:rsid w:val="00E75DED"/>
    <w:rsid w:val="00E76676"/>
    <w:rsid w:val="00E7701A"/>
    <w:rsid w:val="00E771B3"/>
    <w:rsid w:val="00E77C3A"/>
    <w:rsid w:val="00E804E1"/>
    <w:rsid w:val="00E805C0"/>
    <w:rsid w:val="00E8064F"/>
    <w:rsid w:val="00E8083D"/>
    <w:rsid w:val="00E80B35"/>
    <w:rsid w:val="00E80DCB"/>
    <w:rsid w:val="00E817CE"/>
    <w:rsid w:val="00E820B6"/>
    <w:rsid w:val="00E82679"/>
    <w:rsid w:val="00E8296C"/>
    <w:rsid w:val="00E8345B"/>
    <w:rsid w:val="00E84643"/>
    <w:rsid w:val="00E85ABF"/>
    <w:rsid w:val="00E86F58"/>
    <w:rsid w:val="00E87327"/>
    <w:rsid w:val="00E8766D"/>
    <w:rsid w:val="00E909DC"/>
    <w:rsid w:val="00E90B57"/>
    <w:rsid w:val="00E90E5D"/>
    <w:rsid w:val="00E9118B"/>
    <w:rsid w:val="00E91600"/>
    <w:rsid w:val="00E9178F"/>
    <w:rsid w:val="00E92ABD"/>
    <w:rsid w:val="00E92B89"/>
    <w:rsid w:val="00E92B96"/>
    <w:rsid w:val="00E93122"/>
    <w:rsid w:val="00E93AAB"/>
    <w:rsid w:val="00E94731"/>
    <w:rsid w:val="00E95182"/>
    <w:rsid w:val="00E9543B"/>
    <w:rsid w:val="00E9548D"/>
    <w:rsid w:val="00E96429"/>
    <w:rsid w:val="00E97303"/>
    <w:rsid w:val="00EA07D4"/>
    <w:rsid w:val="00EA1708"/>
    <w:rsid w:val="00EA267F"/>
    <w:rsid w:val="00EA2F63"/>
    <w:rsid w:val="00EA31CB"/>
    <w:rsid w:val="00EA326B"/>
    <w:rsid w:val="00EA34AD"/>
    <w:rsid w:val="00EA4280"/>
    <w:rsid w:val="00EA4691"/>
    <w:rsid w:val="00EA5DF3"/>
    <w:rsid w:val="00EB00D5"/>
    <w:rsid w:val="00EB02DF"/>
    <w:rsid w:val="00EB07BD"/>
    <w:rsid w:val="00EB09A2"/>
    <w:rsid w:val="00EB0D96"/>
    <w:rsid w:val="00EB0F4B"/>
    <w:rsid w:val="00EB2057"/>
    <w:rsid w:val="00EB2206"/>
    <w:rsid w:val="00EB2656"/>
    <w:rsid w:val="00EB26DD"/>
    <w:rsid w:val="00EB33FF"/>
    <w:rsid w:val="00EB38B3"/>
    <w:rsid w:val="00EB4DF4"/>
    <w:rsid w:val="00EB5B4C"/>
    <w:rsid w:val="00EC09EB"/>
    <w:rsid w:val="00EC0F70"/>
    <w:rsid w:val="00EC2498"/>
    <w:rsid w:val="00EC2847"/>
    <w:rsid w:val="00EC29E3"/>
    <w:rsid w:val="00EC2C43"/>
    <w:rsid w:val="00EC2FF1"/>
    <w:rsid w:val="00EC31DC"/>
    <w:rsid w:val="00EC618E"/>
    <w:rsid w:val="00EC6686"/>
    <w:rsid w:val="00EC6BAC"/>
    <w:rsid w:val="00ED0E4C"/>
    <w:rsid w:val="00ED13C4"/>
    <w:rsid w:val="00ED1694"/>
    <w:rsid w:val="00ED17C9"/>
    <w:rsid w:val="00ED1AFD"/>
    <w:rsid w:val="00ED391A"/>
    <w:rsid w:val="00ED3A29"/>
    <w:rsid w:val="00ED3E2A"/>
    <w:rsid w:val="00ED50C2"/>
    <w:rsid w:val="00ED5951"/>
    <w:rsid w:val="00ED60DD"/>
    <w:rsid w:val="00ED72F9"/>
    <w:rsid w:val="00EE0615"/>
    <w:rsid w:val="00EE0A9B"/>
    <w:rsid w:val="00EE1256"/>
    <w:rsid w:val="00EE293E"/>
    <w:rsid w:val="00EE2EC0"/>
    <w:rsid w:val="00EE2EC8"/>
    <w:rsid w:val="00EE38D0"/>
    <w:rsid w:val="00EE3AA9"/>
    <w:rsid w:val="00EE5004"/>
    <w:rsid w:val="00EE5205"/>
    <w:rsid w:val="00EE529F"/>
    <w:rsid w:val="00EE6858"/>
    <w:rsid w:val="00EF00F4"/>
    <w:rsid w:val="00EF0D0A"/>
    <w:rsid w:val="00EF42EC"/>
    <w:rsid w:val="00EF4857"/>
    <w:rsid w:val="00EF49BB"/>
    <w:rsid w:val="00EF5124"/>
    <w:rsid w:val="00EF5AA2"/>
    <w:rsid w:val="00EF5B48"/>
    <w:rsid w:val="00EF61D2"/>
    <w:rsid w:val="00EF6296"/>
    <w:rsid w:val="00EF6332"/>
    <w:rsid w:val="00EF767F"/>
    <w:rsid w:val="00F01351"/>
    <w:rsid w:val="00F01BA3"/>
    <w:rsid w:val="00F01CD5"/>
    <w:rsid w:val="00F022C2"/>
    <w:rsid w:val="00F02312"/>
    <w:rsid w:val="00F027CF"/>
    <w:rsid w:val="00F02F06"/>
    <w:rsid w:val="00F032F2"/>
    <w:rsid w:val="00F03CE6"/>
    <w:rsid w:val="00F03DC7"/>
    <w:rsid w:val="00F05683"/>
    <w:rsid w:val="00F06167"/>
    <w:rsid w:val="00F066FF"/>
    <w:rsid w:val="00F06781"/>
    <w:rsid w:val="00F06847"/>
    <w:rsid w:val="00F07441"/>
    <w:rsid w:val="00F075DE"/>
    <w:rsid w:val="00F07694"/>
    <w:rsid w:val="00F1052C"/>
    <w:rsid w:val="00F1133C"/>
    <w:rsid w:val="00F11CB8"/>
    <w:rsid w:val="00F135C8"/>
    <w:rsid w:val="00F1525A"/>
    <w:rsid w:val="00F15387"/>
    <w:rsid w:val="00F153A5"/>
    <w:rsid w:val="00F166C8"/>
    <w:rsid w:val="00F1754A"/>
    <w:rsid w:val="00F17B2E"/>
    <w:rsid w:val="00F2009B"/>
    <w:rsid w:val="00F226E1"/>
    <w:rsid w:val="00F22B86"/>
    <w:rsid w:val="00F22FD6"/>
    <w:rsid w:val="00F23120"/>
    <w:rsid w:val="00F23320"/>
    <w:rsid w:val="00F23D85"/>
    <w:rsid w:val="00F242C1"/>
    <w:rsid w:val="00F24724"/>
    <w:rsid w:val="00F24AD5"/>
    <w:rsid w:val="00F24D84"/>
    <w:rsid w:val="00F250CB"/>
    <w:rsid w:val="00F25CFB"/>
    <w:rsid w:val="00F27919"/>
    <w:rsid w:val="00F27EB8"/>
    <w:rsid w:val="00F30981"/>
    <w:rsid w:val="00F309A7"/>
    <w:rsid w:val="00F31182"/>
    <w:rsid w:val="00F31663"/>
    <w:rsid w:val="00F31831"/>
    <w:rsid w:val="00F3232D"/>
    <w:rsid w:val="00F328E8"/>
    <w:rsid w:val="00F3292B"/>
    <w:rsid w:val="00F330A6"/>
    <w:rsid w:val="00F33C52"/>
    <w:rsid w:val="00F34696"/>
    <w:rsid w:val="00F36001"/>
    <w:rsid w:val="00F40614"/>
    <w:rsid w:val="00F42C15"/>
    <w:rsid w:val="00F430DB"/>
    <w:rsid w:val="00F44DDB"/>
    <w:rsid w:val="00F45E7C"/>
    <w:rsid w:val="00F45FDE"/>
    <w:rsid w:val="00F466B6"/>
    <w:rsid w:val="00F46BBF"/>
    <w:rsid w:val="00F46E1C"/>
    <w:rsid w:val="00F472F8"/>
    <w:rsid w:val="00F47AB8"/>
    <w:rsid w:val="00F47FCF"/>
    <w:rsid w:val="00F515BD"/>
    <w:rsid w:val="00F517A5"/>
    <w:rsid w:val="00F5267A"/>
    <w:rsid w:val="00F52926"/>
    <w:rsid w:val="00F52934"/>
    <w:rsid w:val="00F52AB3"/>
    <w:rsid w:val="00F54037"/>
    <w:rsid w:val="00F55A95"/>
    <w:rsid w:val="00F56078"/>
    <w:rsid w:val="00F561A4"/>
    <w:rsid w:val="00F56AE6"/>
    <w:rsid w:val="00F56D6F"/>
    <w:rsid w:val="00F575CD"/>
    <w:rsid w:val="00F57B69"/>
    <w:rsid w:val="00F57C60"/>
    <w:rsid w:val="00F60079"/>
    <w:rsid w:val="00F60270"/>
    <w:rsid w:val="00F609F0"/>
    <w:rsid w:val="00F614A6"/>
    <w:rsid w:val="00F61FC9"/>
    <w:rsid w:val="00F639A9"/>
    <w:rsid w:val="00F64C49"/>
    <w:rsid w:val="00F6551D"/>
    <w:rsid w:val="00F663B7"/>
    <w:rsid w:val="00F6668F"/>
    <w:rsid w:val="00F666CF"/>
    <w:rsid w:val="00F6682A"/>
    <w:rsid w:val="00F66E0D"/>
    <w:rsid w:val="00F67A1B"/>
    <w:rsid w:val="00F67A66"/>
    <w:rsid w:val="00F67D97"/>
    <w:rsid w:val="00F67F7A"/>
    <w:rsid w:val="00F7120F"/>
    <w:rsid w:val="00F730D7"/>
    <w:rsid w:val="00F73215"/>
    <w:rsid w:val="00F75856"/>
    <w:rsid w:val="00F76869"/>
    <w:rsid w:val="00F76A7A"/>
    <w:rsid w:val="00F7747D"/>
    <w:rsid w:val="00F77DC5"/>
    <w:rsid w:val="00F8037D"/>
    <w:rsid w:val="00F81758"/>
    <w:rsid w:val="00F8212D"/>
    <w:rsid w:val="00F82151"/>
    <w:rsid w:val="00F82377"/>
    <w:rsid w:val="00F82C4C"/>
    <w:rsid w:val="00F8318D"/>
    <w:rsid w:val="00F835E1"/>
    <w:rsid w:val="00F83C0D"/>
    <w:rsid w:val="00F8489E"/>
    <w:rsid w:val="00F850AB"/>
    <w:rsid w:val="00F85F67"/>
    <w:rsid w:val="00F864C5"/>
    <w:rsid w:val="00F86FC0"/>
    <w:rsid w:val="00F876BD"/>
    <w:rsid w:val="00F87724"/>
    <w:rsid w:val="00F87996"/>
    <w:rsid w:val="00F9087E"/>
    <w:rsid w:val="00F90CBD"/>
    <w:rsid w:val="00F910C5"/>
    <w:rsid w:val="00F91DB5"/>
    <w:rsid w:val="00F92B23"/>
    <w:rsid w:val="00F9383B"/>
    <w:rsid w:val="00F945AA"/>
    <w:rsid w:val="00F9510E"/>
    <w:rsid w:val="00F95E55"/>
    <w:rsid w:val="00F96246"/>
    <w:rsid w:val="00FA0271"/>
    <w:rsid w:val="00FA078D"/>
    <w:rsid w:val="00FA081D"/>
    <w:rsid w:val="00FA0AE5"/>
    <w:rsid w:val="00FA1B19"/>
    <w:rsid w:val="00FA2675"/>
    <w:rsid w:val="00FA2822"/>
    <w:rsid w:val="00FA28E8"/>
    <w:rsid w:val="00FA2F09"/>
    <w:rsid w:val="00FA32A4"/>
    <w:rsid w:val="00FA4A6D"/>
    <w:rsid w:val="00FA580B"/>
    <w:rsid w:val="00FA64AA"/>
    <w:rsid w:val="00FA653C"/>
    <w:rsid w:val="00FA6C15"/>
    <w:rsid w:val="00FA6D25"/>
    <w:rsid w:val="00FA7E47"/>
    <w:rsid w:val="00FA7E60"/>
    <w:rsid w:val="00FB1A42"/>
    <w:rsid w:val="00FB2821"/>
    <w:rsid w:val="00FB5260"/>
    <w:rsid w:val="00FB54E2"/>
    <w:rsid w:val="00FB5B61"/>
    <w:rsid w:val="00FB681B"/>
    <w:rsid w:val="00FB72F3"/>
    <w:rsid w:val="00FB7AF4"/>
    <w:rsid w:val="00FB7C4F"/>
    <w:rsid w:val="00FC00B3"/>
    <w:rsid w:val="00FC0A48"/>
    <w:rsid w:val="00FC16DB"/>
    <w:rsid w:val="00FC1895"/>
    <w:rsid w:val="00FC3A58"/>
    <w:rsid w:val="00FC43BB"/>
    <w:rsid w:val="00FC4499"/>
    <w:rsid w:val="00FC606E"/>
    <w:rsid w:val="00FC6250"/>
    <w:rsid w:val="00FC64BD"/>
    <w:rsid w:val="00FC656C"/>
    <w:rsid w:val="00FC69CB"/>
    <w:rsid w:val="00FD00D8"/>
    <w:rsid w:val="00FD016F"/>
    <w:rsid w:val="00FD08EB"/>
    <w:rsid w:val="00FD1615"/>
    <w:rsid w:val="00FD2709"/>
    <w:rsid w:val="00FD2F3E"/>
    <w:rsid w:val="00FD3EC7"/>
    <w:rsid w:val="00FD4762"/>
    <w:rsid w:val="00FD4895"/>
    <w:rsid w:val="00FD48F1"/>
    <w:rsid w:val="00FD4DA6"/>
    <w:rsid w:val="00FD4E84"/>
    <w:rsid w:val="00FD501C"/>
    <w:rsid w:val="00FD5085"/>
    <w:rsid w:val="00FD56B5"/>
    <w:rsid w:val="00FD61BA"/>
    <w:rsid w:val="00FD690A"/>
    <w:rsid w:val="00FD735D"/>
    <w:rsid w:val="00FD78A8"/>
    <w:rsid w:val="00FD7C44"/>
    <w:rsid w:val="00FD7F15"/>
    <w:rsid w:val="00FE0831"/>
    <w:rsid w:val="00FE1DCD"/>
    <w:rsid w:val="00FE1F95"/>
    <w:rsid w:val="00FE2105"/>
    <w:rsid w:val="00FE2CF9"/>
    <w:rsid w:val="00FE36D6"/>
    <w:rsid w:val="00FE4318"/>
    <w:rsid w:val="00FE4842"/>
    <w:rsid w:val="00FE525B"/>
    <w:rsid w:val="00FE52AD"/>
    <w:rsid w:val="00FE5ECB"/>
    <w:rsid w:val="00FE71D8"/>
    <w:rsid w:val="00FE7499"/>
    <w:rsid w:val="00FE7C8F"/>
    <w:rsid w:val="00FF0D9F"/>
    <w:rsid w:val="00FF0F39"/>
    <w:rsid w:val="00FF1194"/>
    <w:rsid w:val="00FF1253"/>
    <w:rsid w:val="00FF12A7"/>
    <w:rsid w:val="00FF1493"/>
    <w:rsid w:val="00FF2B06"/>
    <w:rsid w:val="00FF2F77"/>
    <w:rsid w:val="00FF300E"/>
    <w:rsid w:val="00FF6823"/>
    <w:rsid w:val="00FF6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C2AF5"/>
  <w15:chartTrackingRefBased/>
  <w15:docId w15:val="{9D513402-1ED6-4E05-934B-17432FE4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38"/>
    <w:pPr>
      <w:widowControl w:val="0"/>
      <w:spacing w:after="120" w:line="240" w:lineRule="auto"/>
      <w:jc w:val="both"/>
    </w:pPr>
    <w:rPr>
      <w:sz w:val="24"/>
    </w:rPr>
  </w:style>
  <w:style w:type="paragraph" w:styleId="Heading1">
    <w:name w:val="heading 1"/>
    <w:basedOn w:val="Normal"/>
    <w:next w:val="Normal"/>
    <w:link w:val="Heading1Char"/>
    <w:uiPriority w:val="9"/>
    <w:qFormat/>
    <w:rsid w:val="00C72A0E"/>
    <w:pPr>
      <w:keepNext/>
      <w:numPr>
        <w:numId w:val="5"/>
      </w:numPr>
      <w:spacing w:before="240"/>
      <w:outlineLvl w:val="0"/>
    </w:pPr>
    <w:rPr>
      <w:b/>
      <w:bCs/>
    </w:rPr>
  </w:style>
  <w:style w:type="paragraph" w:styleId="Heading2">
    <w:name w:val="heading 2"/>
    <w:basedOn w:val="Heading1"/>
    <w:next w:val="Normal"/>
    <w:link w:val="Heading2Char"/>
    <w:uiPriority w:val="9"/>
    <w:unhideWhenUsed/>
    <w:qFormat/>
    <w:rsid w:val="00C72A0E"/>
    <w:pPr>
      <w:numPr>
        <w:ilvl w:val="1"/>
      </w:numPr>
      <w:ind w:left="426" w:hanging="426"/>
      <w:outlineLvl w:val="1"/>
    </w:pPr>
  </w:style>
  <w:style w:type="paragraph" w:styleId="Heading3">
    <w:name w:val="heading 3"/>
    <w:basedOn w:val="Heading2"/>
    <w:next w:val="Normal"/>
    <w:link w:val="Heading3Char"/>
    <w:uiPriority w:val="9"/>
    <w:unhideWhenUsed/>
    <w:qFormat/>
    <w:rsid w:val="00877B11"/>
    <w:pPr>
      <w:keepLines/>
      <w:numPr>
        <w:ilvl w:val="2"/>
      </w:numPr>
      <w:ind w:left="709" w:hanging="709"/>
      <w:outlineLvl w:val="2"/>
    </w:pPr>
  </w:style>
  <w:style w:type="paragraph" w:styleId="Heading4">
    <w:name w:val="heading 4"/>
    <w:basedOn w:val="Normal"/>
    <w:next w:val="Normal"/>
    <w:link w:val="Heading4Char"/>
    <w:uiPriority w:val="9"/>
    <w:unhideWhenUsed/>
    <w:qFormat/>
    <w:rsid w:val="00F01CD5"/>
    <w:pPr>
      <w:keepNext/>
      <w:keepLines/>
      <w:numPr>
        <w:ilvl w:val="3"/>
        <w:numId w:val="5"/>
      </w:numPr>
      <w:spacing w:before="240"/>
      <w:ind w:left="414" w:hanging="414"/>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basedOn w:val="DefaultParagraphFont"/>
    <w:rsid w:val="00446E0A"/>
    <w:rPr>
      <w:b/>
      <w:vanish/>
      <w:color w:val="FF0000"/>
    </w:rPr>
  </w:style>
  <w:style w:type="paragraph" w:customStyle="1" w:styleId="MTDisplayEquation">
    <w:name w:val="MTDisplayEquation"/>
    <w:basedOn w:val="Normal"/>
    <w:next w:val="Normal"/>
    <w:link w:val="MTDisplayEquationChar"/>
    <w:rsid w:val="00446E0A"/>
    <w:pPr>
      <w:tabs>
        <w:tab w:val="center" w:pos="4520"/>
        <w:tab w:val="right" w:pos="9020"/>
      </w:tabs>
    </w:pPr>
  </w:style>
  <w:style w:type="character" w:customStyle="1" w:styleId="MTDisplayEquationChar">
    <w:name w:val="MTDisplayEquation Char"/>
    <w:basedOn w:val="DefaultParagraphFont"/>
    <w:link w:val="MTDisplayEquation"/>
    <w:rsid w:val="00446E0A"/>
  </w:style>
  <w:style w:type="paragraph" w:styleId="Header">
    <w:name w:val="header"/>
    <w:basedOn w:val="Normal"/>
    <w:link w:val="HeaderChar"/>
    <w:uiPriority w:val="99"/>
    <w:unhideWhenUsed/>
    <w:rsid w:val="00A441CD"/>
    <w:pPr>
      <w:tabs>
        <w:tab w:val="center" w:pos="4513"/>
        <w:tab w:val="right" w:pos="9026"/>
      </w:tabs>
      <w:spacing w:after="0"/>
    </w:pPr>
  </w:style>
  <w:style w:type="character" w:customStyle="1" w:styleId="HeaderChar">
    <w:name w:val="Header Char"/>
    <w:basedOn w:val="DefaultParagraphFont"/>
    <w:link w:val="Header"/>
    <w:uiPriority w:val="99"/>
    <w:rsid w:val="00A441CD"/>
  </w:style>
  <w:style w:type="paragraph" w:styleId="Footer">
    <w:name w:val="footer"/>
    <w:basedOn w:val="Normal"/>
    <w:link w:val="FooterChar"/>
    <w:uiPriority w:val="99"/>
    <w:unhideWhenUsed/>
    <w:rsid w:val="00A441CD"/>
    <w:pPr>
      <w:tabs>
        <w:tab w:val="center" w:pos="4513"/>
        <w:tab w:val="right" w:pos="9026"/>
      </w:tabs>
      <w:spacing w:after="0"/>
    </w:pPr>
  </w:style>
  <w:style w:type="character" w:customStyle="1" w:styleId="FooterChar">
    <w:name w:val="Footer Char"/>
    <w:basedOn w:val="DefaultParagraphFont"/>
    <w:link w:val="Footer"/>
    <w:uiPriority w:val="99"/>
    <w:rsid w:val="00A441CD"/>
  </w:style>
  <w:style w:type="paragraph" w:customStyle="1" w:styleId="EndNoteBibliographyTitle">
    <w:name w:val="EndNote Bibliography Title"/>
    <w:basedOn w:val="Normal"/>
    <w:link w:val="EndNoteBibliographyTitleChar"/>
    <w:rsid w:val="00CA5FB0"/>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CA5FB0"/>
    <w:rPr>
      <w:rFonts w:ascii="Calibri" w:hAnsi="Calibri" w:cs="Calibri"/>
      <w:noProof/>
      <w:lang w:val="en-US"/>
    </w:rPr>
  </w:style>
  <w:style w:type="paragraph" w:customStyle="1" w:styleId="EndNoteBibliography">
    <w:name w:val="EndNote Bibliography"/>
    <w:basedOn w:val="Normal"/>
    <w:link w:val="EndNoteBibliographyChar"/>
    <w:rsid w:val="00CA5FB0"/>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CA5FB0"/>
    <w:rPr>
      <w:rFonts w:ascii="Calibri" w:hAnsi="Calibri" w:cs="Calibri"/>
      <w:noProof/>
      <w:lang w:val="en-US"/>
    </w:rPr>
  </w:style>
  <w:style w:type="paragraph" w:styleId="BalloonText">
    <w:name w:val="Balloon Text"/>
    <w:basedOn w:val="Normal"/>
    <w:link w:val="BalloonTextChar"/>
    <w:uiPriority w:val="99"/>
    <w:semiHidden/>
    <w:unhideWhenUsed/>
    <w:rsid w:val="00C41B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B41"/>
    <w:rPr>
      <w:rFonts w:ascii="Segoe UI" w:hAnsi="Segoe UI" w:cs="Segoe UI"/>
      <w:sz w:val="18"/>
      <w:szCs w:val="18"/>
    </w:rPr>
  </w:style>
  <w:style w:type="paragraph" w:styleId="FootnoteText">
    <w:name w:val="footnote text"/>
    <w:basedOn w:val="Normal"/>
    <w:link w:val="FootnoteTextChar"/>
    <w:uiPriority w:val="99"/>
    <w:semiHidden/>
    <w:unhideWhenUsed/>
    <w:rsid w:val="00DC7318"/>
    <w:pPr>
      <w:spacing w:after="0"/>
    </w:pPr>
    <w:rPr>
      <w:sz w:val="20"/>
      <w:szCs w:val="20"/>
    </w:rPr>
  </w:style>
  <w:style w:type="character" w:customStyle="1" w:styleId="FootnoteTextChar">
    <w:name w:val="Footnote Text Char"/>
    <w:basedOn w:val="DefaultParagraphFont"/>
    <w:link w:val="FootnoteText"/>
    <w:uiPriority w:val="99"/>
    <w:semiHidden/>
    <w:rsid w:val="00DC7318"/>
    <w:rPr>
      <w:sz w:val="20"/>
      <w:szCs w:val="20"/>
    </w:rPr>
  </w:style>
  <w:style w:type="character" w:styleId="FootnoteReference">
    <w:name w:val="footnote reference"/>
    <w:basedOn w:val="DefaultParagraphFont"/>
    <w:uiPriority w:val="99"/>
    <w:unhideWhenUsed/>
    <w:rsid w:val="00DC7318"/>
    <w:rPr>
      <w:vertAlign w:val="superscript"/>
    </w:rPr>
  </w:style>
  <w:style w:type="paragraph" w:styleId="Caption">
    <w:name w:val="caption"/>
    <w:basedOn w:val="Normal"/>
    <w:next w:val="Normal"/>
    <w:uiPriority w:val="35"/>
    <w:unhideWhenUsed/>
    <w:qFormat/>
    <w:rsid w:val="007B0A97"/>
  </w:style>
  <w:style w:type="character" w:styleId="Hyperlink">
    <w:name w:val="Hyperlink"/>
    <w:basedOn w:val="DefaultParagraphFont"/>
    <w:uiPriority w:val="99"/>
    <w:unhideWhenUsed/>
    <w:rsid w:val="00F06167"/>
    <w:rPr>
      <w:color w:val="0563C1" w:themeColor="hyperlink"/>
      <w:u w:val="single"/>
    </w:rPr>
  </w:style>
  <w:style w:type="character" w:customStyle="1" w:styleId="UnresolvedMention1">
    <w:name w:val="Unresolved Mention1"/>
    <w:basedOn w:val="DefaultParagraphFont"/>
    <w:uiPriority w:val="99"/>
    <w:semiHidden/>
    <w:unhideWhenUsed/>
    <w:rsid w:val="00F06167"/>
    <w:rPr>
      <w:color w:val="605E5C"/>
      <w:shd w:val="clear" w:color="auto" w:fill="E1DFDD"/>
    </w:rPr>
  </w:style>
  <w:style w:type="character" w:styleId="CommentReference">
    <w:name w:val="annotation reference"/>
    <w:basedOn w:val="DefaultParagraphFont"/>
    <w:uiPriority w:val="99"/>
    <w:semiHidden/>
    <w:unhideWhenUsed/>
    <w:rsid w:val="003B7CF8"/>
    <w:rPr>
      <w:sz w:val="16"/>
      <w:szCs w:val="16"/>
    </w:rPr>
  </w:style>
  <w:style w:type="paragraph" w:styleId="CommentText">
    <w:name w:val="annotation text"/>
    <w:basedOn w:val="Normal"/>
    <w:link w:val="CommentTextChar"/>
    <w:uiPriority w:val="99"/>
    <w:semiHidden/>
    <w:unhideWhenUsed/>
    <w:rsid w:val="003B7CF8"/>
    <w:rPr>
      <w:sz w:val="20"/>
      <w:szCs w:val="20"/>
    </w:rPr>
  </w:style>
  <w:style w:type="character" w:customStyle="1" w:styleId="CommentTextChar">
    <w:name w:val="Comment Text Char"/>
    <w:basedOn w:val="DefaultParagraphFont"/>
    <w:link w:val="CommentText"/>
    <w:uiPriority w:val="99"/>
    <w:semiHidden/>
    <w:rsid w:val="003B7CF8"/>
    <w:rPr>
      <w:sz w:val="20"/>
      <w:szCs w:val="20"/>
    </w:rPr>
  </w:style>
  <w:style w:type="paragraph" w:styleId="CommentSubject">
    <w:name w:val="annotation subject"/>
    <w:basedOn w:val="CommentText"/>
    <w:next w:val="CommentText"/>
    <w:link w:val="CommentSubjectChar"/>
    <w:uiPriority w:val="99"/>
    <w:semiHidden/>
    <w:unhideWhenUsed/>
    <w:rsid w:val="003B7CF8"/>
    <w:rPr>
      <w:b/>
      <w:bCs/>
    </w:rPr>
  </w:style>
  <w:style w:type="character" w:customStyle="1" w:styleId="CommentSubjectChar">
    <w:name w:val="Comment Subject Char"/>
    <w:basedOn w:val="CommentTextChar"/>
    <w:link w:val="CommentSubject"/>
    <w:uiPriority w:val="99"/>
    <w:semiHidden/>
    <w:rsid w:val="003B7CF8"/>
    <w:rPr>
      <w:b/>
      <w:bCs/>
      <w:sz w:val="20"/>
      <w:szCs w:val="20"/>
    </w:rPr>
  </w:style>
  <w:style w:type="paragraph" w:styleId="ListParagraph">
    <w:name w:val="List Paragraph"/>
    <w:basedOn w:val="Normal"/>
    <w:uiPriority w:val="34"/>
    <w:qFormat/>
    <w:rsid w:val="00462F2F"/>
    <w:pPr>
      <w:ind w:left="720"/>
      <w:contextualSpacing/>
    </w:pPr>
  </w:style>
  <w:style w:type="character" w:styleId="HTMLCite">
    <w:name w:val="HTML Cite"/>
    <w:basedOn w:val="DefaultParagraphFont"/>
    <w:uiPriority w:val="99"/>
    <w:semiHidden/>
    <w:unhideWhenUsed/>
    <w:rsid w:val="00A527AF"/>
    <w:rPr>
      <w:i/>
      <w:iCs/>
    </w:rPr>
  </w:style>
  <w:style w:type="character" w:customStyle="1" w:styleId="UnresolvedMention2">
    <w:name w:val="Unresolved Mention2"/>
    <w:basedOn w:val="DefaultParagraphFont"/>
    <w:uiPriority w:val="99"/>
    <w:semiHidden/>
    <w:unhideWhenUsed/>
    <w:rsid w:val="005E07F0"/>
    <w:rPr>
      <w:color w:val="605E5C"/>
      <w:shd w:val="clear" w:color="auto" w:fill="E1DFDD"/>
    </w:rPr>
  </w:style>
  <w:style w:type="character" w:customStyle="1" w:styleId="Heading1Char">
    <w:name w:val="Heading 1 Char"/>
    <w:basedOn w:val="DefaultParagraphFont"/>
    <w:link w:val="Heading1"/>
    <w:uiPriority w:val="9"/>
    <w:rsid w:val="00C72A0E"/>
    <w:rPr>
      <w:b/>
      <w:bCs/>
      <w:sz w:val="24"/>
    </w:rPr>
  </w:style>
  <w:style w:type="character" w:customStyle="1" w:styleId="Heading2Char">
    <w:name w:val="Heading 2 Char"/>
    <w:basedOn w:val="DefaultParagraphFont"/>
    <w:link w:val="Heading2"/>
    <w:uiPriority w:val="9"/>
    <w:rsid w:val="00C72A0E"/>
    <w:rPr>
      <w:b/>
      <w:bCs/>
      <w:sz w:val="24"/>
    </w:rPr>
  </w:style>
  <w:style w:type="character" w:customStyle="1" w:styleId="Heading3Char">
    <w:name w:val="Heading 3 Char"/>
    <w:basedOn w:val="DefaultParagraphFont"/>
    <w:link w:val="Heading3"/>
    <w:uiPriority w:val="9"/>
    <w:rsid w:val="00877B11"/>
    <w:rPr>
      <w:b/>
      <w:bCs/>
      <w:sz w:val="24"/>
    </w:rPr>
  </w:style>
  <w:style w:type="character" w:customStyle="1" w:styleId="UnresolvedMention3">
    <w:name w:val="Unresolved Mention3"/>
    <w:basedOn w:val="DefaultParagraphFont"/>
    <w:uiPriority w:val="99"/>
    <w:semiHidden/>
    <w:unhideWhenUsed/>
    <w:rsid w:val="008D45FA"/>
    <w:rPr>
      <w:color w:val="605E5C"/>
      <w:shd w:val="clear" w:color="auto" w:fill="E1DFDD"/>
    </w:rPr>
  </w:style>
  <w:style w:type="character" w:customStyle="1" w:styleId="Heading4Char">
    <w:name w:val="Heading 4 Char"/>
    <w:basedOn w:val="DefaultParagraphFont"/>
    <w:link w:val="Heading4"/>
    <w:uiPriority w:val="9"/>
    <w:rsid w:val="00F01CD5"/>
    <w:rPr>
      <w:rFonts w:eastAsiaTheme="majorEastAsia" w:cstheme="majorBidi"/>
      <w:b/>
      <w:iCs/>
      <w:sz w:val="24"/>
    </w:rPr>
  </w:style>
  <w:style w:type="character" w:customStyle="1" w:styleId="UnresolvedMention4">
    <w:name w:val="Unresolved Mention4"/>
    <w:basedOn w:val="DefaultParagraphFont"/>
    <w:uiPriority w:val="99"/>
    <w:semiHidden/>
    <w:unhideWhenUsed/>
    <w:rsid w:val="0022188F"/>
    <w:rPr>
      <w:color w:val="605E5C"/>
      <w:shd w:val="clear" w:color="auto" w:fill="E1DFDD"/>
    </w:rPr>
  </w:style>
  <w:style w:type="paragraph" w:styleId="Revision">
    <w:name w:val="Revision"/>
    <w:hidden/>
    <w:uiPriority w:val="99"/>
    <w:semiHidden/>
    <w:rsid w:val="008954E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01">
      <w:bodyDiv w:val="1"/>
      <w:marLeft w:val="0"/>
      <w:marRight w:val="0"/>
      <w:marTop w:val="0"/>
      <w:marBottom w:val="0"/>
      <w:divBdr>
        <w:top w:val="none" w:sz="0" w:space="0" w:color="auto"/>
        <w:left w:val="none" w:sz="0" w:space="0" w:color="auto"/>
        <w:bottom w:val="none" w:sz="0" w:space="0" w:color="auto"/>
        <w:right w:val="none" w:sz="0" w:space="0" w:color="auto"/>
      </w:divBdr>
    </w:div>
    <w:div w:id="18240043">
      <w:bodyDiv w:val="1"/>
      <w:marLeft w:val="0"/>
      <w:marRight w:val="0"/>
      <w:marTop w:val="0"/>
      <w:marBottom w:val="0"/>
      <w:divBdr>
        <w:top w:val="none" w:sz="0" w:space="0" w:color="auto"/>
        <w:left w:val="none" w:sz="0" w:space="0" w:color="auto"/>
        <w:bottom w:val="none" w:sz="0" w:space="0" w:color="auto"/>
        <w:right w:val="none" w:sz="0" w:space="0" w:color="auto"/>
      </w:divBdr>
    </w:div>
    <w:div w:id="28343683">
      <w:bodyDiv w:val="1"/>
      <w:marLeft w:val="0"/>
      <w:marRight w:val="0"/>
      <w:marTop w:val="0"/>
      <w:marBottom w:val="0"/>
      <w:divBdr>
        <w:top w:val="none" w:sz="0" w:space="0" w:color="auto"/>
        <w:left w:val="none" w:sz="0" w:space="0" w:color="auto"/>
        <w:bottom w:val="none" w:sz="0" w:space="0" w:color="auto"/>
        <w:right w:val="none" w:sz="0" w:space="0" w:color="auto"/>
      </w:divBdr>
    </w:div>
    <w:div w:id="30109719">
      <w:bodyDiv w:val="1"/>
      <w:marLeft w:val="0"/>
      <w:marRight w:val="0"/>
      <w:marTop w:val="0"/>
      <w:marBottom w:val="0"/>
      <w:divBdr>
        <w:top w:val="none" w:sz="0" w:space="0" w:color="auto"/>
        <w:left w:val="none" w:sz="0" w:space="0" w:color="auto"/>
        <w:bottom w:val="none" w:sz="0" w:space="0" w:color="auto"/>
        <w:right w:val="none" w:sz="0" w:space="0" w:color="auto"/>
      </w:divBdr>
    </w:div>
    <w:div w:id="47346019">
      <w:bodyDiv w:val="1"/>
      <w:marLeft w:val="0"/>
      <w:marRight w:val="0"/>
      <w:marTop w:val="0"/>
      <w:marBottom w:val="0"/>
      <w:divBdr>
        <w:top w:val="none" w:sz="0" w:space="0" w:color="auto"/>
        <w:left w:val="none" w:sz="0" w:space="0" w:color="auto"/>
        <w:bottom w:val="none" w:sz="0" w:space="0" w:color="auto"/>
        <w:right w:val="none" w:sz="0" w:space="0" w:color="auto"/>
      </w:divBdr>
    </w:div>
    <w:div w:id="150684578">
      <w:bodyDiv w:val="1"/>
      <w:marLeft w:val="0"/>
      <w:marRight w:val="0"/>
      <w:marTop w:val="0"/>
      <w:marBottom w:val="0"/>
      <w:divBdr>
        <w:top w:val="none" w:sz="0" w:space="0" w:color="auto"/>
        <w:left w:val="none" w:sz="0" w:space="0" w:color="auto"/>
        <w:bottom w:val="none" w:sz="0" w:space="0" w:color="auto"/>
        <w:right w:val="none" w:sz="0" w:space="0" w:color="auto"/>
      </w:divBdr>
    </w:div>
    <w:div w:id="170146999">
      <w:bodyDiv w:val="1"/>
      <w:marLeft w:val="0"/>
      <w:marRight w:val="0"/>
      <w:marTop w:val="0"/>
      <w:marBottom w:val="0"/>
      <w:divBdr>
        <w:top w:val="none" w:sz="0" w:space="0" w:color="auto"/>
        <w:left w:val="none" w:sz="0" w:space="0" w:color="auto"/>
        <w:bottom w:val="none" w:sz="0" w:space="0" w:color="auto"/>
        <w:right w:val="none" w:sz="0" w:space="0" w:color="auto"/>
      </w:divBdr>
    </w:div>
    <w:div w:id="196742371">
      <w:bodyDiv w:val="1"/>
      <w:marLeft w:val="0"/>
      <w:marRight w:val="0"/>
      <w:marTop w:val="0"/>
      <w:marBottom w:val="0"/>
      <w:divBdr>
        <w:top w:val="none" w:sz="0" w:space="0" w:color="auto"/>
        <w:left w:val="none" w:sz="0" w:space="0" w:color="auto"/>
        <w:bottom w:val="none" w:sz="0" w:space="0" w:color="auto"/>
        <w:right w:val="none" w:sz="0" w:space="0" w:color="auto"/>
      </w:divBdr>
    </w:div>
    <w:div w:id="219437083">
      <w:bodyDiv w:val="1"/>
      <w:marLeft w:val="0"/>
      <w:marRight w:val="0"/>
      <w:marTop w:val="0"/>
      <w:marBottom w:val="0"/>
      <w:divBdr>
        <w:top w:val="none" w:sz="0" w:space="0" w:color="auto"/>
        <w:left w:val="none" w:sz="0" w:space="0" w:color="auto"/>
        <w:bottom w:val="none" w:sz="0" w:space="0" w:color="auto"/>
        <w:right w:val="none" w:sz="0" w:space="0" w:color="auto"/>
      </w:divBdr>
    </w:div>
    <w:div w:id="261643745">
      <w:bodyDiv w:val="1"/>
      <w:marLeft w:val="0"/>
      <w:marRight w:val="0"/>
      <w:marTop w:val="0"/>
      <w:marBottom w:val="0"/>
      <w:divBdr>
        <w:top w:val="none" w:sz="0" w:space="0" w:color="auto"/>
        <w:left w:val="none" w:sz="0" w:space="0" w:color="auto"/>
        <w:bottom w:val="none" w:sz="0" w:space="0" w:color="auto"/>
        <w:right w:val="none" w:sz="0" w:space="0" w:color="auto"/>
      </w:divBdr>
    </w:div>
    <w:div w:id="264777216">
      <w:bodyDiv w:val="1"/>
      <w:marLeft w:val="0"/>
      <w:marRight w:val="0"/>
      <w:marTop w:val="0"/>
      <w:marBottom w:val="0"/>
      <w:divBdr>
        <w:top w:val="none" w:sz="0" w:space="0" w:color="auto"/>
        <w:left w:val="none" w:sz="0" w:space="0" w:color="auto"/>
        <w:bottom w:val="none" w:sz="0" w:space="0" w:color="auto"/>
        <w:right w:val="none" w:sz="0" w:space="0" w:color="auto"/>
      </w:divBdr>
    </w:div>
    <w:div w:id="278414838">
      <w:bodyDiv w:val="1"/>
      <w:marLeft w:val="0"/>
      <w:marRight w:val="0"/>
      <w:marTop w:val="0"/>
      <w:marBottom w:val="0"/>
      <w:divBdr>
        <w:top w:val="none" w:sz="0" w:space="0" w:color="auto"/>
        <w:left w:val="none" w:sz="0" w:space="0" w:color="auto"/>
        <w:bottom w:val="none" w:sz="0" w:space="0" w:color="auto"/>
        <w:right w:val="none" w:sz="0" w:space="0" w:color="auto"/>
      </w:divBdr>
    </w:div>
    <w:div w:id="282998087">
      <w:bodyDiv w:val="1"/>
      <w:marLeft w:val="0"/>
      <w:marRight w:val="0"/>
      <w:marTop w:val="0"/>
      <w:marBottom w:val="0"/>
      <w:divBdr>
        <w:top w:val="none" w:sz="0" w:space="0" w:color="auto"/>
        <w:left w:val="none" w:sz="0" w:space="0" w:color="auto"/>
        <w:bottom w:val="none" w:sz="0" w:space="0" w:color="auto"/>
        <w:right w:val="none" w:sz="0" w:space="0" w:color="auto"/>
      </w:divBdr>
    </w:div>
    <w:div w:id="288248221">
      <w:bodyDiv w:val="1"/>
      <w:marLeft w:val="0"/>
      <w:marRight w:val="0"/>
      <w:marTop w:val="0"/>
      <w:marBottom w:val="0"/>
      <w:divBdr>
        <w:top w:val="none" w:sz="0" w:space="0" w:color="auto"/>
        <w:left w:val="none" w:sz="0" w:space="0" w:color="auto"/>
        <w:bottom w:val="none" w:sz="0" w:space="0" w:color="auto"/>
        <w:right w:val="none" w:sz="0" w:space="0" w:color="auto"/>
      </w:divBdr>
    </w:div>
    <w:div w:id="295112591">
      <w:bodyDiv w:val="1"/>
      <w:marLeft w:val="0"/>
      <w:marRight w:val="0"/>
      <w:marTop w:val="0"/>
      <w:marBottom w:val="0"/>
      <w:divBdr>
        <w:top w:val="none" w:sz="0" w:space="0" w:color="auto"/>
        <w:left w:val="none" w:sz="0" w:space="0" w:color="auto"/>
        <w:bottom w:val="none" w:sz="0" w:space="0" w:color="auto"/>
        <w:right w:val="none" w:sz="0" w:space="0" w:color="auto"/>
      </w:divBdr>
    </w:div>
    <w:div w:id="301006862">
      <w:bodyDiv w:val="1"/>
      <w:marLeft w:val="0"/>
      <w:marRight w:val="0"/>
      <w:marTop w:val="0"/>
      <w:marBottom w:val="0"/>
      <w:divBdr>
        <w:top w:val="none" w:sz="0" w:space="0" w:color="auto"/>
        <w:left w:val="none" w:sz="0" w:space="0" w:color="auto"/>
        <w:bottom w:val="none" w:sz="0" w:space="0" w:color="auto"/>
        <w:right w:val="none" w:sz="0" w:space="0" w:color="auto"/>
      </w:divBdr>
    </w:div>
    <w:div w:id="344552166">
      <w:bodyDiv w:val="1"/>
      <w:marLeft w:val="0"/>
      <w:marRight w:val="0"/>
      <w:marTop w:val="0"/>
      <w:marBottom w:val="0"/>
      <w:divBdr>
        <w:top w:val="none" w:sz="0" w:space="0" w:color="auto"/>
        <w:left w:val="none" w:sz="0" w:space="0" w:color="auto"/>
        <w:bottom w:val="none" w:sz="0" w:space="0" w:color="auto"/>
        <w:right w:val="none" w:sz="0" w:space="0" w:color="auto"/>
      </w:divBdr>
    </w:div>
    <w:div w:id="348718309">
      <w:bodyDiv w:val="1"/>
      <w:marLeft w:val="0"/>
      <w:marRight w:val="0"/>
      <w:marTop w:val="0"/>
      <w:marBottom w:val="0"/>
      <w:divBdr>
        <w:top w:val="none" w:sz="0" w:space="0" w:color="auto"/>
        <w:left w:val="none" w:sz="0" w:space="0" w:color="auto"/>
        <w:bottom w:val="none" w:sz="0" w:space="0" w:color="auto"/>
        <w:right w:val="none" w:sz="0" w:space="0" w:color="auto"/>
      </w:divBdr>
    </w:div>
    <w:div w:id="357194244">
      <w:bodyDiv w:val="1"/>
      <w:marLeft w:val="0"/>
      <w:marRight w:val="0"/>
      <w:marTop w:val="0"/>
      <w:marBottom w:val="0"/>
      <w:divBdr>
        <w:top w:val="none" w:sz="0" w:space="0" w:color="auto"/>
        <w:left w:val="none" w:sz="0" w:space="0" w:color="auto"/>
        <w:bottom w:val="none" w:sz="0" w:space="0" w:color="auto"/>
        <w:right w:val="none" w:sz="0" w:space="0" w:color="auto"/>
      </w:divBdr>
    </w:div>
    <w:div w:id="368380109">
      <w:bodyDiv w:val="1"/>
      <w:marLeft w:val="0"/>
      <w:marRight w:val="0"/>
      <w:marTop w:val="0"/>
      <w:marBottom w:val="0"/>
      <w:divBdr>
        <w:top w:val="none" w:sz="0" w:space="0" w:color="auto"/>
        <w:left w:val="none" w:sz="0" w:space="0" w:color="auto"/>
        <w:bottom w:val="none" w:sz="0" w:space="0" w:color="auto"/>
        <w:right w:val="none" w:sz="0" w:space="0" w:color="auto"/>
      </w:divBdr>
    </w:div>
    <w:div w:id="389690065">
      <w:bodyDiv w:val="1"/>
      <w:marLeft w:val="0"/>
      <w:marRight w:val="0"/>
      <w:marTop w:val="0"/>
      <w:marBottom w:val="0"/>
      <w:divBdr>
        <w:top w:val="none" w:sz="0" w:space="0" w:color="auto"/>
        <w:left w:val="none" w:sz="0" w:space="0" w:color="auto"/>
        <w:bottom w:val="none" w:sz="0" w:space="0" w:color="auto"/>
        <w:right w:val="none" w:sz="0" w:space="0" w:color="auto"/>
      </w:divBdr>
    </w:div>
    <w:div w:id="407384146">
      <w:bodyDiv w:val="1"/>
      <w:marLeft w:val="0"/>
      <w:marRight w:val="0"/>
      <w:marTop w:val="0"/>
      <w:marBottom w:val="0"/>
      <w:divBdr>
        <w:top w:val="none" w:sz="0" w:space="0" w:color="auto"/>
        <w:left w:val="none" w:sz="0" w:space="0" w:color="auto"/>
        <w:bottom w:val="none" w:sz="0" w:space="0" w:color="auto"/>
        <w:right w:val="none" w:sz="0" w:space="0" w:color="auto"/>
      </w:divBdr>
    </w:div>
    <w:div w:id="421341417">
      <w:bodyDiv w:val="1"/>
      <w:marLeft w:val="0"/>
      <w:marRight w:val="0"/>
      <w:marTop w:val="0"/>
      <w:marBottom w:val="0"/>
      <w:divBdr>
        <w:top w:val="none" w:sz="0" w:space="0" w:color="auto"/>
        <w:left w:val="none" w:sz="0" w:space="0" w:color="auto"/>
        <w:bottom w:val="none" w:sz="0" w:space="0" w:color="auto"/>
        <w:right w:val="none" w:sz="0" w:space="0" w:color="auto"/>
      </w:divBdr>
    </w:div>
    <w:div w:id="441147995">
      <w:bodyDiv w:val="1"/>
      <w:marLeft w:val="0"/>
      <w:marRight w:val="0"/>
      <w:marTop w:val="0"/>
      <w:marBottom w:val="0"/>
      <w:divBdr>
        <w:top w:val="none" w:sz="0" w:space="0" w:color="auto"/>
        <w:left w:val="none" w:sz="0" w:space="0" w:color="auto"/>
        <w:bottom w:val="none" w:sz="0" w:space="0" w:color="auto"/>
        <w:right w:val="none" w:sz="0" w:space="0" w:color="auto"/>
      </w:divBdr>
    </w:div>
    <w:div w:id="441414143">
      <w:bodyDiv w:val="1"/>
      <w:marLeft w:val="0"/>
      <w:marRight w:val="0"/>
      <w:marTop w:val="0"/>
      <w:marBottom w:val="0"/>
      <w:divBdr>
        <w:top w:val="none" w:sz="0" w:space="0" w:color="auto"/>
        <w:left w:val="none" w:sz="0" w:space="0" w:color="auto"/>
        <w:bottom w:val="none" w:sz="0" w:space="0" w:color="auto"/>
        <w:right w:val="none" w:sz="0" w:space="0" w:color="auto"/>
      </w:divBdr>
    </w:div>
    <w:div w:id="454101589">
      <w:bodyDiv w:val="1"/>
      <w:marLeft w:val="0"/>
      <w:marRight w:val="0"/>
      <w:marTop w:val="0"/>
      <w:marBottom w:val="0"/>
      <w:divBdr>
        <w:top w:val="none" w:sz="0" w:space="0" w:color="auto"/>
        <w:left w:val="none" w:sz="0" w:space="0" w:color="auto"/>
        <w:bottom w:val="none" w:sz="0" w:space="0" w:color="auto"/>
        <w:right w:val="none" w:sz="0" w:space="0" w:color="auto"/>
      </w:divBdr>
    </w:div>
    <w:div w:id="477916582">
      <w:bodyDiv w:val="1"/>
      <w:marLeft w:val="0"/>
      <w:marRight w:val="0"/>
      <w:marTop w:val="0"/>
      <w:marBottom w:val="0"/>
      <w:divBdr>
        <w:top w:val="none" w:sz="0" w:space="0" w:color="auto"/>
        <w:left w:val="none" w:sz="0" w:space="0" w:color="auto"/>
        <w:bottom w:val="none" w:sz="0" w:space="0" w:color="auto"/>
        <w:right w:val="none" w:sz="0" w:space="0" w:color="auto"/>
      </w:divBdr>
    </w:div>
    <w:div w:id="546913842">
      <w:bodyDiv w:val="1"/>
      <w:marLeft w:val="0"/>
      <w:marRight w:val="0"/>
      <w:marTop w:val="0"/>
      <w:marBottom w:val="0"/>
      <w:divBdr>
        <w:top w:val="none" w:sz="0" w:space="0" w:color="auto"/>
        <w:left w:val="none" w:sz="0" w:space="0" w:color="auto"/>
        <w:bottom w:val="none" w:sz="0" w:space="0" w:color="auto"/>
        <w:right w:val="none" w:sz="0" w:space="0" w:color="auto"/>
      </w:divBdr>
    </w:div>
    <w:div w:id="576551199">
      <w:bodyDiv w:val="1"/>
      <w:marLeft w:val="0"/>
      <w:marRight w:val="0"/>
      <w:marTop w:val="0"/>
      <w:marBottom w:val="0"/>
      <w:divBdr>
        <w:top w:val="none" w:sz="0" w:space="0" w:color="auto"/>
        <w:left w:val="none" w:sz="0" w:space="0" w:color="auto"/>
        <w:bottom w:val="none" w:sz="0" w:space="0" w:color="auto"/>
        <w:right w:val="none" w:sz="0" w:space="0" w:color="auto"/>
      </w:divBdr>
    </w:div>
    <w:div w:id="585264959">
      <w:bodyDiv w:val="1"/>
      <w:marLeft w:val="0"/>
      <w:marRight w:val="0"/>
      <w:marTop w:val="0"/>
      <w:marBottom w:val="0"/>
      <w:divBdr>
        <w:top w:val="none" w:sz="0" w:space="0" w:color="auto"/>
        <w:left w:val="none" w:sz="0" w:space="0" w:color="auto"/>
        <w:bottom w:val="none" w:sz="0" w:space="0" w:color="auto"/>
        <w:right w:val="none" w:sz="0" w:space="0" w:color="auto"/>
      </w:divBdr>
    </w:div>
    <w:div w:id="617834156">
      <w:bodyDiv w:val="1"/>
      <w:marLeft w:val="0"/>
      <w:marRight w:val="0"/>
      <w:marTop w:val="0"/>
      <w:marBottom w:val="0"/>
      <w:divBdr>
        <w:top w:val="none" w:sz="0" w:space="0" w:color="auto"/>
        <w:left w:val="none" w:sz="0" w:space="0" w:color="auto"/>
        <w:bottom w:val="none" w:sz="0" w:space="0" w:color="auto"/>
        <w:right w:val="none" w:sz="0" w:space="0" w:color="auto"/>
      </w:divBdr>
    </w:div>
    <w:div w:id="622424090">
      <w:bodyDiv w:val="1"/>
      <w:marLeft w:val="0"/>
      <w:marRight w:val="0"/>
      <w:marTop w:val="0"/>
      <w:marBottom w:val="0"/>
      <w:divBdr>
        <w:top w:val="none" w:sz="0" w:space="0" w:color="auto"/>
        <w:left w:val="none" w:sz="0" w:space="0" w:color="auto"/>
        <w:bottom w:val="none" w:sz="0" w:space="0" w:color="auto"/>
        <w:right w:val="none" w:sz="0" w:space="0" w:color="auto"/>
      </w:divBdr>
    </w:div>
    <w:div w:id="626854816">
      <w:bodyDiv w:val="1"/>
      <w:marLeft w:val="0"/>
      <w:marRight w:val="0"/>
      <w:marTop w:val="0"/>
      <w:marBottom w:val="0"/>
      <w:divBdr>
        <w:top w:val="none" w:sz="0" w:space="0" w:color="auto"/>
        <w:left w:val="none" w:sz="0" w:space="0" w:color="auto"/>
        <w:bottom w:val="none" w:sz="0" w:space="0" w:color="auto"/>
        <w:right w:val="none" w:sz="0" w:space="0" w:color="auto"/>
      </w:divBdr>
    </w:div>
    <w:div w:id="632757987">
      <w:bodyDiv w:val="1"/>
      <w:marLeft w:val="0"/>
      <w:marRight w:val="0"/>
      <w:marTop w:val="0"/>
      <w:marBottom w:val="0"/>
      <w:divBdr>
        <w:top w:val="none" w:sz="0" w:space="0" w:color="auto"/>
        <w:left w:val="none" w:sz="0" w:space="0" w:color="auto"/>
        <w:bottom w:val="none" w:sz="0" w:space="0" w:color="auto"/>
        <w:right w:val="none" w:sz="0" w:space="0" w:color="auto"/>
      </w:divBdr>
    </w:div>
    <w:div w:id="644436682">
      <w:bodyDiv w:val="1"/>
      <w:marLeft w:val="0"/>
      <w:marRight w:val="0"/>
      <w:marTop w:val="0"/>
      <w:marBottom w:val="0"/>
      <w:divBdr>
        <w:top w:val="none" w:sz="0" w:space="0" w:color="auto"/>
        <w:left w:val="none" w:sz="0" w:space="0" w:color="auto"/>
        <w:bottom w:val="none" w:sz="0" w:space="0" w:color="auto"/>
        <w:right w:val="none" w:sz="0" w:space="0" w:color="auto"/>
      </w:divBdr>
    </w:div>
    <w:div w:id="660045620">
      <w:bodyDiv w:val="1"/>
      <w:marLeft w:val="0"/>
      <w:marRight w:val="0"/>
      <w:marTop w:val="0"/>
      <w:marBottom w:val="0"/>
      <w:divBdr>
        <w:top w:val="none" w:sz="0" w:space="0" w:color="auto"/>
        <w:left w:val="none" w:sz="0" w:space="0" w:color="auto"/>
        <w:bottom w:val="none" w:sz="0" w:space="0" w:color="auto"/>
        <w:right w:val="none" w:sz="0" w:space="0" w:color="auto"/>
      </w:divBdr>
    </w:div>
    <w:div w:id="685406855">
      <w:bodyDiv w:val="1"/>
      <w:marLeft w:val="0"/>
      <w:marRight w:val="0"/>
      <w:marTop w:val="0"/>
      <w:marBottom w:val="0"/>
      <w:divBdr>
        <w:top w:val="none" w:sz="0" w:space="0" w:color="auto"/>
        <w:left w:val="none" w:sz="0" w:space="0" w:color="auto"/>
        <w:bottom w:val="none" w:sz="0" w:space="0" w:color="auto"/>
        <w:right w:val="none" w:sz="0" w:space="0" w:color="auto"/>
      </w:divBdr>
    </w:div>
    <w:div w:id="710225879">
      <w:bodyDiv w:val="1"/>
      <w:marLeft w:val="0"/>
      <w:marRight w:val="0"/>
      <w:marTop w:val="0"/>
      <w:marBottom w:val="0"/>
      <w:divBdr>
        <w:top w:val="none" w:sz="0" w:space="0" w:color="auto"/>
        <w:left w:val="none" w:sz="0" w:space="0" w:color="auto"/>
        <w:bottom w:val="none" w:sz="0" w:space="0" w:color="auto"/>
        <w:right w:val="none" w:sz="0" w:space="0" w:color="auto"/>
      </w:divBdr>
    </w:div>
    <w:div w:id="711540538">
      <w:bodyDiv w:val="1"/>
      <w:marLeft w:val="0"/>
      <w:marRight w:val="0"/>
      <w:marTop w:val="0"/>
      <w:marBottom w:val="0"/>
      <w:divBdr>
        <w:top w:val="none" w:sz="0" w:space="0" w:color="auto"/>
        <w:left w:val="none" w:sz="0" w:space="0" w:color="auto"/>
        <w:bottom w:val="none" w:sz="0" w:space="0" w:color="auto"/>
        <w:right w:val="none" w:sz="0" w:space="0" w:color="auto"/>
      </w:divBdr>
    </w:div>
    <w:div w:id="713502611">
      <w:bodyDiv w:val="1"/>
      <w:marLeft w:val="0"/>
      <w:marRight w:val="0"/>
      <w:marTop w:val="0"/>
      <w:marBottom w:val="0"/>
      <w:divBdr>
        <w:top w:val="none" w:sz="0" w:space="0" w:color="auto"/>
        <w:left w:val="none" w:sz="0" w:space="0" w:color="auto"/>
        <w:bottom w:val="none" w:sz="0" w:space="0" w:color="auto"/>
        <w:right w:val="none" w:sz="0" w:space="0" w:color="auto"/>
      </w:divBdr>
    </w:div>
    <w:div w:id="745878347">
      <w:bodyDiv w:val="1"/>
      <w:marLeft w:val="0"/>
      <w:marRight w:val="0"/>
      <w:marTop w:val="0"/>
      <w:marBottom w:val="0"/>
      <w:divBdr>
        <w:top w:val="none" w:sz="0" w:space="0" w:color="auto"/>
        <w:left w:val="none" w:sz="0" w:space="0" w:color="auto"/>
        <w:bottom w:val="none" w:sz="0" w:space="0" w:color="auto"/>
        <w:right w:val="none" w:sz="0" w:space="0" w:color="auto"/>
      </w:divBdr>
    </w:div>
    <w:div w:id="767770612">
      <w:bodyDiv w:val="1"/>
      <w:marLeft w:val="0"/>
      <w:marRight w:val="0"/>
      <w:marTop w:val="0"/>
      <w:marBottom w:val="0"/>
      <w:divBdr>
        <w:top w:val="none" w:sz="0" w:space="0" w:color="auto"/>
        <w:left w:val="none" w:sz="0" w:space="0" w:color="auto"/>
        <w:bottom w:val="none" w:sz="0" w:space="0" w:color="auto"/>
        <w:right w:val="none" w:sz="0" w:space="0" w:color="auto"/>
      </w:divBdr>
    </w:div>
    <w:div w:id="772624991">
      <w:bodyDiv w:val="1"/>
      <w:marLeft w:val="0"/>
      <w:marRight w:val="0"/>
      <w:marTop w:val="0"/>
      <w:marBottom w:val="0"/>
      <w:divBdr>
        <w:top w:val="none" w:sz="0" w:space="0" w:color="auto"/>
        <w:left w:val="none" w:sz="0" w:space="0" w:color="auto"/>
        <w:bottom w:val="none" w:sz="0" w:space="0" w:color="auto"/>
        <w:right w:val="none" w:sz="0" w:space="0" w:color="auto"/>
      </w:divBdr>
    </w:div>
    <w:div w:id="777719094">
      <w:bodyDiv w:val="1"/>
      <w:marLeft w:val="0"/>
      <w:marRight w:val="0"/>
      <w:marTop w:val="0"/>
      <w:marBottom w:val="0"/>
      <w:divBdr>
        <w:top w:val="none" w:sz="0" w:space="0" w:color="auto"/>
        <w:left w:val="none" w:sz="0" w:space="0" w:color="auto"/>
        <w:bottom w:val="none" w:sz="0" w:space="0" w:color="auto"/>
        <w:right w:val="none" w:sz="0" w:space="0" w:color="auto"/>
      </w:divBdr>
    </w:div>
    <w:div w:id="786898201">
      <w:bodyDiv w:val="1"/>
      <w:marLeft w:val="0"/>
      <w:marRight w:val="0"/>
      <w:marTop w:val="0"/>
      <w:marBottom w:val="0"/>
      <w:divBdr>
        <w:top w:val="none" w:sz="0" w:space="0" w:color="auto"/>
        <w:left w:val="none" w:sz="0" w:space="0" w:color="auto"/>
        <w:bottom w:val="none" w:sz="0" w:space="0" w:color="auto"/>
        <w:right w:val="none" w:sz="0" w:space="0" w:color="auto"/>
      </w:divBdr>
    </w:div>
    <w:div w:id="794559995">
      <w:bodyDiv w:val="1"/>
      <w:marLeft w:val="0"/>
      <w:marRight w:val="0"/>
      <w:marTop w:val="0"/>
      <w:marBottom w:val="0"/>
      <w:divBdr>
        <w:top w:val="none" w:sz="0" w:space="0" w:color="auto"/>
        <w:left w:val="none" w:sz="0" w:space="0" w:color="auto"/>
        <w:bottom w:val="none" w:sz="0" w:space="0" w:color="auto"/>
        <w:right w:val="none" w:sz="0" w:space="0" w:color="auto"/>
      </w:divBdr>
    </w:div>
    <w:div w:id="806976585">
      <w:bodyDiv w:val="1"/>
      <w:marLeft w:val="0"/>
      <w:marRight w:val="0"/>
      <w:marTop w:val="0"/>
      <w:marBottom w:val="0"/>
      <w:divBdr>
        <w:top w:val="none" w:sz="0" w:space="0" w:color="auto"/>
        <w:left w:val="none" w:sz="0" w:space="0" w:color="auto"/>
        <w:bottom w:val="none" w:sz="0" w:space="0" w:color="auto"/>
        <w:right w:val="none" w:sz="0" w:space="0" w:color="auto"/>
      </w:divBdr>
    </w:div>
    <w:div w:id="808715636">
      <w:bodyDiv w:val="1"/>
      <w:marLeft w:val="0"/>
      <w:marRight w:val="0"/>
      <w:marTop w:val="0"/>
      <w:marBottom w:val="0"/>
      <w:divBdr>
        <w:top w:val="none" w:sz="0" w:space="0" w:color="auto"/>
        <w:left w:val="none" w:sz="0" w:space="0" w:color="auto"/>
        <w:bottom w:val="none" w:sz="0" w:space="0" w:color="auto"/>
        <w:right w:val="none" w:sz="0" w:space="0" w:color="auto"/>
      </w:divBdr>
    </w:div>
    <w:div w:id="821039998">
      <w:bodyDiv w:val="1"/>
      <w:marLeft w:val="0"/>
      <w:marRight w:val="0"/>
      <w:marTop w:val="0"/>
      <w:marBottom w:val="0"/>
      <w:divBdr>
        <w:top w:val="none" w:sz="0" w:space="0" w:color="auto"/>
        <w:left w:val="none" w:sz="0" w:space="0" w:color="auto"/>
        <w:bottom w:val="none" w:sz="0" w:space="0" w:color="auto"/>
        <w:right w:val="none" w:sz="0" w:space="0" w:color="auto"/>
      </w:divBdr>
    </w:div>
    <w:div w:id="821821885">
      <w:bodyDiv w:val="1"/>
      <w:marLeft w:val="0"/>
      <w:marRight w:val="0"/>
      <w:marTop w:val="0"/>
      <w:marBottom w:val="0"/>
      <w:divBdr>
        <w:top w:val="none" w:sz="0" w:space="0" w:color="auto"/>
        <w:left w:val="none" w:sz="0" w:space="0" w:color="auto"/>
        <w:bottom w:val="none" w:sz="0" w:space="0" w:color="auto"/>
        <w:right w:val="none" w:sz="0" w:space="0" w:color="auto"/>
      </w:divBdr>
    </w:div>
    <w:div w:id="827284301">
      <w:bodyDiv w:val="1"/>
      <w:marLeft w:val="0"/>
      <w:marRight w:val="0"/>
      <w:marTop w:val="0"/>
      <w:marBottom w:val="0"/>
      <w:divBdr>
        <w:top w:val="none" w:sz="0" w:space="0" w:color="auto"/>
        <w:left w:val="none" w:sz="0" w:space="0" w:color="auto"/>
        <w:bottom w:val="none" w:sz="0" w:space="0" w:color="auto"/>
        <w:right w:val="none" w:sz="0" w:space="0" w:color="auto"/>
      </w:divBdr>
    </w:div>
    <w:div w:id="861675379">
      <w:bodyDiv w:val="1"/>
      <w:marLeft w:val="0"/>
      <w:marRight w:val="0"/>
      <w:marTop w:val="0"/>
      <w:marBottom w:val="0"/>
      <w:divBdr>
        <w:top w:val="none" w:sz="0" w:space="0" w:color="auto"/>
        <w:left w:val="none" w:sz="0" w:space="0" w:color="auto"/>
        <w:bottom w:val="none" w:sz="0" w:space="0" w:color="auto"/>
        <w:right w:val="none" w:sz="0" w:space="0" w:color="auto"/>
      </w:divBdr>
    </w:div>
    <w:div w:id="871309901">
      <w:bodyDiv w:val="1"/>
      <w:marLeft w:val="0"/>
      <w:marRight w:val="0"/>
      <w:marTop w:val="0"/>
      <w:marBottom w:val="0"/>
      <w:divBdr>
        <w:top w:val="none" w:sz="0" w:space="0" w:color="auto"/>
        <w:left w:val="none" w:sz="0" w:space="0" w:color="auto"/>
        <w:bottom w:val="none" w:sz="0" w:space="0" w:color="auto"/>
        <w:right w:val="none" w:sz="0" w:space="0" w:color="auto"/>
      </w:divBdr>
    </w:div>
    <w:div w:id="905458789">
      <w:bodyDiv w:val="1"/>
      <w:marLeft w:val="0"/>
      <w:marRight w:val="0"/>
      <w:marTop w:val="0"/>
      <w:marBottom w:val="0"/>
      <w:divBdr>
        <w:top w:val="none" w:sz="0" w:space="0" w:color="auto"/>
        <w:left w:val="none" w:sz="0" w:space="0" w:color="auto"/>
        <w:bottom w:val="none" w:sz="0" w:space="0" w:color="auto"/>
        <w:right w:val="none" w:sz="0" w:space="0" w:color="auto"/>
      </w:divBdr>
    </w:div>
    <w:div w:id="971208863">
      <w:bodyDiv w:val="1"/>
      <w:marLeft w:val="0"/>
      <w:marRight w:val="0"/>
      <w:marTop w:val="0"/>
      <w:marBottom w:val="0"/>
      <w:divBdr>
        <w:top w:val="none" w:sz="0" w:space="0" w:color="auto"/>
        <w:left w:val="none" w:sz="0" w:space="0" w:color="auto"/>
        <w:bottom w:val="none" w:sz="0" w:space="0" w:color="auto"/>
        <w:right w:val="none" w:sz="0" w:space="0" w:color="auto"/>
      </w:divBdr>
    </w:div>
    <w:div w:id="995454963">
      <w:bodyDiv w:val="1"/>
      <w:marLeft w:val="0"/>
      <w:marRight w:val="0"/>
      <w:marTop w:val="0"/>
      <w:marBottom w:val="0"/>
      <w:divBdr>
        <w:top w:val="none" w:sz="0" w:space="0" w:color="auto"/>
        <w:left w:val="none" w:sz="0" w:space="0" w:color="auto"/>
        <w:bottom w:val="none" w:sz="0" w:space="0" w:color="auto"/>
        <w:right w:val="none" w:sz="0" w:space="0" w:color="auto"/>
      </w:divBdr>
    </w:div>
    <w:div w:id="1016275648">
      <w:bodyDiv w:val="1"/>
      <w:marLeft w:val="0"/>
      <w:marRight w:val="0"/>
      <w:marTop w:val="0"/>
      <w:marBottom w:val="0"/>
      <w:divBdr>
        <w:top w:val="none" w:sz="0" w:space="0" w:color="auto"/>
        <w:left w:val="none" w:sz="0" w:space="0" w:color="auto"/>
        <w:bottom w:val="none" w:sz="0" w:space="0" w:color="auto"/>
        <w:right w:val="none" w:sz="0" w:space="0" w:color="auto"/>
      </w:divBdr>
    </w:div>
    <w:div w:id="1043285595">
      <w:bodyDiv w:val="1"/>
      <w:marLeft w:val="0"/>
      <w:marRight w:val="0"/>
      <w:marTop w:val="0"/>
      <w:marBottom w:val="0"/>
      <w:divBdr>
        <w:top w:val="none" w:sz="0" w:space="0" w:color="auto"/>
        <w:left w:val="none" w:sz="0" w:space="0" w:color="auto"/>
        <w:bottom w:val="none" w:sz="0" w:space="0" w:color="auto"/>
        <w:right w:val="none" w:sz="0" w:space="0" w:color="auto"/>
      </w:divBdr>
    </w:div>
    <w:div w:id="1079326933">
      <w:bodyDiv w:val="1"/>
      <w:marLeft w:val="0"/>
      <w:marRight w:val="0"/>
      <w:marTop w:val="0"/>
      <w:marBottom w:val="0"/>
      <w:divBdr>
        <w:top w:val="none" w:sz="0" w:space="0" w:color="auto"/>
        <w:left w:val="none" w:sz="0" w:space="0" w:color="auto"/>
        <w:bottom w:val="none" w:sz="0" w:space="0" w:color="auto"/>
        <w:right w:val="none" w:sz="0" w:space="0" w:color="auto"/>
      </w:divBdr>
    </w:div>
    <w:div w:id="1085154339">
      <w:bodyDiv w:val="1"/>
      <w:marLeft w:val="0"/>
      <w:marRight w:val="0"/>
      <w:marTop w:val="0"/>
      <w:marBottom w:val="0"/>
      <w:divBdr>
        <w:top w:val="none" w:sz="0" w:space="0" w:color="auto"/>
        <w:left w:val="none" w:sz="0" w:space="0" w:color="auto"/>
        <w:bottom w:val="none" w:sz="0" w:space="0" w:color="auto"/>
        <w:right w:val="none" w:sz="0" w:space="0" w:color="auto"/>
      </w:divBdr>
    </w:div>
    <w:div w:id="1096246701">
      <w:bodyDiv w:val="1"/>
      <w:marLeft w:val="0"/>
      <w:marRight w:val="0"/>
      <w:marTop w:val="0"/>
      <w:marBottom w:val="0"/>
      <w:divBdr>
        <w:top w:val="none" w:sz="0" w:space="0" w:color="auto"/>
        <w:left w:val="none" w:sz="0" w:space="0" w:color="auto"/>
        <w:bottom w:val="none" w:sz="0" w:space="0" w:color="auto"/>
        <w:right w:val="none" w:sz="0" w:space="0" w:color="auto"/>
      </w:divBdr>
    </w:div>
    <w:div w:id="1112939727">
      <w:bodyDiv w:val="1"/>
      <w:marLeft w:val="0"/>
      <w:marRight w:val="0"/>
      <w:marTop w:val="0"/>
      <w:marBottom w:val="0"/>
      <w:divBdr>
        <w:top w:val="none" w:sz="0" w:space="0" w:color="auto"/>
        <w:left w:val="none" w:sz="0" w:space="0" w:color="auto"/>
        <w:bottom w:val="none" w:sz="0" w:space="0" w:color="auto"/>
        <w:right w:val="none" w:sz="0" w:space="0" w:color="auto"/>
      </w:divBdr>
    </w:div>
    <w:div w:id="1132021525">
      <w:bodyDiv w:val="1"/>
      <w:marLeft w:val="0"/>
      <w:marRight w:val="0"/>
      <w:marTop w:val="0"/>
      <w:marBottom w:val="0"/>
      <w:divBdr>
        <w:top w:val="none" w:sz="0" w:space="0" w:color="auto"/>
        <w:left w:val="none" w:sz="0" w:space="0" w:color="auto"/>
        <w:bottom w:val="none" w:sz="0" w:space="0" w:color="auto"/>
        <w:right w:val="none" w:sz="0" w:space="0" w:color="auto"/>
      </w:divBdr>
    </w:div>
    <w:div w:id="1139149193">
      <w:bodyDiv w:val="1"/>
      <w:marLeft w:val="0"/>
      <w:marRight w:val="0"/>
      <w:marTop w:val="0"/>
      <w:marBottom w:val="0"/>
      <w:divBdr>
        <w:top w:val="none" w:sz="0" w:space="0" w:color="auto"/>
        <w:left w:val="none" w:sz="0" w:space="0" w:color="auto"/>
        <w:bottom w:val="none" w:sz="0" w:space="0" w:color="auto"/>
        <w:right w:val="none" w:sz="0" w:space="0" w:color="auto"/>
      </w:divBdr>
    </w:div>
    <w:div w:id="1149250495">
      <w:bodyDiv w:val="1"/>
      <w:marLeft w:val="0"/>
      <w:marRight w:val="0"/>
      <w:marTop w:val="0"/>
      <w:marBottom w:val="0"/>
      <w:divBdr>
        <w:top w:val="none" w:sz="0" w:space="0" w:color="auto"/>
        <w:left w:val="none" w:sz="0" w:space="0" w:color="auto"/>
        <w:bottom w:val="none" w:sz="0" w:space="0" w:color="auto"/>
        <w:right w:val="none" w:sz="0" w:space="0" w:color="auto"/>
      </w:divBdr>
    </w:div>
    <w:div w:id="1161702361">
      <w:bodyDiv w:val="1"/>
      <w:marLeft w:val="0"/>
      <w:marRight w:val="0"/>
      <w:marTop w:val="0"/>
      <w:marBottom w:val="0"/>
      <w:divBdr>
        <w:top w:val="none" w:sz="0" w:space="0" w:color="auto"/>
        <w:left w:val="none" w:sz="0" w:space="0" w:color="auto"/>
        <w:bottom w:val="none" w:sz="0" w:space="0" w:color="auto"/>
        <w:right w:val="none" w:sz="0" w:space="0" w:color="auto"/>
      </w:divBdr>
    </w:div>
    <w:div w:id="1177571658">
      <w:bodyDiv w:val="1"/>
      <w:marLeft w:val="0"/>
      <w:marRight w:val="0"/>
      <w:marTop w:val="0"/>
      <w:marBottom w:val="0"/>
      <w:divBdr>
        <w:top w:val="none" w:sz="0" w:space="0" w:color="auto"/>
        <w:left w:val="none" w:sz="0" w:space="0" w:color="auto"/>
        <w:bottom w:val="none" w:sz="0" w:space="0" w:color="auto"/>
        <w:right w:val="none" w:sz="0" w:space="0" w:color="auto"/>
      </w:divBdr>
    </w:div>
    <w:div w:id="1181549182">
      <w:bodyDiv w:val="1"/>
      <w:marLeft w:val="0"/>
      <w:marRight w:val="0"/>
      <w:marTop w:val="0"/>
      <w:marBottom w:val="0"/>
      <w:divBdr>
        <w:top w:val="none" w:sz="0" w:space="0" w:color="auto"/>
        <w:left w:val="none" w:sz="0" w:space="0" w:color="auto"/>
        <w:bottom w:val="none" w:sz="0" w:space="0" w:color="auto"/>
        <w:right w:val="none" w:sz="0" w:space="0" w:color="auto"/>
      </w:divBdr>
    </w:div>
    <w:div w:id="1185708425">
      <w:bodyDiv w:val="1"/>
      <w:marLeft w:val="0"/>
      <w:marRight w:val="0"/>
      <w:marTop w:val="0"/>
      <w:marBottom w:val="0"/>
      <w:divBdr>
        <w:top w:val="none" w:sz="0" w:space="0" w:color="auto"/>
        <w:left w:val="none" w:sz="0" w:space="0" w:color="auto"/>
        <w:bottom w:val="none" w:sz="0" w:space="0" w:color="auto"/>
        <w:right w:val="none" w:sz="0" w:space="0" w:color="auto"/>
      </w:divBdr>
    </w:div>
    <w:div w:id="1194686134">
      <w:bodyDiv w:val="1"/>
      <w:marLeft w:val="0"/>
      <w:marRight w:val="0"/>
      <w:marTop w:val="0"/>
      <w:marBottom w:val="0"/>
      <w:divBdr>
        <w:top w:val="none" w:sz="0" w:space="0" w:color="auto"/>
        <w:left w:val="none" w:sz="0" w:space="0" w:color="auto"/>
        <w:bottom w:val="none" w:sz="0" w:space="0" w:color="auto"/>
        <w:right w:val="none" w:sz="0" w:space="0" w:color="auto"/>
      </w:divBdr>
    </w:div>
    <w:div w:id="1203204902">
      <w:bodyDiv w:val="1"/>
      <w:marLeft w:val="0"/>
      <w:marRight w:val="0"/>
      <w:marTop w:val="0"/>
      <w:marBottom w:val="0"/>
      <w:divBdr>
        <w:top w:val="none" w:sz="0" w:space="0" w:color="auto"/>
        <w:left w:val="none" w:sz="0" w:space="0" w:color="auto"/>
        <w:bottom w:val="none" w:sz="0" w:space="0" w:color="auto"/>
        <w:right w:val="none" w:sz="0" w:space="0" w:color="auto"/>
      </w:divBdr>
    </w:div>
    <w:div w:id="1203715264">
      <w:bodyDiv w:val="1"/>
      <w:marLeft w:val="0"/>
      <w:marRight w:val="0"/>
      <w:marTop w:val="0"/>
      <w:marBottom w:val="0"/>
      <w:divBdr>
        <w:top w:val="none" w:sz="0" w:space="0" w:color="auto"/>
        <w:left w:val="none" w:sz="0" w:space="0" w:color="auto"/>
        <w:bottom w:val="none" w:sz="0" w:space="0" w:color="auto"/>
        <w:right w:val="none" w:sz="0" w:space="0" w:color="auto"/>
      </w:divBdr>
    </w:div>
    <w:div w:id="1246650455">
      <w:bodyDiv w:val="1"/>
      <w:marLeft w:val="0"/>
      <w:marRight w:val="0"/>
      <w:marTop w:val="0"/>
      <w:marBottom w:val="0"/>
      <w:divBdr>
        <w:top w:val="none" w:sz="0" w:space="0" w:color="auto"/>
        <w:left w:val="none" w:sz="0" w:space="0" w:color="auto"/>
        <w:bottom w:val="none" w:sz="0" w:space="0" w:color="auto"/>
        <w:right w:val="none" w:sz="0" w:space="0" w:color="auto"/>
      </w:divBdr>
    </w:div>
    <w:div w:id="1254827096">
      <w:bodyDiv w:val="1"/>
      <w:marLeft w:val="0"/>
      <w:marRight w:val="0"/>
      <w:marTop w:val="0"/>
      <w:marBottom w:val="0"/>
      <w:divBdr>
        <w:top w:val="none" w:sz="0" w:space="0" w:color="auto"/>
        <w:left w:val="none" w:sz="0" w:space="0" w:color="auto"/>
        <w:bottom w:val="none" w:sz="0" w:space="0" w:color="auto"/>
        <w:right w:val="none" w:sz="0" w:space="0" w:color="auto"/>
      </w:divBdr>
    </w:div>
    <w:div w:id="1288899516">
      <w:bodyDiv w:val="1"/>
      <w:marLeft w:val="0"/>
      <w:marRight w:val="0"/>
      <w:marTop w:val="0"/>
      <w:marBottom w:val="0"/>
      <w:divBdr>
        <w:top w:val="none" w:sz="0" w:space="0" w:color="auto"/>
        <w:left w:val="none" w:sz="0" w:space="0" w:color="auto"/>
        <w:bottom w:val="none" w:sz="0" w:space="0" w:color="auto"/>
        <w:right w:val="none" w:sz="0" w:space="0" w:color="auto"/>
      </w:divBdr>
    </w:div>
    <w:div w:id="1291664198">
      <w:bodyDiv w:val="1"/>
      <w:marLeft w:val="0"/>
      <w:marRight w:val="0"/>
      <w:marTop w:val="0"/>
      <w:marBottom w:val="0"/>
      <w:divBdr>
        <w:top w:val="none" w:sz="0" w:space="0" w:color="auto"/>
        <w:left w:val="none" w:sz="0" w:space="0" w:color="auto"/>
        <w:bottom w:val="none" w:sz="0" w:space="0" w:color="auto"/>
        <w:right w:val="none" w:sz="0" w:space="0" w:color="auto"/>
      </w:divBdr>
    </w:div>
    <w:div w:id="1305818231">
      <w:bodyDiv w:val="1"/>
      <w:marLeft w:val="0"/>
      <w:marRight w:val="0"/>
      <w:marTop w:val="0"/>
      <w:marBottom w:val="0"/>
      <w:divBdr>
        <w:top w:val="none" w:sz="0" w:space="0" w:color="auto"/>
        <w:left w:val="none" w:sz="0" w:space="0" w:color="auto"/>
        <w:bottom w:val="none" w:sz="0" w:space="0" w:color="auto"/>
        <w:right w:val="none" w:sz="0" w:space="0" w:color="auto"/>
      </w:divBdr>
    </w:div>
    <w:div w:id="1313438457">
      <w:bodyDiv w:val="1"/>
      <w:marLeft w:val="0"/>
      <w:marRight w:val="0"/>
      <w:marTop w:val="0"/>
      <w:marBottom w:val="0"/>
      <w:divBdr>
        <w:top w:val="none" w:sz="0" w:space="0" w:color="auto"/>
        <w:left w:val="none" w:sz="0" w:space="0" w:color="auto"/>
        <w:bottom w:val="none" w:sz="0" w:space="0" w:color="auto"/>
        <w:right w:val="none" w:sz="0" w:space="0" w:color="auto"/>
      </w:divBdr>
    </w:div>
    <w:div w:id="1319184994">
      <w:bodyDiv w:val="1"/>
      <w:marLeft w:val="0"/>
      <w:marRight w:val="0"/>
      <w:marTop w:val="0"/>
      <w:marBottom w:val="0"/>
      <w:divBdr>
        <w:top w:val="none" w:sz="0" w:space="0" w:color="auto"/>
        <w:left w:val="none" w:sz="0" w:space="0" w:color="auto"/>
        <w:bottom w:val="none" w:sz="0" w:space="0" w:color="auto"/>
        <w:right w:val="none" w:sz="0" w:space="0" w:color="auto"/>
      </w:divBdr>
    </w:div>
    <w:div w:id="1323045555">
      <w:bodyDiv w:val="1"/>
      <w:marLeft w:val="0"/>
      <w:marRight w:val="0"/>
      <w:marTop w:val="0"/>
      <w:marBottom w:val="0"/>
      <w:divBdr>
        <w:top w:val="none" w:sz="0" w:space="0" w:color="auto"/>
        <w:left w:val="none" w:sz="0" w:space="0" w:color="auto"/>
        <w:bottom w:val="none" w:sz="0" w:space="0" w:color="auto"/>
        <w:right w:val="none" w:sz="0" w:space="0" w:color="auto"/>
      </w:divBdr>
    </w:div>
    <w:div w:id="1401828621">
      <w:bodyDiv w:val="1"/>
      <w:marLeft w:val="0"/>
      <w:marRight w:val="0"/>
      <w:marTop w:val="0"/>
      <w:marBottom w:val="0"/>
      <w:divBdr>
        <w:top w:val="none" w:sz="0" w:space="0" w:color="auto"/>
        <w:left w:val="none" w:sz="0" w:space="0" w:color="auto"/>
        <w:bottom w:val="none" w:sz="0" w:space="0" w:color="auto"/>
        <w:right w:val="none" w:sz="0" w:space="0" w:color="auto"/>
      </w:divBdr>
    </w:div>
    <w:div w:id="1404135500">
      <w:bodyDiv w:val="1"/>
      <w:marLeft w:val="0"/>
      <w:marRight w:val="0"/>
      <w:marTop w:val="0"/>
      <w:marBottom w:val="0"/>
      <w:divBdr>
        <w:top w:val="none" w:sz="0" w:space="0" w:color="auto"/>
        <w:left w:val="none" w:sz="0" w:space="0" w:color="auto"/>
        <w:bottom w:val="none" w:sz="0" w:space="0" w:color="auto"/>
        <w:right w:val="none" w:sz="0" w:space="0" w:color="auto"/>
      </w:divBdr>
    </w:div>
    <w:div w:id="1426851471">
      <w:bodyDiv w:val="1"/>
      <w:marLeft w:val="0"/>
      <w:marRight w:val="0"/>
      <w:marTop w:val="0"/>
      <w:marBottom w:val="0"/>
      <w:divBdr>
        <w:top w:val="none" w:sz="0" w:space="0" w:color="auto"/>
        <w:left w:val="none" w:sz="0" w:space="0" w:color="auto"/>
        <w:bottom w:val="none" w:sz="0" w:space="0" w:color="auto"/>
        <w:right w:val="none" w:sz="0" w:space="0" w:color="auto"/>
      </w:divBdr>
    </w:div>
    <w:div w:id="1427732830">
      <w:bodyDiv w:val="1"/>
      <w:marLeft w:val="0"/>
      <w:marRight w:val="0"/>
      <w:marTop w:val="0"/>
      <w:marBottom w:val="0"/>
      <w:divBdr>
        <w:top w:val="none" w:sz="0" w:space="0" w:color="auto"/>
        <w:left w:val="none" w:sz="0" w:space="0" w:color="auto"/>
        <w:bottom w:val="none" w:sz="0" w:space="0" w:color="auto"/>
        <w:right w:val="none" w:sz="0" w:space="0" w:color="auto"/>
      </w:divBdr>
    </w:div>
    <w:div w:id="1432432852">
      <w:bodyDiv w:val="1"/>
      <w:marLeft w:val="0"/>
      <w:marRight w:val="0"/>
      <w:marTop w:val="0"/>
      <w:marBottom w:val="0"/>
      <w:divBdr>
        <w:top w:val="none" w:sz="0" w:space="0" w:color="auto"/>
        <w:left w:val="none" w:sz="0" w:space="0" w:color="auto"/>
        <w:bottom w:val="none" w:sz="0" w:space="0" w:color="auto"/>
        <w:right w:val="none" w:sz="0" w:space="0" w:color="auto"/>
      </w:divBdr>
    </w:div>
    <w:div w:id="1436556244">
      <w:bodyDiv w:val="1"/>
      <w:marLeft w:val="0"/>
      <w:marRight w:val="0"/>
      <w:marTop w:val="0"/>
      <w:marBottom w:val="0"/>
      <w:divBdr>
        <w:top w:val="none" w:sz="0" w:space="0" w:color="auto"/>
        <w:left w:val="none" w:sz="0" w:space="0" w:color="auto"/>
        <w:bottom w:val="none" w:sz="0" w:space="0" w:color="auto"/>
        <w:right w:val="none" w:sz="0" w:space="0" w:color="auto"/>
      </w:divBdr>
    </w:div>
    <w:div w:id="1438520613">
      <w:bodyDiv w:val="1"/>
      <w:marLeft w:val="0"/>
      <w:marRight w:val="0"/>
      <w:marTop w:val="0"/>
      <w:marBottom w:val="0"/>
      <w:divBdr>
        <w:top w:val="none" w:sz="0" w:space="0" w:color="auto"/>
        <w:left w:val="none" w:sz="0" w:space="0" w:color="auto"/>
        <w:bottom w:val="none" w:sz="0" w:space="0" w:color="auto"/>
        <w:right w:val="none" w:sz="0" w:space="0" w:color="auto"/>
      </w:divBdr>
    </w:div>
    <w:div w:id="1442409342">
      <w:bodyDiv w:val="1"/>
      <w:marLeft w:val="0"/>
      <w:marRight w:val="0"/>
      <w:marTop w:val="0"/>
      <w:marBottom w:val="0"/>
      <w:divBdr>
        <w:top w:val="none" w:sz="0" w:space="0" w:color="auto"/>
        <w:left w:val="none" w:sz="0" w:space="0" w:color="auto"/>
        <w:bottom w:val="none" w:sz="0" w:space="0" w:color="auto"/>
        <w:right w:val="none" w:sz="0" w:space="0" w:color="auto"/>
      </w:divBdr>
    </w:div>
    <w:div w:id="1446072591">
      <w:bodyDiv w:val="1"/>
      <w:marLeft w:val="0"/>
      <w:marRight w:val="0"/>
      <w:marTop w:val="0"/>
      <w:marBottom w:val="0"/>
      <w:divBdr>
        <w:top w:val="none" w:sz="0" w:space="0" w:color="auto"/>
        <w:left w:val="none" w:sz="0" w:space="0" w:color="auto"/>
        <w:bottom w:val="none" w:sz="0" w:space="0" w:color="auto"/>
        <w:right w:val="none" w:sz="0" w:space="0" w:color="auto"/>
      </w:divBdr>
    </w:div>
    <w:div w:id="1456870269">
      <w:bodyDiv w:val="1"/>
      <w:marLeft w:val="0"/>
      <w:marRight w:val="0"/>
      <w:marTop w:val="0"/>
      <w:marBottom w:val="0"/>
      <w:divBdr>
        <w:top w:val="none" w:sz="0" w:space="0" w:color="auto"/>
        <w:left w:val="none" w:sz="0" w:space="0" w:color="auto"/>
        <w:bottom w:val="none" w:sz="0" w:space="0" w:color="auto"/>
        <w:right w:val="none" w:sz="0" w:space="0" w:color="auto"/>
      </w:divBdr>
    </w:div>
    <w:div w:id="1480616181">
      <w:bodyDiv w:val="1"/>
      <w:marLeft w:val="0"/>
      <w:marRight w:val="0"/>
      <w:marTop w:val="0"/>
      <w:marBottom w:val="0"/>
      <w:divBdr>
        <w:top w:val="none" w:sz="0" w:space="0" w:color="auto"/>
        <w:left w:val="none" w:sz="0" w:space="0" w:color="auto"/>
        <w:bottom w:val="none" w:sz="0" w:space="0" w:color="auto"/>
        <w:right w:val="none" w:sz="0" w:space="0" w:color="auto"/>
      </w:divBdr>
    </w:div>
    <w:div w:id="1535734336">
      <w:bodyDiv w:val="1"/>
      <w:marLeft w:val="0"/>
      <w:marRight w:val="0"/>
      <w:marTop w:val="0"/>
      <w:marBottom w:val="0"/>
      <w:divBdr>
        <w:top w:val="none" w:sz="0" w:space="0" w:color="auto"/>
        <w:left w:val="none" w:sz="0" w:space="0" w:color="auto"/>
        <w:bottom w:val="none" w:sz="0" w:space="0" w:color="auto"/>
        <w:right w:val="none" w:sz="0" w:space="0" w:color="auto"/>
      </w:divBdr>
    </w:div>
    <w:div w:id="1539049443">
      <w:bodyDiv w:val="1"/>
      <w:marLeft w:val="0"/>
      <w:marRight w:val="0"/>
      <w:marTop w:val="0"/>
      <w:marBottom w:val="0"/>
      <w:divBdr>
        <w:top w:val="none" w:sz="0" w:space="0" w:color="auto"/>
        <w:left w:val="none" w:sz="0" w:space="0" w:color="auto"/>
        <w:bottom w:val="none" w:sz="0" w:space="0" w:color="auto"/>
        <w:right w:val="none" w:sz="0" w:space="0" w:color="auto"/>
      </w:divBdr>
    </w:div>
    <w:div w:id="1558318848">
      <w:bodyDiv w:val="1"/>
      <w:marLeft w:val="0"/>
      <w:marRight w:val="0"/>
      <w:marTop w:val="0"/>
      <w:marBottom w:val="0"/>
      <w:divBdr>
        <w:top w:val="none" w:sz="0" w:space="0" w:color="auto"/>
        <w:left w:val="none" w:sz="0" w:space="0" w:color="auto"/>
        <w:bottom w:val="none" w:sz="0" w:space="0" w:color="auto"/>
        <w:right w:val="none" w:sz="0" w:space="0" w:color="auto"/>
      </w:divBdr>
    </w:div>
    <w:div w:id="1560020384">
      <w:bodyDiv w:val="1"/>
      <w:marLeft w:val="0"/>
      <w:marRight w:val="0"/>
      <w:marTop w:val="0"/>
      <w:marBottom w:val="0"/>
      <w:divBdr>
        <w:top w:val="none" w:sz="0" w:space="0" w:color="auto"/>
        <w:left w:val="none" w:sz="0" w:space="0" w:color="auto"/>
        <w:bottom w:val="none" w:sz="0" w:space="0" w:color="auto"/>
        <w:right w:val="none" w:sz="0" w:space="0" w:color="auto"/>
      </w:divBdr>
    </w:div>
    <w:div w:id="1571161558">
      <w:bodyDiv w:val="1"/>
      <w:marLeft w:val="0"/>
      <w:marRight w:val="0"/>
      <w:marTop w:val="0"/>
      <w:marBottom w:val="0"/>
      <w:divBdr>
        <w:top w:val="none" w:sz="0" w:space="0" w:color="auto"/>
        <w:left w:val="none" w:sz="0" w:space="0" w:color="auto"/>
        <w:bottom w:val="none" w:sz="0" w:space="0" w:color="auto"/>
        <w:right w:val="none" w:sz="0" w:space="0" w:color="auto"/>
      </w:divBdr>
    </w:div>
    <w:div w:id="1582449022">
      <w:bodyDiv w:val="1"/>
      <w:marLeft w:val="0"/>
      <w:marRight w:val="0"/>
      <w:marTop w:val="0"/>
      <w:marBottom w:val="0"/>
      <w:divBdr>
        <w:top w:val="none" w:sz="0" w:space="0" w:color="auto"/>
        <w:left w:val="none" w:sz="0" w:space="0" w:color="auto"/>
        <w:bottom w:val="none" w:sz="0" w:space="0" w:color="auto"/>
        <w:right w:val="none" w:sz="0" w:space="0" w:color="auto"/>
      </w:divBdr>
    </w:div>
    <w:div w:id="1619289310">
      <w:bodyDiv w:val="1"/>
      <w:marLeft w:val="0"/>
      <w:marRight w:val="0"/>
      <w:marTop w:val="0"/>
      <w:marBottom w:val="0"/>
      <w:divBdr>
        <w:top w:val="none" w:sz="0" w:space="0" w:color="auto"/>
        <w:left w:val="none" w:sz="0" w:space="0" w:color="auto"/>
        <w:bottom w:val="none" w:sz="0" w:space="0" w:color="auto"/>
        <w:right w:val="none" w:sz="0" w:space="0" w:color="auto"/>
      </w:divBdr>
    </w:div>
    <w:div w:id="1623724332">
      <w:bodyDiv w:val="1"/>
      <w:marLeft w:val="0"/>
      <w:marRight w:val="0"/>
      <w:marTop w:val="0"/>
      <w:marBottom w:val="0"/>
      <w:divBdr>
        <w:top w:val="none" w:sz="0" w:space="0" w:color="auto"/>
        <w:left w:val="none" w:sz="0" w:space="0" w:color="auto"/>
        <w:bottom w:val="none" w:sz="0" w:space="0" w:color="auto"/>
        <w:right w:val="none" w:sz="0" w:space="0" w:color="auto"/>
      </w:divBdr>
    </w:div>
    <w:div w:id="1645160675">
      <w:bodyDiv w:val="1"/>
      <w:marLeft w:val="0"/>
      <w:marRight w:val="0"/>
      <w:marTop w:val="0"/>
      <w:marBottom w:val="0"/>
      <w:divBdr>
        <w:top w:val="none" w:sz="0" w:space="0" w:color="auto"/>
        <w:left w:val="none" w:sz="0" w:space="0" w:color="auto"/>
        <w:bottom w:val="none" w:sz="0" w:space="0" w:color="auto"/>
        <w:right w:val="none" w:sz="0" w:space="0" w:color="auto"/>
      </w:divBdr>
    </w:div>
    <w:div w:id="1670399485">
      <w:bodyDiv w:val="1"/>
      <w:marLeft w:val="0"/>
      <w:marRight w:val="0"/>
      <w:marTop w:val="0"/>
      <w:marBottom w:val="0"/>
      <w:divBdr>
        <w:top w:val="none" w:sz="0" w:space="0" w:color="auto"/>
        <w:left w:val="none" w:sz="0" w:space="0" w:color="auto"/>
        <w:bottom w:val="none" w:sz="0" w:space="0" w:color="auto"/>
        <w:right w:val="none" w:sz="0" w:space="0" w:color="auto"/>
      </w:divBdr>
    </w:div>
    <w:div w:id="1680504941">
      <w:bodyDiv w:val="1"/>
      <w:marLeft w:val="0"/>
      <w:marRight w:val="0"/>
      <w:marTop w:val="0"/>
      <w:marBottom w:val="0"/>
      <w:divBdr>
        <w:top w:val="none" w:sz="0" w:space="0" w:color="auto"/>
        <w:left w:val="none" w:sz="0" w:space="0" w:color="auto"/>
        <w:bottom w:val="none" w:sz="0" w:space="0" w:color="auto"/>
        <w:right w:val="none" w:sz="0" w:space="0" w:color="auto"/>
      </w:divBdr>
    </w:div>
    <w:div w:id="1692343313">
      <w:bodyDiv w:val="1"/>
      <w:marLeft w:val="0"/>
      <w:marRight w:val="0"/>
      <w:marTop w:val="0"/>
      <w:marBottom w:val="0"/>
      <w:divBdr>
        <w:top w:val="none" w:sz="0" w:space="0" w:color="auto"/>
        <w:left w:val="none" w:sz="0" w:space="0" w:color="auto"/>
        <w:bottom w:val="none" w:sz="0" w:space="0" w:color="auto"/>
        <w:right w:val="none" w:sz="0" w:space="0" w:color="auto"/>
      </w:divBdr>
    </w:div>
    <w:div w:id="1692604879">
      <w:bodyDiv w:val="1"/>
      <w:marLeft w:val="0"/>
      <w:marRight w:val="0"/>
      <w:marTop w:val="0"/>
      <w:marBottom w:val="0"/>
      <w:divBdr>
        <w:top w:val="none" w:sz="0" w:space="0" w:color="auto"/>
        <w:left w:val="none" w:sz="0" w:space="0" w:color="auto"/>
        <w:bottom w:val="none" w:sz="0" w:space="0" w:color="auto"/>
        <w:right w:val="none" w:sz="0" w:space="0" w:color="auto"/>
      </w:divBdr>
    </w:div>
    <w:div w:id="1723020452">
      <w:bodyDiv w:val="1"/>
      <w:marLeft w:val="0"/>
      <w:marRight w:val="0"/>
      <w:marTop w:val="0"/>
      <w:marBottom w:val="0"/>
      <w:divBdr>
        <w:top w:val="none" w:sz="0" w:space="0" w:color="auto"/>
        <w:left w:val="none" w:sz="0" w:space="0" w:color="auto"/>
        <w:bottom w:val="none" w:sz="0" w:space="0" w:color="auto"/>
        <w:right w:val="none" w:sz="0" w:space="0" w:color="auto"/>
      </w:divBdr>
    </w:div>
    <w:div w:id="1730375994">
      <w:bodyDiv w:val="1"/>
      <w:marLeft w:val="0"/>
      <w:marRight w:val="0"/>
      <w:marTop w:val="0"/>
      <w:marBottom w:val="0"/>
      <w:divBdr>
        <w:top w:val="none" w:sz="0" w:space="0" w:color="auto"/>
        <w:left w:val="none" w:sz="0" w:space="0" w:color="auto"/>
        <w:bottom w:val="none" w:sz="0" w:space="0" w:color="auto"/>
        <w:right w:val="none" w:sz="0" w:space="0" w:color="auto"/>
      </w:divBdr>
    </w:div>
    <w:div w:id="1732267060">
      <w:bodyDiv w:val="1"/>
      <w:marLeft w:val="0"/>
      <w:marRight w:val="0"/>
      <w:marTop w:val="0"/>
      <w:marBottom w:val="0"/>
      <w:divBdr>
        <w:top w:val="none" w:sz="0" w:space="0" w:color="auto"/>
        <w:left w:val="none" w:sz="0" w:space="0" w:color="auto"/>
        <w:bottom w:val="none" w:sz="0" w:space="0" w:color="auto"/>
        <w:right w:val="none" w:sz="0" w:space="0" w:color="auto"/>
      </w:divBdr>
    </w:div>
    <w:div w:id="1788696690">
      <w:bodyDiv w:val="1"/>
      <w:marLeft w:val="0"/>
      <w:marRight w:val="0"/>
      <w:marTop w:val="0"/>
      <w:marBottom w:val="0"/>
      <w:divBdr>
        <w:top w:val="none" w:sz="0" w:space="0" w:color="auto"/>
        <w:left w:val="none" w:sz="0" w:space="0" w:color="auto"/>
        <w:bottom w:val="none" w:sz="0" w:space="0" w:color="auto"/>
        <w:right w:val="none" w:sz="0" w:space="0" w:color="auto"/>
      </w:divBdr>
    </w:div>
    <w:div w:id="1790902701">
      <w:bodyDiv w:val="1"/>
      <w:marLeft w:val="0"/>
      <w:marRight w:val="0"/>
      <w:marTop w:val="0"/>
      <w:marBottom w:val="0"/>
      <w:divBdr>
        <w:top w:val="none" w:sz="0" w:space="0" w:color="auto"/>
        <w:left w:val="none" w:sz="0" w:space="0" w:color="auto"/>
        <w:bottom w:val="none" w:sz="0" w:space="0" w:color="auto"/>
        <w:right w:val="none" w:sz="0" w:space="0" w:color="auto"/>
      </w:divBdr>
    </w:div>
    <w:div w:id="1801193930">
      <w:bodyDiv w:val="1"/>
      <w:marLeft w:val="0"/>
      <w:marRight w:val="0"/>
      <w:marTop w:val="0"/>
      <w:marBottom w:val="0"/>
      <w:divBdr>
        <w:top w:val="none" w:sz="0" w:space="0" w:color="auto"/>
        <w:left w:val="none" w:sz="0" w:space="0" w:color="auto"/>
        <w:bottom w:val="none" w:sz="0" w:space="0" w:color="auto"/>
        <w:right w:val="none" w:sz="0" w:space="0" w:color="auto"/>
      </w:divBdr>
    </w:div>
    <w:div w:id="1845511983">
      <w:bodyDiv w:val="1"/>
      <w:marLeft w:val="0"/>
      <w:marRight w:val="0"/>
      <w:marTop w:val="0"/>
      <w:marBottom w:val="0"/>
      <w:divBdr>
        <w:top w:val="none" w:sz="0" w:space="0" w:color="auto"/>
        <w:left w:val="none" w:sz="0" w:space="0" w:color="auto"/>
        <w:bottom w:val="none" w:sz="0" w:space="0" w:color="auto"/>
        <w:right w:val="none" w:sz="0" w:space="0" w:color="auto"/>
      </w:divBdr>
    </w:div>
    <w:div w:id="1872761823">
      <w:bodyDiv w:val="1"/>
      <w:marLeft w:val="0"/>
      <w:marRight w:val="0"/>
      <w:marTop w:val="0"/>
      <w:marBottom w:val="0"/>
      <w:divBdr>
        <w:top w:val="none" w:sz="0" w:space="0" w:color="auto"/>
        <w:left w:val="none" w:sz="0" w:space="0" w:color="auto"/>
        <w:bottom w:val="none" w:sz="0" w:space="0" w:color="auto"/>
        <w:right w:val="none" w:sz="0" w:space="0" w:color="auto"/>
      </w:divBdr>
    </w:div>
    <w:div w:id="1880702066">
      <w:bodyDiv w:val="1"/>
      <w:marLeft w:val="0"/>
      <w:marRight w:val="0"/>
      <w:marTop w:val="0"/>
      <w:marBottom w:val="0"/>
      <w:divBdr>
        <w:top w:val="none" w:sz="0" w:space="0" w:color="auto"/>
        <w:left w:val="none" w:sz="0" w:space="0" w:color="auto"/>
        <w:bottom w:val="none" w:sz="0" w:space="0" w:color="auto"/>
        <w:right w:val="none" w:sz="0" w:space="0" w:color="auto"/>
      </w:divBdr>
    </w:div>
    <w:div w:id="1906717024">
      <w:bodyDiv w:val="1"/>
      <w:marLeft w:val="0"/>
      <w:marRight w:val="0"/>
      <w:marTop w:val="0"/>
      <w:marBottom w:val="0"/>
      <w:divBdr>
        <w:top w:val="none" w:sz="0" w:space="0" w:color="auto"/>
        <w:left w:val="none" w:sz="0" w:space="0" w:color="auto"/>
        <w:bottom w:val="none" w:sz="0" w:space="0" w:color="auto"/>
        <w:right w:val="none" w:sz="0" w:space="0" w:color="auto"/>
      </w:divBdr>
    </w:div>
    <w:div w:id="1920016316">
      <w:bodyDiv w:val="1"/>
      <w:marLeft w:val="0"/>
      <w:marRight w:val="0"/>
      <w:marTop w:val="0"/>
      <w:marBottom w:val="0"/>
      <w:divBdr>
        <w:top w:val="none" w:sz="0" w:space="0" w:color="auto"/>
        <w:left w:val="none" w:sz="0" w:space="0" w:color="auto"/>
        <w:bottom w:val="none" w:sz="0" w:space="0" w:color="auto"/>
        <w:right w:val="none" w:sz="0" w:space="0" w:color="auto"/>
      </w:divBdr>
    </w:div>
    <w:div w:id="1925141720">
      <w:bodyDiv w:val="1"/>
      <w:marLeft w:val="0"/>
      <w:marRight w:val="0"/>
      <w:marTop w:val="0"/>
      <w:marBottom w:val="0"/>
      <w:divBdr>
        <w:top w:val="none" w:sz="0" w:space="0" w:color="auto"/>
        <w:left w:val="none" w:sz="0" w:space="0" w:color="auto"/>
        <w:bottom w:val="none" w:sz="0" w:space="0" w:color="auto"/>
        <w:right w:val="none" w:sz="0" w:space="0" w:color="auto"/>
      </w:divBdr>
    </w:div>
    <w:div w:id="1983194676">
      <w:bodyDiv w:val="1"/>
      <w:marLeft w:val="0"/>
      <w:marRight w:val="0"/>
      <w:marTop w:val="0"/>
      <w:marBottom w:val="0"/>
      <w:divBdr>
        <w:top w:val="none" w:sz="0" w:space="0" w:color="auto"/>
        <w:left w:val="none" w:sz="0" w:space="0" w:color="auto"/>
        <w:bottom w:val="none" w:sz="0" w:space="0" w:color="auto"/>
        <w:right w:val="none" w:sz="0" w:space="0" w:color="auto"/>
      </w:divBdr>
    </w:div>
    <w:div w:id="1988431468">
      <w:bodyDiv w:val="1"/>
      <w:marLeft w:val="0"/>
      <w:marRight w:val="0"/>
      <w:marTop w:val="0"/>
      <w:marBottom w:val="0"/>
      <w:divBdr>
        <w:top w:val="none" w:sz="0" w:space="0" w:color="auto"/>
        <w:left w:val="none" w:sz="0" w:space="0" w:color="auto"/>
        <w:bottom w:val="none" w:sz="0" w:space="0" w:color="auto"/>
        <w:right w:val="none" w:sz="0" w:space="0" w:color="auto"/>
      </w:divBdr>
    </w:div>
    <w:div w:id="1999458944">
      <w:bodyDiv w:val="1"/>
      <w:marLeft w:val="0"/>
      <w:marRight w:val="0"/>
      <w:marTop w:val="0"/>
      <w:marBottom w:val="0"/>
      <w:divBdr>
        <w:top w:val="none" w:sz="0" w:space="0" w:color="auto"/>
        <w:left w:val="none" w:sz="0" w:space="0" w:color="auto"/>
        <w:bottom w:val="none" w:sz="0" w:space="0" w:color="auto"/>
        <w:right w:val="none" w:sz="0" w:space="0" w:color="auto"/>
      </w:divBdr>
    </w:div>
    <w:div w:id="2010980403">
      <w:bodyDiv w:val="1"/>
      <w:marLeft w:val="0"/>
      <w:marRight w:val="0"/>
      <w:marTop w:val="0"/>
      <w:marBottom w:val="0"/>
      <w:divBdr>
        <w:top w:val="none" w:sz="0" w:space="0" w:color="auto"/>
        <w:left w:val="none" w:sz="0" w:space="0" w:color="auto"/>
        <w:bottom w:val="none" w:sz="0" w:space="0" w:color="auto"/>
        <w:right w:val="none" w:sz="0" w:space="0" w:color="auto"/>
      </w:divBdr>
    </w:div>
    <w:div w:id="2018070008">
      <w:bodyDiv w:val="1"/>
      <w:marLeft w:val="0"/>
      <w:marRight w:val="0"/>
      <w:marTop w:val="0"/>
      <w:marBottom w:val="0"/>
      <w:divBdr>
        <w:top w:val="none" w:sz="0" w:space="0" w:color="auto"/>
        <w:left w:val="none" w:sz="0" w:space="0" w:color="auto"/>
        <w:bottom w:val="none" w:sz="0" w:space="0" w:color="auto"/>
        <w:right w:val="none" w:sz="0" w:space="0" w:color="auto"/>
      </w:divBdr>
    </w:div>
    <w:div w:id="2027630622">
      <w:bodyDiv w:val="1"/>
      <w:marLeft w:val="0"/>
      <w:marRight w:val="0"/>
      <w:marTop w:val="0"/>
      <w:marBottom w:val="0"/>
      <w:divBdr>
        <w:top w:val="none" w:sz="0" w:space="0" w:color="auto"/>
        <w:left w:val="none" w:sz="0" w:space="0" w:color="auto"/>
        <w:bottom w:val="none" w:sz="0" w:space="0" w:color="auto"/>
        <w:right w:val="none" w:sz="0" w:space="0" w:color="auto"/>
      </w:divBdr>
    </w:div>
    <w:div w:id="2033801768">
      <w:bodyDiv w:val="1"/>
      <w:marLeft w:val="0"/>
      <w:marRight w:val="0"/>
      <w:marTop w:val="0"/>
      <w:marBottom w:val="0"/>
      <w:divBdr>
        <w:top w:val="none" w:sz="0" w:space="0" w:color="auto"/>
        <w:left w:val="none" w:sz="0" w:space="0" w:color="auto"/>
        <w:bottom w:val="none" w:sz="0" w:space="0" w:color="auto"/>
        <w:right w:val="none" w:sz="0" w:space="0" w:color="auto"/>
      </w:divBdr>
    </w:div>
    <w:div w:id="2041078855">
      <w:bodyDiv w:val="1"/>
      <w:marLeft w:val="0"/>
      <w:marRight w:val="0"/>
      <w:marTop w:val="0"/>
      <w:marBottom w:val="0"/>
      <w:divBdr>
        <w:top w:val="none" w:sz="0" w:space="0" w:color="auto"/>
        <w:left w:val="none" w:sz="0" w:space="0" w:color="auto"/>
        <w:bottom w:val="none" w:sz="0" w:space="0" w:color="auto"/>
        <w:right w:val="none" w:sz="0" w:space="0" w:color="auto"/>
      </w:divBdr>
    </w:div>
    <w:div w:id="2061201981">
      <w:bodyDiv w:val="1"/>
      <w:marLeft w:val="0"/>
      <w:marRight w:val="0"/>
      <w:marTop w:val="0"/>
      <w:marBottom w:val="0"/>
      <w:divBdr>
        <w:top w:val="none" w:sz="0" w:space="0" w:color="auto"/>
        <w:left w:val="none" w:sz="0" w:space="0" w:color="auto"/>
        <w:bottom w:val="none" w:sz="0" w:space="0" w:color="auto"/>
        <w:right w:val="none" w:sz="0" w:space="0" w:color="auto"/>
      </w:divBdr>
    </w:div>
    <w:div w:id="2087535809">
      <w:bodyDiv w:val="1"/>
      <w:marLeft w:val="0"/>
      <w:marRight w:val="0"/>
      <w:marTop w:val="0"/>
      <w:marBottom w:val="0"/>
      <w:divBdr>
        <w:top w:val="none" w:sz="0" w:space="0" w:color="auto"/>
        <w:left w:val="none" w:sz="0" w:space="0" w:color="auto"/>
        <w:bottom w:val="none" w:sz="0" w:space="0" w:color="auto"/>
        <w:right w:val="none" w:sz="0" w:space="0" w:color="auto"/>
      </w:divBdr>
    </w:div>
    <w:div w:id="21179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footer" Target="footer1.xml"/><Relationship Id="rId68" Type="http://schemas.openxmlformats.org/officeDocument/2006/relationships/hyperlink" Target="https://www.england.nhs.uk/wp-content/uploads/2013/12/bcf-plann-guid.pdf" TargetMode="External"/><Relationship Id="rId84" Type="http://schemas.openxmlformats.org/officeDocument/2006/relationships/image" Target="media/image35.wmf"/><Relationship Id="rId89" Type="http://schemas.openxmlformats.org/officeDocument/2006/relationships/image" Target="media/image39.png"/><Relationship Id="rId7" Type="http://schemas.openxmlformats.org/officeDocument/2006/relationships/endnotes" Target="endnotes.xml"/><Relationship Id="rId71" Type="http://schemas.openxmlformats.org/officeDocument/2006/relationships/oleObject" Target="embeddings/oleObject28.bin"/><Relationship Id="rId92" Type="http://schemas.openxmlformats.org/officeDocument/2006/relationships/hyperlink" Target="mailto:england.programmebudgeting@nhs.net" TargetMode="Externa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fontTable" Target="fontTable.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hyperlink" Target="https://assets.publishing.service.gov.uk/government/uploads/system/uploads/attachment_data/file/198748/DEFINITIVE_FINAL_VERSION_Integrated_Care_and_Support_-_Our_Shared_Commitment_2013-05-13.pdf" TargetMode="External"/><Relationship Id="rId74" Type="http://schemas.openxmlformats.org/officeDocument/2006/relationships/image" Target="media/image30.wmf"/><Relationship Id="rId79" Type="http://schemas.openxmlformats.org/officeDocument/2006/relationships/oleObject" Target="embeddings/oleObject32.bin"/><Relationship Id="rId87" Type="http://schemas.openxmlformats.org/officeDocument/2006/relationships/image" Target="media/image37.png"/><Relationship Id="rId102" Type="http://schemas.openxmlformats.org/officeDocument/2006/relationships/hyperlink" Target="https://digital.nhs.uk/data-and-information/publications/statistical/personal-social-services-survey-of-adult-carers/personal-social-services-survey-of-adult-carers-in-england-2014-15" TargetMode="External"/><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4.wmf"/><Relationship Id="rId90" Type="http://schemas.openxmlformats.org/officeDocument/2006/relationships/image" Target="media/image40.png"/><Relationship Id="rId95" Type="http://schemas.openxmlformats.org/officeDocument/2006/relationships/hyperlink" Target="https://digital.nhs.uk/data-and-information/publications/statistical/adult-social-care-activity-and-finance-report/community-care-statistics-social-services-activity-england-2014-15" TargetMode="Externa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s://researchbriefings.files.parliament.uk/documents/CBP-8431/CBP-8431.pdf" TargetMode="External"/><Relationship Id="rId69" Type="http://schemas.openxmlformats.org/officeDocument/2006/relationships/hyperlink" Target="https://webarchive.nationalarchives.gov.uk/20160605060941/https://www.england.nhs.uk/wp-content/uploads/2014/03/tech-guide-rev-allocs.pdf" TargetMode="External"/><Relationship Id="rId77" Type="http://schemas.openxmlformats.org/officeDocument/2006/relationships/oleObject" Target="embeddings/oleObject31.bin"/><Relationship Id="rId100" Type="http://schemas.openxmlformats.org/officeDocument/2006/relationships/hyperlink" Target="https://www.ons.gov.uk/economy/regionalaccounts/grossdisposablehouseholdincome/datasets/regionalgrossdisposablehouseholdincomegdhibylocalauthorityintheuk" TargetMode="External"/><Relationship Id="rId105" Type="http://schemas.openxmlformats.org/officeDocument/2006/relationships/hyperlink" Target="https://www.gov.uk/government/statistics/central-and-local-rating-lists-summary-england-and-wales" TargetMode="Externa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35.bin"/><Relationship Id="rId93" Type="http://schemas.openxmlformats.org/officeDocument/2006/relationships/hyperlink" Target="https://www.ons.gov.uk/peoplepopulationandcommunity/populationandmigration/populationestimates/datasets/lowersuperoutputareamidyearpopulationestimates" TargetMode="External"/><Relationship Id="rId98" Type="http://schemas.openxmlformats.org/officeDocument/2006/relationships/hyperlink" Target="http://opendatacommunities.org/resource?uri=http%3A%2F%2Fopendatacommunities.org%2Fdata%2Fsocietal-wellbeing%2Fimd%2Findices"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hyperlink" Target="https://www.local.gov.uk/sites/default/files/documents/A4%20STATIC%20IMAGE_04_1.pdf" TargetMode="External"/><Relationship Id="rId103" Type="http://schemas.openxmlformats.org/officeDocument/2006/relationships/hyperlink" Target="https://www.england.nhs.uk/allocations/allocations-2014-15-and-2015-16/" TargetMode="External"/><Relationship Id="rId108"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eader" Target="header1.xml"/><Relationship Id="rId70" Type="http://schemas.openxmlformats.org/officeDocument/2006/relationships/image" Target="media/image28.wmf"/><Relationship Id="rId75" Type="http://schemas.openxmlformats.org/officeDocument/2006/relationships/oleObject" Target="embeddings/oleObject30.bin"/><Relationship Id="rId83" Type="http://schemas.openxmlformats.org/officeDocument/2006/relationships/oleObject" Target="embeddings/oleObject34.bin"/><Relationship Id="rId88" Type="http://schemas.openxmlformats.org/officeDocument/2006/relationships/image" Target="media/image38.png"/><Relationship Id="rId91" Type="http://schemas.openxmlformats.org/officeDocument/2006/relationships/hyperlink" Target="https://www.ons.gov.uk/peoplepopulationandcommunity/birthsdeathsandmarriages/deaths/datasets/deathsregisteredbyareaofusualresidenceenglandandwales" TargetMode="External"/><Relationship Id="rId96" Type="http://schemas.openxmlformats.org/officeDocument/2006/relationships/hyperlink" Target="https://digital.nhs.uk/data-and-information/publications/statistical/adult-social-care-activity-and-finance-report/2017-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hyperlink" Target="https://webarchive.nationalarchives.gov.uk/20140505105851/http:/www.local.communities.gov.uk/finance/1314/CalcFFs.pdf"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yperlink" Target="https://webarchive.nationalarchives.gov.uk/20131203161415/http://www.local.communities.gov.uk/finance/1314/methpssas.pdf" TargetMode="External"/><Relationship Id="rId73" Type="http://schemas.openxmlformats.org/officeDocument/2006/relationships/oleObject" Target="embeddings/oleObject29.bin"/><Relationship Id="rId78" Type="http://schemas.openxmlformats.org/officeDocument/2006/relationships/image" Target="media/image32.wmf"/><Relationship Id="rId81" Type="http://schemas.openxmlformats.org/officeDocument/2006/relationships/oleObject" Target="embeddings/oleObject33.bin"/><Relationship Id="rId86" Type="http://schemas.openxmlformats.org/officeDocument/2006/relationships/image" Target="media/image36.jpeg"/><Relationship Id="rId94" Type="http://schemas.openxmlformats.org/officeDocument/2006/relationships/hyperlink" Target="https://digital.nhs.uk/data-and-information/publications/statistical/adult-social-care-activity-and-finance-report/personal-social-services-expenditure-and-unit-costs-england-2014-15-provisional-release" TargetMode="External"/><Relationship Id="rId99" Type="http://schemas.openxmlformats.org/officeDocument/2006/relationships/hyperlink" Target="https://www.nomisweb.co.uk/query/construct/summary.asp?mode=construct&amp;version=0&amp;dataset=115" TargetMode="External"/><Relationship Id="rId101" Type="http://schemas.openxmlformats.org/officeDocument/2006/relationships/hyperlink" Target="https://digital.nhs.uk/data-and-information/publications/statistical/personal-social-services-adult-social-care-survey/personal-social-services-adult-social-care-survey-england-2014-15"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1.wmf"/><Relationship Id="rId97" Type="http://schemas.openxmlformats.org/officeDocument/2006/relationships/hyperlink" Target="https://census.ukdataservice.ac.uk/get-data/aggregate-data" TargetMode="External"/><Relationship Id="rId104" Type="http://schemas.openxmlformats.org/officeDocument/2006/relationships/hyperlink" Target="https://www.gov.uk/government/statistics/council-tax-levels-set-by-local-authorities-in-england-2014-to-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3654-6486-471E-B34C-F38351A1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42</Pages>
  <Words>28652</Words>
  <Characters>163317</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191586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Longo</dc:creator>
  <cp:keywords/>
  <dc:description/>
  <cp:lastModifiedBy>Francesco Longo</cp:lastModifiedBy>
  <cp:revision>7</cp:revision>
  <cp:lastPrinted>2023-01-24T11:41:00Z</cp:lastPrinted>
  <dcterms:created xsi:type="dcterms:W3CDTF">2023-01-23T15:42:00Z</dcterms:created>
  <dcterms:modified xsi:type="dcterms:W3CDTF">2023-01-24T11:42:00Z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